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bookmarkStart w:id="0" w:name="_Hlk216175740"/>
      <w:bookmarkEnd w:id="0"/>
      <w:r w:rsidRPr="002B4451">
        <w:rPr>
          <w:noProof/>
          <w:lang w:val="es-DO" w:eastAsia="es-DO"/>
        </w:rPr>
        <w:drawing>
          <wp:anchor distT="0" distB="0" distL="114300" distR="114300" simplePos="0" relativeHeight="251603968" behindDoc="0" locked="0" layoutInCell="1" allowOverlap="1" wp14:anchorId="3F0A51DA" wp14:editId="5162454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285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lang w:val="es-DO" w:eastAsia="es-DO"/>
        </w:rPr>
        <mc:AlternateContent>
          <mc:Choice Requires="wpg">
            <w:drawing>
              <wp:anchor distT="0" distB="0" distL="114300" distR="114300" simplePos="0" relativeHeight="251739136"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B3EF1B2" id="Group 13" o:spid="_x0000_s1026" style="position:absolute;margin-left:154.3pt;margin-top:342pt;width:162.2pt;height:59.05pt;z-index:25173913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00C64CEF" w:rsidRPr="002B4451">
        <w:rPr>
          <w:noProof/>
          <w:lang w:val="es-DO" w:eastAsia="es-DO"/>
        </w:rPr>
        <mc:AlternateContent>
          <mc:Choice Requires="wps">
            <w:drawing>
              <wp:anchor distT="0" distB="0" distL="114300" distR="114300" simplePos="0" relativeHeight="251610112"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UBMk1a0BAAA8AwAADgAAAAAAAAAAAAAAAAAuAgAAZHJzL2Uyb0RvYy54bWxQ&#10;SwECLQAUAAYACAAAACEAFS3RPN8AAAAKAQAADwAAAAAAAAAAAAAAAAAHBAAAZHJzL2Rvd25yZXYu&#10;eG1sUEsFBgAAAAAEAAQA8wAAABMF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lang w:val="es-DO" w:eastAsia="es-DO"/>
        </w:rPr>
        <mc:AlternateContent>
          <mc:Choice Requires="wps">
            <w:drawing>
              <wp:anchor distT="4294967295" distB="4294967295" distL="114300" distR="114300" simplePos="0" relativeHeight="251687936"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0F497F" id="Straight Connector 9" o:spid="_x0000_s1026" style="position:absolute;z-index:2516879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81792"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E8E48B" id="Freeform: Shape 44" o:spid="_x0000_s1026" style="position:absolute;margin-left:371.65pt;margin-top:699.75pt;width:42.75pt;height:4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DO" w:eastAsia="es-DO"/>
        </w:rPr>
        <mc:AlternateContent>
          <mc:Choice Requires="wps">
            <w:drawing>
              <wp:anchor distT="0" distB="0" distL="114300" distR="114300" simplePos="0" relativeHeight="25162240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eastAsia="es-DO"/>
        </w:rPr>
        <mc:AlternateContent>
          <mc:Choice Requires="wpg">
            <w:drawing>
              <wp:anchor distT="0" distB="0" distL="114300" distR="114300" simplePos="0" relativeHeight="251757568" behindDoc="0" locked="0" layoutInCell="1" allowOverlap="1" wp14:anchorId="7424DA49" wp14:editId="4355A239">
                <wp:simplePos x="0" y="0"/>
                <wp:positionH relativeFrom="column">
                  <wp:posOffset>1724025</wp:posOffset>
                </wp:positionH>
                <wp:positionV relativeFrom="paragraph">
                  <wp:posOffset>291465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5E1BA86B" w:rsidR="000D143C" w:rsidRPr="0092544B" w:rsidRDefault="000E5BB5" w:rsidP="000D143C">
                              <w:pPr>
                                <w:jc w:val="center"/>
                                <w:rPr>
                                  <w:color w:val="D8B888"/>
                                </w:rPr>
                              </w:pPr>
                              <w:r>
                                <w:rPr>
                                  <w:color w:val="D8B888"/>
                                </w:rPr>
                                <w:t>Ministerio de la Presidencia</w:t>
                              </w:r>
                            </w:p>
                          </w:txbxContent>
                        </wps:txbx>
                        <wps:bodyPr rot="0" vert="horz" wrap="square" lIns="91440" tIns="45720" rIns="91440" bIns="45720" anchor="t" anchorCtr="0">
                          <a:noAutofit/>
                        </wps:bodyPr>
                      </wps:wsp>
                    </wpg:wgp>
                  </a:graphicData>
                </a:graphic>
              </wp:anchor>
            </w:drawing>
          </mc:Choice>
          <mc:Fallback>
            <w:pict>
              <v:group w14:anchorId="7424DA49" id="Group 25" o:spid="_x0000_s1029" style="position:absolute;margin-left:135.75pt;margin-top:22.95pt;width:213.75pt;height:30.05pt;z-index:251757568"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5E1BA86B" w:rsidR="000D143C" w:rsidRPr="0092544B" w:rsidRDefault="000E5BB5" w:rsidP="000D143C">
                        <w:pPr>
                          <w:jc w:val="center"/>
                          <w:rPr>
                            <w:color w:val="D8B888"/>
                          </w:rPr>
                        </w:pPr>
                        <w:r>
                          <w:rPr>
                            <w:color w:val="D8B888"/>
                          </w:rPr>
                          <w:t>Ministerio de la Presidencia</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597824"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636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69408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D41352" id="Straight Connector 22" o:spid="_x0000_s1026" style="position:absolute;z-index:2516940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4902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lang w:val="es-DO" w:eastAsia="es-DO"/>
        </w:rPr>
        <mc:AlternateContent>
          <mc:Choice Requires="wpg">
            <w:drawing>
              <wp:anchor distT="0" distB="0" distL="114300" distR="114300" simplePos="0" relativeHeight="251763712"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35CF059" id="Group 26" o:spid="_x0000_s1026" style="position:absolute;margin-left:160pt;margin-top:8.95pt;width:162.2pt;height:59.05pt;z-index:25176371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eastAsia="es-DO"/>
        </w:rPr>
        <mc:AlternateContent>
          <mc:Choice Requires="wpg">
            <w:drawing>
              <wp:anchor distT="0" distB="0" distL="114300" distR="114300" simplePos="0" relativeHeight="251769856" behindDoc="0" locked="0" layoutInCell="1" allowOverlap="1" wp14:anchorId="304B06EC" wp14:editId="72404917">
                <wp:simplePos x="0" y="0"/>
                <wp:positionH relativeFrom="column">
                  <wp:posOffset>1796415</wp:posOffset>
                </wp:positionH>
                <wp:positionV relativeFrom="paragraph">
                  <wp:posOffset>121285</wp:posOffset>
                </wp:positionV>
                <wp:extent cx="2714625" cy="38163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32B9F5E5" w14:textId="77777777" w:rsidR="000741A1" w:rsidRPr="0092544B" w:rsidRDefault="000741A1" w:rsidP="000741A1">
                              <w:pPr>
                                <w:jc w:val="center"/>
                                <w:rPr>
                                  <w:color w:val="D8B888"/>
                                </w:rPr>
                              </w:pPr>
                              <w:r>
                                <w:rPr>
                                  <w:color w:val="D8B888"/>
                                </w:rPr>
                                <w:t>Ministerio de la Presidencia</w:t>
                              </w:r>
                            </w:p>
                            <w:p w14:paraId="2927CC02" w14:textId="3CD42C72" w:rsidR="000D143C" w:rsidRPr="0092544B" w:rsidRDefault="000D143C" w:rsidP="000D143C">
                              <w:pPr>
                                <w:jc w:val="center"/>
                                <w:rPr>
                                  <w:color w:val="D8B888"/>
                                </w:rPr>
                              </w:pPr>
                            </w:p>
                          </w:txbxContent>
                        </wps:txbx>
                        <wps:bodyPr rot="0" vert="horz" wrap="square" lIns="91440" tIns="45720" rIns="91440" bIns="45720" anchor="t" anchorCtr="0">
                          <a:noAutofit/>
                        </wps:bodyPr>
                      </wps:wsp>
                    </wpg:wgp>
                  </a:graphicData>
                </a:graphic>
              </wp:anchor>
            </w:drawing>
          </mc:Choice>
          <mc:Fallback>
            <w:pict>
              <v:group w14:anchorId="304B06EC" id="Group 33" o:spid="_x0000_s1035" style="position:absolute;margin-left:141.45pt;margin-top:9.55pt;width:213.75pt;height:30.05pt;z-index:251769856"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32B9F5E5" w14:textId="77777777" w:rsidR="000741A1" w:rsidRPr="0092544B" w:rsidRDefault="000741A1" w:rsidP="000741A1">
                        <w:pPr>
                          <w:jc w:val="center"/>
                          <w:rPr>
                            <w:color w:val="D8B888"/>
                          </w:rPr>
                        </w:pPr>
                        <w:r>
                          <w:rPr>
                            <w:color w:val="D8B888"/>
                          </w:rPr>
                          <w:t>Ministerio de la Presidencia</w:t>
                        </w:r>
                      </w:p>
                      <w:p w14:paraId="2927CC02" w14:textId="3CD42C72" w:rsidR="000D143C" w:rsidRPr="0092544B" w:rsidRDefault="000D143C" w:rsidP="000D143C">
                        <w:pPr>
                          <w:jc w:val="center"/>
                          <w:rPr>
                            <w:color w:val="D8B888"/>
                          </w:rPr>
                        </w:pPr>
                      </w:p>
                    </w:txbxContent>
                  </v:textbox>
                </v:shape>
              </v:group>
            </w:pict>
          </mc:Fallback>
        </mc:AlternateContent>
      </w:r>
    </w:p>
    <w:p w14:paraId="31E2FE32" w14:textId="2317FF3C" w:rsidR="00545797" w:rsidRPr="0082260F" w:rsidRDefault="00545797" w:rsidP="00545797">
      <w:pPr>
        <w:jc w:val="center"/>
        <w:rPr>
          <w:b/>
          <w:bCs/>
          <w:color w:val="4C4747"/>
          <w:sz w:val="28"/>
          <w:lang w:val="es-DO"/>
        </w:rPr>
      </w:pPr>
      <w:r w:rsidRPr="0082260F">
        <w:rPr>
          <w:b/>
          <w:bCs/>
          <w:color w:val="4C4747"/>
          <w:sz w:val="28"/>
          <w:lang w:val="es-DO"/>
        </w:rPr>
        <w:lastRenderedPageBreak/>
        <w:t>TABLA DE CONTENIDOS</w:t>
      </w:r>
    </w:p>
    <w:p w14:paraId="6C3E8713" w14:textId="043AA35F" w:rsidR="00545797" w:rsidRPr="0082260F" w:rsidRDefault="00545797" w:rsidP="00545797">
      <w:pPr>
        <w:rPr>
          <w:color w:val="4C4747"/>
          <w:lang w:val="es-DO"/>
        </w:rPr>
      </w:pPr>
      <w:r w:rsidRPr="0082260F">
        <w:rPr>
          <w:noProof/>
          <w:color w:val="4C4747"/>
          <w:lang w:val="es-DO" w:eastAsia="es-DO"/>
        </w:rPr>
        <mc:AlternateContent>
          <mc:Choice Requires="wps">
            <w:drawing>
              <wp:anchor distT="0" distB="0" distL="114300" distR="114300" simplePos="0" relativeHeight="251666432"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EE8A7" id="Straight Connector 1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5D0C59C" w14:textId="139C2BAF" w:rsidR="00545797" w:rsidRPr="0082260F" w:rsidRDefault="00654164" w:rsidP="00545797">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w:t>
      </w:r>
      <w:r w:rsidR="00A5647B">
        <w:rPr>
          <w:color w:val="4C4747"/>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noProof/>
        </w:rPr>
      </w:sdtEndPr>
      <w:sdtContent>
        <w:p w14:paraId="13CA098D" w14:textId="2CC93254" w:rsidR="00A630BC" w:rsidRPr="0082260F" w:rsidRDefault="00A630BC">
          <w:pPr>
            <w:pStyle w:val="TOCHeading"/>
            <w:rPr>
              <w:color w:val="4C4747"/>
            </w:rPr>
          </w:pPr>
        </w:p>
        <w:p w14:paraId="73077B3A" w14:textId="7D388463" w:rsidR="004A7B4D" w:rsidRPr="004A7B4D" w:rsidRDefault="00A630BC">
          <w:pPr>
            <w:pStyle w:val="TOC1"/>
            <w:tabs>
              <w:tab w:val="left" w:pos="480"/>
              <w:tab w:val="right" w:leader="dot" w:pos="9350"/>
            </w:tabs>
            <w:rPr>
              <w:rFonts w:asciiTheme="minorHAnsi" w:eastAsiaTheme="minorEastAsia" w:hAnsiTheme="minorHAnsi" w:cstheme="minorBidi"/>
              <w:noProof/>
              <w:color w:val="auto"/>
              <w:spacing w:val="0"/>
              <w:sz w:val="22"/>
              <w:szCs w:val="22"/>
            </w:rPr>
          </w:pPr>
          <w:r w:rsidRPr="00D43A38">
            <w:rPr>
              <w:color w:val="4C4747"/>
            </w:rPr>
            <w:fldChar w:fldCharType="begin"/>
          </w:r>
          <w:r w:rsidRPr="00D43A38">
            <w:rPr>
              <w:color w:val="4C4747"/>
            </w:rPr>
            <w:instrText xml:space="preserve"> TOC \o "1-3" \h \z \u </w:instrText>
          </w:r>
          <w:r w:rsidRPr="00D43A38">
            <w:rPr>
              <w:color w:val="4C4747"/>
            </w:rPr>
            <w:fldChar w:fldCharType="separate"/>
          </w:r>
          <w:hyperlink w:anchor="_Toc217382598" w:history="1">
            <w:r w:rsidR="004A7B4D" w:rsidRPr="004A7B4D">
              <w:rPr>
                <w:rStyle w:val="Hyperlink"/>
                <w:noProof/>
                <w:lang w:val="es-DO"/>
              </w:rPr>
              <w:t>I.</w:t>
            </w:r>
            <w:r w:rsidR="004A7B4D" w:rsidRPr="004A7B4D">
              <w:rPr>
                <w:rFonts w:asciiTheme="minorHAnsi" w:eastAsiaTheme="minorEastAsia" w:hAnsiTheme="minorHAnsi" w:cstheme="minorBidi"/>
                <w:noProof/>
                <w:color w:val="auto"/>
                <w:spacing w:val="0"/>
                <w:sz w:val="22"/>
                <w:szCs w:val="22"/>
              </w:rPr>
              <w:tab/>
            </w:r>
            <w:r w:rsidR="004A7B4D" w:rsidRPr="004A7B4D">
              <w:rPr>
                <w:rStyle w:val="Hyperlink"/>
                <w:noProof/>
                <w:lang w:val="es-DO"/>
              </w:rPr>
              <w:t>RESUMEN EJECUTIVO</w:t>
            </w:r>
            <w:r w:rsidR="004A7B4D" w:rsidRPr="004A7B4D">
              <w:rPr>
                <w:noProof/>
                <w:webHidden/>
              </w:rPr>
              <w:tab/>
            </w:r>
            <w:r w:rsidR="004A7B4D" w:rsidRPr="004A7B4D">
              <w:rPr>
                <w:noProof/>
                <w:webHidden/>
              </w:rPr>
              <w:fldChar w:fldCharType="begin"/>
            </w:r>
            <w:r w:rsidR="004A7B4D" w:rsidRPr="004A7B4D">
              <w:rPr>
                <w:noProof/>
                <w:webHidden/>
              </w:rPr>
              <w:instrText xml:space="preserve"> PAGEREF _Toc217382598 \h </w:instrText>
            </w:r>
            <w:r w:rsidR="004A7B4D" w:rsidRPr="004A7B4D">
              <w:rPr>
                <w:noProof/>
                <w:webHidden/>
              </w:rPr>
            </w:r>
            <w:r w:rsidR="004A7B4D" w:rsidRPr="004A7B4D">
              <w:rPr>
                <w:noProof/>
                <w:webHidden/>
              </w:rPr>
              <w:fldChar w:fldCharType="separate"/>
            </w:r>
            <w:r w:rsidR="00CA6229">
              <w:rPr>
                <w:noProof/>
                <w:webHidden/>
              </w:rPr>
              <w:t>1</w:t>
            </w:r>
            <w:r w:rsidR="004A7B4D" w:rsidRPr="004A7B4D">
              <w:rPr>
                <w:noProof/>
                <w:webHidden/>
              </w:rPr>
              <w:fldChar w:fldCharType="end"/>
            </w:r>
          </w:hyperlink>
        </w:p>
        <w:p w14:paraId="010F5E67" w14:textId="1C51CABF" w:rsidR="004A7B4D" w:rsidRPr="004A7B4D" w:rsidRDefault="004A7B4D">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217382599" w:history="1">
            <w:r w:rsidRPr="004A7B4D">
              <w:rPr>
                <w:rStyle w:val="Hyperlink"/>
                <w:noProof/>
                <w:lang w:val="fr-FR"/>
              </w:rPr>
              <w:t>II.</w:t>
            </w:r>
            <w:r w:rsidRPr="004A7B4D">
              <w:rPr>
                <w:rFonts w:asciiTheme="minorHAnsi" w:eastAsiaTheme="minorEastAsia" w:hAnsiTheme="minorHAnsi" w:cstheme="minorBidi"/>
                <w:noProof/>
                <w:color w:val="auto"/>
                <w:spacing w:val="0"/>
                <w:sz w:val="22"/>
                <w:szCs w:val="22"/>
              </w:rPr>
              <w:tab/>
            </w:r>
            <w:r w:rsidRPr="004A7B4D">
              <w:rPr>
                <w:rStyle w:val="Hyperlink"/>
                <w:noProof/>
                <w:lang w:val="fr-FR"/>
              </w:rPr>
              <w:t>INFORMACIÓN INSTITUCIONAL</w:t>
            </w:r>
            <w:r w:rsidRPr="004A7B4D">
              <w:rPr>
                <w:noProof/>
                <w:webHidden/>
              </w:rPr>
              <w:tab/>
            </w:r>
            <w:r w:rsidRPr="004A7B4D">
              <w:rPr>
                <w:noProof/>
                <w:webHidden/>
              </w:rPr>
              <w:fldChar w:fldCharType="begin"/>
            </w:r>
            <w:r w:rsidRPr="004A7B4D">
              <w:rPr>
                <w:noProof/>
                <w:webHidden/>
              </w:rPr>
              <w:instrText xml:space="preserve"> PAGEREF _Toc217382599 \h </w:instrText>
            </w:r>
            <w:r w:rsidRPr="004A7B4D">
              <w:rPr>
                <w:noProof/>
                <w:webHidden/>
              </w:rPr>
            </w:r>
            <w:r w:rsidRPr="004A7B4D">
              <w:rPr>
                <w:noProof/>
                <w:webHidden/>
              </w:rPr>
              <w:fldChar w:fldCharType="separate"/>
            </w:r>
            <w:r w:rsidR="00CA6229">
              <w:rPr>
                <w:noProof/>
                <w:webHidden/>
              </w:rPr>
              <w:t>7</w:t>
            </w:r>
            <w:r w:rsidRPr="004A7B4D">
              <w:rPr>
                <w:noProof/>
                <w:webHidden/>
              </w:rPr>
              <w:fldChar w:fldCharType="end"/>
            </w:r>
          </w:hyperlink>
        </w:p>
        <w:p w14:paraId="45A5527C" w14:textId="7411A1C7"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00" w:history="1">
            <w:r w:rsidRPr="004A7B4D">
              <w:rPr>
                <w:rStyle w:val="Hyperlink"/>
                <w:noProof/>
              </w:rPr>
              <w:t>2.1</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Marco Filosófico Institucional</w:t>
            </w:r>
            <w:r w:rsidRPr="004A7B4D">
              <w:rPr>
                <w:noProof/>
                <w:webHidden/>
              </w:rPr>
              <w:tab/>
            </w:r>
            <w:r w:rsidRPr="004A7B4D">
              <w:rPr>
                <w:noProof/>
                <w:webHidden/>
              </w:rPr>
              <w:fldChar w:fldCharType="begin"/>
            </w:r>
            <w:r w:rsidRPr="004A7B4D">
              <w:rPr>
                <w:noProof/>
                <w:webHidden/>
              </w:rPr>
              <w:instrText xml:space="preserve"> PAGEREF _Toc217382600 \h </w:instrText>
            </w:r>
            <w:r w:rsidRPr="004A7B4D">
              <w:rPr>
                <w:noProof/>
                <w:webHidden/>
              </w:rPr>
            </w:r>
            <w:r w:rsidRPr="004A7B4D">
              <w:rPr>
                <w:noProof/>
                <w:webHidden/>
              </w:rPr>
              <w:fldChar w:fldCharType="separate"/>
            </w:r>
            <w:r w:rsidR="00CA6229">
              <w:rPr>
                <w:noProof/>
                <w:webHidden/>
              </w:rPr>
              <w:t>7</w:t>
            </w:r>
            <w:r w:rsidRPr="004A7B4D">
              <w:rPr>
                <w:noProof/>
                <w:webHidden/>
              </w:rPr>
              <w:fldChar w:fldCharType="end"/>
            </w:r>
          </w:hyperlink>
        </w:p>
        <w:p w14:paraId="725A3A4F" w14:textId="1594FAAB" w:rsidR="004A7B4D" w:rsidRPr="004A7B4D" w:rsidRDefault="004A7B4D">
          <w:pPr>
            <w:pStyle w:val="TOC3"/>
            <w:tabs>
              <w:tab w:val="left" w:pos="1100"/>
              <w:tab w:val="right" w:leader="dot" w:pos="9350"/>
            </w:tabs>
            <w:rPr>
              <w:rFonts w:asciiTheme="minorHAnsi" w:eastAsiaTheme="minorEastAsia" w:hAnsiTheme="minorHAnsi" w:cstheme="minorBidi"/>
              <w:noProof/>
              <w:color w:val="auto"/>
              <w:spacing w:val="0"/>
              <w:sz w:val="22"/>
              <w:szCs w:val="22"/>
            </w:rPr>
          </w:pPr>
          <w:hyperlink w:anchor="_Toc217382601" w:history="1">
            <w:r w:rsidRPr="004A7B4D">
              <w:rPr>
                <w:rStyle w:val="Hyperlink"/>
                <w:rFonts w:eastAsia="Calibri"/>
                <w:noProof/>
                <w:lang w:val="es-DO"/>
              </w:rPr>
              <w:t>a.</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lang w:val="es-DO"/>
              </w:rPr>
              <w:t>Misión</w:t>
            </w:r>
            <w:r w:rsidRPr="004A7B4D">
              <w:rPr>
                <w:noProof/>
                <w:webHidden/>
              </w:rPr>
              <w:tab/>
            </w:r>
            <w:r w:rsidRPr="004A7B4D">
              <w:rPr>
                <w:noProof/>
                <w:webHidden/>
              </w:rPr>
              <w:fldChar w:fldCharType="begin"/>
            </w:r>
            <w:r w:rsidRPr="004A7B4D">
              <w:rPr>
                <w:noProof/>
                <w:webHidden/>
              </w:rPr>
              <w:instrText xml:space="preserve"> PAGEREF _Toc217382601 \h </w:instrText>
            </w:r>
            <w:r w:rsidRPr="004A7B4D">
              <w:rPr>
                <w:noProof/>
                <w:webHidden/>
              </w:rPr>
            </w:r>
            <w:r w:rsidRPr="004A7B4D">
              <w:rPr>
                <w:noProof/>
                <w:webHidden/>
              </w:rPr>
              <w:fldChar w:fldCharType="separate"/>
            </w:r>
            <w:r w:rsidR="00CA6229">
              <w:rPr>
                <w:noProof/>
                <w:webHidden/>
              </w:rPr>
              <w:t>7</w:t>
            </w:r>
            <w:r w:rsidRPr="004A7B4D">
              <w:rPr>
                <w:noProof/>
                <w:webHidden/>
              </w:rPr>
              <w:fldChar w:fldCharType="end"/>
            </w:r>
          </w:hyperlink>
        </w:p>
        <w:p w14:paraId="0A7BD726" w14:textId="1E0E8332" w:rsidR="004A7B4D" w:rsidRPr="004A7B4D" w:rsidRDefault="004A7B4D">
          <w:pPr>
            <w:pStyle w:val="TOC3"/>
            <w:tabs>
              <w:tab w:val="left" w:pos="1100"/>
              <w:tab w:val="right" w:leader="dot" w:pos="9350"/>
            </w:tabs>
            <w:rPr>
              <w:rFonts w:asciiTheme="minorHAnsi" w:eastAsiaTheme="minorEastAsia" w:hAnsiTheme="minorHAnsi" w:cstheme="minorBidi"/>
              <w:noProof/>
              <w:color w:val="auto"/>
              <w:spacing w:val="0"/>
              <w:sz w:val="22"/>
              <w:szCs w:val="22"/>
            </w:rPr>
          </w:pPr>
          <w:hyperlink w:anchor="_Toc217382602" w:history="1">
            <w:r w:rsidRPr="004A7B4D">
              <w:rPr>
                <w:rStyle w:val="Hyperlink"/>
                <w:rFonts w:eastAsia="Calibri"/>
                <w:noProof/>
                <w:lang w:val="es-DO"/>
              </w:rPr>
              <w:t>b.</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lang w:val="es-DO"/>
              </w:rPr>
              <w:t>Visión</w:t>
            </w:r>
            <w:r w:rsidRPr="004A7B4D">
              <w:rPr>
                <w:noProof/>
                <w:webHidden/>
              </w:rPr>
              <w:tab/>
            </w:r>
            <w:r w:rsidRPr="004A7B4D">
              <w:rPr>
                <w:noProof/>
                <w:webHidden/>
              </w:rPr>
              <w:fldChar w:fldCharType="begin"/>
            </w:r>
            <w:r w:rsidRPr="004A7B4D">
              <w:rPr>
                <w:noProof/>
                <w:webHidden/>
              </w:rPr>
              <w:instrText xml:space="preserve"> PAGEREF _Toc217382602 \h </w:instrText>
            </w:r>
            <w:r w:rsidRPr="004A7B4D">
              <w:rPr>
                <w:noProof/>
                <w:webHidden/>
              </w:rPr>
            </w:r>
            <w:r w:rsidRPr="004A7B4D">
              <w:rPr>
                <w:noProof/>
                <w:webHidden/>
              </w:rPr>
              <w:fldChar w:fldCharType="separate"/>
            </w:r>
            <w:r w:rsidR="00CA6229">
              <w:rPr>
                <w:noProof/>
                <w:webHidden/>
              </w:rPr>
              <w:t>7</w:t>
            </w:r>
            <w:r w:rsidRPr="004A7B4D">
              <w:rPr>
                <w:noProof/>
                <w:webHidden/>
              </w:rPr>
              <w:fldChar w:fldCharType="end"/>
            </w:r>
          </w:hyperlink>
        </w:p>
        <w:p w14:paraId="4BF97664" w14:textId="7EA92410" w:rsidR="004A7B4D" w:rsidRPr="004A7B4D" w:rsidRDefault="004A7B4D">
          <w:pPr>
            <w:pStyle w:val="TOC3"/>
            <w:tabs>
              <w:tab w:val="left" w:pos="1100"/>
              <w:tab w:val="right" w:leader="dot" w:pos="9350"/>
            </w:tabs>
            <w:rPr>
              <w:rFonts w:asciiTheme="minorHAnsi" w:eastAsiaTheme="minorEastAsia" w:hAnsiTheme="minorHAnsi" w:cstheme="minorBidi"/>
              <w:noProof/>
              <w:color w:val="auto"/>
              <w:spacing w:val="0"/>
              <w:sz w:val="22"/>
              <w:szCs w:val="22"/>
            </w:rPr>
          </w:pPr>
          <w:hyperlink w:anchor="_Toc217382603" w:history="1">
            <w:r w:rsidRPr="004A7B4D">
              <w:rPr>
                <w:rStyle w:val="Hyperlink"/>
                <w:rFonts w:eastAsia="Calibri"/>
                <w:noProof/>
                <w:lang w:val="es-DO"/>
              </w:rPr>
              <w:t>c.</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lang w:val="es-DO"/>
              </w:rPr>
              <w:t>Valores</w:t>
            </w:r>
            <w:r w:rsidRPr="004A7B4D">
              <w:rPr>
                <w:noProof/>
                <w:webHidden/>
              </w:rPr>
              <w:tab/>
            </w:r>
            <w:r w:rsidRPr="004A7B4D">
              <w:rPr>
                <w:noProof/>
                <w:webHidden/>
              </w:rPr>
              <w:fldChar w:fldCharType="begin"/>
            </w:r>
            <w:r w:rsidRPr="004A7B4D">
              <w:rPr>
                <w:noProof/>
                <w:webHidden/>
              </w:rPr>
              <w:instrText xml:space="preserve"> PAGEREF _Toc217382603 \h </w:instrText>
            </w:r>
            <w:r w:rsidRPr="004A7B4D">
              <w:rPr>
                <w:noProof/>
                <w:webHidden/>
              </w:rPr>
            </w:r>
            <w:r w:rsidRPr="004A7B4D">
              <w:rPr>
                <w:noProof/>
                <w:webHidden/>
              </w:rPr>
              <w:fldChar w:fldCharType="separate"/>
            </w:r>
            <w:r w:rsidR="00CA6229">
              <w:rPr>
                <w:noProof/>
                <w:webHidden/>
              </w:rPr>
              <w:t>7</w:t>
            </w:r>
            <w:r w:rsidRPr="004A7B4D">
              <w:rPr>
                <w:noProof/>
                <w:webHidden/>
              </w:rPr>
              <w:fldChar w:fldCharType="end"/>
            </w:r>
          </w:hyperlink>
        </w:p>
        <w:p w14:paraId="3C3FACE6" w14:textId="693E8533"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07" w:history="1">
            <w:r w:rsidRPr="004A7B4D">
              <w:rPr>
                <w:rStyle w:val="Hyperlink"/>
                <w:rFonts w:eastAsia="Calibri"/>
                <w:noProof/>
              </w:rPr>
              <w:t>2.2</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Base legal Institucional</w:t>
            </w:r>
            <w:r w:rsidRPr="004A7B4D">
              <w:rPr>
                <w:noProof/>
                <w:webHidden/>
              </w:rPr>
              <w:tab/>
            </w:r>
            <w:r w:rsidRPr="004A7B4D">
              <w:rPr>
                <w:noProof/>
                <w:webHidden/>
              </w:rPr>
              <w:fldChar w:fldCharType="begin"/>
            </w:r>
            <w:r w:rsidRPr="004A7B4D">
              <w:rPr>
                <w:noProof/>
                <w:webHidden/>
              </w:rPr>
              <w:instrText xml:space="preserve"> PAGEREF _Toc217382607 \h </w:instrText>
            </w:r>
            <w:r w:rsidRPr="004A7B4D">
              <w:rPr>
                <w:noProof/>
                <w:webHidden/>
              </w:rPr>
            </w:r>
            <w:r w:rsidRPr="004A7B4D">
              <w:rPr>
                <w:noProof/>
                <w:webHidden/>
              </w:rPr>
              <w:fldChar w:fldCharType="separate"/>
            </w:r>
            <w:r w:rsidR="00CA6229">
              <w:rPr>
                <w:noProof/>
                <w:webHidden/>
              </w:rPr>
              <w:t>8</w:t>
            </w:r>
            <w:r w:rsidRPr="004A7B4D">
              <w:rPr>
                <w:noProof/>
                <w:webHidden/>
              </w:rPr>
              <w:fldChar w:fldCharType="end"/>
            </w:r>
          </w:hyperlink>
        </w:p>
        <w:p w14:paraId="71D8D3D6" w14:textId="0231B332"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08" w:history="1">
            <w:r w:rsidRPr="004A7B4D">
              <w:rPr>
                <w:rStyle w:val="Hyperlink"/>
                <w:rFonts w:eastAsia="Calibri"/>
                <w:noProof/>
              </w:rPr>
              <w:t>2.3</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 xml:space="preserve"> Estructura organizativa</w:t>
            </w:r>
            <w:r w:rsidRPr="004A7B4D">
              <w:rPr>
                <w:noProof/>
                <w:webHidden/>
              </w:rPr>
              <w:tab/>
            </w:r>
            <w:r w:rsidRPr="004A7B4D">
              <w:rPr>
                <w:noProof/>
                <w:webHidden/>
              </w:rPr>
              <w:fldChar w:fldCharType="begin"/>
            </w:r>
            <w:r w:rsidRPr="004A7B4D">
              <w:rPr>
                <w:noProof/>
                <w:webHidden/>
              </w:rPr>
              <w:instrText xml:space="preserve"> PAGEREF _Toc217382608 \h </w:instrText>
            </w:r>
            <w:r w:rsidRPr="004A7B4D">
              <w:rPr>
                <w:noProof/>
                <w:webHidden/>
              </w:rPr>
            </w:r>
            <w:r w:rsidRPr="004A7B4D">
              <w:rPr>
                <w:noProof/>
                <w:webHidden/>
              </w:rPr>
              <w:fldChar w:fldCharType="separate"/>
            </w:r>
            <w:r w:rsidR="00CA6229">
              <w:rPr>
                <w:noProof/>
                <w:webHidden/>
              </w:rPr>
              <w:t>13</w:t>
            </w:r>
            <w:r w:rsidRPr="004A7B4D">
              <w:rPr>
                <w:noProof/>
                <w:webHidden/>
              </w:rPr>
              <w:fldChar w:fldCharType="end"/>
            </w:r>
          </w:hyperlink>
        </w:p>
        <w:p w14:paraId="2643A23E" w14:textId="65EB3466"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09" w:history="1">
            <w:r w:rsidRPr="004A7B4D">
              <w:rPr>
                <w:rStyle w:val="Hyperlink"/>
                <w:rFonts w:eastAsia="Calibri"/>
                <w:noProof/>
              </w:rPr>
              <w:t>2.4</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Planificación Estratégica Institucional</w:t>
            </w:r>
            <w:r w:rsidRPr="004A7B4D">
              <w:rPr>
                <w:noProof/>
                <w:webHidden/>
              </w:rPr>
              <w:tab/>
            </w:r>
            <w:r w:rsidRPr="004A7B4D">
              <w:rPr>
                <w:noProof/>
                <w:webHidden/>
              </w:rPr>
              <w:fldChar w:fldCharType="begin"/>
            </w:r>
            <w:r w:rsidRPr="004A7B4D">
              <w:rPr>
                <w:noProof/>
                <w:webHidden/>
              </w:rPr>
              <w:instrText xml:space="preserve"> PAGEREF _Toc217382609 \h </w:instrText>
            </w:r>
            <w:r w:rsidRPr="004A7B4D">
              <w:rPr>
                <w:noProof/>
                <w:webHidden/>
              </w:rPr>
            </w:r>
            <w:r w:rsidRPr="004A7B4D">
              <w:rPr>
                <w:noProof/>
                <w:webHidden/>
              </w:rPr>
              <w:fldChar w:fldCharType="separate"/>
            </w:r>
            <w:r w:rsidR="00CA6229">
              <w:rPr>
                <w:noProof/>
                <w:webHidden/>
              </w:rPr>
              <w:t>14</w:t>
            </w:r>
            <w:r w:rsidRPr="004A7B4D">
              <w:rPr>
                <w:noProof/>
                <w:webHidden/>
              </w:rPr>
              <w:fldChar w:fldCharType="end"/>
            </w:r>
          </w:hyperlink>
        </w:p>
        <w:p w14:paraId="0BB3F4C6" w14:textId="1D34DACF" w:rsidR="004A7B4D" w:rsidRPr="004A7B4D" w:rsidRDefault="004A7B4D">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217382610" w:history="1">
            <w:r w:rsidRPr="004A7B4D">
              <w:rPr>
                <w:rStyle w:val="Hyperlink"/>
                <w:noProof/>
                <w:lang w:val="fr-FR"/>
              </w:rPr>
              <w:t>III.</w:t>
            </w:r>
            <w:r w:rsidRPr="004A7B4D">
              <w:rPr>
                <w:rFonts w:asciiTheme="minorHAnsi" w:eastAsiaTheme="minorEastAsia" w:hAnsiTheme="minorHAnsi" w:cstheme="minorBidi"/>
                <w:noProof/>
                <w:color w:val="auto"/>
                <w:spacing w:val="0"/>
                <w:sz w:val="22"/>
                <w:szCs w:val="22"/>
              </w:rPr>
              <w:tab/>
            </w:r>
            <w:r w:rsidRPr="004A7B4D">
              <w:rPr>
                <w:rStyle w:val="Hyperlink"/>
                <w:noProof/>
                <w:lang w:val="fr-FR"/>
              </w:rPr>
              <w:t>RESULTADOS MISIONALES</w:t>
            </w:r>
            <w:r w:rsidRPr="004A7B4D">
              <w:rPr>
                <w:noProof/>
                <w:webHidden/>
              </w:rPr>
              <w:tab/>
            </w:r>
            <w:r w:rsidRPr="004A7B4D">
              <w:rPr>
                <w:noProof/>
                <w:webHidden/>
              </w:rPr>
              <w:fldChar w:fldCharType="begin"/>
            </w:r>
            <w:r w:rsidRPr="004A7B4D">
              <w:rPr>
                <w:noProof/>
                <w:webHidden/>
              </w:rPr>
              <w:instrText xml:space="preserve"> PAGEREF _Toc217382610 \h </w:instrText>
            </w:r>
            <w:r w:rsidRPr="004A7B4D">
              <w:rPr>
                <w:noProof/>
                <w:webHidden/>
              </w:rPr>
            </w:r>
            <w:r w:rsidRPr="004A7B4D">
              <w:rPr>
                <w:noProof/>
                <w:webHidden/>
              </w:rPr>
              <w:fldChar w:fldCharType="separate"/>
            </w:r>
            <w:r w:rsidR="00CA6229">
              <w:rPr>
                <w:noProof/>
                <w:webHidden/>
              </w:rPr>
              <w:t>16</w:t>
            </w:r>
            <w:r w:rsidRPr="004A7B4D">
              <w:rPr>
                <w:noProof/>
                <w:webHidden/>
              </w:rPr>
              <w:fldChar w:fldCharType="end"/>
            </w:r>
          </w:hyperlink>
        </w:p>
        <w:p w14:paraId="11C21804" w14:textId="11483AD5"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1" w:history="1">
            <w:r w:rsidRPr="004A7B4D">
              <w:rPr>
                <w:rStyle w:val="Hyperlink"/>
                <w:noProof/>
                <w:lang w:val="es-DO"/>
              </w:rPr>
              <w:t>3.1</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lang w:val="es-DO"/>
              </w:rPr>
              <w:t>Viceministerio de Monitoreo y Coordinación Gubernamental (Seguimiento y Coordinación Gubernamental)</w:t>
            </w:r>
            <w:r w:rsidRPr="004A7B4D">
              <w:rPr>
                <w:noProof/>
                <w:webHidden/>
              </w:rPr>
              <w:tab/>
            </w:r>
            <w:r w:rsidRPr="004A7B4D">
              <w:rPr>
                <w:noProof/>
                <w:webHidden/>
              </w:rPr>
              <w:fldChar w:fldCharType="begin"/>
            </w:r>
            <w:r w:rsidRPr="004A7B4D">
              <w:rPr>
                <w:noProof/>
                <w:webHidden/>
              </w:rPr>
              <w:instrText xml:space="preserve"> PAGEREF _Toc217382611 \h </w:instrText>
            </w:r>
            <w:r w:rsidRPr="004A7B4D">
              <w:rPr>
                <w:noProof/>
                <w:webHidden/>
              </w:rPr>
            </w:r>
            <w:r w:rsidRPr="004A7B4D">
              <w:rPr>
                <w:noProof/>
                <w:webHidden/>
              </w:rPr>
              <w:fldChar w:fldCharType="separate"/>
            </w:r>
            <w:r w:rsidR="00CA6229">
              <w:rPr>
                <w:noProof/>
                <w:webHidden/>
              </w:rPr>
              <w:t>16</w:t>
            </w:r>
            <w:r w:rsidRPr="004A7B4D">
              <w:rPr>
                <w:noProof/>
                <w:webHidden/>
              </w:rPr>
              <w:fldChar w:fldCharType="end"/>
            </w:r>
          </w:hyperlink>
        </w:p>
        <w:p w14:paraId="5E1FFAE3" w14:textId="45DFC1E7"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2" w:history="1">
            <w:r w:rsidRPr="004A7B4D">
              <w:rPr>
                <w:rStyle w:val="Hyperlink"/>
                <w:noProof/>
                <w:lang w:val="es-DO"/>
              </w:rPr>
              <w:t>3.2</w:t>
            </w:r>
            <w:r w:rsidRPr="004A7B4D">
              <w:rPr>
                <w:rFonts w:asciiTheme="minorHAnsi" w:eastAsiaTheme="minorEastAsia" w:hAnsiTheme="minorHAnsi" w:cstheme="minorBidi"/>
                <w:noProof/>
                <w:color w:val="auto"/>
                <w:spacing w:val="0"/>
                <w:sz w:val="22"/>
                <w:szCs w:val="22"/>
              </w:rPr>
              <w:tab/>
            </w:r>
            <w:r w:rsidRPr="004A7B4D">
              <w:rPr>
                <w:rStyle w:val="Hyperlink"/>
                <w:noProof/>
                <w:lang w:val="es-DO"/>
              </w:rPr>
              <w:t>Viceministerio de Desarrollo Social</w:t>
            </w:r>
            <w:r w:rsidRPr="004A7B4D">
              <w:rPr>
                <w:noProof/>
                <w:webHidden/>
              </w:rPr>
              <w:tab/>
            </w:r>
            <w:r w:rsidRPr="004A7B4D">
              <w:rPr>
                <w:noProof/>
                <w:webHidden/>
              </w:rPr>
              <w:fldChar w:fldCharType="begin"/>
            </w:r>
            <w:r w:rsidRPr="004A7B4D">
              <w:rPr>
                <w:noProof/>
                <w:webHidden/>
              </w:rPr>
              <w:instrText xml:space="preserve"> PAGEREF _Toc217382612 \h </w:instrText>
            </w:r>
            <w:r w:rsidRPr="004A7B4D">
              <w:rPr>
                <w:noProof/>
                <w:webHidden/>
              </w:rPr>
            </w:r>
            <w:r w:rsidRPr="004A7B4D">
              <w:rPr>
                <w:noProof/>
                <w:webHidden/>
              </w:rPr>
              <w:fldChar w:fldCharType="separate"/>
            </w:r>
            <w:r w:rsidR="00CA6229">
              <w:rPr>
                <w:noProof/>
                <w:webHidden/>
              </w:rPr>
              <w:t>35</w:t>
            </w:r>
            <w:r w:rsidRPr="004A7B4D">
              <w:rPr>
                <w:noProof/>
                <w:webHidden/>
              </w:rPr>
              <w:fldChar w:fldCharType="end"/>
            </w:r>
          </w:hyperlink>
        </w:p>
        <w:p w14:paraId="0BE8C177" w14:textId="11E7C30D"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3" w:history="1">
            <w:r w:rsidRPr="004A7B4D">
              <w:rPr>
                <w:rStyle w:val="Hyperlink"/>
                <w:noProof/>
                <w:lang w:val="es-DO"/>
              </w:rPr>
              <w:t>3.3</w:t>
            </w:r>
            <w:r w:rsidRPr="004A7B4D">
              <w:rPr>
                <w:rFonts w:asciiTheme="minorHAnsi" w:eastAsiaTheme="minorEastAsia" w:hAnsiTheme="minorHAnsi" w:cstheme="minorBidi"/>
                <w:noProof/>
                <w:color w:val="auto"/>
                <w:spacing w:val="0"/>
                <w:sz w:val="22"/>
                <w:szCs w:val="22"/>
              </w:rPr>
              <w:tab/>
            </w:r>
            <w:r w:rsidRPr="004A7B4D">
              <w:rPr>
                <w:rStyle w:val="Hyperlink"/>
                <w:noProof/>
                <w:lang w:val="es-DO"/>
              </w:rPr>
              <w:t>Viceministerio de Relaciones con la Sociedad Civil</w:t>
            </w:r>
            <w:r w:rsidRPr="004A7B4D">
              <w:rPr>
                <w:noProof/>
                <w:webHidden/>
              </w:rPr>
              <w:tab/>
            </w:r>
            <w:r w:rsidRPr="004A7B4D">
              <w:rPr>
                <w:noProof/>
                <w:webHidden/>
              </w:rPr>
              <w:fldChar w:fldCharType="begin"/>
            </w:r>
            <w:r w:rsidRPr="004A7B4D">
              <w:rPr>
                <w:noProof/>
                <w:webHidden/>
              </w:rPr>
              <w:instrText xml:space="preserve"> PAGEREF _Toc217382613 \h </w:instrText>
            </w:r>
            <w:r w:rsidRPr="004A7B4D">
              <w:rPr>
                <w:noProof/>
                <w:webHidden/>
              </w:rPr>
            </w:r>
            <w:r w:rsidRPr="004A7B4D">
              <w:rPr>
                <w:noProof/>
                <w:webHidden/>
              </w:rPr>
              <w:fldChar w:fldCharType="separate"/>
            </w:r>
            <w:r w:rsidR="00CA6229">
              <w:rPr>
                <w:noProof/>
                <w:webHidden/>
              </w:rPr>
              <w:t>52</w:t>
            </w:r>
            <w:r w:rsidRPr="004A7B4D">
              <w:rPr>
                <w:noProof/>
                <w:webHidden/>
              </w:rPr>
              <w:fldChar w:fldCharType="end"/>
            </w:r>
          </w:hyperlink>
        </w:p>
        <w:p w14:paraId="7B52B464" w14:textId="44E28937"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4" w:history="1">
            <w:r w:rsidRPr="004A7B4D">
              <w:rPr>
                <w:rStyle w:val="Hyperlink"/>
                <w:rFonts w:eastAsia="Calibri"/>
                <w:noProof/>
              </w:rPr>
              <w:t>3.3</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Viceministerio de Cooperación Internacional</w:t>
            </w:r>
            <w:r w:rsidRPr="004A7B4D">
              <w:rPr>
                <w:noProof/>
                <w:webHidden/>
              </w:rPr>
              <w:tab/>
            </w:r>
            <w:r w:rsidRPr="004A7B4D">
              <w:rPr>
                <w:noProof/>
                <w:webHidden/>
              </w:rPr>
              <w:fldChar w:fldCharType="begin"/>
            </w:r>
            <w:r w:rsidRPr="004A7B4D">
              <w:rPr>
                <w:noProof/>
                <w:webHidden/>
              </w:rPr>
              <w:instrText xml:space="preserve"> PAGEREF _Toc217382614 \h </w:instrText>
            </w:r>
            <w:r w:rsidRPr="004A7B4D">
              <w:rPr>
                <w:noProof/>
                <w:webHidden/>
              </w:rPr>
            </w:r>
            <w:r w:rsidRPr="004A7B4D">
              <w:rPr>
                <w:noProof/>
                <w:webHidden/>
              </w:rPr>
              <w:fldChar w:fldCharType="separate"/>
            </w:r>
            <w:r w:rsidR="00CA6229">
              <w:rPr>
                <w:noProof/>
                <w:webHidden/>
              </w:rPr>
              <w:t>82</w:t>
            </w:r>
            <w:r w:rsidRPr="004A7B4D">
              <w:rPr>
                <w:noProof/>
                <w:webHidden/>
              </w:rPr>
              <w:fldChar w:fldCharType="end"/>
            </w:r>
          </w:hyperlink>
        </w:p>
        <w:p w14:paraId="2EDF4914" w14:textId="1DAFDF12"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5" w:history="1">
            <w:r w:rsidRPr="004A7B4D">
              <w:rPr>
                <w:rStyle w:val="Hyperlink"/>
                <w:rFonts w:eastAsia="Calibri"/>
                <w:noProof/>
              </w:rPr>
              <w:t>3.4</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Viceministerio de Ordenamiento Territorial y Desarrollo Regional (VIOTDR)</w:t>
            </w:r>
            <w:r w:rsidRPr="004A7B4D">
              <w:rPr>
                <w:noProof/>
                <w:webHidden/>
              </w:rPr>
              <w:tab/>
            </w:r>
            <w:r w:rsidRPr="004A7B4D">
              <w:rPr>
                <w:noProof/>
                <w:webHidden/>
              </w:rPr>
              <w:fldChar w:fldCharType="begin"/>
            </w:r>
            <w:r w:rsidRPr="004A7B4D">
              <w:rPr>
                <w:noProof/>
                <w:webHidden/>
              </w:rPr>
              <w:instrText xml:space="preserve"> PAGEREF _Toc217382615 \h </w:instrText>
            </w:r>
            <w:r w:rsidRPr="004A7B4D">
              <w:rPr>
                <w:noProof/>
                <w:webHidden/>
              </w:rPr>
            </w:r>
            <w:r w:rsidRPr="004A7B4D">
              <w:rPr>
                <w:noProof/>
                <w:webHidden/>
              </w:rPr>
              <w:fldChar w:fldCharType="separate"/>
            </w:r>
            <w:r w:rsidR="00CA6229">
              <w:rPr>
                <w:noProof/>
                <w:webHidden/>
              </w:rPr>
              <w:t>134</w:t>
            </w:r>
            <w:r w:rsidRPr="004A7B4D">
              <w:rPr>
                <w:noProof/>
                <w:webHidden/>
              </w:rPr>
              <w:fldChar w:fldCharType="end"/>
            </w:r>
          </w:hyperlink>
        </w:p>
        <w:p w14:paraId="47035BB5" w14:textId="450EBBBF"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6" w:history="1">
            <w:r w:rsidRPr="004A7B4D">
              <w:rPr>
                <w:rStyle w:val="Hyperlink"/>
                <w:rFonts w:eastAsia="Calibri"/>
                <w:noProof/>
              </w:rPr>
              <w:t>3.5</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Centro Nacional de Fomento y Promoción de las Asociaciones Sin Fines de Lucro</w:t>
            </w:r>
            <w:r w:rsidRPr="004A7B4D">
              <w:rPr>
                <w:noProof/>
                <w:webHidden/>
              </w:rPr>
              <w:tab/>
            </w:r>
            <w:r w:rsidRPr="004A7B4D">
              <w:rPr>
                <w:noProof/>
                <w:webHidden/>
              </w:rPr>
              <w:fldChar w:fldCharType="begin"/>
            </w:r>
            <w:r w:rsidRPr="004A7B4D">
              <w:rPr>
                <w:noProof/>
                <w:webHidden/>
              </w:rPr>
              <w:instrText xml:space="preserve"> PAGEREF _Toc217382616 \h </w:instrText>
            </w:r>
            <w:r w:rsidRPr="004A7B4D">
              <w:rPr>
                <w:noProof/>
                <w:webHidden/>
              </w:rPr>
            </w:r>
            <w:r w:rsidRPr="004A7B4D">
              <w:rPr>
                <w:noProof/>
                <w:webHidden/>
              </w:rPr>
              <w:fldChar w:fldCharType="separate"/>
            </w:r>
            <w:r w:rsidR="00CA6229">
              <w:rPr>
                <w:noProof/>
                <w:webHidden/>
              </w:rPr>
              <w:t>140</w:t>
            </w:r>
            <w:r w:rsidRPr="004A7B4D">
              <w:rPr>
                <w:noProof/>
                <w:webHidden/>
              </w:rPr>
              <w:fldChar w:fldCharType="end"/>
            </w:r>
          </w:hyperlink>
        </w:p>
        <w:p w14:paraId="66E2079E" w14:textId="41852AAB" w:rsidR="004A7B4D" w:rsidRPr="004A7B4D" w:rsidRDefault="004A7B4D">
          <w:pPr>
            <w:pStyle w:val="TOC1"/>
            <w:tabs>
              <w:tab w:val="right" w:leader="dot" w:pos="9350"/>
            </w:tabs>
            <w:rPr>
              <w:rFonts w:asciiTheme="minorHAnsi" w:eastAsiaTheme="minorEastAsia" w:hAnsiTheme="minorHAnsi" w:cstheme="minorBidi"/>
              <w:noProof/>
              <w:color w:val="auto"/>
              <w:spacing w:val="0"/>
              <w:sz w:val="22"/>
              <w:szCs w:val="22"/>
            </w:rPr>
          </w:pPr>
          <w:hyperlink w:anchor="_Toc217382617" w:history="1">
            <w:r w:rsidRPr="004A7B4D">
              <w:rPr>
                <w:rStyle w:val="Hyperlink"/>
                <w:noProof/>
                <w:lang w:val="es-DO"/>
              </w:rPr>
              <w:t>IV. RESULTADOS DE LAS ÁREAS TRANSVERSALES Y DE APOYO</w:t>
            </w:r>
            <w:r w:rsidRPr="004A7B4D">
              <w:rPr>
                <w:noProof/>
                <w:webHidden/>
              </w:rPr>
              <w:tab/>
            </w:r>
            <w:r w:rsidRPr="004A7B4D">
              <w:rPr>
                <w:noProof/>
                <w:webHidden/>
              </w:rPr>
              <w:fldChar w:fldCharType="begin"/>
            </w:r>
            <w:r w:rsidRPr="004A7B4D">
              <w:rPr>
                <w:noProof/>
                <w:webHidden/>
              </w:rPr>
              <w:instrText xml:space="preserve"> PAGEREF _Toc217382617 \h </w:instrText>
            </w:r>
            <w:r w:rsidRPr="004A7B4D">
              <w:rPr>
                <w:noProof/>
                <w:webHidden/>
              </w:rPr>
            </w:r>
            <w:r w:rsidRPr="004A7B4D">
              <w:rPr>
                <w:noProof/>
                <w:webHidden/>
              </w:rPr>
              <w:fldChar w:fldCharType="separate"/>
            </w:r>
            <w:r w:rsidR="00CA6229">
              <w:rPr>
                <w:noProof/>
                <w:webHidden/>
              </w:rPr>
              <w:t>150</w:t>
            </w:r>
            <w:r w:rsidRPr="004A7B4D">
              <w:rPr>
                <w:noProof/>
                <w:webHidden/>
              </w:rPr>
              <w:fldChar w:fldCharType="end"/>
            </w:r>
          </w:hyperlink>
        </w:p>
        <w:p w14:paraId="084B2293" w14:textId="47B14705"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8" w:history="1">
            <w:r w:rsidRPr="004A7B4D">
              <w:rPr>
                <w:rStyle w:val="Hyperlink"/>
                <w:noProof/>
              </w:rPr>
              <w:t>4.1</w:t>
            </w:r>
            <w:r w:rsidRPr="004A7B4D">
              <w:rPr>
                <w:rFonts w:asciiTheme="minorHAnsi" w:eastAsiaTheme="minorEastAsia" w:hAnsiTheme="minorHAnsi" w:cstheme="minorBidi"/>
                <w:noProof/>
                <w:color w:val="auto"/>
                <w:spacing w:val="0"/>
                <w:sz w:val="22"/>
                <w:szCs w:val="22"/>
              </w:rPr>
              <w:tab/>
            </w:r>
            <w:r w:rsidRPr="004A7B4D">
              <w:rPr>
                <w:rStyle w:val="Hyperlink"/>
                <w:noProof/>
              </w:rPr>
              <w:t>Desempeño Área Administrativa y Financiera</w:t>
            </w:r>
            <w:r w:rsidRPr="004A7B4D">
              <w:rPr>
                <w:noProof/>
                <w:webHidden/>
              </w:rPr>
              <w:tab/>
            </w:r>
            <w:r w:rsidRPr="004A7B4D">
              <w:rPr>
                <w:noProof/>
                <w:webHidden/>
              </w:rPr>
              <w:fldChar w:fldCharType="begin"/>
            </w:r>
            <w:r w:rsidRPr="004A7B4D">
              <w:rPr>
                <w:noProof/>
                <w:webHidden/>
              </w:rPr>
              <w:instrText xml:space="preserve"> PAGEREF _Toc217382618 \h </w:instrText>
            </w:r>
            <w:r w:rsidRPr="004A7B4D">
              <w:rPr>
                <w:noProof/>
                <w:webHidden/>
              </w:rPr>
            </w:r>
            <w:r w:rsidRPr="004A7B4D">
              <w:rPr>
                <w:noProof/>
                <w:webHidden/>
              </w:rPr>
              <w:fldChar w:fldCharType="separate"/>
            </w:r>
            <w:r w:rsidR="00CA6229">
              <w:rPr>
                <w:noProof/>
                <w:webHidden/>
              </w:rPr>
              <w:t>150</w:t>
            </w:r>
            <w:r w:rsidRPr="004A7B4D">
              <w:rPr>
                <w:noProof/>
                <w:webHidden/>
              </w:rPr>
              <w:fldChar w:fldCharType="end"/>
            </w:r>
          </w:hyperlink>
        </w:p>
        <w:p w14:paraId="457A23A4" w14:textId="17A4DB80"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19" w:history="1">
            <w:r w:rsidRPr="004A7B4D">
              <w:rPr>
                <w:rStyle w:val="Hyperlink"/>
                <w:noProof/>
              </w:rPr>
              <w:t>4.2</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Desempeño de los Recursos Humanos</w:t>
            </w:r>
            <w:r w:rsidRPr="004A7B4D">
              <w:rPr>
                <w:noProof/>
                <w:webHidden/>
              </w:rPr>
              <w:tab/>
            </w:r>
            <w:r w:rsidRPr="004A7B4D">
              <w:rPr>
                <w:noProof/>
                <w:webHidden/>
              </w:rPr>
              <w:fldChar w:fldCharType="begin"/>
            </w:r>
            <w:r w:rsidRPr="004A7B4D">
              <w:rPr>
                <w:noProof/>
                <w:webHidden/>
              </w:rPr>
              <w:instrText xml:space="preserve"> PAGEREF _Toc217382619 \h </w:instrText>
            </w:r>
            <w:r w:rsidRPr="004A7B4D">
              <w:rPr>
                <w:noProof/>
                <w:webHidden/>
              </w:rPr>
            </w:r>
            <w:r w:rsidRPr="004A7B4D">
              <w:rPr>
                <w:noProof/>
                <w:webHidden/>
              </w:rPr>
              <w:fldChar w:fldCharType="separate"/>
            </w:r>
            <w:r w:rsidR="00CA6229">
              <w:rPr>
                <w:noProof/>
                <w:webHidden/>
              </w:rPr>
              <w:t>173</w:t>
            </w:r>
            <w:r w:rsidRPr="004A7B4D">
              <w:rPr>
                <w:noProof/>
                <w:webHidden/>
              </w:rPr>
              <w:fldChar w:fldCharType="end"/>
            </w:r>
          </w:hyperlink>
        </w:p>
        <w:p w14:paraId="79B613EE" w14:textId="5E00E4D5"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0" w:history="1">
            <w:r w:rsidRPr="004A7B4D">
              <w:rPr>
                <w:rStyle w:val="Hyperlink"/>
                <w:noProof/>
              </w:rPr>
              <w:t>4.3</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Desempeño de los Procesos Jurídicos</w:t>
            </w:r>
            <w:r w:rsidRPr="004A7B4D">
              <w:rPr>
                <w:noProof/>
                <w:webHidden/>
              </w:rPr>
              <w:tab/>
            </w:r>
            <w:r w:rsidRPr="004A7B4D">
              <w:rPr>
                <w:noProof/>
                <w:webHidden/>
              </w:rPr>
              <w:fldChar w:fldCharType="begin"/>
            </w:r>
            <w:r w:rsidRPr="004A7B4D">
              <w:rPr>
                <w:noProof/>
                <w:webHidden/>
              </w:rPr>
              <w:instrText xml:space="preserve"> PAGEREF _Toc217382620 \h </w:instrText>
            </w:r>
            <w:r w:rsidRPr="004A7B4D">
              <w:rPr>
                <w:noProof/>
                <w:webHidden/>
              </w:rPr>
            </w:r>
            <w:r w:rsidRPr="004A7B4D">
              <w:rPr>
                <w:noProof/>
                <w:webHidden/>
              </w:rPr>
              <w:fldChar w:fldCharType="separate"/>
            </w:r>
            <w:r w:rsidR="00CA6229">
              <w:rPr>
                <w:noProof/>
                <w:webHidden/>
              </w:rPr>
              <w:t>187</w:t>
            </w:r>
            <w:r w:rsidRPr="004A7B4D">
              <w:rPr>
                <w:noProof/>
                <w:webHidden/>
              </w:rPr>
              <w:fldChar w:fldCharType="end"/>
            </w:r>
          </w:hyperlink>
        </w:p>
        <w:p w14:paraId="59278AFE" w14:textId="36695F4E"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1" w:history="1">
            <w:r w:rsidRPr="004A7B4D">
              <w:rPr>
                <w:rStyle w:val="Hyperlink"/>
                <w:noProof/>
              </w:rPr>
              <w:t>4.4</w:t>
            </w:r>
            <w:r w:rsidRPr="004A7B4D">
              <w:rPr>
                <w:rFonts w:asciiTheme="minorHAnsi" w:eastAsiaTheme="minorEastAsia" w:hAnsiTheme="minorHAnsi" w:cstheme="minorBidi"/>
                <w:noProof/>
                <w:color w:val="auto"/>
                <w:spacing w:val="0"/>
                <w:sz w:val="22"/>
                <w:szCs w:val="22"/>
              </w:rPr>
              <w:tab/>
            </w:r>
            <w:r w:rsidRPr="004A7B4D">
              <w:rPr>
                <w:rStyle w:val="Hyperlink"/>
                <w:noProof/>
              </w:rPr>
              <w:t>Desempeño de la Tecnología</w:t>
            </w:r>
            <w:r w:rsidRPr="004A7B4D">
              <w:rPr>
                <w:noProof/>
                <w:webHidden/>
              </w:rPr>
              <w:tab/>
            </w:r>
            <w:r w:rsidRPr="004A7B4D">
              <w:rPr>
                <w:noProof/>
                <w:webHidden/>
              </w:rPr>
              <w:fldChar w:fldCharType="begin"/>
            </w:r>
            <w:r w:rsidRPr="004A7B4D">
              <w:rPr>
                <w:noProof/>
                <w:webHidden/>
              </w:rPr>
              <w:instrText xml:space="preserve"> PAGEREF _Toc217382621 \h </w:instrText>
            </w:r>
            <w:r w:rsidRPr="004A7B4D">
              <w:rPr>
                <w:noProof/>
                <w:webHidden/>
              </w:rPr>
            </w:r>
            <w:r w:rsidRPr="004A7B4D">
              <w:rPr>
                <w:noProof/>
                <w:webHidden/>
              </w:rPr>
              <w:fldChar w:fldCharType="separate"/>
            </w:r>
            <w:r w:rsidR="00CA6229">
              <w:rPr>
                <w:noProof/>
                <w:webHidden/>
              </w:rPr>
              <w:t>203</w:t>
            </w:r>
            <w:r w:rsidRPr="004A7B4D">
              <w:rPr>
                <w:noProof/>
                <w:webHidden/>
              </w:rPr>
              <w:fldChar w:fldCharType="end"/>
            </w:r>
          </w:hyperlink>
        </w:p>
        <w:p w14:paraId="5D0C2417" w14:textId="7A80DE3A"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2" w:history="1">
            <w:r w:rsidRPr="004A7B4D">
              <w:rPr>
                <w:rStyle w:val="Hyperlink"/>
                <w:noProof/>
              </w:rPr>
              <w:t>4.5</w:t>
            </w:r>
            <w:r w:rsidRPr="004A7B4D">
              <w:rPr>
                <w:rFonts w:asciiTheme="minorHAnsi" w:eastAsiaTheme="minorEastAsia" w:hAnsiTheme="minorHAnsi" w:cstheme="minorBidi"/>
                <w:noProof/>
                <w:color w:val="auto"/>
                <w:spacing w:val="0"/>
                <w:sz w:val="22"/>
                <w:szCs w:val="22"/>
              </w:rPr>
              <w:tab/>
            </w:r>
            <w:r w:rsidRPr="004A7B4D">
              <w:rPr>
                <w:rStyle w:val="Hyperlink"/>
                <w:noProof/>
              </w:rPr>
              <w:t>Desempeño del sistema de Planificación y Desarrollo Institucional</w:t>
            </w:r>
            <w:r w:rsidRPr="004A7B4D">
              <w:rPr>
                <w:noProof/>
                <w:webHidden/>
              </w:rPr>
              <w:tab/>
            </w:r>
            <w:r w:rsidRPr="004A7B4D">
              <w:rPr>
                <w:noProof/>
                <w:webHidden/>
              </w:rPr>
              <w:fldChar w:fldCharType="begin"/>
            </w:r>
            <w:r w:rsidRPr="004A7B4D">
              <w:rPr>
                <w:noProof/>
                <w:webHidden/>
              </w:rPr>
              <w:instrText xml:space="preserve"> PAGEREF _Toc217382622 \h </w:instrText>
            </w:r>
            <w:r w:rsidRPr="004A7B4D">
              <w:rPr>
                <w:noProof/>
                <w:webHidden/>
              </w:rPr>
            </w:r>
            <w:r w:rsidRPr="004A7B4D">
              <w:rPr>
                <w:noProof/>
                <w:webHidden/>
              </w:rPr>
              <w:fldChar w:fldCharType="separate"/>
            </w:r>
            <w:r w:rsidR="00CA6229">
              <w:rPr>
                <w:noProof/>
                <w:webHidden/>
              </w:rPr>
              <w:t>218</w:t>
            </w:r>
            <w:r w:rsidRPr="004A7B4D">
              <w:rPr>
                <w:noProof/>
                <w:webHidden/>
              </w:rPr>
              <w:fldChar w:fldCharType="end"/>
            </w:r>
          </w:hyperlink>
        </w:p>
        <w:p w14:paraId="35D15CD3" w14:textId="1D0E444E"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3" w:history="1">
            <w:r w:rsidRPr="004A7B4D">
              <w:rPr>
                <w:rStyle w:val="Hyperlink"/>
                <w:noProof/>
              </w:rPr>
              <w:t>4.6</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lang w:val="es-419"/>
              </w:rPr>
              <w:t>Desempeño del Área de Comunicaciones</w:t>
            </w:r>
            <w:r w:rsidRPr="004A7B4D">
              <w:rPr>
                <w:noProof/>
                <w:webHidden/>
              </w:rPr>
              <w:tab/>
            </w:r>
            <w:r w:rsidRPr="004A7B4D">
              <w:rPr>
                <w:noProof/>
                <w:webHidden/>
              </w:rPr>
              <w:fldChar w:fldCharType="begin"/>
            </w:r>
            <w:r w:rsidRPr="004A7B4D">
              <w:rPr>
                <w:noProof/>
                <w:webHidden/>
              </w:rPr>
              <w:instrText xml:space="preserve"> PAGEREF _Toc217382623 \h </w:instrText>
            </w:r>
            <w:r w:rsidRPr="004A7B4D">
              <w:rPr>
                <w:noProof/>
                <w:webHidden/>
              </w:rPr>
            </w:r>
            <w:r w:rsidRPr="004A7B4D">
              <w:rPr>
                <w:noProof/>
                <w:webHidden/>
              </w:rPr>
              <w:fldChar w:fldCharType="separate"/>
            </w:r>
            <w:r w:rsidR="00CA6229">
              <w:rPr>
                <w:noProof/>
                <w:webHidden/>
              </w:rPr>
              <w:t>226</w:t>
            </w:r>
            <w:r w:rsidRPr="004A7B4D">
              <w:rPr>
                <w:noProof/>
                <w:webHidden/>
              </w:rPr>
              <w:fldChar w:fldCharType="end"/>
            </w:r>
          </w:hyperlink>
        </w:p>
        <w:p w14:paraId="3BE2D5A8" w14:textId="2560C0E7"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4" w:history="1">
            <w:r w:rsidRPr="004A7B4D">
              <w:rPr>
                <w:rStyle w:val="Hyperlink"/>
                <w:noProof/>
              </w:rPr>
              <w:t>4.7</w:t>
            </w:r>
            <w:r w:rsidRPr="004A7B4D">
              <w:rPr>
                <w:rFonts w:asciiTheme="minorHAnsi" w:eastAsiaTheme="minorEastAsia" w:hAnsiTheme="minorHAnsi" w:cstheme="minorBidi"/>
                <w:noProof/>
                <w:color w:val="auto"/>
                <w:spacing w:val="0"/>
                <w:sz w:val="22"/>
                <w:szCs w:val="22"/>
              </w:rPr>
              <w:tab/>
            </w:r>
            <w:r w:rsidRPr="004A7B4D">
              <w:rPr>
                <w:rStyle w:val="Hyperlink"/>
                <w:noProof/>
              </w:rPr>
              <w:t>Desempeño de Protocolo y Eventos</w:t>
            </w:r>
            <w:r w:rsidRPr="004A7B4D">
              <w:rPr>
                <w:noProof/>
                <w:webHidden/>
              </w:rPr>
              <w:tab/>
            </w:r>
            <w:r w:rsidRPr="004A7B4D">
              <w:rPr>
                <w:noProof/>
                <w:webHidden/>
              </w:rPr>
              <w:fldChar w:fldCharType="begin"/>
            </w:r>
            <w:r w:rsidRPr="004A7B4D">
              <w:rPr>
                <w:noProof/>
                <w:webHidden/>
              </w:rPr>
              <w:instrText xml:space="preserve"> PAGEREF _Toc217382624 \h </w:instrText>
            </w:r>
            <w:r w:rsidRPr="004A7B4D">
              <w:rPr>
                <w:noProof/>
                <w:webHidden/>
              </w:rPr>
            </w:r>
            <w:r w:rsidRPr="004A7B4D">
              <w:rPr>
                <w:noProof/>
                <w:webHidden/>
              </w:rPr>
              <w:fldChar w:fldCharType="separate"/>
            </w:r>
            <w:r w:rsidR="00CA6229">
              <w:rPr>
                <w:noProof/>
                <w:webHidden/>
              </w:rPr>
              <w:t>239</w:t>
            </w:r>
            <w:r w:rsidRPr="004A7B4D">
              <w:rPr>
                <w:noProof/>
                <w:webHidden/>
              </w:rPr>
              <w:fldChar w:fldCharType="end"/>
            </w:r>
          </w:hyperlink>
        </w:p>
        <w:p w14:paraId="082B610E" w14:textId="091A3515" w:rsidR="004A7B4D" w:rsidRPr="004A7B4D" w:rsidRDefault="004A7B4D">
          <w:pPr>
            <w:pStyle w:val="TOC1"/>
            <w:tabs>
              <w:tab w:val="left" w:pos="480"/>
              <w:tab w:val="right" w:leader="dot" w:pos="9350"/>
            </w:tabs>
            <w:rPr>
              <w:rFonts w:asciiTheme="minorHAnsi" w:eastAsiaTheme="minorEastAsia" w:hAnsiTheme="minorHAnsi" w:cstheme="minorBidi"/>
              <w:noProof/>
              <w:color w:val="auto"/>
              <w:spacing w:val="0"/>
              <w:sz w:val="22"/>
              <w:szCs w:val="22"/>
            </w:rPr>
          </w:pPr>
          <w:hyperlink w:anchor="_Toc217382625" w:history="1">
            <w:r w:rsidRPr="004A7B4D">
              <w:rPr>
                <w:rStyle w:val="Hyperlink"/>
                <w:noProof/>
                <w:lang w:val="es-DO"/>
              </w:rPr>
              <w:t>4</w:t>
            </w:r>
            <w:r w:rsidRPr="004A7B4D">
              <w:rPr>
                <w:rFonts w:asciiTheme="minorHAnsi" w:eastAsiaTheme="minorEastAsia" w:hAnsiTheme="minorHAnsi" w:cstheme="minorBidi"/>
                <w:noProof/>
                <w:color w:val="auto"/>
                <w:spacing w:val="0"/>
                <w:sz w:val="22"/>
                <w:szCs w:val="22"/>
              </w:rPr>
              <w:tab/>
            </w:r>
            <w:r w:rsidRPr="004A7B4D">
              <w:rPr>
                <w:rStyle w:val="Hyperlink"/>
                <w:noProof/>
                <w:lang w:val="es-DO"/>
              </w:rPr>
              <w:t>SERVICIO AL CIUDADANO Y TRANSPARENCIA INSTITUCIONAL</w:t>
            </w:r>
            <w:r w:rsidRPr="004A7B4D">
              <w:rPr>
                <w:noProof/>
                <w:webHidden/>
              </w:rPr>
              <w:tab/>
            </w:r>
            <w:r w:rsidRPr="004A7B4D">
              <w:rPr>
                <w:noProof/>
                <w:webHidden/>
              </w:rPr>
              <w:fldChar w:fldCharType="begin"/>
            </w:r>
            <w:r w:rsidRPr="004A7B4D">
              <w:rPr>
                <w:noProof/>
                <w:webHidden/>
              </w:rPr>
              <w:instrText xml:space="preserve"> PAGEREF _Toc217382625 \h </w:instrText>
            </w:r>
            <w:r w:rsidRPr="004A7B4D">
              <w:rPr>
                <w:noProof/>
                <w:webHidden/>
              </w:rPr>
            </w:r>
            <w:r w:rsidRPr="004A7B4D">
              <w:rPr>
                <w:noProof/>
                <w:webHidden/>
              </w:rPr>
              <w:fldChar w:fldCharType="separate"/>
            </w:r>
            <w:r w:rsidR="00CA6229">
              <w:rPr>
                <w:noProof/>
                <w:webHidden/>
              </w:rPr>
              <w:t>242</w:t>
            </w:r>
            <w:r w:rsidRPr="004A7B4D">
              <w:rPr>
                <w:noProof/>
                <w:webHidden/>
              </w:rPr>
              <w:fldChar w:fldCharType="end"/>
            </w:r>
          </w:hyperlink>
        </w:p>
        <w:p w14:paraId="03371375" w14:textId="527E3DD6" w:rsidR="004A7B4D" w:rsidRPr="004A7B4D" w:rsidRDefault="004A7B4D">
          <w:pPr>
            <w:pStyle w:val="TOC1"/>
            <w:tabs>
              <w:tab w:val="left" w:pos="480"/>
              <w:tab w:val="right" w:leader="dot" w:pos="9350"/>
            </w:tabs>
            <w:rPr>
              <w:rFonts w:asciiTheme="minorHAnsi" w:eastAsiaTheme="minorEastAsia" w:hAnsiTheme="minorHAnsi" w:cstheme="minorBidi"/>
              <w:noProof/>
              <w:color w:val="auto"/>
              <w:spacing w:val="0"/>
              <w:sz w:val="22"/>
              <w:szCs w:val="22"/>
            </w:rPr>
          </w:pPr>
          <w:hyperlink w:anchor="_Toc217382626" w:history="1">
            <w:r w:rsidRPr="004A7B4D">
              <w:rPr>
                <w:rStyle w:val="Hyperlink"/>
                <w:noProof/>
                <w:lang w:val="es-DO"/>
              </w:rPr>
              <w:t>5</w:t>
            </w:r>
            <w:r w:rsidRPr="004A7B4D">
              <w:rPr>
                <w:rFonts w:asciiTheme="minorHAnsi" w:eastAsiaTheme="minorEastAsia" w:hAnsiTheme="minorHAnsi" w:cstheme="minorBidi"/>
                <w:noProof/>
                <w:color w:val="auto"/>
                <w:spacing w:val="0"/>
                <w:sz w:val="22"/>
                <w:szCs w:val="22"/>
              </w:rPr>
              <w:tab/>
            </w:r>
            <w:r w:rsidRPr="004A7B4D">
              <w:rPr>
                <w:rStyle w:val="Hyperlink"/>
                <w:noProof/>
                <w:lang w:val="es-DO"/>
              </w:rPr>
              <w:t>PROYECCIONES AL PRÓXIMO AÑO</w:t>
            </w:r>
            <w:r w:rsidRPr="004A7B4D">
              <w:rPr>
                <w:noProof/>
                <w:webHidden/>
              </w:rPr>
              <w:tab/>
            </w:r>
            <w:r w:rsidRPr="004A7B4D">
              <w:rPr>
                <w:noProof/>
                <w:webHidden/>
              </w:rPr>
              <w:fldChar w:fldCharType="begin"/>
            </w:r>
            <w:r w:rsidRPr="004A7B4D">
              <w:rPr>
                <w:noProof/>
                <w:webHidden/>
              </w:rPr>
              <w:instrText xml:space="preserve"> PAGEREF _Toc217382626 \h </w:instrText>
            </w:r>
            <w:r w:rsidRPr="004A7B4D">
              <w:rPr>
                <w:noProof/>
                <w:webHidden/>
              </w:rPr>
            </w:r>
            <w:r w:rsidRPr="004A7B4D">
              <w:rPr>
                <w:noProof/>
                <w:webHidden/>
              </w:rPr>
              <w:fldChar w:fldCharType="separate"/>
            </w:r>
            <w:r w:rsidR="00CA6229">
              <w:rPr>
                <w:noProof/>
                <w:webHidden/>
              </w:rPr>
              <w:t>244</w:t>
            </w:r>
            <w:r w:rsidRPr="004A7B4D">
              <w:rPr>
                <w:noProof/>
                <w:webHidden/>
              </w:rPr>
              <w:fldChar w:fldCharType="end"/>
            </w:r>
          </w:hyperlink>
        </w:p>
        <w:p w14:paraId="72F219E9" w14:textId="1FFC0F9F" w:rsidR="004A7B4D" w:rsidRPr="004A7B4D" w:rsidRDefault="004A7B4D">
          <w:pPr>
            <w:pStyle w:val="TOC1"/>
            <w:tabs>
              <w:tab w:val="left" w:pos="480"/>
              <w:tab w:val="right" w:leader="dot" w:pos="9350"/>
            </w:tabs>
            <w:rPr>
              <w:rFonts w:asciiTheme="minorHAnsi" w:eastAsiaTheme="minorEastAsia" w:hAnsiTheme="minorHAnsi" w:cstheme="minorBidi"/>
              <w:noProof/>
              <w:color w:val="auto"/>
              <w:spacing w:val="0"/>
              <w:sz w:val="22"/>
              <w:szCs w:val="22"/>
            </w:rPr>
          </w:pPr>
          <w:hyperlink w:anchor="_Toc217382627" w:history="1">
            <w:r w:rsidRPr="004A7B4D">
              <w:rPr>
                <w:rStyle w:val="Hyperlink"/>
                <w:noProof/>
                <w:lang w:val="es-DO"/>
              </w:rPr>
              <w:t>6</w:t>
            </w:r>
            <w:r w:rsidRPr="004A7B4D">
              <w:rPr>
                <w:rFonts w:asciiTheme="minorHAnsi" w:eastAsiaTheme="minorEastAsia" w:hAnsiTheme="minorHAnsi" w:cstheme="minorBidi"/>
                <w:noProof/>
                <w:color w:val="auto"/>
                <w:spacing w:val="0"/>
                <w:sz w:val="22"/>
                <w:szCs w:val="22"/>
              </w:rPr>
              <w:tab/>
            </w:r>
            <w:r w:rsidRPr="004A7B4D">
              <w:rPr>
                <w:rStyle w:val="Hyperlink"/>
                <w:noProof/>
                <w:lang w:val="es-DO"/>
              </w:rPr>
              <w:t>ANEXOS</w:t>
            </w:r>
            <w:r w:rsidRPr="004A7B4D">
              <w:rPr>
                <w:noProof/>
                <w:webHidden/>
              </w:rPr>
              <w:tab/>
            </w:r>
            <w:r w:rsidRPr="004A7B4D">
              <w:rPr>
                <w:noProof/>
                <w:webHidden/>
              </w:rPr>
              <w:fldChar w:fldCharType="begin"/>
            </w:r>
            <w:r w:rsidRPr="004A7B4D">
              <w:rPr>
                <w:noProof/>
                <w:webHidden/>
              </w:rPr>
              <w:instrText xml:space="preserve"> PAGEREF _Toc217382627 \h </w:instrText>
            </w:r>
            <w:r w:rsidRPr="004A7B4D">
              <w:rPr>
                <w:noProof/>
                <w:webHidden/>
              </w:rPr>
            </w:r>
            <w:r w:rsidRPr="004A7B4D">
              <w:rPr>
                <w:noProof/>
                <w:webHidden/>
              </w:rPr>
              <w:fldChar w:fldCharType="separate"/>
            </w:r>
            <w:r w:rsidR="00CA6229">
              <w:rPr>
                <w:noProof/>
                <w:webHidden/>
              </w:rPr>
              <w:t>254</w:t>
            </w:r>
            <w:r w:rsidRPr="004A7B4D">
              <w:rPr>
                <w:noProof/>
                <w:webHidden/>
              </w:rPr>
              <w:fldChar w:fldCharType="end"/>
            </w:r>
          </w:hyperlink>
        </w:p>
        <w:p w14:paraId="4CD8F881" w14:textId="4D19F163"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8" w:history="1">
            <w:r w:rsidRPr="004A7B4D">
              <w:rPr>
                <w:rStyle w:val="Hyperlink"/>
                <w:rFonts w:eastAsia="Calibri"/>
                <w:noProof/>
              </w:rPr>
              <w:t>6.3</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Anexos Secretaría Técnica para la Soberanía y Seguridad Alimentaria y Nutricional (SETESSAN)</w:t>
            </w:r>
            <w:r w:rsidRPr="004A7B4D">
              <w:rPr>
                <w:noProof/>
                <w:webHidden/>
              </w:rPr>
              <w:tab/>
            </w:r>
            <w:r w:rsidRPr="004A7B4D">
              <w:rPr>
                <w:noProof/>
                <w:webHidden/>
              </w:rPr>
              <w:fldChar w:fldCharType="begin"/>
            </w:r>
            <w:r w:rsidRPr="004A7B4D">
              <w:rPr>
                <w:noProof/>
                <w:webHidden/>
              </w:rPr>
              <w:instrText xml:space="preserve"> PAGEREF _Toc217382628 \h </w:instrText>
            </w:r>
            <w:r w:rsidRPr="004A7B4D">
              <w:rPr>
                <w:noProof/>
                <w:webHidden/>
              </w:rPr>
            </w:r>
            <w:r w:rsidRPr="004A7B4D">
              <w:rPr>
                <w:noProof/>
                <w:webHidden/>
              </w:rPr>
              <w:fldChar w:fldCharType="separate"/>
            </w:r>
            <w:r w:rsidR="00CA6229">
              <w:rPr>
                <w:noProof/>
                <w:webHidden/>
              </w:rPr>
              <w:t>254</w:t>
            </w:r>
            <w:r w:rsidRPr="004A7B4D">
              <w:rPr>
                <w:noProof/>
                <w:webHidden/>
              </w:rPr>
              <w:fldChar w:fldCharType="end"/>
            </w:r>
          </w:hyperlink>
        </w:p>
        <w:p w14:paraId="3AC25D2E" w14:textId="0E23AC29"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29" w:history="1">
            <w:r w:rsidRPr="004A7B4D">
              <w:rPr>
                <w:rStyle w:val="Hyperlink"/>
                <w:rFonts w:eastAsia="Calibri"/>
                <w:noProof/>
              </w:rPr>
              <w:t>6.4</w:t>
            </w:r>
            <w:r w:rsidRPr="004A7B4D">
              <w:rPr>
                <w:rFonts w:asciiTheme="minorHAnsi" w:eastAsiaTheme="minorEastAsia" w:hAnsiTheme="minorHAnsi" w:cstheme="minorBidi"/>
                <w:noProof/>
                <w:color w:val="auto"/>
                <w:spacing w:val="0"/>
                <w:sz w:val="22"/>
                <w:szCs w:val="22"/>
              </w:rPr>
              <w:tab/>
            </w:r>
            <w:r w:rsidRPr="004A7B4D">
              <w:rPr>
                <w:rStyle w:val="Hyperlink"/>
                <w:rFonts w:eastAsia="Calibri"/>
                <w:noProof/>
              </w:rPr>
              <w:t>Anexos Dirección de Recursos Humanos</w:t>
            </w:r>
            <w:r w:rsidRPr="004A7B4D">
              <w:rPr>
                <w:noProof/>
                <w:webHidden/>
              </w:rPr>
              <w:tab/>
            </w:r>
            <w:r w:rsidRPr="004A7B4D">
              <w:rPr>
                <w:noProof/>
                <w:webHidden/>
              </w:rPr>
              <w:fldChar w:fldCharType="begin"/>
            </w:r>
            <w:r w:rsidRPr="004A7B4D">
              <w:rPr>
                <w:noProof/>
                <w:webHidden/>
              </w:rPr>
              <w:instrText xml:space="preserve"> PAGEREF _Toc217382629 \h </w:instrText>
            </w:r>
            <w:r w:rsidRPr="004A7B4D">
              <w:rPr>
                <w:noProof/>
                <w:webHidden/>
              </w:rPr>
            </w:r>
            <w:r w:rsidRPr="004A7B4D">
              <w:rPr>
                <w:noProof/>
                <w:webHidden/>
              </w:rPr>
              <w:fldChar w:fldCharType="separate"/>
            </w:r>
            <w:r w:rsidR="00CA6229">
              <w:rPr>
                <w:noProof/>
                <w:webHidden/>
              </w:rPr>
              <w:t>259</w:t>
            </w:r>
            <w:r w:rsidRPr="004A7B4D">
              <w:rPr>
                <w:noProof/>
                <w:webHidden/>
              </w:rPr>
              <w:fldChar w:fldCharType="end"/>
            </w:r>
          </w:hyperlink>
        </w:p>
        <w:p w14:paraId="4D7D9244" w14:textId="00F052F7"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30" w:history="1">
            <w:r w:rsidRPr="004A7B4D">
              <w:rPr>
                <w:rStyle w:val="Hyperlink"/>
                <w:noProof/>
              </w:rPr>
              <w:t>6.5</w:t>
            </w:r>
            <w:r w:rsidRPr="004A7B4D">
              <w:rPr>
                <w:rFonts w:asciiTheme="minorHAnsi" w:eastAsiaTheme="minorEastAsia" w:hAnsiTheme="minorHAnsi" w:cstheme="minorBidi"/>
                <w:noProof/>
                <w:color w:val="auto"/>
                <w:spacing w:val="0"/>
                <w:sz w:val="22"/>
                <w:szCs w:val="22"/>
              </w:rPr>
              <w:tab/>
            </w:r>
            <w:r w:rsidRPr="004A7B4D">
              <w:rPr>
                <w:rStyle w:val="Hyperlink"/>
                <w:noProof/>
              </w:rPr>
              <w:t>Matriz de Logros Relevantes</w:t>
            </w:r>
            <w:r w:rsidRPr="004A7B4D">
              <w:rPr>
                <w:noProof/>
                <w:webHidden/>
              </w:rPr>
              <w:tab/>
            </w:r>
            <w:r w:rsidRPr="004A7B4D">
              <w:rPr>
                <w:noProof/>
                <w:webHidden/>
              </w:rPr>
              <w:fldChar w:fldCharType="begin"/>
            </w:r>
            <w:r w:rsidRPr="004A7B4D">
              <w:rPr>
                <w:noProof/>
                <w:webHidden/>
              </w:rPr>
              <w:instrText xml:space="preserve"> PAGEREF _Toc217382630 \h </w:instrText>
            </w:r>
            <w:r w:rsidRPr="004A7B4D">
              <w:rPr>
                <w:noProof/>
                <w:webHidden/>
              </w:rPr>
            </w:r>
            <w:r w:rsidRPr="004A7B4D">
              <w:rPr>
                <w:noProof/>
                <w:webHidden/>
              </w:rPr>
              <w:fldChar w:fldCharType="separate"/>
            </w:r>
            <w:r w:rsidR="00CA6229">
              <w:rPr>
                <w:noProof/>
                <w:webHidden/>
              </w:rPr>
              <w:t>265</w:t>
            </w:r>
            <w:r w:rsidRPr="004A7B4D">
              <w:rPr>
                <w:noProof/>
                <w:webHidden/>
              </w:rPr>
              <w:fldChar w:fldCharType="end"/>
            </w:r>
          </w:hyperlink>
        </w:p>
        <w:p w14:paraId="65610B66" w14:textId="326C383E"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31" w:history="1">
            <w:r w:rsidRPr="004A7B4D">
              <w:rPr>
                <w:rStyle w:val="Hyperlink"/>
                <w:noProof/>
              </w:rPr>
              <w:t>6.6</w:t>
            </w:r>
            <w:r w:rsidRPr="004A7B4D">
              <w:rPr>
                <w:rFonts w:asciiTheme="minorHAnsi" w:eastAsiaTheme="minorEastAsia" w:hAnsiTheme="minorHAnsi" w:cstheme="minorBidi"/>
                <w:noProof/>
                <w:color w:val="auto"/>
                <w:spacing w:val="0"/>
                <w:sz w:val="22"/>
                <w:szCs w:val="22"/>
              </w:rPr>
              <w:tab/>
            </w:r>
            <w:r w:rsidRPr="004A7B4D">
              <w:rPr>
                <w:rStyle w:val="Hyperlink"/>
                <w:noProof/>
              </w:rPr>
              <w:t>Matriz de Ejecución Presupuestaria</w:t>
            </w:r>
            <w:r w:rsidRPr="004A7B4D">
              <w:rPr>
                <w:noProof/>
                <w:webHidden/>
              </w:rPr>
              <w:tab/>
            </w:r>
            <w:r w:rsidRPr="004A7B4D">
              <w:rPr>
                <w:noProof/>
                <w:webHidden/>
              </w:rPr>
              <w:fldChar w:fldCharType="begin"/>
            </w:r>
            <w:r w:rsidRPr="004A7B4D">
              <w:rPr>
                <w:noProof/>
                <w:webHidden/>
              </w:rPr>
              <w:instrText xml:space="preserve"> PAGEREF _Toc217382631 \h </w:instrText>
            </w:r>
            <w:r w:rsidRPr="004A7B4D">
              <w:rPr>
                <w:noProof/>
                <w:webHidden/>
              </w:rPr>
            </w:r>
            <w:r w:rsidRPr="004A7B4D">
              <w:rPr>
                <w:noProof/>
                <w:webHidden/>
              </w:rPr>
              <w:fldChar w:fldCharType="separate"/>
            </w:r>
            <w:r w:rsidR="00CA6229">
              <w:rPr>
                <w:noProof/>
                <w:webHidden/>
              </w:rPr>
              <w:t>267</w:t>
            </w:r>
            <w:r w:rsidRPr="004A7B4D">
              <w:rPr>
                <w:noProof/>
                <w:webHidden/>
              </w:rPr>
              <w:fldChar w:fldCharType="end"/>
            </w:r>
          </w:hyperlink>
        </w:p>
        <w:p w14:paraId="56FF39F2" w14:textId="7CD57FA9"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32" w:history="1">
            <w:r w:rsidRPr="004A7B4D">
              <w:rPr>
                <w:rStyle w:val="Hyperlink"/>
                <w:noProof/>
              </w:rPr>
              <w:t>6.7</w:t>
            </w:r>
            <w:r w:rsidRPr="004A7B4D">
              <w:rPr>
                <w:rFonts w:asciiTheme="minorHAnsi" w:eastAsiaTheme="minorEastAsia" w:hAnsiTheme="minorHAnsi" w:cstheme="minorBidi"/>
                <w:noProof/>
                <w:color w:val="auto"/>
                <w:spacing w:val="0"/>
                <w:sz w:val="22"/>
                <w:szCs w:val="22"/>
              </w:rPr>
              <w:tab/>
            </w:r>
            <w:r w:rsidRPr="004A7B4D">
              <w:rPr>
                <w:rStyle w:val="Hyperlink"/>
                <w:noProof/>
              </w:rPr>
              <w:t>Matriz de Principales Indicadores del POA</w:t>
            </w:r>
            <w:r w:rsidRPr="004A7B4D">
              <w:rPr>
                <w:noProof/>
                <w:webHidden/>
              </w:rPr>
              <w:tab/>
            </w:r>
            <w:r w:rsidRPr="004A7B4D">
              <w:rPr>
                <w:noProof/>
                <w:webHidden/>
              </w:rPr>
              <w:fldChar w:fldCharType="begin"/>
            </w:r>
            <w:r w:rsidRPr="004A7B4D">
              <w:rPr>
                <w:noProof/>
                <w:webHidden/>
              </w:rPr>
              <w:instrText xml:space="preserve"> PAGEREF _Toc217382632 \h </w:instrText>
            </w:r>
            <w:r w:rsidRPr="004A7B4D">
              <w:rPr>
                <w:noProof/>
                <w:webHidden/>
              </w:rPr>
            </w:r>
            <w:r w:rsidRPr="004A7B4D">
              <w:rPr>
                <w:noProof/>
                <w:webHidden/>
              </w:rPr>
              <w:fldChar w:fldCharType="separate"/>
            </w:r>
            <w:r w:rsidR="00CA6229">
              <w:rPr>
                <w:noProof/>
                <w:webHidden/>
              </w:rPr>
              <w:t>268</w:t>
            </w:r>
            <w:r w:rsidRPr="004A7B4D">
              <w:rPr>
                <w:noProof/>
                <w:webHidden/>
              </w:rPr>
              <w:fldChar w:fldCharType="end"/>
            </w:r>
          </w:hyperlink>
        </w:p>
        <w:p w14:paraId="185ED65A" w14:textId="0B35E3CC" w:rsidR="004A7B4D" w:rsidRPr="004A7B4D" w:rsidRDefault="004A7B4D">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217382633" w:history="1">
            <w:r w:rsidRPr="004A7B4D">
              <w:rPr>
                <w:rStyle w:val="Hyperlink"/>
                <w:noProof/>
                <w:lang w:val="es-DO"/>
              </w:rPr>
              <w:t>6.8</w:t>
            </w:r>
            <w:r w:rsidRPr="004A7B4D">
              <w:rPr>
                <w:rFonts w:asciiTheme="minorHAnsi" w:eastAsiaTheme="minorEastAsia" w:hAnsiTheme="minorHAnsi" w:cstheme="minorBidi"/>
                <w:noProof/>
                <w:color w:val="auto"/>
                <w:spacing w:val="0"/>
                <w:sz w:val="22"/>
                <w:szCs w:val="22"/>
              </w:rPr>
              <w:tab/>
            </w:r>
            <w:r w:rsidRPr="004A7B4D">
              <w:rPr>
                <w:rStyle w:val="Hyperlink"/>
                <w:noProof/>
                <w:lang w:val="es-DO"/>
              </w:rPr>
              <w:t>Resumen del Plan de Compras</w:t>
            </w:r>
            <w:r w:rsidRPr="004A7B4D">
              <w:rPr>
                <w:noProof/>
                <w:webHidden/>
              </w:rPr>
              <w:tab/>
            </w:r>
            <w:r w:rsidRPr="004A7B4D">
              <w:rPr>
                <w:noProof/>
                <w:webHidden/>
              </w:rPr>
              <w:fldChar w:fldCharType="begin"/>
            </w:r>
            <w:r w:rsidRPr="004A7B4D">
              <w:rPr>
                <w:noProof/>
                <w:webHidden/>
              </w:rPr>
              <w:instrText xml:space="preserve"> PAGEREF _Toc217382633 \h </w:instrText>
            </w:r>
            <w:r w:rsidRPr="004A7B4D">
              <w:rPr>
                <w:noProof/>
                <w:webHidden/>
              </w:rPr>
            </w:r>
            <w:r w:rsidRPr="004A7B4D">
              <w:rPr>
                <w:noProof/>
                <w:webHidden/>
              </w:rPr>
              <w:fldChar w:fldCharType="separate"/>
            </w:r>
            <w:r w:rsidR="00CA6229">
              <w:rPr>
                <w:noProof/>
                <w:webHidden/>
              </w:rPr>
              <w:t>277</w:t>
            </w:r>
            <w:r w:rsidRPr="004A7B4D">
              <w:rPr>
                <w:noProof/>
                <w:webHidden/>
              </w:rPr>
              <w:fldChar w:fldCharType="end"/>
            </w:r>
          </w:hyperlink>
        </w:p>
        <w:p w14:paraId="48DD30ED" w14:textId="09520195" w:rsidR="00A630BC" w:rsidRPr="00D43A38" w:rsidRDefault="00A630BC">
          <w:pPr>
            <w:rPr>
              <w:color w:val="4C4747"/>
            </w:rPr>
          </w:pPr>
          <w:r w:rsidRPr="00D43A38">
            <w:rPr>
              <w:noProof/>
              <w:color w:val="4C4747"/>
            </w:rPr>
            <w:fldChar w:fldCharType="end"/>
          </w:r>
        </w:p>
      </w:sdtContent>
    </w:sdt>
    <w:p w14:paraId="4394B0A8" w14:textId="77777777" w:rsidR="001240D0" w:rsidRPr="0082260F" w:rsidRDefault="001240D0" w:rsidP="00B45B38">
      <w:pPr>
        <w:ind w:left="567"/>
        <w:rPr>
          <w:b/>
          <w:bCs/>
          <w:noProof/>
          <w:color w:val="4C4747"/>
          <w:lang w:val="es-DO"/>
        </w:rPr>
      </w:pPr>
    </w:p>
    <w:p w14:paraId="4242FE2D" w14:textId="77777777" w:rsidR="001240D0" w:rsidRPr="0082260F" w:rsidRDefault="001240D0" w:rsidP="00B45B38">
      <w:pPr>
        <w:ind w:left="567"/>
        <w:rPr>
          <w:b/>
          <w:bCs/>
          <w:noProof/>
          <w:color w:val="4C4747"/>
          <w:lang w:val="es-DO"/>
        </w:rPr>
      </w:pPr>
    </w:p>
    <w:p w14:paraId="573DD07B" w14:textId="77777777" w:rsidR="001240D0" w:rsidRPr="0082260F" w:rsidRDefault="001240D0" w:rsidP="00B45B38">
      <w:pPr>
        <w:ind w:left="567"/>
        <w:rPr>
          <w:b/>
          <w:bCs/>
          <w:noProof/>
          <w:color w:val="4C4747"/>
          <w:lang w:val="es-DO"/>
        </w:rPr>
      </w:pPr>
    </w:p>
    <w:p w14:paraId="6CEA36FA" w14:textId="77777777" w:rsidR="001240D0" w:rsidRPr="0082260F" w:rsidRDefault="001240D0" w:rsidP="00B45B38">
      <w:pPr>
        <w:ind w:left="567"/>
        <w:rPr>
          <w:b/>
          <w:bCs/>
          <w:noProof/>
          <w:color w:val="4C4747"/>
          <w:lang w:val="es-DO"/>
        </w:rPr>
      </w:pPr>
    </w:p>
    <w:p w14:paraId="310BE1B9" w14:textId="77777777" w:rsidR="001240D0" w:rsidRPr="0082260F" w:rsidRDefault="001240D0" w:rsidP="00B45B38">
      <w:pPr>
        <w:ind w:left="567"/>
        <w:rPr>
          <w:b/>
          <w:bCs/>
          <w:noProof/>
          <w:color w:val="4C4747"/>
          <w:lang w:val="es-DO"/>
        </w:rPr>
      </w:pPr>
    </w:p>
    <w:p w14:paraId="4D9BE3A9" w14:textId="77777777" w:rsidR="00920A80" w:rsidRPr="0082260F" w:rsidRDefault="00920A80" w:rsidP="00B45B38">
      <w:pPr>
        <w:ind w:left="567"/>
        <w:rPr>
          <w:b/>
          <w:bCs/>
          <w:noProof/>
          <w:color w:val="4C4747"/>
          <w:lang w:val="es-DO"/>
        </w:rPr>
      </w:pPr>
    </w:p>
    <w:p w14:paraId="06171E0A" w14:textId="77777777" w:rsidR="00920A80" w:rsidRPr="0082260F" w:rsidRDefault="00920A80" w:rsidP="00B45B38">
      <w:pPr>
        <w:ind w:left="567"/>
        <w:rPr>
          <w:b/>
          <w:bCs/>
          <w:noProof/>
          <w:color w:val="4C4747"/>
          <w:lang w:val="es-DO"/>
        </w:rPr>
      </w:pPr>
    </w:p>
    <w:p w14:paraId="48D5794A" w14:textId="77777777" w:rsidR="00920A80" w:rsidRPr="0082260F" w:rsidRDefault="00920A80" w:rsidP="00B45B38">
      <w:pPr>
        <w:ind w:left="567"/>
        <w:rPr>
          <w:b/>
          <w:bCs/>
          <w:noProof/>
          <w:color w:val="4C4747"/>
          <w:lang w:val="es-DO"/>
        </w:rPr>
      </w:pPr>
    </w:p>
    <w:p w14:paraId="040E1B5A" w14:textId="77777777" w:rsidR="00920A80" w:rsidRPr="0082260F" w:rsidRDefault="00920A80" w:rsidP="00DD7615">
      <w:pPr>
        <w:rPr>
          <w:b/>
          <w:bCs/>
          <w:noProof/>
          <w:color w:val="4C4747"/>
          <w:lang w:val="es-DO"/>
        </w:rPr>
      </w:pPr>
    </w:p>
    <w:p w14:paraId="14F849D0" w14:textId="77777777" w:rsidR="00920A80" w:rsidRPr="0082260F" w:rsidRDefault="00920A80" w:rsidP="00B45B38">
      <w:pPr>
        <w:ind w:left="567"/>
        <w:rPr>
          <w:b/>
          <w:bCs/>
          <w:noProof/>
          <w:color w:val="4C4747"/>
          <w:lang w:val="es-DO"/>
        </w:rPr>
      </w:pPr>
    </w:p>
    <w:p w14:paraId="3C867BEC" w14:textId="77777777" w:rsidR="00920A80" w:rsidRPr="0082260F" w:rsidRDefault="00920A80" w:rsidP="00B45B38">
      <w:pPr>
        <w:ind w:left="567"/>
        <w:rPr>
          <w:b/>
          <w:bCs/>
          <w:noProof/>
          <w:color w:val="4C4747"/>
          <w:lang w:val="es-DO"/>
        </w:rPr>
      </w:pPr>
    </w:p>
    <w:p w14:paraId="34FD40AF" w14:textId="7F25FC58" w:rsidR="00920A80" w:rsidRPr="0082260F" w:rsidRDefault="00920A80" w:rsidP="00B45B38">
      <w:pPr>
        <w:ind w:left="567"/>
        <w:rPr>
          <w:i/>
          <w:iCs/>
          <w:noProof/>
          <w:color w:val="4C4747"/>
          <w:sz w:val="20"/>
          <w:szCs w:val="20"/>
          <w:lang w:val="es-DO"/>
        </w:rPr>
      </w:pPr>
    </w:p>
    <w:p w14:paraId="13F38C54" w14:textId="77777777" w:rsidR="00920A80" w:rsidRPr="0082260F" w:rsidRDefault="00920A80" w:rsidP="00B45B38">
      <w:pPr>
        <w:ind w:left="567"/>
        <w:rPr>
          <w:b/>
          <w:bCs/>
          <w:noProof/>
          <w:color w:val="4C4747"/>
          <w:lang w:val="es-DO"/>
        </w:rPr>
      </w:pPr>
    </w:p>
    <w:p w14:paraId="220C50B1" w14:textId="77777777" w:rsidR="001240D0" w:rsidRPr="0082260F" w:rsidRDefault="001240D0" w:rsidP="00B45B38">
      <w:pPr>
        <w:ind w:left="567"/>
        <w:rPr>
          <w:b/>
          <w:bCs/>
          <w:noProof/>
          <w:color w:val="4C4747"/>
          <w:lang w:val="es-DO"/>
        </w:rPr>
      </w:pPr>
    </w:p>
    <w:p w14:paraId="1DBDA006" w14:textId="4D806799" w:rsidR="001240D0" w:rsidRPr="0082260F" w:rsidRDefault="001240D0">
      <w:pPr>
        <w:rPr>
          <w:color w:val="4C4747"/>
          <w:lang w:val="es-DO"/>
        </w:rPr>
        <w:sectPr w:rsidR="001240D0" w:rsidRPr="0082260F" w:rsidSect="009904DB">
          <w:footerReference w:type="first" r:id="rId16"/>
          <w:pgSz w:w="12240" w:h="15840"/>
          <w:pgMar w:top="1440" w:right="1440" w:bottom="1440" w:left="1440" w:header="720" w:footer="720" w:gutter="0"/>
          <w:cols w:space="720"/>
          <w:docGrid w:linePitch="360"/>
        </w:sectPr>
      </w:pPr>
    </w:p>
    <w:p w14:paraId="649D29AD" w14:textId="24BADBE1" w:rsidR="001240D0" w:rsidRPr="005654BB" w:rsidRDefault="001240D0" w:rsidP="00D07F65">
      <w:pPr>
        <w:pStyle w:val="Heading1"/>
        <w:numPr>
          <w:ilvl w:val="0"/>
          <w:numId w:val="95"/>
        </w:numPr>
        <w:rPr>
          <w:color w:val="4C4747"/>
          <w:lang w:val="es-DO"/>
        </w:rPr>
      </w:pPr>
      <w:bookmarkStart w:id="2" w:name="_Hlk86403204"/>
      <w:bookmarkStart w:id="3" w:name="_Toc217382598"/>
      <w:r w:rsidRPr="005654BB">
        <w:rPr>
          <w:color w:val="4C4747"/>
          <w:lang w:val="es-DO"/>
        </w:rPr>
        <w:lastRenderedPageBreak/>
        <w:t>RESUMEN EJECUTIVO</w:t>
      </w:r>
      <w:bookmarkEnd w:id="3"/>
    </w:p>
    <w:p w14:paraId="7C54AF21" w14:textId="26B7214D" w:rsidR="001240D0" w:rsidRPr="005654BB" w:rsidRDefault="00125D46" w:rsidP="001240D0">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535360" behindDoc="0" locked="0" layoutInCell="1" allowOverlap="1" wp14:anchorId="5383067F" wp14:editId="6338FC47">
                <wp:simplePos x="0" y="0"/>
                <wp:positionH relativeFrom="margin">
                  <wp:posOffset>2454910</wp:posOffset>
                </wp:positionH>
                <wp:positionV relativeFrom="paragraph">
                  <wp:posOffset>100330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47D8E" id="Straight Connector 21" o:spid="_x0000_s1026" style="position:absolute;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3.3pt,7.9pt" to="229.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" strokecolor="#ee2a24" strokeweight="2.25pt">
                <v:stroke joinstyle="miter"/>
                <w10:wrap anchorx="margin"/>
              </v:line>
            </w:pict>
          </mc:Fallback>
        </mc:AlternateContent>
      </w:r>
    </w:p>
    <w:p w14:paraId="57CF8AA9" w14:textId="6328F7DD" w:rsidR="001240D0" w:rsidRPr="005654BB" w:rsidRDefault="00654164" w:rsidP="001240D0">
      <w:pPr>
        <w:jc w:val="center"/>
        <w:rPr>
          <w:rFonts w:eastAsia="Calibri"/>
          <w:color w:val="4C4747"/>
          <w:szCs w:val="36"/>
          <w:lang w:val="es-DO"/>
        </w:rPr>
      </w:pPr>
      <w:r w:rsidRPr="005654BB">
        <w:rPr>
          <w:rFonts w:eastAsia="Calibri"/>
          <w:color w:val="4C4747"/>
          <w:szCs w:val="36"/>
          <w:lang w:val="es-DO"/>
        </w:rPr>
        <w:t xml:space="preserve">Memoria </w:t>
      </w:r>
      <w:r w:rsidR="00D837AC" w:rsidRPr="005654BB">
        <w:rPr>
          <w:rFonts w:eastAsia="Calibri"/>
          <w:color w:val="4C4747"/>
          <w:szCs w:val="36"/>
          <w:lang w:val="es-DO"/>
        </w:rPr>
        <w:t>I</w:t>
      </w:r>
      <w:r w:rsidRPr="005654BB">
        <w:rPr>
          <w:rFonts w:eastAsia="Calibri"/>
          <w:color w:val="4C4747"/>
          <w:szCs w:val="36"/>
          <w:lang w:val="es-DO"/>
        </w:rPr>
        <w:t>nstitucional</w:t>
      </w:r>
      <w:r w:rsidR="001240D0" w:rsidRPr="005654BB">
        <w:rPr>
          <w:rFonts w:eastAsia="Calibri"/>
          <w:color w:val="4C4747"/>
          <w:szCs w:val="36"/>
          <w:lang w:val="es-DO"/>
        </w:rPr>
        <w:t xml:space="preserve"> </w:t>
      </w:r>
      <w:r w:rsidR="000025D4" w:rsidRPr="005654BB">
        <w:rPr>
          <w:rFonts w:eastAsia="Calibri"/>
          <w:color w:val="4C4747"/>
          <w:szCs w:val="36"/>
          <w:lang w:val="es-DO"/>
        </w:rPr>
        <w:t>202</w:t>
      </w:r>
      <w:r w:rsidR="00A5647B" w:rsidRPr="005654BB">
        <w:rPr>
          <w:rFonts w:eastAsia="Calibri"/>
          <w:color w:val="4C4747"/>
          <w:szCs w:val="36"/>
          <w:lang w:val="es-DO"/>
        </w:rPr>
        <w:t>5</w:t>
      </w:r>
    </w:p>
    <w:p w14:paraId="50075108" w14:textId="360464ED" w:rsidR="001240D0" w:rsidRPr="005654BB" w:rsidRDefault="001240D0" w:rsidP="001240D0">
      <w:pPr>
        <w:spacing w:line="360" w:lineRule="auto"/>
        <w:jc w:val="both"/>
        <w:rPr>
          <w:rFonts w:eastAsia="Calibri"/>
          <w:color w:val="4C4747"/>
          <w:lang w:val="es-DO"/>
        </w:rPr>
      </w:pPr>
    </w:p>
    <w:bookmarkEnd w:id="2"/>
    <w:p w14:paraId="070CFE7B" w14:textId="77777777" w:rsidR="00066093" w:rsidRDefault="00066093" w:rsidP="00886F32">
      <w:pPr>
        <w:spacing w:after="0" w:line="360" w:lineRule="auto"/>
        <w:ind w:left="720"/>
        <w:jc w:val="both"/>
        <w:rPr>
          <w:rFonts w:eastAsia="Calibri"/>
          <w:noProof/>
          <w:color w:val="4C4747"/>
          <w:lang w:val="es-DO"/>
        </w:rPr>
      </w:pPr>
      <w:r w:rsidRPr="00066093">
        <w:rPr>
          <w:rFonts w:eastAsia="Calibri"/>
          <w:noProof/>
          <w:color w:val="4C4747"/>
          <w:lang w:val="es-DO"/>
        </w:rPr>
        <w:t>El año 2025 representó un periodo de avances significativos para el Ministerio de la Presidencia (MINPRE), consolidando una gestión comprometida con el desarrollo social, la planificación estratégica y la eficiencia administrativa. Durante este periodo, la institución afianzó su rol como articulador del Gobierno Central, impulsando proyectos de alto impacto nacional y fortaleciendo su capacidad de coordinación, supervisión y transparencia.</w:t>
      </w:r>
    </w:p>
    <w:p w14:paraId="03D5810C" w14:textId="77777777" w:rsidR="00A53615" w:rsidRPr="00066093" w:rsidRDefault="00A53615" w:rsidP="00886F32">
      <w:pPr>
        <w:spacing w:after="0" w:line="360" w:lineRule="auto"/>
        <w:ind w:left="720"/>
        <w:jc w:val="both"/>
        <w:rPr>
          <w:rFonts w:eastAsia="Calibri"/>
          <w:noProof/>
          <w:color w:val="4C4747"/>
          <w:lang w:val="es-DO"/>
        </w:rPr>
      </w:pPr>
    </w:p>
    <w:p w14:paraId="37F6B541" w14:textId="77777777" w:rsidR="00066093" w:rsidRPr="00066093" w:rsidRDefault="00066093" w:rsidP="00886F32">
      <w:pPr>
        <w:spacing w:after="0" w:line="360" w:lineRule="auto"/>
        <w:ind w:left="720"/>
        <w:jc w:val="both"/>
        <w:rPr>
          <w:rFonts w:eastAsia="Calibri"/>
          <w:noProof/>
          <w:color w:val="4C4747"/>
          <w:lang w:val="es-DO"/>
        </w:rPr>
      </w:pPr>
      <w:r w:rsidRPr="00066093">
        <w:rPr>
          <w:rFonts w:eastAsia="Calibri"/>
          <w:noProof/>
          <w:color w:val="4C4747"/>
          <w:lang w:val="es-DO"/>
        </w:rPr>
        <w:t>Uno de los logros más relevantes del año fue el avance sostenido del proyecto Ciudad Juan Bosch (CJB), que se consolidó como un modelo urbano exitoso y socialmente inclusivo. Las obras de infraestructura alcanzaron un 94% de ejecución, mientras que la vialidad llegó a un 99.9%. Durante este periodo se entregaron más de 11,000 viviendas, para un total histórico que supera las 15,500 unidades habitacionales, beneficiando a más de 60,000 residentes. El desarrollo económico y comunitario del proyecto también se robusteció, con cinco plazas comerciales en operación, más de 210 establecimientos activos y una percepción de seguridad ciudadana de 86%. De igual forma avanzaron obras esenciales como la Planta de Tratamiento Este y el Tanque Vitrificado Nº3, así como nuevas instalaciones culturales y recreativas, entre las que destaca el anfiteatro La Gaviota, con un 92% de ejecución.</w:t>
      </w:r>
    </w:p>
    <w:p w14:paraId="0E946232" w14:textId="77777777" w:rsidR="00066093" w:rsidRPr="00066093" w:rsidRDefault="00066093" w:rsidP="00886F32">
      <w:pPr>
        <w:spacing w:after="0" w:line="360" w:lineRule="auto"/>
        <w:ind w:left="720"/>
        <w:jc w:val="both"/>
        <w:rPr>
          <w:rFonts w:eastAsia="Calibri"/>
          <w:noProof/>
          <w:color w:val="4C4747"/>
          <w:lang w:val="es-DO"/>
        </w:rPr>
      </w:pPr>
    </w:p>
    <w:p w14:paraId="6D87DAFF" w14:textId="2307E7FF" w:rsidR="00066093" w:rsidRPr="00066093" w:rsidRDefault="00066093" w:rsidP="00886F32">
      <w:pPr>
        <w:spacing w:after="0" w:line="360" w:lineRule="auto"/>
        <w:ind w:left="720"/>
        <w:jc w:val="both"/>
        <w:rPr>
          <w:rFonts w:eastAsia="Calibri"/>
          <w:noProof/>
          <w:color w:val="4C4747"/>
          <w:lang w:val="es-DO"/>
        </w:rPr>
      </w:pPr>
      <w:r w:rsidRPr="00066093">
        <w:rPr>
          <w:rFonts w:eastAsia="Calibri"/>
          <w:noProof/>
          <w:color w:val="4C4747"/>
          <w:lang w:val="es-DO"/>
        </w:rPr>
        <w:lastRenderedPageBreak/>
        <w:t xml:space="preserve">Paralelamente, se continuó expandiendo el modelo de desarrollo habitacional especialmente con la Ciudad Presidente Antonio Guzmán en Santiago. A través de los fondos administrados para las necesidades surgidas tras el huracán Fiona, se reembolsaron RD$ 434 millones a instituciones ejecutoras, garantizando rendición, transparencia y uso adecuado de los recursos. </w:t>
      </w:r>
    </w:p>
    <w:p w14:paraId="0FE969BE" w14:textId="77777777" w:rsidR="00066093" w:rsidRPr="00066093" w:rsidRDefault="00066093" w:rsidP="00886F32">
      <w:pPr>
        <w:spacing w:after="0" w:line="360" w:lineRule="auto"/>
        <w:ind w:left="720"/>
        <w:jc w:val="both"/>
        <w:rPr>
          <w:rFonts w:eastAsia="Calibri"/>
          <w:noProof/>
          <w:color w:val="4C4747"/>
          <w:lang w:val="es-DO"/>
        </w:rPr>
      </w:pPr>
    </w:p>
    <w:p w14:paraId="12B36C20" w14:textId="015BEB98" w:rsidR="00066093" w:rsidRPr="00066093" w:rsidRDefault="00066093" w:rsidP="00A84F63">
      <w:pPr>
        <w:spacing w:after="0" w:line="360" w:lineRule="auto"/>
        <w:ind w:left="720"/>
        <w:jc w:val="both"/>
        <w:rPr>
          <w:rFonts w:eastAsia="Calibri"/>
          <w:noProof/>
          <w:color w:val="4C4747"/>
          <w:lang w:val="es-DO"/>
        </w:rPr>
      </w:pPr>
      <w:r w:rsidRPr="00066093">
        <w:rPr>
          <w:rFonts w:eastAsia="Calibri"/>
          <w:noProof/>
          <w:color w:val="4C4747"/>
          <w:lang w:val="es-DO"/>
        </w:rPr>
        <w:t>En materia de coordinación gubernamental, el Ministerio fortaleció de forma considerable las capacidades de monitoreo y seguimiento de proyectos estratégicos. Se capacitó a más de 50 colaboradores en metodologías de Unidades de Entrega, en alianza con el Banco Interamericano de Desarrollo, y se relanzó la plataforma GestiónRD, que actualmente integra más de 3,500 proyectos a nivel nacional. Además, se dio continuidad al programa “Gobierno en las Provincias”, a través del cual funcionarios y titulares visitaron todas las provincias del país para identificar necesidades, dar seguimiento a iniciativas en curso y promover espacios de escucha activa con la ciudadanía.</w:t>
      </w:r>
      <w:r w:rsidR="00A84F63">
        <w:rPr>
          <w:rFonts w:eastAsia="Calibri"/>
          <w:noProof/>
          <w:color w:val="4C4747"/>
          <w:lang w:val="es-DO"/>
        </w:rPr>
        <w:t xml:space="preserve"> </w:t>
      </w:r>
      <w:r w:rsidRPr="00066093">
        <w:rPr>
          <w:rFonts w:eastAsia="Calibri"/>
          <w:noProof/>
          <w:color w:val="4C4747"/>
          <w:lang w:val="es-DO"/>
        </w:rPr>
        <w:t>Como órgano articulador del Sistema Nacional para la Soberanía y Seguridad Alimentaria y Nutricional (SETESSAN), el MINPRE acompañó los procesos de planificación territorial, fortaleció los mecanismos de monitoreo y mejoró la coordinación entre instituciones del sistema.</w:t>
      </w:r>
    </w:p>
    <w:p w14:paraId="0847CFDC" w14:textId="77777777" w:rsidR="00066093" w:rsidRPr="00066093" w:rsidRDefault="00066093" w:rsidP="00886F32">
      <w:pPr>
        <w:spacing w:after="0" w:line="360" w:lineRule="auto"/>
        <w:ind w:left="720"/>
        <w:jc w:val="both"/>
        <w:rPr>
          <w:rFonts w:eastAsia="Calibri"/>
          <w:noProof/>
          <w:color w:val="4C4747"/>
          <w:lang w:val="es-DO"/>
        </w:rPr>
      </w:pPr>
    </w:p>
    <w:p w14:paraId="338BF9B6" w14:textId="77777777" w:rsidR="001F3AA7" w:rsidRDefault="008F6ECE" w:rsidP="007B6BCF">
      <w:pPr>
        <w:spacing w:after="0" w:line="360" w:lineRule="auto"/>
        <w:ind w:left="720"/>
        <w:jc w:val="both"/>
        <w:rPr>
          <w:rFonts w:eastAsia="Calibri"/>
          <w:noProof/>
          <w:color w:val="4C4747"/>
          <w:lang w:val="es-DO"/>
        </w:rPr>
      </w:pPr>
      <w:r>
        <w:rPr>
          <w:rFonts w:eastAsia="Calibri"/>
          <w:noProof/>
          <w:color w:val="4C4747"/>
          <w:lang w:val="es-DO"/>
        </w:rPr>
        <w:t>El 21 de julio del año en cuestión</w:t>
      </w:r>
      <w:r w:rsidR="00F92FC3">
        <w:rPr>
          <w:rFonts w:eastAsia="Calibri"/>
          <w:noProof/>
          <w:color w:val="4C4747"/>
          <w:lang w:val="es-DO"/>
        </w:rPr>
        <w:t xml:space="preserve"> se promulg</w:t>
      </w:r>
      <w:r>
        <w:rPr>
          <w:rFonts w:eastAsia="Calibri"/>
          <w:noProof/>
          <w:color w:val="4C4747"/>
          <w:lang w:val="es-DO"/>
        </w:rPr>
        <w:t>ó</w:t>
      </w:r>
      <w:r w:rsidR="00F92FC3">
        <w:rPr>
          <w:rFonts w:eastAsia="Calibri"/>
          <w:noProof/>
          <w:color w:val="4C4747"/>
          <w:lang w:val="es-DO"/>
        </w:rPr>
        <w:t xml:space="preserve"> la Ley 45-25 que dispone la fusión del Ministerio de Hacienda y el Ministerio de Economía, Planificación y Desarrollo</w:t>
      </w:r>
      <w:r w:rsidR="000970A9">
        <w:rPr>
          <w:rFonts w:eastAsia="Calibri"/>
          <w:noProof/>
          <w:color w:val="4C4747"/>
          <w:lang w:val="es-DO"/>
        </w:rPr>
        <w:t xml:space="preserve">, en la cual en </w:t>
      </w:r>
      <w:r w:rsidR="00BE53FA">
        <w:rPr>
          <w:rFonts w:eastAsia="Calibri"/>
          <w:noProof/>
          <w:color w:val="4C4747"/>
          <w:lang w:val="es-DO"/>
        </w:rPr>
        <w:t>su</w:t>
      </w:r>
      <w:r w:rsidR="000970A9">
        <w:rPr>
          <w:rFonts w:eastAsia="Calibri"/>
          <w:noProof/>
          <w:color w:val="4C4747"/>
          <w:lang w:val="es-DO"/>
        </w:rPr>
        <w:t xml:space="preserve"> artículo </w:t>
      </w:r>
      <w:r w:rsidR="00BE53FA">
        <w:rPr>
          <w:rFonts w:eastAsia="Calibri"/>
          <w:noProof/>
          <w:color w:val="4C4747"/>
          <w:lang w:val="es-DO"/>
        </w:rPr>
        <w:t xml:space="preserve">4 </w:t>
      </w:r>
      <w:r w:rsidR="00975969">
        <w:rPr>
          <w:rFonts w:eastAsia="Calibri"/>
          <w:noProof/>
          <w:color w:val="4C4747"/>
          <w:lang w:val="es-DO"/>
        </w:rPr>
        <w:t>t</w:t>
      </w:r>
      <w:r w:rsidR="00BE53FA">
        <w:rPr>
          <w:rFonts w:eastAsia="Calibri"/>
          <w:noProof/>
          <w:color w:val="4C4747"/>
          <w:lang w:val="es-DO"/>
        </w:rPr>
        <w:t>ranf</w:t>
      </w:r>
      <w:r w:rsidR="00975969">
        <w:rPr>
          <w:rFonts w:eastAsia="Calibri"/>
          <w:noProof/>
          <w:color w:val="4C4747"/>
          <w:lang w:val="es-DO"/>
        </w:rPr>
        <w:t>iere</w:t>
      </w:r>
      <w:r w:rsidR="008931CC">
        <w:rPr>
          <w:rFonts w:eastAsia="Calibri"/>
          <w:noProof/>
          <w:color w:val="4C4747"/>
          <w:lang w:val="es-DO"/>
        </w:rPr>
        <w:t xml:space="preserve"> al Ministerio de la Presidencia, </w:t>
      </w:r>
      <w:r w:rsidR="00BE53FA">
        <w:rPr>
          <w:rFonts w:eastAsia="Calibri"/>
          <w:noProof/>
          <w:color w:val="4C4747"/>
          <w:lang w:val="es-DO"/>
        </w:rPr>
        <w:t xml:space="preserve">las atribuciones </w:t>
      </w:r>
      <w:r w:rsidR="00BE53FA">
        <w:rPr>
          <w:rFonts w:eastAsia="Calibri"/>
          <w:noProof/>
          <w:color w:val="4C4747"/>
          <w:lang w:val="es-DO"/>
        </w:rPr>
        <w:lastRenderedPageBreak/>
        <w:t>y competencias que en materia de cooperación internacional, ordenamiento territorial y gestión de Asociaciones sin Fines de Lucro</w:t>
      </w:r>
      <w:r w:rsidR="008931CC">
        <w:rPr>
          <w:rFonts w:eastAsia="Calibri"/>
          <w:noProof/>
          <w:color w:val="4C4747"/>
          <w:lang w:val="es-DO"/>
        </w:rPr>
        <w:t>.</w:t>
      </w:r>
      <w:r w:rsidR="00141F0D">
        <w:rPr>
          <w:rFonts w:eastAsia="Calibri"/>
          <w:noProof/>
          <w:color w:val="4C4747"/>
          <w:lang w:val="es-DO"/>
        </w:rPr>
        <w:t xml:space="preserve"> </w:t>
      </w:r>
    </w:p>
    <w:p w14:paraId="7FA7FFE3" w14:textId="77777777" w:rsidR="001F3AA7" w:rsidRDefault="001F3AA7" w:rsidP="007B6BCF">
      <w:pPr>
        <w:spacing w:after="0" w:line="360" w:lineRule="auto"/>
        <w:ind w:left="720"/>
        <w:jc w:val="both"/>
        <w:rPr>
          <w:rFonts w:eastAsia="Calibri"/>
          <w:noProof/>
          <w:color w:val="4C4747"/>
          <w:lang w:val="es-DO"/>
        </w:rPr>
      </w:pPr>
    </w:p>
    <w:p w14:paraId="5728F3E0" w14:textId="77777777" w:rsidR="001F3AA7" w:rsidRPr="001F3AA7"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A través del fortalecimiento y la optimización de la cooperación internacional del país, alineando los recursos y apoyos de socios bilaterales y multilaterales con las prioridades nacionales de desarrollo, se logró movilizar cooperación técnica y financiera, mejorar la coordinación interinstitucional y asegurar un mayor impacto de los proyectos de cooperación en beneficio de la ciudadanía. 19 iniciativas de cooperación internacional fueron registradas, evaluadas y avaladas beneficiando a 16 instituciones públicas y gobiernos locales, acumulando un presupuesto total de RD$561.1 millones en 11 temáticas de desarrollo, salud, empleo, agua y saneamiento, protección social y sector agropecuario. Brindamos acompañamiento técnico financiero a más de 50 proyectos ejecutados con financiamiento de cooperación internacional no reembolsable. Se gestionaron 122 iniciativas estratégicas, dirigidas a fortalecer sectores clave como Fortalecimiento institucional, Ciencia, tecnología, comunicación e innovación, Género, Migración, Arte y cultura y otras. Estas negociaciones representan un presupuesto estimado en RD$20,511.6 millones, reflejando el compromiso del país con el desarrollo sostenible y la solidaridad regional.</w:t>
      </w:r>
    </w:p>
    <w:p w14:paraId="5920CE76" w14:textId="77777777" w:rsidR="001F3AA7" w:rsidRPr="001F3AA7" w:rsidRDefault="001F3AA7" w:rsidP="001F3AA7">
      <w:pPr>
        <w:spacing w:after="0" w:line="360" w:lineRule="auto"/>
        <w:ind w:left="720"/>
        <w:jc w:val="both"/>
        <w:rPr>
          <w:rFonts w:eastAsia="Calibri"/>
          <w:noProof/>
          <w:color w:val="4C4747"/>
          <w:lang w:val="es-DO"/>
        </w:rPr>
      </w:pPr>
    </w:p>
    <w:p w14:paraId="6B59B6B3" w14:textId="63CE05D6" w:rsidR="007B6BCF"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 xml:space="preserve">Gracias a un diálogo activo con los socios y organismos internacionales, se aprobaron 26 intervenciones valoradas en RD$640.4 millones, en 14 temáticas diferentes, resaltando Comercio, Sector agropecuario, Agua y saneamiento, </w:t>
      </w:r>
      <w:r w:rsidRPr="001F3AA7">
        <w:rPr>
          <w:rFonts w:eastAsia="Calibri"/>
          <w:noProof/>
          <w:color w:val="4C4747"/>
          <w:lang w:val="es-DO"/>
        </w:rPr>
        <w:lastRenderedPageBreak/>
        <w:t>Medioambiente y cambio climático y Fortalecimiento institucional.</w:t>
      </w:r>
    </w:p>
    <w:p w14:paraId="71C2CB1D" w14:textId="77777777" w:rsidR="001F3AA7" w:rsidRDefault="001F3AA7" w:rsidP="001F3AA7">
      <w:pPr>
        <w:spacing w:after="0" w:line="360" w:lineRule="auto"/>
        <w:ind w:left="720"/>
        <w:jc w:val="both"/>
        <w:rPr>
          <w:rFonts w:eastAsia="Calibri"/>
          <w:noProof/>
          <w:color w:val="4C4747"/>
          <w:lang w:val="es-DO"/>
        </w:rPr>
      </w:pPr>
    </w:p>
    <w:p w14:paraId="6B7259EC" w14:textId="77777777" w:rsidR="001F3AA7" w:rsidRPr="001F3AA7"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Se impulsó a una planificación territorial más organizada y sostenible, fortaleciendo la articulación entre el Gobierno central y los gobiernos locales, promoviendo instrumentos de ordenamiento y uso del suelo, y sentando bases para un desarrollo territorial más equilibrado, orientado a reducir brechas, prevenir riesgos y mejorar la calidad de vida de las comunidades. Asistimos técnicamente a 13 territorios priorizados en la elaboración de sus instrumentos de planificación, adaptando las intervenciones a sus vocaciones específicas. Evaluamos el desempeño a través de los nuevos indicadores del SISMAP Gestión Pública, logrando que 36 instituciones vincularan las demandas ciudadanas en sus Planes Operativos Anuales (POA). Elaboramos el anteproyecto de ley del Plan Nacional de Ordenamiento Territorial PNOT, integrando los lineamientos de gestión de riesgo y adaptación al cambio climático, asegurando una planificación informada ante amenazas que beneficiará al 100% de la población dominicana mediante un ordenamiento equitativo y sostenible.</w:t>
      </w:r>
    </w:p>
    <w:p w14:paraId="1CF093D8" w14:textId="77777777" w:rsidR="001F3AA7" w:rsidRPr="001F3AA7" w:rsidRDefault="001F3AA7" w:rsidP="001F3AA7">
      <w:pPr>
        <w:spacing w:after="0" w:line="360" w:lineRule="auto"/>
        <w:ind w:left="720"/>
        <w:jc w:val="both"/>
        <w:rPr>
          <w:rFonts w:eastAsia="Calibri"/>
          <w:noProof/>
          <w:color w:val="4C4747"/>
          <w:lang w:val="es-DO"/>
        </w:rPr>
      </w:pPr>
    </w:p>
    <w:p w14:paraId="4D1D241C" w14:textId="2FD692B0" w:rsidR="00391C60"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También desarrollamos las Jornadas de Consulta Ciudadana en todas las provincias del país, a través de diálogos participativos, priorizamos las demandas de infraestructura y servicios para su inclusión transparente en el Presupuesto General del Estado 2026, logrando que 548 proyectos de inversión pública fueran vinculados a las demandas territoriales.</w:t>
      </w:r>
    </w:p>
    <w:p w14:paraId="55C63623" w14:textId="77777777" w:rsidR="001F3AA7" w:rsidRDefault="001F3AA7" w:rsidP="001F3AA7">
      <w:pPr>
        <w:spacing w:after="0" w:line="360" w:lineRule="auto"/>
        <w:ind w:left="720"/>
        <w:jc w:val="both"/>
        <w:rPr>
          <w:rFonts w:eastAsia="Calibri"/>
          <w:noProof/>
          <w:color w:val="4C4747"/>
          <w:lang w:val="es-DO"/>
        </w:rPr>
      </w:pPr>
    </w:p>
    <w:p w14:paraId="73476646" w14:textId="1114E8D5" w:rsidR="001F3AA7" w:rsidRPr="001F3AA7"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lastRenderedPageBreak/>
        <w:t>Impulsamos la implementación de la Política Transversal de Cohesión Territorial (PTCT)</w:t>
      </w:r>
      <w:r>
        <w:rPr>
          <w:rFonts w:eastAsia="Calibri"/>
          <w:noProof/>
          <w:color w:val="4C4747"/>
          <w:lang w:val="es-DO"/>
        </w:rPr>
        <w:t xml:space="preserve"> </w:t>
      </w:r>
      <w:r w:rsidRPr="001F3AA7">
        <w:rPr>
          <w:rFonts w:eastAsia="Calibri"/>
          <w:noProof/>
          <w:color w:val="4C4747"/>
          <w:lang w:val="es-DO"/>
        </w:rPr>
        <w:t xml:space="preserve">en 45 instituciones públicas que ejecutan el 75% del presupuesto nacional, cumpliendo con el mandato del Decreto 134-14. Esta priorización buscó potenciar una planificación estratégica regionalizada y reducir las brechas de desarrollo mediante la dotación coordinada de infraestructura y servicios. </w:t>
      </w:r>
    </w:p>
    <w:p w14:paraId="152B9108" w14:textId="77777777" w:rsidR="001F3AA7" w:rsidRPr="001F3AA7" w:rsidRDefault="001F3AA7" w:rsidP="001F3AA7">
      <w:pPr>
        <w:spacing w:after="0" w:line="360" w:lineRule="auto"/>
        <w:ind w:left="720"/>
        <w:jc w:val="both"/>
        <w:rPr>
          <w:rFonts w:eastAsia="Calibri"/>
          <w:noProof/>
          <w:color w:val="4C4747"/>
          <w:lang w:val="es-DO"/>
        </w:rPr>
      </w:pPr>
    </w:p>
    <w:p w14:paraId="43678E49" w14:textId="77777777" w:rsidR="001F3AA7" w:rsidRPr="001F3AA7"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 xml:space="preserve">Con el fortalecimiento del vínculo entre el Estado y la sociedad civil, mediante la regulación, acompañamiento y apoyo institucional a las Asociaciones Sin Fines de Lucro, recomendando a 704 asociaciones sin fines de lucro para su inclusión en el Presupuesto General del Estado de 2026, las cuales desarrollan proyectos alineados con las políticas públicas priorizadas; se ejecutaron más de 30 capacitaciones orientadas al fortalecimiento de los procesos de las ASFL beneficiando esto a más de 1,000 representantes. </w:t>
      </w:r>
    </w:p>
    <w:p w14:paraId="76CA7111" w14:textId="77777777" w:rsidR="001F3AA7" w:rsidRPr="001F3AA7" w:rsidRDefault="001F3AA7" w:rsidP="001F3AA7">
      <w:pPr>
        <w:spacing w:after="0" w:line="360" w:lineRule="auto"/>
        <w:ind w:left="720"/>
        <w:jc w:val="both"/>
        <w:rPr>
          <w:rFonts w:eastAsia="Calibri"/>
          <w:noProof/>
          <w:color w:val="4C4747"/>
          <w:lang w:val="es-DO"/>
        </w:rPr>
      </w:pPr>
    </w:p>
    <w:p w14:paraId="4F607E41" w14:textId="77777777" w:rsidR="001F3AA7" w:rsidRPr="001F3AA7"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Se inspeccionó un total de 349 ASFL en todo el territorio nacional, 88 de seguimiento o rutina, 226 a organizaciones que solicitan su registro ante el CASFL, 22 para la emisión de certificados de registro, 2 para validación de mercancía importada exonerada de impuestos y 11 para la verificación de irregularidades.</w:t>
      </w:r>
    </w:p>
    <w:p w14:paraId="43D85ECD" w14:textId="77777777" w:rsidR="001F3AA7" w:rsidRPr="001F3AA7" w:rsidRDefault="001F3AA7" w:rsidP="001F3AA7">
      <w:pPr>
        <w:spacing w:after="0" w:line="360" w:lineRule="auto"/>
        <w:ind w:left="720"/>
        <w:jc w:val="both"/>
        <w:rPr>
          <w:rFonts w:eastAsia="Calibri"/>
          <w:noProof/>
          <w:color w:val="4C4747"/>
          <w:lang w:val="es-DO"/>
        </w:rPr>
      </w:pPr>
    </w:p>
    <w:p w14:paraId="5EB9BA7C" w14:textId="77777777" w:rsidR="001F3AA7" w:rsidRPr="001F3AA7"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 xml:space="preserve">Desde el punto de vista administrativo y financiero, el Ministerio mantuvo un desempeño ejemplar. La ejecución presupuestaria alcanzó un 91%, con reportes publicados de manera sistemática como parte del compromiso con la transparencia. La institución gestionó 213 solicitudes de información </w:t>
      </w:r>
      <w:r w:rsidRPr="001F3AA7">
        <w:rPr>
          <w:rFonts w:eastAsia="Calibri"/>
          <w:noProof/>
          <w:color w:val="4C4747"/>
          <w:lang w:val="es-DO"/>
        </w:rPr>
        <w:lastRenderedPageBreak/>
        <w:t>conforme a la Ley 200-04 y procesó 114 casos en el sistema de quejas y reclamos. En las evaluaciones oficiales, el Ministerio obtuvo una puntuación de 90% en el Índice de Desempeño Institucional, reafirmando el enfoque institucional hacia la apertura, el acceso ciudadano y la rendición de cuentas.</w:t>
      </w:r>
    </w:p>
    <w:p w14:paraId="163402FD" w14:textId="77777777" w:rsidR="001F3AA7" w:rsidRPr="001F3AA7" w:rsidRDefault="001F3AA7" w:rsidP="001F3AA7">
      <w:pPr>
        <w:spacing w:after="0" w:line="360" w:lineRule="auto"/>
        <w:ind w:left="720"/>
        <w:jc w:val="both"/>
        <w:rPr>
          <w:rFonts w:eastAsia="Calibri"/>
          <w:noProof/>
          <w:color w:val="4C4747"/>
          <w:lang w:val="es-DO"/>
        </w:rPr>
      </w:pPr>
    </w:p>
    <w:p w14:paraId="4B584CFB" w14:textId="64635283" w:rsidR="004448B5" w:rsidRDefault="001F3AA7" w:rsidP="001F3AA7">
      <w:pPr>
        <w:spacing w:after="0" w:line="360" w:lineRule="auto"/>
        <w:ind w:left="720"/>
        <w:jc w:val="both"/>
        <w:rPr>
          <w:rFonts w:eastAsia="Calibri"/>
          <w:noProof/>
          <w:color w:val="4C4747"/>
          <w:lang w:val="es-DO"/>
        </w:rPr>
      </w:pPr>
      <w:r w:rsidRPr="001F3AA7">
        <w:rPr>
          <w:rFonts w:eastAsia="Calibri"/>
          <w:noProof/>
          <w:color w:val="4C4747"/>
          <w:lang w:val="es-DO"/>
        </w:rPr>
        <w:t>Los avances logrados durante el 2025 consolidan al Ministerio de la Presidencia como una institución robusta, articuladora y orientada a la excelencia.</w:t>
      </w:r>
    </w:p>
    <w:p w14:paraId="70DF5D17" w14:textId="44031F3C" w:rsidR="001F3AA7" w:rsidRDefault="001F3AA7" w:rsidP="004448B5">
      <w:pPr>
        <w:spacing w:after="0" w:line="360" w:lineRule="auto"/>
        <w:ind w:left="720"/>
        <w:jc w:val="both"/>
        <w:rPr>
          <w:rFonts w:eastAsia="Calibri"/>
          <w:noProof/>
          <w:color w:val="4C4747"/>
          <w:lang w:val="es-DO"/>
        </w:rPr>
      </w:pPr>
    </w:p>
    <w:p w14:paraId="46D21F95" w14:textId="4F1CC62A" w:rsidR="001F3AA7" w:rsidRDefault="001F3AA7" w:rsidP="004448B5">
      <w:pPr>
        <w:spacing w:after="0" w:line="360" w:lineRule="auto"/>
        <w:ind w:left="720"/>
        <w:jc w:val="both"/>
        <w:rPr>
          <w:rFonts w:eastAsia="Calibri"/>
          <w:noProof/>
          <w:color w:val="4C4747"/>
          <w:lang w:val="es-DO"/>
        </w:rPr>
      </w:pPr>
    </w:p>
    <w:p w14:paraId="1DEB2921" w14:textId="6A34DD1D" w:rsidR="001F3AA7" w:rsidRDefault="001F3AA7" w:rsidP="004448B5">
      <w:pPr>
        <w:spacing w:after="0" w:line="360" w:lineRule="auto"/>
        <w:ind w:left="720"/>
        <w:jc w:val="both"/>
        <w:rPr>
          <w:rFonts w:eastAsia="Calibri"/>
          <w:noProof/>
          <w:color w:val="4C4747"/>
          <w:lang w:val="es-DO"/>
        </w:rPr>
      </w:pPr>
    </w:p>
    <w:p w14:paraId="0913820C" w14:textId="4C70B809" w:rsidR="001F3AA7" w:rsidRDefault="001F3AA7" w:rsidP="004448B5">
      <w:pPr>
        <w:spacing w:after="0" w:line="360" w:lineRule="auto"/>
        <w:ind w:left="720"/>
        <w:jc w:val="both"/>
        <w:rPr>
          <w:rFonts w:eastAsia="Calibri"/>
          <w:noProof/>
          <w:color w:val="4C4747"/>
          <w:lang w:val="es-DO"/>
        </w:rPr>
      </w:pPr>
    </w:p>
    <w:p w14:paraId="1B511B85" w14:textId="11998686" w:rsidR="001F3AA7" w:rsidRDefault="001F3AA7" w:rsidP="004448B5">
      <w:pPr>
        <w:spacing w:after="0" w:line="360" w:lineRule="auto"/>
        <w:ind w:left="720"/>
        <w:jc w:val="both"/>
        <w:rPr>
          <w:rFonts w:eastAsia="Calibri"/>
          <w:noProof/>
          <w:color w:val="4C4747"/>
          <w:lang w:val="es-DO"/>
        </w:rPr>
      </w:pPr>
    </w:p>
    <w:p w14:paraId="49CA87EA" w14:textId="79CCEF8D" w:rsidR="001F3AA7" w:rsidRDefault="001F3AA7" w:rsidP="004448B5">
      <w:pPr>
        <w:spacing w:after="0" w:line="360" w:lineRule="auto"/>
        <w:ind w:left="720"/>
        <w:jc w:val="both"/>
        <w:rPr>
          <w:rFonts w:eastAsia="Calibri"/>
          <w:noProof/>
          <w:color w:val="4C4747"/>
          <w:lang w:val="es-DO"/>
        </w:rPr>
      </w:pPr>
    </w:p>
    <w:p w14:paraId="460EE25E" w14:textId="440F0A96" w:rsidR="001F3AA7" w:rsidRDefault="001F3AA7" w:rsidP="004448B5">
      <w:pPr>
        <w:spacing w:after="0" w:line="360" w:lineRule="auto"/>
        <w:ind w:left="720"/>
        <w:jc w:val="both"/>
        <w:rPr>
          <w:rFonts w:eastAsia="Calibri"/>
          <w:noProof/>
          <w:color w:val="4C4747"/>
          <w:lang w:val="es-DO"/>
        </w:rPr>
      </w:pPr>
    </w:p>
    <w:p w14:paraId="1015FF8D" w14:textId="36F97CA5" w:rsidR="001F3AA7" w:rsidRDefault="001F3AA7" w:rsidP="004448B5">
      <w:pPr>
        <w:spacing w:after="0" w:line="360" w:lineRule="auto"/>
        <w:ind w:left="720"/>
        <w:jc w:val="both"/>
        <w:rPr>
          <w:rFonts w:eastAsia="Calibri"/>
          <w:noProof/>
          <w:color w:val="4C4747"/>
          <w:lang w:val="es-DO"/>
        </w:rPr>
      </w:pPr>
    </w:p>
    <w:p w14:paraId="1C2F972B" w14:textId="68C6FC33" w:rsidR="001F3AA7" w:rsidRDefault="001F3AA7" w:rsidP="004448B5">
      <w:pPr>
        <w:spacing w:after="0" w:line="360" w:lineRule="auto"/>
        <w:ind w:left="720"/>
        <w:jc w:val="both"/>
        <w:rPr>
          <w:rFonts w:eastAsia="Calibri"/>
          <w:noProof/>
          <w:color w:val="4C4747"/>
          <w:lang w:val="es-DO"/>
        </w:rPr>
      </w:pPr>
    </w:p>
    <w:p w14:paraId="34C6177B" w14:textId="2E7F9331" w:rsidR="001F3AA7" w:rsidRDefault="001F3AA7" w:rsidP="004448B5">
      <w:pPr>
        <w:spacing w:after="0" w:line="360" w:lineRule="auto"/>
        <w:ind w:left="720"/>
        <w:jc w:val="both"/>
        <w:rPr>
          <w:rFonts w:eastAsia="Calibri"/>
          <w:noProof/>
          <w:color w:val="4C4747"/>
          <w:lang w:val="es-DO"/>
        </w:rPr>
      </w:pPr>
    </w:p>
    <w:p w14:paraId="6F3E798B" w14:textId="4AC9B2EB" w:rsidR="001F3AA7" w:rsidRDefault="001F3AA7" w:rsidP="004448B5">
      <w:pPr>
        <w:spacing w:after="0" w:line="360" w:lineRule="auto"/>
        <w:ind w:left="720"/>
        <w:jc w:val="both"/>
        <w:rPr>
          <w:rFonts w:eastAsia="Calibri"/>
          <w:noProof/>
          <w:color w:val="4C4747"/>
          <w:lang w:val="es-DO"/>
        </w:rPr>
      </w:pPr>
    </w:p>
    <w:p w14:paraId="36E1D117" w14:textId="101F3287" w:rsidR="001F3AA7" w:rsidRDefault="001F3AA7" w:rsidP="004448B5">
      <w:pPr>
        <w:spacing w:after="0" w:line="360" w:lineRule="auto"/>
        <w:ind w:left="720"/>
        <w:jc w:val="both"/>
        <w:rPr>
          <w:rFonts w:eastAsia="Calibri"/>
          <w:noProof/>
          <w:color w:val="4C4747"/>
          <w:lang w:val="es-DO"/>
        </w:rPr>
      </w:pPr>
    </w:p>
    <w:p w14:paraId="17E23059" w14:textId="5B658EDC" w:rsidR="001F3AA7" w:rsidRDefault="001F3AA7" w:rsidP="004448B5">
      <w:pPr>
        <w:spacing w:after="0" w:line="360" w:lineRule="auto"/>
        <w:ind w:left="720"/>
        <w:jc w:val="both"/>
        <w:rPr>
          <w:rFonts w:eastAsia="Calibri"/>
          <w:noProof/>
          <w:color w:val="4C4747"/>
          <w:lang w:val="es-DO"/>
        </w:rPr>
      </w:pPr>
    </w:p>
    <w:p w14:paraId="62268787" w14:textId="7B2A3EAD" w:rsidR="001F3AA7" w:rsidRDefault="001F3AA7" w:rsidP="004448B5">
      <w:pPr>
        <w:spacing w:after="0" w:line="360" w:lineRule="auto"/>
        <w:ind w:left="720"/>
        <w:jc w:val="both"/>
        <w:rPr>
          <w:rFonts w:eastAsia="Calibri"/>
          <w:noProof/>
          <w:color w:val="4C4747"/>
          <w:lang w:val="es-DO"/>
        </w:rPr>
      </w:pPr>
    </w:p>
    <w:p w14:paraId="1EB35D9F" w14:textId="621B7074" w:rsidR="001F3AA7" w:rsidRDefault="001F3AA7" w:rsidP="004448B5">
      <w:pPr>
        <w:spacing w:after="0" w:line="360" w:lineRule="auto"/>
        <w:ind w:left="720"/>
        <w:jc w:val="both"/>
        <w:rPr>
          <w:rFonts w:eastAsia="Calibri"/>
          <w:noProof/>
          <w:color w:val="4C4747"/>
          <w:lang w:val="es-DO"/>
        </w:rPr>
      </w:pPr>
    </w:p>
    <w:p w14:paraId="51B60E39" w14:textId="77777777" w:rsidR="001F3AA7" w:rsidRDefault="001F3AA7" w:rsidP="004448B5">
      <w:pPr>
        <w:spacing w:after="0" w:line="360" w:lineRule="auto"/>
        <w:ind w:left="720"/>
        <w:jc w:val="both"/>
        <w:rPr>
          <w:rFonts w:eastAsia="Calibri"/>
          <w:noProof/>
          <w:color w:val="4C4747"/>
          <w:lang w:val="es-DO"/>
        </w:rPr>
      </w:pPr>
    </w:p>
    <w:p w14:paraId="06454B99" w14:textId="1A9E0CDA" w:rsidR="001F3AA7" w:rsidRDefault="001F3AA7" w:rsidP="004448B5">
      <w:pPr>
        <w:spacing w:after="0" w:line="360" w:lineRule="auto"/>
        <w:ind w:left="720"/>
        <w:jc w:val="both"/>
        <w:rPr>
          <w:rFonts w:eastAsia="Calibri"/>
          <w:noProof/>
          <w:color w:val="4C4747"/>
          <w:lang w:val="es-DO"/>
        </w:rPr>
      </w:pPr>
    </w:p>
    <w:p w14:paraId="3C5FC7B6" w14:textId="7784C43D" w:rsidR="001F3AA7" w:rsidRDefault="001F3AA7" w:rsidP="004448B5">
      <w:pPr>
        <w:spacing w:after="0" w:line="360" w:lineRule="auto"/>
        <w:ind w:left="720"/>
        <w:jc w:val="both"/>
        <w:rPr>
          <w:rFonts w:eastAsia="Calibri"/>
          <w:noProof/>
          <w:color w:val="4C4747"/>
          <w:lang w:val="es-DO"/>
        </w:rPr>
      </w:pPr>
    </w:p>
    <w:p w14:paraId="3B694B7A" w14:textId="33EC246F" w:rsidR="001F3AA7" w:rsidRDefault="001F3AA7" w:rsidP="004448B5">
      <w:pPr>
        <w:spacing w:after="0" w:line="360" w:lineRule="auto"/>
        <w:ind w:left="720"/>
        <w:jc w:val="both"/>
        <w:rPr>
          <w:rFonts w:eastAsia="Calibri"/>
          <w:noProof/>
          <w:color w:val="4C4747"/>
          <w:lang w:val="es-DO"/>
        </w:rPr>
      </w:pPr>
    </w:p>
    <w:p w14:paraId="053E7A5D" w14:textId="5BE5B16A" w:rsidR="001F3AA7" w:rsidRDefault="001F3AA7" w:rsidP="004448B5">
      <w:pPr>
        <w:spacing w:after="0" w:line="360" w:lineRule="auto"/>
        <w:ind w:left="720"/>
        <w:jc w:val="both"/>
        <w:rPr>
          <w:rFonts w:eastAsia="Calibri"/>
          <w:noProof/>
          <w:color w:val="4C4747"/>
          <w:lang w:val="es-DO"/>
        </w:rPr>
      </w:pPr>
    </w:p>
    <w:p w14:paraId="15D4169D" w14:textId="77777777" w:rsidR="001F3AA7" w:rsidRDefault="001F3AA7" w:rsidP="004448B5">
      <w:pPr>
        <w:spacing w:after="0" w:line="360" w:lineRule="auto"/>
        <w:ind w:left="720"/>
        <w:jc w:val="both"/>
        <w:rPr>
          <w:rFonts w:eastAsia="Calibri"/>
          <w:noProof/>
          <w:color w:val="4C4747"/>
          <w:lang w:val="es-DO"/>
        </w:rPr>
      </w:pPr>
    </w:p>
    <w:p w14:paraId="6384D0D4" w14:textId="4519B54B" w:rsidR="00654164" w:rsidRPr="005654BB" w:rsidRDefault="00654164" w:rsidP="00886F32">
      <w:pPr>
        <w:pStyle w:val="Heading1"/>
        <w:numPr>
          <w:ilvl w:val="0"/>
          <w:numId w:val="95"/>
        </w:numPr>
        <w:spacing w:before="0"/>
        <w:ind w:left="720"/>
        <w:rPr>
          <w:color w:val="4C4747"/>
          <w:lang w:val="fr-FR"/>
        </w:rPr>
      </w:pPr>
      <w:bookmarkStart w:id="4" w:name="_Toc217382599"/>
      <w:r w:rsidRPr="005654BB">
        <w:rPr>
          <w:color w:val="4C4747"/>
          <w:lang w:val="fr-FR"/>
        </w:rPr>
        <w:lastRenderedPageBreak/>
        <w:t>INFORMACIÓN INSTITUCIONAL</w:t>
      </w:r>
      <w:bookmarkEnd w:id="4"/>
    </w:p>
    <w:p w14:paraId="794C2FD3" w14:textId="73C7B9AC" w:rsidR="00654164" w:rsidRPr="001F3AA7" w:rsidRDefault="00654164" w:rsidP="00886F32">
      <w:pPr>
        <w:spacing w:after="0" w:line="360" w:lineRule="auto"/>
        <w:ind w:left="720"/>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16256"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372A4" id="Straight Connector 8" o:spid="_x0000_s1026" style="position:absolute;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" strokecolor="#ee2a24" strokeweight="2.25pt">
                <v:stroke joinstyle="miter"/>
                <w10:wrap anchorx="margin"/>
              </v:line>
            </w:pict>
          </mc:Fallback>
        </mc:AlternateContent>
      </w:r>
    </w:p>
    <w:p w14:paraId="7AD3B78C" w14:textId="06EAE96D" w:rsidR="00654164" w:rsidRPr="005654BB" w:rsidRDefault="00654164" w:rsidP="00886F32">
      <w:pPr>
        <w:spacing w:after="0" w:line="360" w:lineRule="auto"/>
        <w:ind w:left="720"/>
        <w:jc w:val="center"/>
        <w:rPr>
          <w:rFonts w:eastAsia="Calibri"/>
          <w:color w:val="4C4747"/>
          <w:szCs w:val="36"/>
          <w:lang w:val="fr-FR"/>
        </w:rPr>
      </w:pPr>
      <w:r w:rsidRPr="005654BB">
        <w:rPr>
          <w:rFonts w:eastAsia="Calibri"/>
          <w:color w:val="4C4747"/>
          <w:szCs w:val="36"/>
          <w:lang w:val="fr-FR"/>
        </w:rPr>
        <w:t xml:space="preserve">Memoria </w:t>
      </w:r>
      <w:r w:rsidR="00D837AC" w:rsidRPr="005654BB">
        <w:rPr>
          <w:rFonts w:eastAsia="Calibri"/>
          <w:color w:val="4C4747"/>
          <w:szCs w:val="36"/>
          <w:lang w:val="fr-FR"/>
        </w:rPr>
        <w:t>I</w:t>
      </w:r>
      <w:r w:rsidRPr="005654BB">
        <w:rPr>
          <w:rFonts w:eastAsia="Calibri"/>
          <w:color w:val="4C4747"/>
          <w:szCs w:val="36"/>
          <w:lang w:val="fr-FR"/>
        </w:rPr>
        <w:t xml:space="preserve">nstitucional </w:t>
      </w:r>
      <w:r w:rsidR="000025D4" w:rsidRPr="005654BB">
        <w:rPr>
          <w:rFonts w:eastAsia="Calibri"/>
          <w:color w:val="4C4747"/>
          <w:szCs w:val="36"/>
          <w:lang w:val="fr-FR"/>
        </w:rPr>
        <w:t>20</w:t>
      </w:r>
      <w:r w:rsidR="00A5647B" w:rsidRPr="005654BB">
        <w:rPr>
          <w:rFonts w:eastAsia="Calibri"/>
          <w:color w:val="4C4747"/>
          <w:szCs w:val="36"/>
          <w:lang w:val="fr-FR"/>
        </w:rPr>
        <w:t>25</w:t>
      </w:r>
    </w:p>
    <w:p w14:paraId="367ED8A1" w14:textId="77777777" w:rsidR="00BA2267" w:rsidRPr="005654BB" w:rsidRDefault="00BA2267" w:rsidP="00886F32">
      <w:pPr>
        <w:spacing w:after="0" w:line="360" w:lineRule="auto"/>
        <w:ind w:left="720"/>
        <w:rPr>
          <w:noProof/>
          <w:color w:val="4C4747"/>
          <w:lang w:val="fr-FR"/>
        </w:rPr>
      </w:pPr>
    </w:p>
    <w:p w14:paraId="35EB65F1" w14:textId="0190D79B" w:rsidR="007F1A93" w:rsidRPr="00800B79" w:rsidRDefault="007F1A93" w:rsidP="00886F32">
      <w:pPr>
        <w:pStyle w:val="ListParagraph"/>
        <w:numPr>
          <w:ilvl w:val="1"/>
          <w:numId w:val="95"/>
        </w:numPr>
        <w:spacing w:after="0" w:line="360" w:lineRule="auto"/>
        <w:ind w:left="720"/>
        <w:jc w:val="center"/>
        <w:outlineLvl w:val="1"/>
        <w:rPr>
          <w:b/>
          <w:bCs/>
        </w:rPr>
      </w:pPr>
      <w:bookmarkStart w:id="5" w:name="_Toc185843609"/>
      <w:r w:rsidRPr="00D07F65">
        <w:rPr>
          <w:b/>
          <w:bCs/>
        </w:rPr>
        <w:t xml:space="preserve"> </w:t>
      </w:r>
      <w:bookmarkStart w:id="6" w:name="_Toc217382600"/>
      <w:r w:rsidRPr="00800B79">
        <w:rPr>
          <w:rFonts w:eastAsia="Calibri"/>
          <w:b/>
          <w:bCs/>
          <w:noProof/>
          <w:color w:val="4C4747"/>
        </w:rPr>
        <w:t>Marco Filosófico Institucional</w:t>
      </w:r>
      <w:bookmarkEnd w:id="5"/>
      <w:bookmarkEnd w:id="6"/>
    </w:p>
    <w:p w14:paraId="22B2AA7D" w14:textId="77777777" w:rsidR="007F1A93" w:rsidRPr="00800B79" w:rsidRDefault="007F1A93" w:rsidP="00886F32">
      <w:pPr>
        <w:pStyle w:val="Heading3"/>
        <w:numPr>
          <w:ilvl w:val="0"/>
          <w:numId w:val="3"/>
        </w:numPr>
        <w:spacing w:before="0" w:afterLines="20" w:after="48" w:line="360" w:lineRule="auto"/>
        <w:jc w:val="both"/>
        <w:rPr>
          <w:rFonts w:ascii="Times New Roman" w:eastAsia="Calibri" w:hAnsi="Times New Roman" w:cs="Times New Roman"/>
          <w:b/>
          <w:bCs/>
          <w:noProof/>
          <w:color w:val="4C4747"/>
          <w:lang w:val="es-DO"/>
        </w:rPr>
      </w:pPr>
      <w:bookmarkStart w:id="7" w:name="_Toc185843610"/>
      <w:bookmarkStart w:id="8" w:name="_Toc217382601"/>
      <w:r w:rsidRPr="00800B79">
        <w:rPr>
          <w:rFonts w:ascii="Times New Roman" w:eastAsia="Calibri" w:hAnsi="Times New Roman" w:cs="Times New Roman"/>
          <w:b/>
          <w:bCs/>
          <w:noProof/>
          <w:color w:val="4C4747"/>
          <w:lang w:val="es-DO"/>
        </w:rPr>
        <w:t>Misión</w:t>
      </w:r>
      <w:bookmarkEnd w:id="7"/>
      <w:bookmarkEnd w:id="8"/>
    </w:p>
    <w:p w14:paraId="3B435261"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“Auxiliar al Primer mandatario de la Nación en todos los asuntos que este le delegue, en el logro del programa de gobierno y la implementación de las políticas públicas priorizadas, mediante el ejercicio de la Secretaría Técnica del Consejo de Ministros y la coordinación con los distintos estamentos del Estado, para garantizar el ejercicio transparente, eficaz y eficiente de la Administración Pública, como fundamento del Estado social y democrático de derecho”.</w:t>
      </w:r>
    </w:p>
    <w:p w14:paraId="20BC2C55" w14:textId="77777777" w:rsidR="007F1A93" w:rsidRPr="007F1A93" w:rsidRDefault="007F1A93" w:rsidP="00886F32">
      <w:pPr>
        <w:spacing w:afterLines="20" w:after="48" w:line="360" w:lineRule="auto"/>
        <w:ind w:left="720"/>
        <w:jc w:val="both"/>
        <w:rPr>
          <w:rFonts w:eastAsia="Calibri"/>
          <w:noProof/>
          <w:lang w:val="es-DO"/>
        </w:rPr>
      </w:pPr>
    </w:p>
    <w:p w14:paraId="6DFD6B3A" w14:textId="77777777" w:rsidR="007F1A93" w:rsidRPr="00800B79" w:rsidRDefault="007F1A93" w:rsidP="00886F32">
      <w:pPr>
        <w:pStyle w:val="Heading3"/>
        <w:numPr>
          <w:ilvl w:val="0"/>
          <w:numId w:val="3"/>
        </w:numPr>
        <w:spacing w:before="0" w:afterLines="20" w:after="48" w:line="360" w:lineRule="auto"/>
        <w:jc w:val="both"/>
        <w:rPr>
          <w:rFonts w:ascii="Times New Roman" w:eastAsia="Calibri" w:hAnsi="Times New Roman" w:cs="Times New Roman"/>
          <w:b/>
          <w:bCs/>
          <w:noProof/>
          <w:color w:val="4C4747"/>
          <w:lang w:val="es-DO"/>
        </w:rPr>
      </w:pPr>
      <w:bookmarkStart w:id="9" w:name="_Toc185843611"/>
      <w:bookmarkStart w:id="10" w:name="_Toc217382602"/>
      <w:r w:rsidRPr="00800B79">
        <w:rPr>
          <w:rFonts w:ascii="Times New Roman" w:eastAsia="Calibri" w:hAnsi="Times New Roman" w:cs="Times New Roman"/>
          <w:b/>
          <w:bCs/>
          <w:noProof/>
          <w:color w:val="4C4747"/>
          <w:lang w:val="es-DO"/>
        </w:rPr>
        <w:t>Visión</w:t>
      </w:r>
      <w:bookmarkEnd w:id="9"/>
      <w:bookmarkEnd w:id="10"/>
    </w:p>
    <w:p w14:paraId="2E0792AC"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xml:space="preserve">“Ser referente nacional e internaciona l de gestión pública transparente, eficiente, eficaz, y moderna; con capacidad de coordinar y articular las acciones de las distintas entidades públicas para el cumplimiento de las metas, planes y compromisos del presidente de la República y el Gobierno Central”. </w:t>
      </w:r>
    </w:p>
    <w:p w14:paraId="73929B09" w14:textId="77777777" w:rsidR="007F1A93" w:rsidRPr="007F1A93" w:rsidRDefault="007F1A93" w:rsidP="00886F32">
      <w:pPr>
        <w:spacing w:afterLines="20" w:after="48" w:line="360" w:lineRule="auto"/>
        <w:ind w:left="720"/>
        <w:jc w:val="both"/>
        <w:rPr>
          <w:rFonts w:eastAsia="Calibri"/>
          <w:noProof/>
          <w:lang w:val="es-DO"/>
        </w:rPr>
      </w:pPr>
    </w:p>
    <w:p w14:paraId="5A529E35" w14:textId="77777777" w:rsidR="007F1A93" w:rsidRPr="00800B79" w:rsidRDefault="007F1A93" w:rsidP="00886F32">
      <w:pPr>
        <w:pStyle w:val="Heading3"/>
        <w:numPr>
          <w:ilvl w:val="0"/>
          <w:numId w:val="3"/>
        </w:numPr>
        <w:spacing w:before="0" w:afterLines="20" w:after="48" w:line="360" w:lineRule="auto"/>
        <w:jc w:val="both"/>
        <w:rPr>
          <w:rFonts w:ascii="Times New Roman" w:eastAsia="Calibri" w:hAnsi="Times New Roman" w:cs="Times New Roman"/>
          <w:b/>
          <w:bCs/>
          <w:noProof/>
          <w:color w:val="4C4747"/>
          <w:lang w:val="es-DO"/>
        </w:rPr>
      </w:pPr>
      <w:bookmarkStart w:id="11" w:name="_Toc185843612"/>
      <w:bookmarkStart w:id="12" w:name="_Toc217382603"/>
      <w:r w:rsidRPr="00800B79">
        <w:rPr>
          <w:rFonts w:ascii="Times New Roman" w:eastAsia="Calibri" w:hAnsi="Times New Roman" w:cs="Times New Roman"/>
          <w:b/>
          <w:bCs/>
          <w:noProof/>
          <w:color w:val="4C4747"/>
          <w:lang w:val="es-DO"/>
        </w:rPr>
        <w:t>Valores</w:t>
      </w:r>
      <w:bookmarkEnd w:id="11"/>
      <w:bookmarkEnd w:id="12"/>
    </w:p>
    <w:p w14:paraId="2E8C2D7F" w14:textId="77777777" w:rsidR="007F1A93" w:rsidRPr="00800B79" w:rsidRDefault="007F1A93" w:rsidP="00886F32">
      <w:pPr>
        <w:spacing w:afterLines="20" w:after="48" w:line="360" w:lineRule="auto"/>
        <w:ind w:left="720"/>
        <w:jc w:val="both"/>
        <w:rPr>
          <w:rFonts w:eastAsia="Calibri"/>
          <w:noProof/>
          <w:color w:val="4C4747"/>
          <w:lang w:val="es-DO"/>
        </w:rPr>
      </w:pPr>
      <w:r w:rsidRPr="007F1A93">
        <w:rPr>
          <w:rFonts w:eastAsia="Calibri"/>
          <w:noProof/>
          <w:lang w:val="es-DO"/>
        </w:rPr>
        <w:t xml:space="preserve">• </w:t>
      </w:r>
      <w:r w:rsidRPr="00800B79">
        <w:rPr>
          <w:rFonts w:eastAsia="Calibri"/>
          <w:noProof/>
          <w:color w:val="4C4747"/>
          <w:lang w:val="es-DO"/>
        </w:rPr>
        <w:t xml:space="preserve">Interés nacional </w:t>
      </w:r>
    </w:p>
    <w:p w14:paraId="52BA3D99"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Transparencia</w:t>
      </w:r>
    </w:p>
    <w:p w14:paraId="4DD9F5F7"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Liderazgo</w:t>
      </w:r>
    </w:p>
    <w:p w14:paraId="3DBDE756"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Lealtad</w:t>
      </w:r>
    </w:p>
    <w:p w14:paraId="3960A995"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Integridad</w:t>
      </w:r>
    </w:p>
    <w:p w14:paraId="4C567CB7" w14:textId="77777777"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lastRenderedPageBreak/>
        <w:t>• Compromiso con la gestión de gobierno</w:t>
      </w:r>
    </w:p>
    <w:p w14:paraId="2CFB4C2D" w14:textId="77777777" w:rsidR="007F1A93" w:rsidRPr="007F1A93" w:rsidRDefault="007F1A93" w:rsidP="00886F32">
      <w:pPr>
        <w:spacing w:afterLines="20" w:after="48" w:line="360" w:lineRule="auto"/>
        <w:ind w:left="720"/>
        <w:jc w:val="both"/>
        <w:rPr>
          <w:rFonts w:eastAsia="Calibri"/>
          <w:noProof/>
          <w:lang w:val="es-DO"/>
        </w:rPr>
      </w:pPr>
    </w:p>
    <w:p w14:paraId="735C1196" w14:textId="77777777" w:rsidR="00D07F65" w:rsidRPr="00D07F65" w:rsidRDefault="00D07F65" w:rsidP="00886F32">
      <w:pPr>
        <w:pStyle w:val="ListParagraph"/>
        <w:numPr>
          <w:ilvl w:val="0"/>
          <w:numId w:val="2"/>
        </w:numPr>
        <w:spacing w:afterLines="20" w:after="48" w:line="360" w:lineRule="auto"/>
        <w:ind w:left="720"/>
        <w:jc w:val="center"/>
        <w:outlineLvl w:val="1"/>
        <w:rPr>
          <w:b/>
          <w:bCs/>
          <w:vanish/>
        </w:rPr>
      </w:pPr>
      <w:bookmarkStart w:id="13" w:name="_Toc216343596"/>
      <w:bookmarkStart w:id="14" w:name="_Toc216345490"/>
      <w:bookmarkStart w:id="15" w:name="_Toc216883210"/>
      <w:bookmarkStart w:id="16" w:name="_Toc216883519"/>
      <w:bookmarkStart w:id="17" w:name="_Toc216883559"/>
      <w:bookmarkStart w:id="18" w:name="_Toc216883635"/>
      <w:bookmarkStart w:id="19" w:name="_Toc216883676"/>
      <w:bookmarkStart w:id="20" w:name="_Toc216883751"/>
      <w:bookmarkStart w:id="21" w:name="_Toc185843613"/>
      <w:bookmarkStart w:id="22" w:name="_Toc217382604"/>
      <w:bookmarkEnd w:id="13"/>
      <w:bookmarkEnd w:id="14"/>
      <w:bookmarkEnd w:id="15"/>
      <w:bookmarkEnd w:id="16"/>
      <w:bookmarkEnd w:id="17"/>
      <w:bookmarkEnd w:id="18"/>
      <w:bookmarkEnd w:id="19"/>
      <w:bookmarkEnd w:id="20"/>
      <w:bookmarkEnd w:id="22"/>
    </w:p>
    <w:p w14:paraId="72E0ED4E" w14:textId="77777777" w:rsidR="00D07F65" w:rsidRPr="00D07F65" w:rsidRDefault="00D07F65" w:rsidP="00886F32">
      <w:pPr>
        <w:pStyle w:val="ListParagraph"/>
        <w:numPr>
          <w:ilvl w:val="0"/>
          <w:numId w:val="2"/>
        </w:numPr>
        <w:spacing w:afterLines="20" w:after="48" w:line="360" w:lineRule="auto"/>
        <w:ind w:left="720"/>
        <w:jc w:val="center"/>
        <w:outlineLvl w:val="1"/>
        <w:rPr>
          <w:b/>
          <w:bCs/>
          <w:vanish/>
        </w:rPr>
      </w:pPr>
      <w:bookmarkStart w:id="23" w:name="_Toc216343597"/>
      <w:bookmarkStart w:id="24" w:name="_Toc216345491"/>
      <w:bookmarkStart w:id="25" w:name="_Toc216883211"/>
      <w:bookmarkStart w:id="26" w:name="_Toc216883520"/>
      <w:bookmarkStart w:id="27" w:name="_Toc216883560"/>
      <w:bookmarkStart w:id="28" w:name="_Toc216883636"/>
      <w:bookmarkStart w:id="29" w:name="_Toc216883677"/>
      <w:bookmarkStart w:id="30" w:name="_Toc216883752"/>
      <w:bookmarkStart w:id="31" w:name="_Toc217382605"/>
      <w:bookmarkEnd w:id="23"/>
      <w:bookmarkEnd w:id="24"/>
      <w:bookmarkEnd w:id="25"/>
      <w:bookmarkEnd w:id="26"/>
      <w:bookmarkEnd w:id="27"/>
      <w:bookmarkEnd w:id="28"/>
      <w:bookmarkEnd w:id="29"/>
      <w:bookmarkEnd w:id="30"/>
      <w:bookmarkEnd w:id="31"/>
    </w:p>
    <w:p w14:paraId="326A9DD8" w14:textId="77777777" w:rsidR="00D07F65" w:rsidRPr="00D07F65" w:rsidRDefault="00D07F65" w:rsidP="00886F32">
      <w:pPr>
        <w:pStyle w:val="ListParagraph"/>
        <w:numPr>
          <w:ilvl w:val="1"/>
          <w:numId w:val="2"/>
        </w:numPr>
        <w:spacing w:afterLines="20" w:after="48" w:line="360" w:lineRule="auto"/>
        <w:jc w:val="center"/>
        <w:outlineLvl w:val="1"/>
        <w:rPr>
          <w:b/>
          <w:bCs/>
          <w:vanish/>
        </w:rPr>
      </w:pPr>
      <w:bookmarkStart w:id="32" w:name="_Toc216343598"/>
      <w:bookmarkStart w:id="33" w:name="_Toc216345492"/>
      <w:bookmarkStart w:id="34" w:name="_Toc216883212"/>
      <w:bookmarkStart w:id="35" w:name="_Toc216883521"/>
      <w:bookmarkStart w:id="36" w:name="_Toc216883561"/>
      <w:bookmarkStart w:id="37" w:name="_Toc216883637"/>
      <w:bookmarkStart w:id="38" w:name="_Toc216883678"/>
      <w:bookmarkStart w:id="39" w:name="_Toc216883753"/>
      <w:bookmarkStart w:id="40" w:name="_Toc217382606"/>
      <w:bookmarkEnd w:id="32"/>
      <w:bookmarkEnd w:id="33"/>
      <w:bookmarkEnd w:id="34"/>
      <w:bookmarkEnd w:id="35"/>
      <w:bookmarkEnd w:id="36"/>
      <w:bookmarkEnd w:id="37"/>
      <w:bookmarkEnd w:id="38"/>
      <w:bookmarkEnd w:id="39"/>
      <w:bookmarkEnd w:id="40"/>
    </w:p>
    <w:p w14:paraId="2775F498" w14:textId="39FCCDA9" w:rsidR="007F1A93" w:rsidRPr="00800B79" w:rsidRDefault="007F1A93" w:rsidP="00886F32">
      <w:pPr>
        <w:pStyle w:val="ListParagraph"/>
        <w:numPr>
          <w:ilvl w:val="1"/>
          <w:numId w:val="95"/>
        </w:numPr>
        <w:spacing w:after="0" w:line="360" w:lineRule="auto"/>
        <w:ind w:left="720"/>
        <w:jc w:val="center"/>
        <w:outlineLvl w:val="1"/>
        <w:rPr>
          <w:rFonts w:eastAsia="Calibri"/>
          <w:b/>
          <w:bCs/>
          <w:noProof/>
          <w:color w:val="4C4747"/>
        </w:rPr>
      </w:pPr>
      <w:r w:rsidRPr="00800B79">
        <w:rPr>
          <w:rFonts w:eastAsia="Calibri"/>
          <w:b/>
          <w:bCs/>
          <w:noProof/>
          <w:color w:val="4C4747"/>
        </w:rPr>
        <w:t xml:space="preserve"> </w:t>
      </w:r>
      <w:bookmarkStart w:id="41" w:name="_Toc217382607"/>
      <w:r w:rsidRPr="00800B79">
        <w:rPr>
          <w:rFonts w:eastAsia="Calibri"/>
          <w:b/>
          <w:bCs/>
          <w:noProof/>
          <w:color w:val="4C4747"/>
        </w:rPr>
        <w:t>Base legal Institucional</w:t>
      </w:r>
      <w:bookmarkEnd w:id="21"/>
      <w:bookmarkEnd w:id="41"/>
    </w:p>
    <w:p w14:paraId="73352596" w14:textId="3CE8479E"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Los inicios del Ministerio de la Presidencia, como figura político - administrativa en el Estado dominicano, bien podría remontarse al año 1845, cuando con la promulgación de la Ley núm. 38, en fecha 7 de junio, el Presidente de la República tendría un Secretario particular, el cual conjuntamente con el ejercicio de sus funciones, era el secretario del Consejo de los Ministros Secretarios de Estado.</w:t>
      </w:r>
    </w:p>
    <w:p w14:paraId="711A946E" w14:textId="77777777" w:rsidR="00AC3509" w:rsidRDefault="00AC3509" w:rsidP="00886F32">
      <w:pPr>
        <w:spacing w:afterLines="20" w:after="48" w:line="360" w:lineRule="auto"/>
        <w:ind w:left="720"/>
        <w:jc w:val="both"/>
        <w:rPr>
          <w:rFonts w:eastAsia="Calibri"/>
          <w:noProof/>
          <w:color w:val="4C4747"/>
          <w:lang w:val="es-DO"/>
        </w:rPr>
      </w:pPr>
    </w:p>
    <w:p w14:paraId="58EFD870" w14:textId="48EE17F9"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El Ministerio de la Presidencia surgió a través de la Ley No. 685 del 27 de junio de 1927 del 7 de mayo del año 1929, donde se creó la Secretaría de Estado de la Presidencia de la República, como uno de los órganos encargados del despacho de los asuntos de la Administración Pública, cuyas atribuciones estarían determinadas por una Ley Especial.</w:t>
      </w:r>
    </w:p>
    <w:p w14:paraId="2B53DF76" w14:textId="77777777" w:rsidR="00AC3509" w:rsidRDefault="00AC3509" w:rsidP="00886F32">
      <w:pPr>
        <w:spacing w:afterLines="20" w:after="48" w:line="360" w:lineRule="auto"/>
        <w:ind w:left="720"/>
        <w:jc w:val="both"/>
        <w:rPr>
          <w:rFonts w:eastAsia="Calibri"/>
          <w:noProof/>
          <w:color w:val="4C4747"/>
          <w:lang w:val="es-DO"/>
        </w:rPr>
      </w:pPr>
    </w:p>
    <w:p w14:paraId="044F1EBA" w14:textId="23BD2C29"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Luego de esto se ve envuelta en una singular particularidad de derogaciones y creaciones, como ocurrió con la promulgación de la Ley núm. 1124, del 7 de mayo de 1929, la cual creó nuevamente la denominada Secretaría de Estado de la Presidencia, conjuntamente con otras instituciones, pero esta vez quedó establecido que sus funciones serían determinadas por una Ley, pura y simplemente, procediendo a derogar la Ley anterior, y promulgando ese mismo año, la Ley No. 1146, en la que se le asignan las funciones relacionadas con la coordinación del gabinete del Estado y el despacho del presidente de la República.</w:t>
      </w:r>
    </w:p>
    <w:p w14:paraId="6A5A7778" w14:textId="77777777" w:rsidR="007F1A93" w:rsidRPr="00800B79" w:rsidRDefault="007F1A93" w:rsidP="00886F32">
      <w:pPr>
        <w:spacing w:afterLines="20" w:after="48" w:line="360" w:lineRule="auto"/>
        <w:ind w:left="720"/>
        <w:jc w:val="both"/>
        <w:rPr>
          <w:rFonts w:eastAsia="Calibri"/>
          <w:noProof/>
          <w:color w:val="4C4747"/>
          <w:lang w:val="es-DO"/>
        </w:rPr>
      </w:pPr>
    </w:p>
    <w:p w14:paraId="2BA635C0" w14:textId="7F319216"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lastRenderedPageBreak/>
        <w:t>Posteriormente, en 1942 la Ley No. 129 facultó a la Secretaría de la Presidencia a despachar todas las disposiciones del presidente de la República en lo relativo a la Dirección General de Obras Públicas, la Consultoría Jurídica del Poder Ejecutivo, la Dirección de Presupuesto, el Servicio de Estadística Nacional, la Comisión Nacional de Servicio Civil y la Comisión para el Desarrollo y el Embellecimiento de lo que en ese momento se conocía como Ciudad Trujillo, hoy día, Santo Domingo.</w:t>
      </w:r>
    </w:p>
    <w:p w14:paraId="4D06A648" w14:textId="77777777" w:rsidR="00AC3509" w:rsidRDefault="00AC3509" w:rsidP="00886F32">
      <w:pPr>
        <w:spacing w:afterLines="20" w:after="48" w:line="360" w:lineRule="auto"/>
        <w:ind w:left="720"/>
        <w:jc w:val="both"/>
        <w:rPr>
          <w:rFonts w:eastAsia="Calibri"/>
          <w:noProof/>
          <w:color w:val="4C4747"/>
          <w:lang w:val="es-DO"/>
        </w:rPr>
      </w:pPr>
    </w:p>
    <w:p w14:paraId="2268C398" w14:textId="4BB07F0B"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xml:space="preserve">Más adelante, en el año 1956, el Congreso dominicano conoció y promulgó la Ley Orgánica de las Secretarías de Estado, conservando esta denominación de Secretaría solo la de las Fuerzas Armadas, de Interior y Policía y de la Presidencia, pues las demás serían creadas mediante leyes especiales; </w:t>
      </w:r>
      <w:r w:rsidR="00314D81" w:rsidRPr="00800B79">
        <w:rPr>
          <w:rFonts w:eastAsia="Calibri"/>
          <w:noProof/>
          <w:color w:val="4C4747"/>
          <w:lang w:val="es-DO"/>
        </w:rPr>
        <w:t>e</w:t>
      </w:r>
      <w:r w:rsidRPr="00800B79">
        <w:rPr>
          <w:rFonts w:eastAsia="Calibri"/>
          <w:noProof/>
          <w:color w:val="4C4747"/>
          <w:lang w:val="es-DO"/>
        </w:rPr>
        <w:t>n el mismo año fue suprimida la Secretaría de Estado de la Presidencia, como una única entidad, y mediante la ley número 10-65 surgieron dos entidades: el Secretariado Administrativo de la Presidencia y la Secretaría Técnica de la Presidencia. En el 1972 reapareció la Secretaría de Estado de la Presidencia, por efecto de la Ley 450, del 29 de diciembre del 1972, que la facultaba para ejercer la coordinación de las labores de la Secretaría que fuera creada en el 1965 y cuyo reglamento nunca había sido promulgado.</w:t>
      </w:r>
    </w:p>
    <w:p w14:paraId="32936BDE" w14:textId="77777777" w:rsidR="00AC3509" w:rsidRDefault="00AC3509" w:rsidP="00886F32">
      <w:pPr>
        <w:spacing w:afterLines="20" w:after="48" w:line="360" w:lineRule="auto"/>
        <w:ind w:left="720"/>
        <w:jc w:val="both"/>
        <w:rPr>
          <w:rFonts w:eastAsia="Calibri"/>
          <w:noProof/>
          <w:color w:val="4C4747"/>
          <w:lang w:val="es-DO"/>
        </w:rPr>
      </w:pPr>
    </w:p>
    <w:p w14:paraId="28246494" w14:textId="1325F778" w:rsidR="007F1A93" w:rsidRPr="00800B79" w:rsidRDefault="007F1A9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xml:space="preserve">Con la promulgación de la nueva Constitución de la República, el 26 de enero del año 2010, cambió la denominación de las Secretarías de Estado por Ministerios y, mediante la promulgación del Decreto No. 56, del 8 de febrero del año </w:t>
      </w:r>
      <w:r w:rsidRPr="00800B79">
        <w:rPr>
          <w:rFonts w:eastAsia="Calibri"/>
          <w:noProof/>
          <w:color w:val="4C4747"/>
          <w:lang w:val="es-DO"/>
        </w:rPr>
        <w:lastRenderedPageBreak/>
        <w:t>2010, el nombre del cargo del titular pasó de secretario de Estado a ministro.</w:t>
      </w:r>
    </w:p>
    <w:p w14:paraId="34EA0C62" w14:textId="77777777" w:rsidR="00AC3509" w:rsidRDefault="00AC3509" w:rsidP="00886F32">
      <w:pPr>
        <w:spacing w:afterLines="20" w:after="48" w:line="360" w:lineRule="auto"/>
        <w:ind w:left="720"/>
        <w:jc w:val="both"/>
        <w:rPr>
          <w:rFonts w:eastAsia="Calibri"/>
          <w:noProof/>
          <w:color w:val="4C4747"/>
          <w:lang w:val="es-DO"/>
        </w:rPr>
      </w:pPr>
    </w:p>
    <w:p w14:paraId="5647C556" w14:textId="5C9E031B" w:rsidR="00C429E2" w:rsidRPr="00800B79" w:rsidRDefault="00AB1583" w:rsidP="00886F32">
      <w:pPr>
        <w:spacing w:afterLines="20" w:after="48" w:line="360" w:lineRule="auto"/>
        <w:ind w:left="720"/>
        <w:jc w:val="both"/>
        <w:rPr>
          <w:rFonts w:eastAsia="Calibri"/>
          <w:noProof/>
          <w:color w:val="4C4747"/>
          <w:lang w:val="es-DO"/>
        </w:rPr>
      </w:pPr>
      <w:r w:rsidRPr="00800B79">
        <w:rPr>
          <w:rFonts w:eastAsia="Calibri"/>
          <w:noProof/>
          <w:color w:val="4C4747"/>
          <w:lang w:val="es-DO"/>
        </w:rPr>
        <w:t xml:space="preserve">El </w:t>
      </w:r>
      <w:r w:rsidR="0084406D" w:rsidRPr="00800B79">
        <w:rPr>
          <w:rFonts w:eastAsia="Calibri"/>
          <w:noProof/>
          <w:color w:val="4C4747"/>
          <w:lang w:val="es-DO"/>
        </w:rPr>
        <w:t xml:space="preserve">21 de julio del año 2025, fue promulgada la Ley 45-25 </w:t>
      </w:r>
      <w:r w:rsidR="006E7648" w:rsidRPr="00800B79">
        <w:rPr>
          <w:rFonts w:eastAsia="Calibri"/>
          <w:noProof/>
          <w:color w:val="4C4747"/>
          <w:lang w:val="es-DO"/>
        </w:rPr>
        <w:t>que dispone la fusión del Ministerio de Hacienda y el Ministerio de Economía, Planificación y Desarrollo</w:t>
      </w:r>
      <w:r w:rsidR="00BB1D9C" w:rsidRPr="00800B79">
        <w:rPr>
          <w:rFonts w:eastAsia="Calibri"/>
          <w:noProof/>
          <w:color w:val="4C4747"/>
          <w:lang w:val="es-DO"/>
        </w:rPr>
        <w:t xml:space="preserve">; la cual en </w:t>
      </w:r>
      <w:r w:rsidR="0056604A" w:rsidRPr="00800B79">
        <w:rPr>
          <w:rFonts w:eastAsia="Calibri"/>
          <w:noProof/>
          <w:color w:val="4C4747"/>
          <w:lang w:val="es-DO"/>
        </w:rPr>
        <w:t xml:space="preserve">el párrafo de </w:t>
      </w:r>
      <w:r w:rsidR="00BB1D9C" w:rsidRPr="00800B79">
        <w:rPr>
          <w:rFonts w:eastAsia="Calibri"/>
          <w:noProof/>
          <w:color w:val="4C4747"/>
          <w:lang w:val="es-DO"/>
        </w:rPr>
        <w:t>su articulo 11</w:t>
      </w:r>
      <w:r w:rsidR="0056604A" w:rsidRPr="00800B79">
        <w:rPr>
          <w:rFonts w:eastAsia="Calibri"/>
          <w:noProof/>
          <w:color w:val="4C4747"/>
          <w:lang w:val="es-DO"/>
        </w:rPr>
        <w:t>, cita: “Estará</w:t>
      </w:r>
      <w:r w:rsidR="00F72458" w:rsidRPr="00800B79">
        <w:rPr>
          <w:rFonts w:eastAsia="Calibri"/>
          <w:noProof/>
          <w:color w:val="4C4747"/>
          <w:lang w:val="es-DO"/>
        </w:rPr>
        <w:t xml:space="preserve">n asignados al Ministerio de la Presidencia los asuntos delegados a los Viceministerios de Cooperación Internacional, Ordenamiento Territorias y Desrrollo Regional, así como al Centro Nacional de Fomento y Promoción de las Asociaciones sin Fines de Lucro </w:t>
      </w:r>
      <w:r w:rsidR="003C5A4B" w:rsidRPr="00800B79">
        <w:rPr>
          <w:rFonts w:eastAsia="Calibri"/>
          <w:noProof/>
          <w:color w:val="4C4747"/>
          <w:lang w:val="es-DO"/>
        </w:rPr>
        <w:t>que subsistan a partir de la entrada en vigencia de esta ley.”; encontrandonos actualmente en el proceso de adapatación de to</w:t>
      </w:r>
      <w:r w:rsidR="008F5803" w:rsidRPr="00800B79">
        <w:rPr>
          <w:rFonts w:eastAsia="Calibri"/>
          <w:noProof/>
          <w:color w:val="4C4747"/>
          <w:lang w:val="es-DO"/>
        </w:rPr>
        <w:t xml:space="preserve">dos </w:t>
      </w:r>
      <w:r w:rsidR="00A240E3" w:rsidRPr="00800B79">
        <w:rPr>
          <w:rFonts w:eastAsia="Calibri"/>
          <w:noProof/>
          <w:color w:val="4C4747"/>
          <w:lang w:val="es-DO"/>
        </w:rPr>
        <w:t>estos procesos con los del Ministerio de la Presidencia.</w:t>
      </w:r>
      <w:r w:rsidR="008F5803" w:rsidRPr="00800B79">
        <w:rPr>
          <w:rFonts w:eastAsia="Calibri"/>
          <w:noProof/>
          <w:color w:val="4C4747"/>
          <w:lang w:val="es-DO"/>
        </w:rPr>
        <w:t xml:space="preserve"> </w:t>
      </w:r>
    </w:p>
    <w:p w14:paraId="17334AC0" w14:textId="77777777" w:rsidR="007F1A93" w:rsidRDefault="007F1A93" w:rsidP="00886F32">
      <w:pPr>
        <w:spacing w:afterLines="20" w:after="48" w:line="360" w:lineRule="auto"/>
        <w:ind w:left="720"/>
        <w:jc w:val="both"/>
        <w:rPr>
          <w:rFonts w:eastAsiaTheme="minorEastAsia"/>
          <w:noProof/>
          <w:lang w:val="es-DO"/>
        </w:rPr>
      </w:pPr>
    </w:p>
    <w:p w14:paraId="25C75815" w14:textId="77777777" w:rsidR="007F1A93" w:rsidRPr="0084406D" w:rsidRDefault="007F1A93" w:rsidP="00886F32">
      <w:pPr>
        <w:spacing w:afterLines="20" w:after="48" w:line="360" w:lineRule="auto"/>
        <w:ind w:left="720"/>
        <w:jc w:val="both"/>
        <w:rPr>
          <w:rFonts w:eastAsiaTheme="minorEastAsia"/>
          <w:b/>
          <w:bCs/>
          <w:noProof/>
          <w:lang w:val="es-DO"/>
        </w:rPr>
      </w:pPr>
      <w:r w:rsidRPr="0084406D">
        <w:rPr>
          <w:rFonts w:eastAsiaTheme="minorEastAsia"/>
          <w:b/>
          <w:bCs/>
          <w:noProof/>
          <w:lang w:val="es-DO"/>
        </w:rPr>
        <w:t>Unidades Desconcentradas del Ministerio de Presidencia</w:t>
      </w:r>
    </w:p>
    <w:p w14:paraId="6B8AD72C" w14:textId="77777777"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Dirección General de Desarrollo Comunitario (DGDC), creada mediante la Ley 676 del año 1965 y su Reglamento de operación ; Decreto No. 689 de 1966 con el objetivo de estimular, organizar y completar el esfuerzo de las Comunidades Sociales hacia su propio desarrollo socioeconómico, proporcionándoles el asesoramiento técnico apropiado y complementando el esfuerzo económico local, y bajo la dependencia de la Secretaría de Estado de la Presidencia, hoy Ministerio de la Presidencia.</w:t>
      </w:r>
    </w:p>
    <w:p w14:paraId="486DA001" w14:textId="77777777"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 xml:space="preserve">La Autoridad Nacional de Asuntos Marítimos (ANAMAR), creada por la Ley 66-07, mediante la cual se declara a la República Dominicana como Estado Archipelágico y a partir de dicha ley, crea esta institución, para asistir al Estado dominicano con los conocimientos técnicos, científicos y </w:t>
      </w:r>
      <w:r w:rsidRPr="00800B79">
        <w:rPr>
          <w:rFonts w:eastAsia="Calibri"/>
          <w:noProof/>
          <w:color w:val="4C4747"/>
        </w:rPr>
        <w:lastRenderedPageBreak/>
        <w:t>jurídicos necesarios para la formulación de políticas para la conservación y explotación racional y sostenible de sus recursos marinos vivos y no vivos, procurando una correcta administración oceánica y la promoción del desarrollo del sector marítimo.</w:t>
      </w:r>
    </w:p>
    <w:p w14:paraId="30A02B4B" w14:textId="77777777"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La Dirección General de Ética e Integridad Gubernamental (DIGEIG), adscrita al Ministerio de la Presidencia, creada mediante el Decreto No. 486-12, de fecha 21 de agosto del año 2011, órgano rector en materia de ética, transparencia, gobierno abierto , lucha contra la corrupción, conflicto de intereses y libre acceso a la información, en el ámbito administrativo gubernamental.</w:t>
      </w:r>
    </w:p>
    <w:p w14:paraId="0BA9A96D" w14:textId="41559873"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La Dirección General de Proyectos Estratégicos y Especiales de la Presidencia (PROPEEP) fue creada mediante el Decreto 389 -20, que modifica el Decreto No. 491-12, con la finalidad de fomentar el desarrollo de capacidades y oportunidades que permitan reducir la pobreza y la exclusión social con un enfoque de derechos, integral, sistémico y con una base territorial, a partir de la generación de corresponsabilidad social y de promoción de la acción</w:t>
      </w:r>
      <w:r w:rsidR="00F02109" w:rsidRPr="00800B79">
        <w:rPr>
          <w:rFonts w:eastAsia="Calibri"/>
          <w:noProof/>
          <w:color w:val="4C4747"/>
        </w:rPr>
        <w:t>.</w:t>
      </w:r>
    </w:p>
    <w:p w14:paraId="06D57186" w14:textId="776926E4"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 xml:space="preserve">El Sistema Nacional de Atención a Emergencias y Seguridad 9-1-1 es una entidad desconcentrada, basada en los términos de la ley orgánica de función pública No. 247- 12, y en la ley 140-13 que le da origen, la Ley No. 184-17 que la modifica. El objetivo del Sistema es proveer a los ciudadanos, residentes, visitantes y todo aquel que se encuentre en el territorio dominicano, las atenciones que requieran en materia de seguridad y servicio público integrados en el mismo. </w:t>
      </w:r>
    </w:p>
    <w:p w14:paraId="4570DAA0" w14:textId="1805DE35"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Dirección General de Alianzas Público -</w:t>
      </w:r>
      <w:r w:rsidR="00CA225D" w:rsidRPr="00800B79">
        <w:rPr>
          <w:rFonts w:eastAsia="Calibri"/>
          <w:noProof/>
          <w:color w:val="4C4747"/>
        </w:rPr>
        <w:t xml:space="preserve"> </w:t>
      </w:r>
      <w:r w:rsidRPr="00800B79">
        <w:rPr>
          <w:rFonts w:eastAsia="Calibri"/>
          <w:noProof/>
          <w:color w:val="4C4747"/>
        </w:rPr>
        <w:t xml:space="preserve">Privadas (DGAPP), creada mediante decreto 434-20 (reglamento de aplicación) a </w:t>
      </w:r>
      <w:r w:rsidRPr="00800B79">
        <w:rPr>
          <w:rFonts w:eastAsia="Calibri"/>
          <w:noProof/>
          <w:color w:val="4C4747"/>
        </w:rPr>
        <w:lastRenderedPageBreak/>
        <w:t>partir de la Ley 47-20, sobre Alianzas Público-Privadas.</w:t>
      </w:r>
    </w:p>
    <w:p w14:paraId="158007C4" w14:textId="342A67F4"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Unidad Ejecutora para la Readecuación de la Barquita y Entornos (URBE), creada mediante decreto No. 201 -14, cuya función es la readecuación de los asentamientos humanos en la barriada denominada “La Barquita”, en los sectores de Sábana Pérdida y Los Mina.</w:t>
      </w:r>
    </w:p>
    <w:p w14:paraId="6BB6A34C" w14:textId="77777777"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Consejo Nacional de las Discapacidad (CONADIS), creado mediante la Ley 42-2000, promulgada el 29 de junio del año 2020, en la que se crea dicho consejo adscrito a la Presidencia de la República, bajo la vigilancia del Ministro de la Presidencia.</w:t>
      </w:r>
    </w:p>
    <w:p w14:paraId="58A3842F" w14:textId="6BFF9A0E"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El Consejo Nacional de Competitividad (CNC), fundado el 03 de noviembre del año 2001, mediante el Decreto 1091-01, para establecer un marco de gestión ágil y efectivo, en consonancia con las buenas prácticas internacionales para hacer frente a las dinámicas de un mundo globalizado y de fuerte competencia.</w:t>
      </w:r>
    </w:p>
    <w:p w14:paraId="1412D65E" w14:textId="74A0BD15"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Unidad Técnica Ejecutora de Titulación de Terrenos del Estado</w:t>
      </w:r>
      <w:r w:rsidR="00CA225D" w:rsidRPr="00800B79">
        <w:rPr>
          <w:rFonts w:eastAsia="Calibri"/>
          <w:noProof/>
          <w:color w:val="4C4747"/>
        </w:rPr>
        <w:t xml:space="preserve"> (UTECT)</w:t>
      </w:r>
      <w:r w:rsidRPr="00800B79">
        <w:rPr>
          <w:rFonts w:eastAsia="Calibri"/>
          <w:noProof/>
          <w:color w:val="4C4747"/>
        </w:rPr>
        <w:t xml:space="preserve"> - Comisión Permanente de Titulación de Terrenos del Estado (CPTTE) fue creada de acuerdo a lo establecido en el artículo 3 del decreto 624-12, con el propósito fundamental de la formulación, concertación, apoyo y promoción de políticas y estrategias tendentes a impulsar y materializar la solución definitiva del problema de la falta de titulación o registro actualizado en la propiedad inmobiliaria en la República Dominicana; pasando en el 2021 a ser UTECT.</w:t>
      </w:r>
    </w:p>
    <w:p w14:paraId="31B69F14" w14:textId="77777777" w:rsidR="007F1A93" w:rsidRPr="00800B79" w:rsidRDefault="007F1A93" w:rsidP="00886F32">
      <w:pPr>
        <w:pStyle w:val="ListParagraph"/>
        <w:numPr>
          <w:ilvl w:val="0"/>
          <w:numId w:val="1"/>
        </w:numPr>
        <w:spacing w:afterLines="20" w:after="48" w:line="360" w:lineRule="auto"/>
        <w:jc w:val="both"/>
        <w:rPr>
          <w:rFonts w:eastAsia="Calibri"/>
          <w:noProof/>
          <w:color w:val="4C4747"/>
        </w:rPr>
      </w:pPr>
      <w:r w:rsidRPr="00800B79">
        <w:rPr>
          <w:rFonts w:eastAsia="Calibri"/>
          <w:noProof/>
          <w:color w:val="4C4747"/>
        </w:rPr>
        <w:t xml:space="preserve"> Unidad Ejecutora ECO5RD fue creada mediante el Decreto 28-23, del 06 de febrero de 2023 con el fin de impulsar como política pública la mejora de la calidad de vida de la población y el medioambiente a través del manejo adecuado de los residuos sólidos.</w:t>
      </w:r>
    </w:p>
    <w:p w14:paraId="44BDA147" w14:textId="77777777" w:rsidR="007F1A93" w:rsidRDefault="007F1A93" w:rsidP="00886F32">
      <w:pPr>
        <w:pStyle w:val="ListParagraph"/>
        <w:spacing w:after="0" w:line="360" w:lineRule="auto"/>
        <w:jc w:val="both"/>
        <w:rPr>
          <w:rFonts w:eastAsiaTheme="minorEastAsia"/>
          <w:noProof/>
          <w:lang w:val="es-ES"/>
        </w:rPr>
      </w:pPr>
    </w:p>
    <w:commentRangeStart w:id="42"/>
    <w:p w14:paraId="7ABC0E81" w14:textId="77777777" w:rsidR="007F1A93" w:rsidRPr="00C8219D" w:rsidRDefault="007F1A93" w:rsidP="00886F32">
      <w:pPr>
        <w:pStyle w:val="ListParagraph"/>
        <w:spacing w:after="0" w:line="360" w:lineRule="auto"/>
        <w:jc w:val="center"/>
        <w:rPr>
          <w:rFonts w:eastAsiaTheme="minorEastAsia"/>
          <w:b/>
          <w:bCs/>
          <w:noProof/>
          <w:sz w:val="28"/>
          <w:szCs w:val="28"/>
        </w:rPr>
      </w:pPr>
      <w:r w:rsidRPr="00C8219D">
        <w:rPr>
          <w:rFonts w:eastAsia="Calibri"/>
          <w:b/>
          <w:bCs/>
          <w:noProof/>
          <w:sz w:val="28"/>
          <w:szCs w:val="28"/>
        </w:rPr>
        <w:lastRenderedPageBreak/>
        <mc:AlternateContent>
          <mc:Choice Requires="wps">
            <w:drawing>
              <wp:anchor distT="0" distB="0" distL="114300" distR="114300" simplePos="0" relativeHeight="251776000" behindDoc="0" locked="0" layoutInCell="1" allowOverlap="1" wp14:anchorId="532B926D" wp14:editId="499D516A">
                <wp:simplePos x="0" y="0"/>
                <wp:positionH relativeFrom="margin">
                  <wp:posOffset>2383790</wp:posOffset>
                </wp:positionH>
                <wp:positionV relativeFrom="paragraph">
                  <wp:posOffset>290830</wp:posOffset>
                </wp:positionV>
                <wp:extent cx="463550" cy="0"/>
                <wp:effectExtent l="22860" t="15875" r="18415" b="22225"/>
                <wp:wrapNone/>
                <wp:docPr id="183680194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3BB98" id="Straight Connector 8" o:spid="_x0000_s1026" style="position:absolute;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7pt,22.9pt" to="224.2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" strokecolor="#ee2a24" strokeweight="2.25pt">
                <v:stroke joinstyle="miter"/>
                <w10:wrap anchorx="margin"/>
              </v:line>
            </w:pict>
          </mc:Fallback>
        </mc:AlternateContent>
      </w:r>
      <w:r w:rsidRPr="00C8219D">
        <w:rPr>
          <w:rFonts w:eastAsiaTheme="minorEastAsia"/>
          <w:b/>
          <w:bCs/>
          <w:noProof/>
          <w:sz w:val="28"/>
          <w:szCs w:val="28"/>
        </w:rPr>
        <w:t>Principales funcionarios</w:t>
      </w:r>
    </w:p>
    <w:p w14:paraId="1B856CCB" w14:textId="77777777" w:rsidR="007F1A93" w:rsidRPr="007F1A93" w:rsidRDefault="007F1A93" w:rsidP="00886F32">
      <w:pPr>
        <w:spacing w:after="0" w:line="360" w:lineRule="auto"/>
        <w:ind w:left="720"/>
        <w:jc w:val="both"/>
        <w:rPr>
          <w:rFonts w:eastAsiaTheme="minorEastAsia"/>
          <w:noProof/>
          <w:lang w:val="es-DO"/>
        </w:rPr>
      </w:pPr>
    </w:p>
    <w:p w14:paraId="68AB5A05" w14:textId="77777777" w:rsidR="007F1A93" w:rsidRPr="007F1A93" w:rsidRDefault="007F1A93" w:rsidP="00886F32">
      <w:pPr>
        <w:spacing w:after="0" w:line="360" w:lineRule="auto"/>
        <w:ind w:left="720"/>
        <w:jc w:val="both"/>
        <w:rPr>
          <w:rFonts w:eastAsiaTheme="minorEastAsia"/>
          <w:noProof/>
          <w:lang w:val="es-DO"/>
        </w:rPr>
      </w:pPr>
      <w:r w:rsidRPr="007F1A93">
        <w:rPr>
          <w:rFonts w:eastAsiaTheme="minorEastAsia"/>
          <w:noProof/>
          <w:lang w:val="es-DO"/>
        </w:rPr>
        <w:t>JOSÉ IGNACIO PALIZA</w:t>
      </w:r>
    </w:p>
    <w:p w14:paraId="10A96D74" w14:textId="77777777" w:rsidR="007F1A93" w:rsidRPr="007F1A93" w:rsidRDefault="007F1A93" w:rsidP="00886F32">
      <w:pPr>
        <w:spacing w:after="0" w:line="360" w:lineRule="auto"/>
        <w:ind w:left="720"/>
        <w:jc w:val="both"/>
        <w:rPr>
          <w:rFonts w:eastAsiaTheme="minorEastAsia"/>
          <w:b/>
          <w:bCs/>
          <w:noProof/>
          <w:lang w:val="es-DO"/>
        </w:rPr>
      </w:pPr>
      <w:r w:rsidRPr="007F1A93">
        <w:rPr>
          <w:rFonts w:eastAsiaTheme="minorEastAsia"/>
          <w:b/>
          <w:bCs/>
          <w:noProof/>
          <w:lang w:val="es-DO"/>
        </w:rPr>
        <w:t>Ministro de la Presidencia</w:t>
      </w:r>
    </w:p>
    <w:p w14:paraId="4ED8A360" w14:textId="77777777" w:rsidR="007F1A93" w:rsidRPr="007F1A93" w:rsidRDefault="007F1A93" w:rsidP="00886F32">
      <w:pPr>
        <w:spacing w:after="0" w:line="360" w:lineRule="auto"/>
        <w:ind w:left="720"/>
        <w:jc w:val="both"/>
        <w:rPr>
          <w:rFonts w:eastAsiaTheme="minorEastAsia"/>
          <w:noProof/>
          <w:lang w:val="es-DO"/>
        </w:rPr>
      </w:pPr>
    </w:p>
    <w:p w14:paraId="68008878" w14:textId="77777777" w:rsidR="007F1A93" w:rsidRPr="007F1A93" w:rsidRDefault="007F1A93" w:rsidP="00886F32">
      <w:pPr>
        <w:spacing w:after="0" w:line="360" w:lineRule="auto"/>
        <w:ind w:left="720"/>
        <w:jc w:val="both"/>
        <w:rPr>
          <w:rFonts w:eastAsiaTheme="minorEastAsia"/>
          <w:noProof/>
          <w:lang w:val="es-DO"/>
        </w:rPr>
      </w:pPr>
      <w:r w:rsidRPr="007F1A93">
        <w:rPr>
          <w:rFonts w:eastAsiaTheme="minorEastAsia"/>
          <w:noProof/>
          <w:lang w:val="es-DO"/>
        </w:rPr>
        <w:t>LUIS GREGORIO MADERA SUED</w:t>
      </w:r>
    </w:p>
    <w:p w14:paraId="77804153" w14:textId="77777777" w:rsidR="007F1A93" w:rsidRPr="007F1A93" w:rsidRDefault="007F1A93" w:rsidP="00886F32">
      <w:pPr>
        <w:spacing w:after="0" w:line="360" w:lineRule="auto"/>
        <w:ind w:left="720"/>
        <w:jc w:val="both"/>
        <w:rPr>
          <w:rFonts w:eastAsiaTheme="minorEastAsia"/>
          <w:b/>
          <w:bCs/>
          <w:noProof/>
          <w:lang w:val="es-DO"/>
        </w:rPr>
      </w:pPr>
      <w:r w:rsidRPr="007F1A93">
        <w:rPr>
          <w:rFonts w:eastAsiaTheme="minorEastAsia"/>
          <w:b/>
          <w:bCs/>
          <w:noProof/>
          <w:lang w:val="es-DO"/>
        </w:rPr>
        <w:t>Viceministro de Seguimiento y Coordinación Gubernamental</w:t>
      </w:r>
    </w:p>
    <w:p w14:paraId="0E571646" w14:textId="77777777" w:rsidR="007F1A93" w:rsidRPr="007F1A93" w:rsidRDefault="007F1A93" w:rsidP="00886F32">
      <w:pPr>
        <w:spacing w:after="0" w:line="360" w:lineRule="auto"/>
        <w:ind w:left="720"/>
        <w:jc w:val="both"/>
        <w:rPr>
          <w:rFonts w:eastAsiaTheme="minorEastAsia"/>
          <w:noProof/>
          <w:lang w:val="es-DO"/>
        </w:rPr>
      </w:pPr>
    </w:p>
    <w:p w14:paraId="5802904E" w14:textId="77777777" w:rsidR="007F1A93" w:rsidRPr="007F1A93" w:rsidRDefault="007F1A93" w:rsidP="00886F32">
      <w:pPr>
        <w:spacing w:after="0" w:line="360" w:lineRule="auto"/>
        <w:ind w:left="720"/>
        <w:jc w:val="both"/>
        <w:rPr>
          <w:rFonts w:eastAsiaTheme="minorEastAsia"/>
          <w:noProof/>
          <w:lang w:val="es-DO"/>
        </w:rPr>
      </w:pPr>
      <w:r w:rsidRPr="007F1A93">
        <w:rPr>
          <w:rFonts w:eastAsiaTheme="minorEastAsia"/>
          <w:noProof/>
          <w:lang w:val="es-DO"/>
        </w:rPr>
        <w:t>ALEXIS ISAAC JIMÉNEZ GONZÁLEZ</w:t>
      </w:r>
    </w:p>
    <w:p w14:paraId="7566EEDA" w14:textId="77777777" w:rsidR="007F1A93" w:rsidRPr="007F1A93" w:rsidRDefault="007F1A93" w:rsidP="00886F32">
      <w:pPr>
        <w:spacing w:after="0" w:line="360" w:lineRule="auto"/>
        <w:ind w:left="720"/>
        <w:jc w:val="both"/>
        <w:rPr>
          <w:rFonts w:eastAsiaTheme="minorEastAsia"/>
          <w:b/>
          <w:bCs/>
          <w:noProof/>
          <w:lang w:val="es-DO"/>
        </w:rPr>
      </w:pPr>
      <w:r w:rsidRPr="007F1A93">
        <w:rPr>
          <w:rFonts w:eastAsiaTheme="minorEastAsia"/>
          <w:b/>
          <w:bCs/>
          <w:noProof/>
          <w:lang w:val="es-DO"/>
        </w:rPr>
        <w:t xml:space="preserve">Viceministro de Desarrollo Social </w:t>
      </w:r>
    </w:p>
    <w:p w14:paraId="08E61E54" w14:textId="77777777" w:rsidR="007F1A93" w:rsidRPr="007F1A93" w:rsidRDefault="007F1A93" w:rsidP="00886F32">
      <w:pPr>
        <w:spacing w:after="0" w:line="360" w:lineRule="auto"/>
        <w:ind w:left="720"/>
        <w:jc w:val="both"/>
        <w:rPr>
          <w:rFonts w:eastAsiaTheme="minorEastAsia"/>
          <w:noProof/>
          <w:lang w:val="es-DO"/>
        </w:rPr>
      </w:pPr>
    </w:p>
    <w:p w14:paraId="7F263D2D" w14:textId="77777777" w:rsidR="007F1A93" w:rsidRPr="007F1A93" w:rsidRDefault="007F1A93" w:rsidP="00886F32">
      <w:pPr>
        <w:spacing w:after="0" w:line="360" w:lineRule="auto"/>
        <w:ind w:left="720"/>
        <w:jc w:val="both"/>
        <w:rPr>
          <w:rFonts w:eastAsiaTheme="minorEastAsia"/>
          <w:noProof/>
          <w:lang w:val="es-DO"/>
        </w:rPr>
      </w:pPr>
      <w:r w:rsidRPr="007F1A93">
        <w:rPr>
          <w:rFonts w:eastAsiaTheme="minorEastAsia"/>
          <w:noProof/>
          <w:lang w:val="es-DO"/>
        </w:rPr>
        <w:t>MARÍA DEL PILAR CAÑAS</w:t>
      </w:r>
    </w:p>
    <w:p w14:paraId="7905DE2E" w14:textId="77777777" w:rsidR="007F1A93" w:rsidRPr="007F1A93" w:rsidRDefault="007F1A93" w:rsidP="00886F32">
      <w:pPr>
        <w:spacing w:after="0" w:line="360" w:lineRule="auto"/>
        <w:ind w:left="720"/>
        <w:jc w:val="both"/>
        <w:rPr>
          <w:rFonts w:eastAsiaTheme="minorEastAsia"/>
          <w:b/>
          <w:bCs/>
          <w:noProof/>
          <w:lang w:val="es-DO"/>
        </w:rPr>
      </w:pPr>
      <w:r w:rsidRPr="007F1A93">
        <w:rPr>
          <w:rFonts w:eastAsiaTheme="minorEastAsia"/>
          <w:b/>
          <w:bCs/>
          <w:noProof/>
          <w:lang w:val="es-DO"/>
        </w:rPr>
        <w:t>Viceministra de Relaciones Institucionales</w:t>
      </w:r>
    </w:p>
    <w:p w14:paraId="71298E35" w14:textId="77777777" w:rsidR="007F1A93" w:rsidRPr="007F1A93" w:rsidRDefault="007F1A93" w:rsidP="00886F32">
      <w:pPr>
        <w:spacing w:after="0" w:line="360" w:lineRule="auto"/>
        <w:ind w:left="720"/>
        <w:jc w:val="both"/>
        <w:rPr>
          <w:rFonts w:eastAsiaTheme="minorEastAsia"/>
          <w:noProof/>
          <w:lang w:val="es-DO"/>
        </w:rPr>
      </w:pPr>
    </w:p>
    <w:p w14:paraId="62417F10" w14:textId="77777777" w:rsidR="007F1A93" w:rsidRPr="007F1A93" w:rsidRDefault="007F1A93" w:rsidP="00886F32">
      <w:pPr>
        <w:spacing w:after="0" w:line="360" w:lineRule="auto"/>
        <w:ind w:left="720"/>
        <w:jc w:val="both"/>
        <w:rPr>
          <w:rFonts w:eastAsiaTheme="minorEastAsia"/>
          <w:noProof/>
          <w:lang w:val="es-DO"/>
        </w:rPr>
      </w:pPr>
      <w:r w:rsidRPr="007F1A93">
        <w:rPr>
          <w:rFonts w:eastAsiaTheme="minorEastAsia"/>
          <w:noProof/>
          <w:lang w:val="es-DO"/>
        </w:rPr>
        <w:t xml:space="preserve">ROGER G. PUJOLS </w:t>
      </w:r>
    </w:p>
    <w:p w14:paraId="05B473BD" w14:textId="0C8D298D" w:rsidR="007F1A93" w:rsidRPr="007F1A93" w:rsidRDefault="007F1A93" w:rsidP="00886F32">
      <w:pPr>
        <w:spacing w:after="0" w:line="360" w:lineRule="auto"/>
        <w:ind w:left="720"/>
        <w:jc w:val="both"/>
        <w:rPr>
          <w:rFonts w:eastAsiaTheme="minorEastAsia"/>
          <w:b/>
          <w:bCs/>
          <w:noProof/>
          <w:lang w:val="es-DO"/>
        </w:rPr>
      </w:pPr>
      <w:r w:rsidRPr="007F1A93">
        <w:rPr>
          <w:rFonts w:eastAsiaTheme="minorEastAsia"/>
          <w:b/>
          <w:bCs/>
          <w:noProof/>
          <w:lang w:val="es-DO"/>
        </w:rPr>
        <w:t>Viceministro de Proyectos Especiales</w:t>
      </w:r>
    </w:p>
    <w:p w14:paraId="76C8D4DA" w14:textId="77777777" w:rsidR="007F1A93" w:rsidRPr="007F1A93" w:rsidRDefault="007F1A93" w:rsidP="00886F32">
      <w:pPr>
        <w:spacing w:after="0" w:line="360" w:lineRule="auto"/>
        <w:ind w:left="720"/>
        <w:jc w:val="both"/>
        <w:rPr>
          <w:rFonts w:eastAsiaTheme="minorEastAsia"/>
          <w:noProof/>
          <w:lang w:val="es-DO"/>
        </w:rPr>
      </w:pPr>
    </w:p>
    <w:p w14:paraId="119A9C12" w14:textId="77777777" w:rsidR="007F1A93" w:rsidRPr="007F1A93" w:rsidRDefault="007F1A93" w:rsidP="00886F32">
      <w:pPr>
        <w:spacing w:after="0" w:line="360" w:lineRule="auto"/>
        <w:ind w:left="720"/>
        <w:jc w:val="both"/>
        <w:rPr>
          <w:rFonts w:eastAsiaTheme="minorEastAsia"/>
          <w:noProof/>
          <w:lang w:val="es-DO"/>
        </w:rPr>
      </w:pPr>
      <w:r w:rsidRPr="007F1A93">
        <w:rPr>
          <w:rFonts w:eastAsiaTheme="minorEastAsia"/>
          <w:noProof/>
          <w:lang w:val="es-DO"/>
        </w:rPr>
        <w:t xml:space="preserve">CAMEL CURI LORA </w:t>
      </w:r>
    </w:p>
    <w:p w14:paraId="73620F2A" w14:textId="77777777" w:rsidR="007F1A93" w:rsidRPr="007F1A93" w:rsidRDefault="007F1A93" w:rsidP="00886F32">
      <w:pPr>
        <w:spacing w:after="0" w:line="360" w:lineRule="auto"/>
        <w:ind w:left="720"/>
        <w:jc w:val="both"/>
        <w:rPr>
          <w:rFonts w:eastAsiaTheme="minorEastAsia"/>
          <w:b/>
          <w:bCs/>
          <w:noProof/>
          <w:lang w:val="es-DO"/>
        </w:rPr>
      </w:pPr>
      <w:r w:rsidRPr="007F1A93">
        <w:rPr>
          <w:rFonts w:eastAsiaTheme="minorEastAsia"/>
          <w:b/>
          <w:bCs/>
          <w:noProof/>
          <w:lang w:val="es-DO"/>
        </w:rPr>
        <w:t>Viceministro de Proyectos de Inversión</w:t>
      </w:r>
      <w:commentRangeEnd w:id="42"/>
      <w:r w:rsidRPr="00C8219D">
        <w:rPr>
          <w:rStyle w:val="CommentReference"/>
        </w:rPr>
        <w:commentReference w:id="42"/>
      </w:r>
    </w:p>
    <w:p w14:paraId="13ECBA0B" w14:textId="77777777" w:rsidR="007F1A93" w:rsidRPr="007F1A93" w:rsidRDefault="007F1A93" w:rsidP="00886F32">
      <w:pPr>
        <w:spacing w:after="0" w:line="360" w:lineRule="auto"/>
        <w:ind w:left="720"/>
        <w:jc w:val="both"/>
        <w:rPr>
          <w:rFonts w:eastAsiaTheme="minorEastAsia"/>
          <w:b/>
          <w:bCs/>
          <w:noProof/>
          <w:lang w:val="es-DO"/>
        </w:rPr>
      </w:pPr>
    </w:p>
    <w:p w14:paraId="7BA9EE2A" w14:textId="77777777" w:rsidR="007F1A93" w:rsidRPr="007F1A93" w:rsidRDefault="007F1A93" w:rsidP="00886F32">
      <w:pPr>
        <w:spacing w:after="0" w:line="360" w:lineRule="auto"/>
        <w:ind w:left="720"/>
        <w:jc w:val="both"/>
        <w:rPr>
          <w:rFonts w:eastAsiaTheme="minorEastAsia"/>
          <w:b/>
          <w:bCs/>
          <w:noProof/>
          <w:lang w:val="es-DO"/>
        </w:rPr>
      </w:pPr>
    </w:p>
    <w:p w14:paraId="4122CDF9" w14:textId="77777777" w:rsidR="007F1A93" w:rsidRPr="007F1A93" w:rsidRDefault="007F1A93" w:rsidP="00886F32">
      <w:pPr>
        <w:spacing w:after="0" w:line="360" w:lineRule="auto"/>
        <w:ind w:left="720"/>
        <w:jc w:val="both"/>
        <w:rPr>
          <w:rFonts w:eastAsiaTheme="minorEastAsia"/>
          <w:b/>
          <w:bCs/>
          <w:noProof/>
          <w:lang w:val="es-DO"/>
        </w:rPr>
      </w:pPr>
    </w:p>
    <w:p w14:paraId="6F44A817" w14:textId="77777777" w:rsidR="007F1A93" w:rsidRPr="007F1A93" w:rsidRDefault="007F1A93" w:rsidP="00886F32">
      <w:pPr>
        <w:spacing w:after="0" w:line="360" w:lineRule="auto"/>
        <w:ind w:left="720"/>
        <w:jc w:val="both"/>
        <w:rPr>
          <w:rFonts w:eastAsiaTheme="minorEastAsia"/>
          <w:b/>
          <w:bCs/>
          <w:noProof/>
          <w:lang w:val="es-DO"/>
        </w:rPr>
      </w:pPr>
    </w:p>
    <w:p w14:paraId="37F16401" w14:textId="77777777" w:rsidR="007F1A93" w:rsidRPr="007F1A93" w:rsidRDefault="007F1A93" w:rsidP="00886F32">
      <w:pPr>
        <w:spacing w:after="0" w:line="360" w:lineRule="auto"/>
        <w:ind w:left="720"/>
        <w:jc w:val="both"/>
        <w:rPr>
          <w:rFonts w:eastAsiaTheme="minorEastAsia"/>
          <w:b/>
          <w:bCs/>
          <w:noProof/>
          <w:lang w:val="es-DO"/>
        </w:rPr>
      </w:pPr>
    </w:p>
    <w:p w14:paraId="429658B3" w14:textId="77777777" w:rsidR="007F1A93" w:rsidRPr="007F1A93" w:rsidRDefault="007F1A93" w:rsidP="00886F32">
      <w:pPr>
        <w:spacing w:after="0" w:line="360" w:lineRule="auto"/>
        <w:ind w:left="720"/>
        <w:jc w:val="both"/>
        <w:rPr>
          <w:rFonts w:eastAsiaTheme="minorEastAsia"/>
          <w:b/>
          <w:bCs/>
          <w:noProof/>
          <w:lang w:val="es-DO"/>
        </w:rPr>
        <w:sectPr w:rsidR="007F1A93" w:rsidRPr="007F1A93" w:rsidSect="00886F32">
          <w:footerReference w:type="default" r:id="rId21"/>
          <w:type w:val="nextColumn"/>
          <w:pgSz w:w="12240" w:h="15840"/>
          <w:pgMar w:top="1440" w:right="2160" w:bottom="1440" w:left="2160" w:header="720" w:footer="720" w:gutter="0"/>
          <w:pgNumType w:start="1"/>
          <w:cols w:space="720"/>
          <w:docGrid w:linePitch="360"/>
        </w:sectPr>
      </w:pPr>
    </w:p>
    <w:p w14:paraId="1CD598CE" w14:textId="3AC1C3CB" w:rsidR="007F1A93" w:rsidRPr="00800B79" w:rsidRDefault="00800B79" w:rsidP="00886F32">
      <w:pPr>
        <w:pStyle w:val="ListParagraph"/>
        <w:numPr>
          <w:ilvl w:val="1"/>
          <w:numId w:val="95"/>
        </w:numPr>
        <w:spacing w:after="0" w:line="360" w:lineRule="auto"/>
        <w:ind w:left="720"/>
        <w:jc w:val="center"/>
        <w:outlineLvl w:val="1"/>
        <w:rPr>
          <w:rFonts w:eastAsia="Calibri"/>
          <w:b/>
          <w:bCs/>
          <w:noProof/>
          <w:color w:val="4C4747"/>
        </w:rPr>
      </w:pPr>
      <w:bookmarkStart w:id="43" w:name="_Toc185843614"/>
      <w:bookmarkStart w:id="44" w:name="_Toc217382608"/>
      <w:r w:rsidRPr="001655F8">
        <w:rPr>
          <w:noProof/>
        </w:rPr>
        <w:lastRenderedPageBreak/>
        <w:drawing>
          <wp:anchor distT="0" distB="0" distL="114300" distR="114300" simplePos="0" relativeHeight="251700224" behindDoc="1" locked="0" layoutInCell="1" allowOverlap="1" wp14:anchorId="334925FA" wp14:editId="65402F44">
            <wp:simplePos x="0" y="0"/>
            <wp:positionH relativeFrom="margin">
              <wp:align>left</wp:align>
            </wp:positionH>
            <wp:positionV relativeFrom="paragraph">
              <wp:posOffset>186117</wp:posOffset>
            </wp:positionV>
            <wp:extent cx="7801830" cy="5144494"/>
            <wp:effectExtent l="0" t="0" r="8890" b="0"/>
            <wp:wrapTight wrapText="bothSides">
              <wp:wrapPolygon edited="0">
                <wp:start x="0" y="0"/>
                <wp:lineTo x="0" y="21517"/>
                <wp:lineTo x="21572" y="21517"/>
                <wp:lineTo x="21572" y="0"/>
                <wp:lineTo x="0" y="0"/>
              </wp:wrapPolygon>
            </wp:wrapTight>
            <wp:docPr id="100067429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4290" name="Picture 1" descr="A diagram of a company&#10;&#10;Description automatically generated"/>
                    <pic:cNvPicPr/>
                  </pic:nvPicPr>
                  <pic:blipFill rotWithShape="1">
                    <a:blip r:embed="rId22">
                      <a:extLst>
                        <a:ext uri="{28A0092B-C50C-407E-A947-70E740481C1C}">
                          <a14:useLocalDpi xmlns:a14="http://schemas.microsoft.com/office/drawing/2010/main" val="0"/>
                        </a:ext>
                      </a:extLst>
                    </a:blip>
                    <a:srcRect l="290" r="1"/>
                    <a:stretch/>
                  </pic:blipFill>
                  <pic:spPr bwMode="auto">
                    <a:xfrm>
                      <a:off x="0" y="0"/>
                      <a:ext cx="7801830" cy="5144494"/>
                    </a:xfrm>
                    <a:prstGeom prst="rect">
                      <a:avLst/>
                    </a:prstGeom>
                    <a:ln>
                      <a:noFill/>
                    </a:ln>
                    <a:extLst>
                      <a:ext uri="{53640926-AAD7-44D8-BBD7-CCE9431645EC}">
                        <a14:shadowObscured xmlns:a14="http://schemas.microsoft.com/office/drawing/2010/main"/>
                      </a:ext>
                    </a:extLst>
                  </pic:spPr>
                </pic:pic>
              </a:graphicData>
            </a:graphic>
          </wp:anchor>
        </w:drawing>
      </w:r>
      <w:r w:rsidR="00D07F65" w:rsidRPr="00800B79">
        <w:rPr>
          <w:rFonts w:eastAsia="Calibri"/>
          <w:b/>
          <w:bCs/>
          <w:noProof/>
          <w:color w:val="4C4747"/>
        </w:rPr>
        <w:t xml:space="preserve"> </w:t>
      </w:r>
      <w:r w:rsidR="007F1A93" w:rsidRPr="00800B79">
        <w:rPr>
          <w:rFonts w:eastAsia="Calibri"/>
          <w:b/>
          <w:bCs/>
          <w:noProof/>
          <w:color w:val="4C4747"/>
        </w:rPr>
        <w:t>Estructura organizativa</w:t>
      </w:r>
      <w:bookmarkEnd w:id="43"/>
      <w:bookmarkEnd w:id="44"/>
    </w:p>
    <w:p w14:paraId="4953DF24" w14:textId="4241CEDA" w:rsidR="007F1A93" w:rsidRPr="00723259" w:rsidRDefault="000753D2" w:rsidP="00886F32">
      <w:pPr>
        <w:spacing w:after="0" w:line="360" w:lineRule="auto"/>
        <w:ind w:left="720"/>
        <w:rPr>
          <w:rFonts w:eastAsiaTheme="minorEastAsia"/>
          <w:b/>
          <w:bCs/>
          <w:noProof/>
          <w:lang w:val="es-DO"/>
        </w:rPr>
      </w:pPr>
      <w:hyperlink r:id="rId23" w:history="1">
        <w:r w:rsidR="00E34659" w:rsidRPr="00324FF4">
          <w:rPr>
            <w:rStyle w:val="Hyperlink"/>
            <w:rFonts w:eastAsiaTheme="minorEastAsia"/>
            <w:b/>
            <w:bCs/>
            <w:noProof/>
            <w:lang w:val="es-DO"/>
          </w:rPr>
          <w:t>https://minpre.gob.do/sobre-nosotros/organigrama/</w:t>
        </w:r>
      </w:hyperlink>
    </w:p>
    <w:p w14:paraId="31A44CC8" w14:textId="77777777" w:rsidR="007F1A93" w:rsidRPr="00723259" w:rsidRDefault="007F1A93" w:rsidP="00886F32">
      <w:pPr>
        <w:spacing w:after="0" w:line="360" w:lineRule="auto"/>
        <w:ind w:left="720"/>
        <w:jc w:val="center"/>
        <w:rPr>
          <w:rFonts w:eastAsiaTheme="minorEastAsia"/>
          <w:b/>
          <w:bCs/>
          <w:noProof/>
          <w:lang w:val="es-DO"/>
        </w:rPr>
        <w:sectPr w:rsidR="007F1A93" w:rsidRPr="00723259" w:rsidSect="00827E05">
          <w:type w:val="nextColumn"/>
          <w:pgSz w:w="15840" w:h="12240" w:orient="landscape"/>
          <w:pgMar w:top="1440" w:right="2160" w:bottom="1440" w:left="2160" w:header="720" w:footer="720" w:gutter="0"/>
          <w:pgNumType w:start="13"/>
          <w:cols w:space="720"/>
          <w:docGrid w:linePitch="360"/>
        </w:sectPr>
      </w:pPr>
    </w:p>
    <w:p w14:paraId="0722734B" w14:textId="196D33D6" w:rsidR="007F1A93" w:rsidRPr="00800B79" w:rsidRDefault="00D07F65" w:rsidP="00886F32">
      <w:pPr>
        <w:pStyle w:val="ListParagraph"/>
        <w:numPr>
          <w:ilvl w:val="1"/>
          <w:numId w:val="95"/>
        </w:numPr>
        <w:spacing w:after="0" w:line="360" w:lineRule="auto"/>
        <w:ind w:left="720"/>
        <w:jc w:val="center"/>
        <w:outlineLvl w:val="1"/>
        <w:rPr>
          <w:rFonts w:eastAsia="Calibri"/>
          <w:b/>
          <w:bCs/>
          <w:noProof/>
          <w:color w:val="4C4747"/>
        </w:rPr>
      </w:pPr>
      <w:bookmarkStart w:id="45" w:name="_Toc185843615"/>
      <w:r w:rsidRPr="00800B79">
        <w:rPr>
          <w:rFonts w:eastAsia="Calibri"/>
          <w:b/>
          <w:bCs/>
          <w:noProof/>
          <w:color w:val="4C4747"/>
        </w:rPr>
        <w:lastRenderedPageBreak/>
        <w:t xml:space="preserve"> </w:t>
      </w:r>
      <w:bookmarkStart w:id="46" w:name="_Toc217382609"/>
      <w:r w:rsidR="007F1A93" w:rsidRPr="00800B79">
        <w:rPr>
          <w:rFonts w:eastAsia="Calibri"/>
          <w:b/>
          <w:bCs/>
          <w:noProof/>
          <w:color w:val="4C4747"/>
        </w:rPr>
        <w:t>Planificación Estratégica Institucional</w:t>
      </w:r>
      <w:bookmarkEnd w:id="45"/>
      <w:bookmarkEnd w:id="46"/>
    </w:p>
    <w:p w14:paraId="48304EE1" w14:textId="77777777" w:rsidR="00E34659" w:rsidRDefault="00E34659" w:rsidP="00886F32">
      <w:pPr>
        <w:spacing w:after="0" w:line="360" w:lineRule="auto"/>
        <w:ind w:left="720"/>
        <w:jc w:val="both"/>
        <w:rPr>
          <w:rFonts w:eastAsia="Calibri"/>
          <w:noProof/>
          <w:color w:val="4C4747"/>
          <w:lang w:val="es-DO"/>
        </w:rPr>
      </w:pPr>
    </w:p>
    <w:p w14:paraId="70B252C0" w14:textId="77777777" w:rsidR="00E34659" w:rsidRDefault="007F1A93" w:rsidP="00886F32">
      <w:pPr>
        <w:spacing w:after="0" w:line="360" w:lineRule="auto"/>
        <w:ind w:left="720"/>
        <w:jc w:val="both"/>
        <w:rPr>
          <w:rFonts w:eastAsia="Calibri"/>
          <w:noProof/>
          <w:color w:val="4C4747"/>
          <w:lang w:val="es-DO"/>
        </w:rPr>
      </w:pPr>
      <w:r w:rsidRPr="00800B79">
        <w:rPr>
          <w:rFonts w:eastAsia="Calibri"/>
          <w:noProof/>
          <w:color w:val="4C4747"/>
          <w:lang w:val="es-DO"/>
        </w:rPr>
        <w:t>Como resultado del arduo trabajo respecto al análisis, planificación, enfoque a resultados y otros, la Dirección de Planificación y Desarrollo en coordinación con las demás áreas del Ministerio de la Presidencia, en el 2021 logró la aprobación del Plan Estratégico Institucional (PEI) 2021-2024 el cual es el instrumento de planificación que plantean una visión estratégica de la institución, además de establecer prioridades, objetivos, metas y requerimientos de recursos de las diversas áreas, que se vincula con el Plan Plurianual del Sector Público (PNPSP), los Objetivos de Desarrollo Sostenible (ODS), la Estrategia Nacional de Desarrollo (END) y la línea de gobierno que ayuda a la consecución de los objetivos planteados.</w:t>
      </w:r>
      <w:r w:rsidR="00477E65" w:rsidRPr="00800B79">
        <w:rPr>
          <w:rFonts w:eastAsia="Calibri"/>
          <w:noProof/>
          <w:color w:val="4C4747"/>
          <w:lang w:val="es-DO"/>
        </w:rPr>
        <w:t>En la actualidad nos encontramos inmersos en actualización de la</w:t>
      </w:r>
      <w:r w:rsidR="00990161" w:rsidRPr="00800B79">
        <w:rPr>
          <w:rFonts w:eastAsia="Calibri"/>
          <w:noProof/>
          <w:color w:val="4C4747"/>
          <w:lang w:val="es-DO"/>
        </w:rPr>
        <w:t xml:space="preserve"> versión 2025- 2028 en cumplimiento con lo establecido en el párrafo del articulo 11 de la Ley 45-25</w:t>
      </w:r>
      <w:r w:rsidR="00325456" w:rsidRPr="00800B79">
        <w:rPr>
          <w:rFonts w:eastAsia="Calibri"/>
          <w:noProof/>
          <w:color w:val="4C4747"/>
          <w:lang w:val="es-DO"/>
        </w:rPr>
        <w:t xml:space="preserve">. </w:t>
      </w:r>
      <w:r w:rsidR="00990161" w:rsidRPr="00800B79">
        <w:rPr>
          <w:rFonts w:eastAsia="Calibri"/>
          <w:noProof/>
          <w:color w:val="4C4747"/>
          <w:lang w:val="es-DO"/>
        </w:rPr>
        <w:t xml:space="preserve"> </w:t>
      </w:r>
    </w:p>
    <w:p w14:paraId="7CA41B55" w14:textId="77777777" w:rsidR="00E34659" w:rsidRDefault="00E34659" w:rsidP="00886F32">
      <w:pPr>
        <w:spacing w:after="0" w:line="360" w:lineRule="auto"/>
        <w:ind w:left="720"/>
        <w:jc w:val="both"/>
        <w:rPr>
          <w:rFonts w:eastAsia="Calibri"/>
          <w:noProof/>
          <w:color w:val="4C4747"/>
          <w:lang w:val="es-DO"/>
        </w:rPr>
      </w:pPr>
    </w:p>
    <w:p w14:paraId="022AB237" w14:textId="041D8C82" w:rsidR="007F1A93" w:rsidRPr="00800B79" w:rsidRDefault="007F1A93" w:rsidP="00886F32">
      <w:pPr>
        <w:spacing w:after="0" w:line="360" w:lineRule="auto"/>
        <w:ind w:left="720"/>
        <w:jc w:val="both"/>
        <w:rPr>
          <w:rFonts w:eastAsia="Calibri"/>
          <w:noProof/>
          <w:color w:val="4C4747"/>
          <w:lang w:val="es-DO"/>
        </w:rPr>
      </w:pPr>
      <w:r w:rsidRPr="00800B79">
        <w:rPr>
          <w:rFonts w:eastAsia="Calibri"/>
          <w:noProof/>
          <w:color w:val="4C4747"/>
          <w:lang w:val="es-DO"/>
        </w:rPr>
        <w:t xml:space="preserve">Este documento traza las pautas estratégicas de la institución y </w:t>
      </w:r>
      <w:r w:rsidR="00325456" w:rsidRPr="00800B79">
        <w:rPr>
          <w:rFonts w:eastAsia="Calibri"/>
          <w:noProof/>
          <w:color w:val="4C4747"/>
          <w:lang w:val="es-DO"/>
        </w:rPr>
        <w:t>sirve de</w:t>
      </w:r>
      <w:r w:rsidRPr="00800B79">
        <w:rPr>
          <w:rFonts w:eastAsia="Calibri"/>
          <w:noProof/>
          <w:color w:val="4C4747"/>
          <w:lang w:val="es-DO"/>
        </w:rPr>
        <w:t xml:space="preserve"> referente para realizar el Plan Operativo Anual, donde se plasman los productos, subproductos y actividades que realizara cada área para la consecución de todo lo planteado.</w:t>
      </w:r>
    </w:p>
    <w:p w14:paraId="6C78FD0F" w14:textId="77777777" w:rsidR="00E34659" w:rsidRDefault="00E34659" w:rsidP="00886F32">
      <w:pPr>
        <w:spacing w:after="0" w:line="360" w:lineRule="auto"/>
        <w:ind w:left="720"/>
        <w:jc w:val="both"/>
        <w:rPr>
          <w:rFonts w:eastAsia="Calibri"/>
          <w:noProof/>
          <w:color w:val="4C4747"/>
          <w:lang w:val="es-DO"/>
        </w:rPr>
      </w:pPr>
    </w:p>
    <w:p w14:paraId="63491607" w14:textId="004EDCCB" w:rsidR="007F1A93" w:rsidRPr="00211DCF" w:rsidRDefault="007F1A93" w:rsidP="00886F32">
      <w:pPr>
        <w:spacing w:after="0" w:line="360" w:lineRule="auto"/>
        <w:ind w:left="720"/>
        <w:jc w:val="both"/>
        <w:rPr>
          <w:rFonts w:eastAsia="Calibri"/>
          <w:noProof/>
          <w:color w:val="4C4747"/>
          <w:lang w:val="es-DO"/>
        </w:rPr>
      </w:pPr>
      <w:r w:rsidRPr="00800B79">
        <w:rPr>
          <w:rFonts w:eastAsia="Calibri"/>
          <w:noProof/>
          <w:color w:val="4C4747"/>
          <w:lang w:val="es-DO"/>
        </w:rPr>
        <w:t>Durante este 202</w:t>
      </w:r>
      <w:r w:rsidR="00325456" w:rsidRPr="00800B79">
        <w:rPr>
          <w:rFonts w:eastAsia="Calibri"/>
          <w:noProof/>
          <w:color w:val="4C4747"/>
          <w:lang w:val="es-DO"/>
        </w:rPr>
        <w:t>5</w:t>
      </w:r>
      <w:r w:rsidRPr="00800B79">
        <w:rPr>
          <w:rFonts w:eastAsia="Calibri"/>
          <w:noProof/>
          <w:color w:val="4C4747"/>
          <w:lang w:val="es-DO"/>
        </w:rPr>
        <w:t>, desde la DPD hemos logrado mantener los niveles de respuesta por parte de las áreas, en términos de monitoreo y control del Plan Operativo Anual (POA) 202</w:t>
      </w:r>
      <w:r w:rsidR="00CB3336" w:rsidRPr="00800B79">
        <w:rPr>
          <w:rFonts w:eastAsia="Calibri"/>
          <w:noProof/>
          <w:color w:val="4C4747"/>
          <w:lang w:val="es-DO"/>
        </w:rPr>
        <w:t>5</w:t>
      </w:r>
      <w:r w:rsidRPr="00800B79">
        <w:rPr>
          <w:rFonts w:eastAsia="Calibri"/>
          <w:noProof/>
          <w:color w:val="4C4747"/>
          <w:lang w:val="es-DO"/>
        </w:rPr>
        <w:t xml:space="preserve"> del Ministerio de la Presidencia, así como elaboración y coordinación del Plan Anual de Compras y Contrataciones (PACC). Esto ha sido el resultado del seguimiento realizado, la introducción de nuevas herramientas para soporte y a la </w:t>
      </w:r>
      <w:r w:rsidRPr="00800B79">
        <w:rPr>
          <w:rFonts w:eastAsia="Calibri"/>
          <w:noProof/>
          <w:color w:val="4C4747"/>
          <w:lang w:val="es-DO"/>
        </w:rPr>
        <w:lastRenderedPageBreak/>
        <w:t>significativa cooperación por parte de todas y cada una de las áreas.</w:t>
      </w:r>
      <w:r w:rsidR="00800B79">
        <w:rPr>
          <w:rFonts w:eastAsia="Calibri"/>
          <w:noProof/>
          <w:color w:val="4C4747"/>
          <w:lang w:val="es-DO"/>
        </w:rPr>
        <w:t xml:space="preserve"> </w:t>
      </w:r>
      <w:r w:rsidRPr="00211DCF">
        <w:rPr>
          <w:rFonts w:eastAsia="Calibri"/>
          <w:noProof/>
          <w:color w:val="4C4747"/>
          <w:lang w:val="es-DO"/>
        </w:rPr>
        <w:t>Lo anteriormente mencionado, también evidencia el importante cambio en la cultura institucional referente a la importancia de la planificación operativa que se viene promoviendo durante los últimos años.</w:t>
      </w:r>
    </w:p>
    <w:p w14:paraId="5E396B73" w14:textId="722CADE3" w:rsidR="00654164" w:rsidRPr="005654BB" w:rsidRDefault="007F1A93" w:rsidP="00886F32">
      <w:pPr>
        <w:pStyle w:val="Heading1"/>
        <w:numPr>
          <w:ilvl w:val="0"/>
          <w:numId w:val="95"/>
        </w:numPr>
        <w:spacing w:before="0"/>
        <w:ind w:left="720"/>
        <w:rPr>
          <w:color w:val="4C4747"/>
          <w:lang w:val="fr-FR"/>
        </w:rPr>
      </w:pPr>
      <w:r w:rsidRPr="00211DCF">
        <w:rPr>
          <w:rFonts w:eastAsia="Calibri"/>
          <w:noProof/>
          <w:color w:val="4C4747"/>
          <w:lang w:val="es-DO"/>
        </w:rPr>
        <w:br w:type="page"/>
      </w:r>
      <w:bookmarkStart w:id="47" w:name="_Toc217382610"/>
      <w:r w:rsidR="00654164" w:rsidRPr="005654BB">
        <w:rPr>
          <w:color w:val="4C4747"/>
          <w:lang w:val="fr-FR"/>
        </w:rPr>
        <w:lastRenderedPageBreak/>
        <w:t>RESULTADOS MISIONALES</w:t>
      </w:r>
      <w:bookmarkEnd w:id="47"/>
    </w:p>
    <w:p w14:paraId="5BDBF66A" w14:textId="77777777" w:rsidR="00654164" w:rsidRPr="005654BB" w:rsidRDefault="00654164" w:rsidP="00886F32">
      <w:pPr>
        <w:spacing w:after="0" w:line="360" w:lineRule="auto"/>
        <w:ind w:left="720"/>
        <w:jc w:val="both"/>
        <w:rPr>
          <w:rFonts w:eastAsia="Calibri"/>
          <w:color w:val="4C4747"/>
          <w:sz w:val="18"/>
          <w:lang w:val="fr-FR"/>
        </w:rPr>
      </w:pPr>
      <w:r w:rsidRPr="0082260F">
        <w:rPr>
          <w:rFonts w:eastAsia="Calibri"/>
          <w:noProof/>
          <w:color w:val="4C4747"/>
          <w:sz w:val="18"/>
          <w:lang w:val="es-DO" w:eastAsia="es-DO"/>
        </w:rPr>
        <mc:AlternateContent>
          <mc:Choice Requires="wps">
            <w:drawing>
              <wp:anchor distT="0" distB="0" distL="114300" distR="114300" simplePos="0" relativeHeight="251642880" behindDoc="0" locked="0" layoutInCell="1" allowOverlap="1" wp14:anchorId="4DF5F78D" wp14:editId="12066107">
                <wp:simplePos x="0" y="0"/>
                <wp:positionH relativeFrom="margin">
                  <wp:align>center</wp:align>
                </wp:positionH>
                <wp:positionV relativeFrom="paragraph">
                  <wp:posOffset>62230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AB826" id="Straight Connector 14" o:spid="_x0000_s1026" style="position:absolute;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pt" to="36.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" strokecolor="#ee2a24" strokeweight="2.25pt">
                <v:stroke joinstyle="miter"/>
                <w10:wrap anchorx="margin"/>
              </v:line>
            </w:pict>
          </mc:Fallback>
        </mc:AlternateContent>
      </w:r>
    </w:p>
    <w:p w14:paraId="38838488" w14:textId="2C0A1D85" w:rsidR="00654164" w:rsidRDefault="00654164" w:rsidP="00886F32">
      <w:pPr>
        <w:spacing w:after="0" w:line="360" w:lineRule="auto"/>
        <w:ind w:left="720"/>
        <w:jc w:val="center"/>
        <w:rPr>
          <w:rFonts w:eastAsia="Calibri"/>
          <w:color w:val="4C4747"/>
          <w:szCs w:val="36"/>
          <w:lang w:val="fr-FR"/>
        </w:rPr>
      </w:pPr>
      <w:r w:rsidRPr="005654BB">
        <w:rPr>
          <w:rFonts w:eastAsia="Calibri"/>
          <w:color w:val="4C4747"/>
          <w:szCs w:val="36"/>
          <w:lang w:val="fr-FR"/>
        </w:rPr>
        <w:t xml:space="preserve">Memoria </w:t>
      </w:r>
      <w:r w:rsidR="00D837AC" w:rsidRPr="005654BB">
        <w:rPr>
          <w:rFonts w:eastAsia="Calibri"/>
          <w:color w:val="4C4747"/>
          <w:szCs w:val="36"/>
          <w:lang w:val="fr-FR"/>
        </w:rPr>
        <w:t>I</w:t>
      </w:r>
      <w:r w:rsidRPr="005654BB">
        <w:rPr>
          <w:rFonts w:eastAsia="Calibri"/>
          <w:color w:val="4C4747"/>
          <w:szCs w:val="36"/>
          <w:lang w:val="fr-FR"/>
        </w:rPr>
        <w:t xml:space="preserve">nstitucional </w:t>
      </w:r>
      <w:r w:rsidR="000025D4" w:rsidRPr="005654BB">
        <w:rPr>
          <w:rFonts w:eastAsia="Calibri"/>
          <w:color w:val="4C4747"/>
          <w:szCs w:val="36"/>
          <w:lang w:val="fr-FR"/>
        </w:rPr>
        <w:t>20</w:t>
      </w:r>
      <w:r w:rsidR="00A5647B" w:rsidRPr="005654BB">
        <w:rPr>
          <w:rFonts w:eastAsia="Calibri"/>
          <w:color w:val="4C4747"/>
          <w:szCs w:val="36"/>
          <w:lang w:val="fr-FR"/>
        </w:rPr>
        <w:t>25</w:t>
      </w:r>
    </w:p>
    <w:p w14:paraId="7A8B8991" w14:textId="77777777" w:rsidR="002E7C77" w:rsidRPr="005654BB" w:rsidRDefault="002E7C77" w:rsidP="00886F32">
      <w:pPr>
        <w:spacing w:after="0" w:line="360" w:lineRule="auto"/>
        <w:ind w:left="720"/>
        <w:jc w:val="center"/>
        <w:rPr>
          <w:rFonts w:eastAsia="Calibri"/>
          <w:color w:val="4C4747"/>
          <w:szCs w:val="36"/>
          <w:lang w:val="fr-FR"/>
        </w:rPr>
      </w:pPr>
    </w:p>
    <w:p w14:paraId="4B7EAEEE" w14:textId="77B9ACC0" w:rsidR="006B674B" w:rsidRPr="006B674B" w:rsidRDefault="00A959FA" w:rsidP="00886F32">
      <w:pPr>
        <w:pStyle w:val="Heading2"/>
        <w:numPr>
          <w:ilvl w:val="1"/>
          <w:numId w:val="95"/>
        </w:numPr>
        <w:spacing w:before="0" w:line="360" w:lineRule="auto"/>
        <w:ind w:left="720"/>
        <w:jc w:val="center"/>
        <w:rPr>
          <w:b/>
          <w:bCs/>
          <w:color w:val="767171"/>
          <w:lang w:val="es-DO"/>
        </w:rPr>
      </w:pPr>
      <w:bookmarkStart w:id="48" w:name="_Toc185843617"/>
      <w:r>
        <w:rPr>
          <w:b/>
          <w:bCs/>
          <w:color w:val="767171"/>
          <w:lang w:val="es-DO"/>
        </w:rPr>
        <w:t xml:space="preserve"> </w:t>
      </w:r>
      <w:bookmarkStart w:id="49" w:name="_Toc217382611"/>
      <w:r w:rsidR="006B674B" w:rsidRPr="002E7C77">
        <w:rPr>
          <w:rFonts w:eastAsia="Calibri" w:cs="Times New Roman"/>
          <w:b/>
          <w:bCs/>
          <w:noProof/>
          <w:color w:val="4C4747"/>
          <w:szCs w:val="24"/>
          <w:lang w:val="es-DO"/>
        </w:rPr>
        <w:t>Viceministerio de Monitoreo y Coordinación Gubernamental (Seguimiento y Coordinación Gubernamental)</w:t>
      </w:r>
      <w:bookmarkEnd w:id="48"/>
      <w:bookmarkEnd w:id="49"/>
    </w:p>
    <w:p w14:paraId="325C991E" w14:textId="77777777" w:rsidR="00D837AC" w:rsidRPr="006B674B" w:rsidRDefault="00D837AC" w:rsidP="00886F32">
      <w:pPr>
        <w:spacing w:after="0" w:line="360" w:lineRule="auto"/>
        <w:ind w:left="720"/>
        <w:jc w:val="center"/>
        <w:rPr>
          <w:rFonts w:eastAsia="Calibri"/>
          <w:color w:val="4C4747"/>
          <w:szCs w:val="36"/>
          <w:lang w:val="es-DO"/>
        </w:rPr>
      </w:pPr>
    </w:p>
    <w:p w14:paraId="209C3136" w14:textId="77777777" w:rsidR="0057225C" w:rsidRDefault="0057225C" w:rsidP="00886F32">
      <w:pPr>
        <w:spacing w:after="0" w:line="360" w:lineRule="auto"/>
        <w:ind w:left="720"/>
        <w:jc w:val="both"/>
        <w:rPr>
          <w:rFonts w:eastAsia="Calibri"/>
          <w:noProof/>
          <w:color w:val="4C4747"/>
          <w:lang w:val="es-DO"/>
        </w:rPr>
      </w:pPr>
      <w:r w:rsidRPr="0057225C">
        <w:rPr>
          <w:rFonts w:eastAsia="Calibri"/>
          <w:noProof/>
          <w:color w:val="4C4747"/>
          <w:lang w:val="es-DO"/>
        </w:rPr>
        <w:t>El viceministerio de Monitoreo y Coordinación Gubernamental inscribe su accionar en adherencia a la normativa vigente y a</w:t>
      </w:r>
      <w:r>
        <w:rPr>
          <w:rFonts w:eastAsia="Calibri"/>
          <w:noProof/>
          <w:color w:val="4C4747"/>
          <w:lang w:val="es-DO"/>
        </w:rPr>
        <w:t xml:space="preserve"> </w:t>
      </w:r>
      <w:r w:rsidRPr="0057225C">
        <w:rPr>
          <w:rFonts w:eastAsia="Calibri"/>
          <w:noProof/>
          <w:color w:val="4C4747"/>
          <w:lang w:val="es-DO"/>
        </w:rPr>
        <w:t>l</w:t>
      </w:r>
      <w:r>
        <w:rPr>
          <w:rFonts w:eastAsia="Calibri"/>
          <w:noProof/>
          <w:color w:val="4C4747"/>
          <w:lang w:val="es-DO"/>
        </w:rPr>
        <w:t>os planes institucionales</w:t>
      </w:r>
      <w:r w:rsidRPr="0057225C">
        <w:rPr>
          <w:rFonts w:eastAsia="Calibri"/>
          <w:noProof/>
          <w:color w:val="4C4747"/>
          <w:lang w:val="es-DO"/>
        </w:rPr>
        <w:t>, lo cual nos ha permitido alcanzar grandes logros durante este 202</w:t>
      </w:r>
      <w:r>
        <w:rPr>
          <w:rFonts w:eastAsia="Calibri"/>
          <w:noProof/>
          <w:color w:val="4C4747"/>
          <w:lang w:val="es-DO"/>
        </w:rPr>
        <w:t>5</w:t>
      </w:r>
      <w:r w:rsidRPr="0057225C">
        <w:rPr>
          <w:rFonts w:eastAsia="Calibri"/>
          <w:noProof/>
          <w:color w:val="4C4747"/>
          <w:lang w:val="es-DO"/>
        </w:rPr>
        <w:t>, los cuales detallamos a continuación</w:t>
      </w:r>
      <w:r>
        <w:rPr>
          <w:rFonts w:eastAsia="Calibri"/>
          <w:noProof/>
          <w:color w:val="4C4747"/>
          <w:lang w:val="es-DO"/>
        </w:rPr>
        <w:t>:</w:t>
      </w:r>
    </w:p>
    <w:p w14:paraId="18FCAFD0" w14:textId="77777777" w:rsidR="00E34659" w:rsidRDefault="00E34659" w:rsidP="00886F32">
      <w:pPr>
        <w:spacing w:after="0" w:line="360" w:lineRule="auto"/>
        <w:ind w:left="720"/>
        <w:jc w:val="both"/>
        <w:rPr>
          <w:rFonts w:eastAsia="Calibri"/>
          <w:noProof/>
          <w:color w:val="4C4747"/>
          <w:lang w:val="es-DO"/>
        </w:rPr>
      </w:pPr>
    </w:p>
    <w:p w14:paraId="45BBC012" w14:textId="77777777" w:rsidR="00A87FCF" w:rsidRPr="00A87FCF" w:rsidRDefault="00A87FCF" w:rsidP="00886F32">
      <w:pPr>
        <w:pStyle w:val="NormalWeb"/>
        <w:numPr>
          <w:ilvl w:val="0"/>
          <w:numId w:val="85"/>
        </w:numPr>
        <w:spacing w:before="0" w:beforeAutospacing="0" w:after="0" w:afterAutospacing="0" w:line="360" w:lineRule="auto"/>
        <w:jc w:val="both"/>
        <w:rPr>
          <w:rFonts w:eastAsia="Calibri"/>
          <w:noProof/>
          <w:color w:val="4C4747"/>
          <w:spacing w:val="20"/>
          <w:lang w:eastAsia="en-US"/>
        </w:rPr>
      </w:pPr>
      <w:r w:rsidRPr="00A87FCF">
        <w:rPr>
          <w:rFonts w:eastAsia="Calibri"/>
          <w:b/>
          <w:bCs/>
          <w:noProof/>
          <w:color w:val="4C4747"/>
          <w:spacing w:val="20"/>
          <w:lang w:eastAsia="en-US"/>
        </w:rPr>
        <w:t>Fortalecimiento de capacidades en unidades de entrega:</w:t>
      </w:r>
      <w:r>
        <w:rPr>
          <w:rFonts w:eastAsia="Calibri"/>
          <w:noProof/>
          <w:color w:val="4C4747"/>
          <w:spacing w:val="20"/>
          <w:lang w:eastAsia="en-US"/>
        </w:rPr>
        <w:t xml:space="preserve"> </w:t>
      </w:r>
      <w:r w:rsidRPr="00A87FCF">
        <w:rPr>
          <w:rFonts w:eastAsia="Calibri"/>
          <w:noProof/>
          <w:color w:val="4C4747"/>
          <w:spacing w:val="20"/>
          <w:lang w:eastAsia="en-US"/>
        </w:rPr>
        <w:t>Más de 50 colaboradores pertenecientes a los sectores de Educación, MESCyT, Energía, Agua–Vivienda, Salud y Seguridad, fortalecieron sus capacidades técnicas a traves del taller de Unidades de Entrega impartido por el Banco Interamericano de Desarrollo (BID), con la finalidad de  unificar criterios metodológicos y reforzar la articulación interinstitucional para el seguimiento eficiente y transparente de los proyectos priorizados.</w:t>
      </w:r>
    </w:p>
    <w:p w14:paraId="4EC4396C" w14:textId="77777777" w:rsidR="00A87FCF" w:rsidRDefault="00A87FCF" w:rsidP="00886F32">
      <w:pPr>
        <w:pStyle w:val="NormalWeb"/>
        <w:numPr>
          <w:ilvl w:val="0"/>
          <w:numId w:val="85"/>
        </w:numPr>
        <w:spacing w:before="0" w:beforeAutospacing="0" w:after="0" w:afterAutospacing="0" w:line="360" w:lineRule="auto"/>
        <w:jc w:val="both"/>
        <w:rPr>
          <w:rFonts w:eastAsia="Calibri"/>
          <w:noProof/>
          <w:color w:val="4C4747"/>
          <w:spacing w:val="20"/>
          <w:lang w:eastAsia="en-US"/>
        </w:rPr>
      </w:pPr>
      <w:r w:rsidRPr="00A87FCF">
        <w:rPr>
          <w:rFonts w:eastAsia="Calibri"/>
          <w:b/>
          <w:bCs/>
          <w:noProof/>
          <w:color w:val="4C4747"/>
          <w:spacing w:val="20"/>
          <w:lang w:eastAsia="en-US"/>
        </w:rPr>
        <w:t>Gobierno en las Provincias:</w:t>
      </w:r>
      <w:r>
        <w:rPr>
          <w:rFonts w:eastAsia="Calibri"/>
          <w:noProof/>
          <w:color w:val="4C4747"/>
          <w:spacing w:val="20"/>
          <w:lang w:eastAsia="en-US"/>
        </w:rPr>
        <w:t xml:space="preserve"> Coordinacion de </w:t>
      </w:r>
      <w:r w:rsidRPr="00A87FCF">
        <w:rPr>
          <w:rFonts w:eastAsia="Calibri"/>
          <w:noProof/>
          <w:color w:val="4C4747"/>
          <w:spacing w:val="20"/>
          <w:lang w:eastAsia="en-US"/>
        </w:rPr>
        <w:t>cuatro jornadas</w:t>
      </w:r>
      <w:r w:rsidRPr="00E31FF6">
        <w:rPr>
          <w:rFonts w:eastAsia="Calibri"/>
          <w:noProof/>
          <w:color w:val="4C4747"/>
          <w:spacing w:val="20"/>
          <w:lang w:eastAsia="en-US"/>
        </w:rPr>
        <w:t xml:space="preserve"> </w:t>
      </w:r>
      <w:r w:rsidRPr="00A87FCF">
        <w:rPr>
          <w:rFonts w:eastAsia="Calibri"/>
          <w:noProof/>
          <w:color w:val="4C4747"/>
          <w:spacing w:val="20"/>
          <w:lang w:eastAsia="en-US"/>
        </w:rPr>
        <w:t xml:space="preserve">con participación directa de los titulares institucionales y representantes provinciales, abarcando las 32 provincias del país para consolidar un mecanismo de interacción y retroalimentación estructurada con las autoridades locales, validando avances y priorizando acciones en desarrollo. </w:t>
      </w:r>
    </w:p>
    <w:p w14:paraId="14BBEAD1" w14:textId="77777777" w:rsidR="00AB4946" w:rsidRDefault="00AB4946" w:rsidP="00AB4946">
      <w:pPr>
        <w:pStyle w:val="NormalWeb"/>
        <w:spacing w:before="0" w:beforeAutospacing="0" w:after="0" w:afterAutospacing="0" w:line="360" w:lineRule="auto"/>
        <w:ind w:left="720"/>
        <w:jc w:val="both"/>
        <w:rPr>
          <w:rFonts w:eastAsia="Calibri"/>
          <w:noProof/>
          <w:color w:val="4C4747"/>
          <w:spacing w:val="20"/>
          <w:lang w:eastAsia="en-US"/>
        </w:rPr>
      </w:pPr>
    </w:p>
    <w:p w14:paraId="4A16B182" w14:textId="45D1939C" w:rsidR="00A87FCF" w:rsidRPr="003F7914" w:rsidRDefault="003F7914" w:rsidP="00886F32">
      <w:pPr>
        <w:spacing w:after="0" w:line="360" w:lineRule="auto"/>
        <w:ind w:left="720"/>
        <w:rPr>
          <w:b/>
          <w:bCs/>
          <w:color w:val="4C4747"/>
          <w:lang w:val="es-DO"/>
        </w:rPr>
      </w:pPr>
      <w:bookmarkStart w:id="50" w:name="_Toc216197645"/>
      <w:r w:rsidRPr="003F7914">
        <w:rPr>
          <w:b/>
          <w:bCs/>
          <w:color w:val="4C4747"/>
          <w:lang w:val="es-DO"/>
        </w:rPr>
        <w:lastRenderedPageBreak/>
        <w:t>Coordinación y Seguimiento a la Ejecución de las Prioridades e Infraestructura</w:t>
      </w:r>
      <w:bookmarkEnd w:id="50"/>
    </w:p>
    <w:p w14:paraId="3F00650C" w14:textId="77777777" w:rsidR="00A87FCF" w:rsidRPr="00A87FCF" w:rsidRDefault="00A87FCF" w:rsidP="00886F32">
      <w:pPr>
        <w:pStyle w:val="NormalWeb"/>
        <w:numPr>
          <w:ilvl w:val="0"/>
          <w:numId w:val="85"/>
        </w:numPr>
        <w:spacing w:before="0" w:beforeAutospacing="0" w:after="0" w:afterAutospacing="0" w:line="360" w:lineRule="auto"/>
        <w:jc w:val="both"/>
        <w:rPr>
          <w:rFonts w:eastAsia="Calibri"/>
          <w:noProof/>
          <w:color w:val="4C4747"/>
          <w:spacing w:val="20"/>
          <w:lang w:eastAsia="en-US"/>
        </w:rPr>
      </w:pPr>
      <w:r w:rsidRPr="003F7914">
        <w:rPr>
          <w:rFonts w:eastAsia="Calibri"/>
          <w:b/>
          <w:bCs/>
          <w:noProof/>
          <w:color w:val="4C4747"/>
          <w:spacing w:val="20"/>
          <w:lang w:eastAsia="en-US"/>
        </w:rPr>
        <w:t>Pataforma GestiónRD:</w:t>
      </w:r>
      <w:r>
        <w:rPr>
          <w:rFonts w:eastAsia="Calibri"/>
          <w:noProof/>
          <w:color w:val="4C4747"/>
          <w:spacing w:val="20"/>
          <w:lang w:eastAsia="en-US"/>
        </w:rPr>
        <w:t xml:space="preserve"> </w:t>
      </w:r>
      <w:r w:rsidRPr="00A87FCF">
        <w:rPr>
          <w:rFonts w:eastAsia="Calibri"/>
          <w:noProof/>
          <w:color w:val="4C4747"/>
          <w:spacing w:val="20"/>
          <w:lang w:eastAsia="en-US"/>
        </w:rPr>
        <w:t>En coordinación con el Ministerio Administrativo de la Presidencia se diseñó una versi</w:t>
      </w:r>
      <w:bookmarkStart w:id="51" w:name="_Hlk215848764"/>
      <w:r w:rsidRPr="00A87FCF">
        <w:rPr>
          <w:rFonts w:eastAsia="Calibri"/>
          <w:noProof/>
          <w:color w:val="4C4747"/>
          <w:spacing w:val="20"/>
          <w:lang w:eastAsia="en-US"/>
        </w:rPr>
        <w:t>ó</w:t>
      </w:r>
      <w:bookmarkEnd w:id="51"/>
      <w:r w:rsidRPr="00A87FCF">
        <w:rPr>
          <w:rFonts w:eastAsia="Calibri"/>
          <w:noProof/>
          <w:color w:val="4C4747"/>
          <w:spacing w:val="20"/>
          <w:lang w:eastAsia="en-US"/>
        </w:rPr>
        <w:t>n más accesible, simple y funcional, que facilita a las instituciones la carga y estandarización de la información de sus proyectos. Como parte de este proceso, se han recibido 1,214 proyectos en ejecución, mientras que 2,371 proyectos concluidos se encuentran en proceso de verificación, para un total de 3,585 proyectos que serán integrados de manera definitiva en la plataforma.</w:t>
      </w:r>
    </w:p>
    <w:p w14:paraId="0D315DCC" w14:textId="77777777" w:rsidR="00A87FCF" w:rsidRPr="009237B0" w:rsidRDefault="00A87FCF" w:rsidP="00886F32">
      <w:pPr>
        <w:pStyle w:val="ListParagraph"/>
        <w:numPr>
          <w:ilvl w:val="0"/>
          <w:numId w:val="85"/>
        </w:numPr>
        <w:spacing w:after="0" w:line="360" w:lineRule="auto"/>
        <w:jc w:val="both"/>
        <w:rPr>
          <w:rFonts w:eastAsia="Calibri"/>
          <w:noProof/>
          <w:color w:val="4C4747"/>
        </w:rPr>
      </w:pPr>
      <w:r w:rsidRPr="003F7914">
        <w:rPr>
          <w:rFonts w:eastAsia="Calibri"/>
          <w:b/>
          <w:bCs/>
          <w:noProof/>
          <w:color w:val="4C4747"/>
        </w:rPr>
        <w:t>Proyecto conexiones intradomiciliarias:</w:t>
      </w:r>
      <w:r w:rsidRPr="009237B0">
        <w:rPr>
          <w:rFonts w:eastAsia="Calibri"/>
          <w:noProof/>
          <w:color w:val="4C4747"/>
        </w:rPr>
        <w:t xml:space="preserve"> </w:t>
      </w:r>
      <w:r w:rsidRPr="00A87FCF">
        <w:rPr>
          <w:rFonts w:eastAsia="Calibri"/>
          <w:noProof/>
          <w:color w:val="4C4747"/>
        </w:rPr>
        <w:t xml:space="preserve">Desde febrero de 2025 con el Ministerio de Vivienda y Edificaciones (MIVED) como institución ejecutora en coordinación con el Instituto Nacional de Agua Potable y Alcantarillados (INAPA), la Corporación de Acueducto y Alcantarillado de Santo Domingo (CAASD) y el Ministerio de la Presidencia (MINPRE) se ejecutó este proyecto con el objetivo de reducir el déficit habitacional interviniendo 20 viviendas en el Prado y La Bombita, en la provincia de Azua. </w:t>
      </w:r>
    </w:p>
    <w:p w14:paraId="39E805D2" w14:textId="77777777" w:rsidR="00A87FCF" w:rsidRDefault="00A87FCF" w:rsidP="00886F32">
      <w:pPr>
        <w:pStyle w:val="ListParagraph"/>
        <w:numPr>
          <w:ilvl w:val="0"/>
          <w:numId w:val="85"/>
        </w:numPr>
        <w:spacing w:after="0" w:line="360" w:lineRule="auto"/>
        <w:jc w:val="both"/>
        <w:rPr>
          <w:rFonts w:eastAsia="Calibri"/>
          <w:noProof/>
          <w:color w:val="4C4747"/>
        </w:rPr>
      </w:pPr>
      <w:r w:rsidRPr="003F7914">
        <w:rPr>
          <w:rFonts w:eastAsia="Calibri"/>
          <w:b/>
          <w:bCs/>
          <w:noProof/>
          <w:color w:val="4C4747"/>
        </w:rPr>
        <w:t>Presentaciones de logros por provincias:</w:t>
      </w:r>
      <w:r w:rsidRPr="009237B0">
        <w:rPr>
          <w:rFonts w:eastAsia="Calibri"/>
          <w:noProof/>
          <w:color w:val="4C4747"/>
        </w:rPr>
        <w:t xml:space="preserve"> </w:t>
      </w:r>
      <w:r w:rsidRPr="00A87FCF">
        <w:rPr>
          <w:rFonts w:eastAsia="Calibri"/>
          <w:noProof/>
          <w:color w:val="4C4747"/>
        </w:rPr>
        <w:t>En coordinación con las unidades ejecutoras se han reportado datos que impactan las 32 provincias y el distrito nacional asociados a las metas priorizadas: salud, seguridad, déficit cualitativo, clase media, crecimiento económico,  empleo formal, educación y desarrollo rural. De igual forma, se incluyen los proyectos en proceso y terminados.</w:t>
      </w:r>
      <w:r w:rsidRPr="009237B0">
        <w:rPr>
          <w:rFonts w:eastAsia="Calibri"/>
          <w:noProof/>
          <w:color w:val="4C4747"/>
        </w:rPr>
        <w:t xml:space="preserve"> </w:t>
      </w:r>
    </w:p>
    <w:p w14:paraId="09885971" w14:textId="77777777" w:rsidR="00A87FCF" w:rsidRPr="00B41DAC" w:rsidRDefault="00A87FCF" w:rsidP="00886F32">
      <w:pPr>
        <w:pStyle w:val="ListParagraph"/>
        <w:numPr>
          <w:ilvl w:val="0"/>
          <w:numId w:val="85"/>
        </w:numPr>
        <w:spacing w:after="0" w:line="360" w:lineRule="auto"/>
        <w:jc w:val="both"/>
        <w:rPr>
          <w:rFonts w:eastAsia="Calibri"/>
          <w:noProof/>
          <w:color w:val="4C4747"/>
        </w:rPr>
      </w:pPr>
      <w:r w:rsidRPr="003F7914">
        <w:rPr>
          <w:rFonts w:eastAsia="Calibri"/>
          <w:b/>
          <w:bCs/>
          <w:noProof/>
          <w:color w:val="4C4747"/>
        </w:rPr>
        <w:t>Jornada de Articulación:</w:t>
      </w:r>
      <w:r w:rsidRPr="00A87FCF">
        <w:rPr>
          <w:rFonts w:eastAsia="Calibri"/>
          <w:noProof/>
          <w:color w:val="4C4747"/>
        </w:rPr>
        <w:t xml:space="preserve"> Acciones de Gobierno 2026:</w:t>
      </w:r>
      <w:r w:rsidRPr="000C06D4">
        <w:rPr>
          <w:rFonts w:eastAsia="Calibri"/>
          <w:noProof/>
          <w:color w:val="4C4747"/>
        </w:rPr>
        <w:t xml:space="preserve"> </w:t>
      </w:r>
      <w:r w:rsidRPr="00A87FCF">
        <w:rPr>
          <w:rFonts w:eastAsia="Calibri"/>
          <w:noProof/>
          <w:color w:val="4C4747"/>
        </w:rPr>
        <w:t xml:space="preserve">Esta jornada se coordina con el apoyo del Banco Interamericano de Desarrollo (BID) y contempla la participación de las máximas autoridades </w:t>
      </w:r>
      <w:r w:rsidRPr="00A87FCF">
        <w:rPr>
          <w:rFonts w:eastAsia="Calibri"/>
          <w:noProof/>
          <w:color w:val="4C4747"/>
        </w:rPr>
        <w:lastRenderedPageBreak/>
        <w:t>de más de 75 instituciones del sector público propiciar un proceso nacional anual de priorización y articulación de metas estratégicas del gobierno para el 2026. En octubre del 2025, se realizó el momento uno donde las Asociaciones sin Fines de Lucro que trabajan en los sectores de mujer, niñez y envejecientes, con el objetivo de recoger las principales problemáticas que afectan a las poblaciones atendidas por estas organizaciones.</w:t>
      </w:r>
      <w:r w:rsidRPr="00B41DAC">
        <w:rPr>
          <w:rFonts w:eastAsia="Calibri"/>
          <w:noProof/>
          <w:color w:val="4C4747"/>
        </w:rPr>
        <w:t xml:space="preserve"> </w:t>
      </w:r>
    </w:p>
    <w:p w14:paraId="118F67C9" w14:textId="77777777" w:rsidR="00B0636C" w:rsidRDefault="00B0636C" w:rsidP="00886F32">
      <w:pPr>
        <w:spacing w:after="0" w:line="360" w:lineRule="auto"/>
        <w:ind w:left="720"/>
        <w:rPr>
          <w:b/>
          <w:bCs/>
          <w:color w:val="4C4747"/>
          <w:lang w:val="es-DO"/>
        </w:rPr>
      </w:pPr>
      <w:bookmarkStart w:id="52" w:name="_Toc216197646"/>
    </w:p>
    <w:p w14:paraId="6AE422FC" w14:textId="13ED4C28" w:rsidR="00A87FCF" w:rsidRPr="003F7914" w:rsidRDefault="003F7914" w:rsidP="00886F32">
      <w:pPr>
        <w:spacing w:after="0" w:line="360" w:lineRule="auto"/>
        <w:ind w:left="720"/>
        <w:rPr>
          <w:b/>
          <w:bCs/>
          <w:color w:val="4C4747"/>
          <w:lang w:val="es-DO"/>
        </w:rPr>
      </w:pPr>
      <w:r w:rsidRPr="003F7914">
        <w:rPr>
          <w:b/>
          <w:bCs/>
          <w:color w:val="4C4747"/>
          <w:lang w:val="es-DO"/>
        </w:rPr>
        <w:t xml:space="preserve">Coordinación </w:t>
      </w:r>
      <w:r>
        <w:rPr>
          <w:b/>
          <w:bCs/>
          <w:color w:val="4C4747"/>
          <w:lang w:val="es-DO"/>
        </w:rPr>
        <w:t>y</w:t>
      </w:r>
      <w:r w:rsidRPr="003F7914">
        <w:rPr>
          <w:b/>
          <w:bCs/>
          <w:color w:val="4C4747"/>
          <w:lang w:val="es-DO"/>
        </w:rPr>
        <w:t xml:space="preserve"> Seguimiento </w:t>
      </w:r>
      <w:r>
        <w:rPr>
          <w:b/>
          <w:bCs/>
          <w:color w:val="4C4747"/>
          <w:lang w:val="es-DO"/>
        </w:rPr>
        <w:t>a</w:t>
      </w:r>
      <w:r w:rsidRPr="003F7914">
        <w:rPr>
          <w:b/>
          <w:bCs/>
          <w:color w:val="4C4747"/>
          <w:lang w:val="es-DO"/>
        </w:rPr>
        <w:t xml:space="preserve"> </w:t>
      </w:r>
      <w:r>
        <w:rPr>
          <w:b/>
          <w:bCs/>
          <w:color w:val="4C4747"/>
          <w:lang w:val="es-DO"/>
        </w:rPr>
        <w:t>l</w:t>
      </w:r>
      <w:r w:rsidRPr="003F7914">
        <w:rPr>
          <w:b/>
          <w:bCs/>
          <w:color w:val="4C4747"/>
          <w:lang w:val="es-DO"/>
        </w:rPr>
        <w:t xml:space="preserve">a Ejecución </w:t>
      </w:r>
      <w:r>
        <w:rPr>
          <w:b/>
          <w:bCs/>
          <w:color w:val="4C4747"/>
          <w:lang w:val="es-DO"/>
        </w:rPr>
        <w:t>d</w:t>
      </w:r>
      <w:r w:rsidRPr="003F7914">
        <w:rPr>
          <w:b/>
          <w:bCs/>
          <w:color w:val="4C4747"/>
          <w:lang w:val="es-DO"/>
        </w:rPr>
        <w:t>e Las Prioridades De Educación</w:t>
      </w:r>
      <w:bookmarkEnd w:id="52"/>
    </w:p>
    <w:p w14:paraId="39528194" w14:textId="4C7089C3" w:rsidR="00A87FCF" w:rsidRPr="00A87FCF" w:rsidRDefault="00A87FCF" w:rsidP="00886F32">
      <w:pPr>
        <w:spacing w:after="0" w:line="360" w:lineRule="auto"/>
        <w:ind w:left="720"/>
        <w:jc w:val="both"/>
        <w:rPr>
          <w:rFonts w:eastAsia="Calibri"/>
          <w:noProof/>
          <w:color w:val="4C4747"/>
          <w:lang w:val="es-DO"/>
        </w:rPr>
      </w:pPr>
      <w:r w:rsidRPr="00B8086E">
        <w:rPr>
          <w:rFonts w:eastAsia="Calibri"/>
          <w:b/>
          <w:bCs/>
          <w:noProof/>
          <w:color w:val="4C4747"/>
          <w:lang w:val="es-DO"/>
        </w:rPr>
        <w:t>Acompañamiento Técnico para la Planificación Estratégica del Nivel Secundario</w:t>
      </w:r>
      <w:r w:rsidR="00B8086E">
        <w:rPr>
          <w:rFonts w:eastAsia="Calibri"/>
          <w:b/>
          <w:bCs/>
          <w:noProof/>
          <w:color w:val="4C4747"/>
          <w:lang w:val="es-DO"/>
        </w:rPr>
        <w:t xml:space="preserve">: </w:t>
      </w:r>
      <w:r w:rsidRPr="00A87FCF">
        <w:rPr>
          <w:rFonts w:eastAsia="Calibri"/>
          <w:noProof/>
          <w:color w:val="4C4747"/>
          <w:lang w:val="es-DO"/>
        </w:rPr>
        <w:t>En apoyo al Viceministerio de Asuntos Técnicos y Pedagógicos del MINERD, específicamente a la Dirección del Nivel Secundario, se proporcionó asistencia técnica especializada para la construcción de la Estructura de Desglose de Trabajo y los cronogramas asociados a las siguientes metas:</w:t>
      </w:r>
    </w:p>
    <w:p w14:paraId="2D41E44E" w14:textId="77777777" w:rsidR="00A87FCF" w:rsidRPr="00A87FCF" w:rsidRDefault="00A87FCF" w:rsidP="00886F32">
      <w:pPr>
        <w:numPr>
          <w:ilvl w:val="0"/>
          <w:numId w:val="80"/>
        </w:numPr>
        <w:tabs>
          <w:tab w:val="clear" w:pos="720"/>
          <w:tab w:val="num" w:pos="360"/>
        </w:tabs>
        <w:spacing w:after="0" w:line="360" w:lineRule="auto"/>
        <w:jc w:val="both"/>
        <w:rPr>
          <w:rFonts w:eastAsia="Calibri"/>
          <w:noProof/>
          <w:color w:val="4C4747"/>
          <w:lang w:val="es-DO"/>
        </w:rPr>
      </w:pPr>
      <w:r w:rsidRPr="00A87FCF">
        <w:rPr>
          <w:rFonts w:eastAsia="Calibri"/>
          <w:noProof/>
          <w:color w:val="4C4747"/>
          <w:lang w:val="es-DO"/>
        </w:rPr>
        <w:t>Lograr que el 60% de los estudiantes de primer y segundo ciclo de Secundaria alcancen los niveles de desempeño 3 y 4 en Pruebas Nacionales, así como los niveles aceptable y satisfactorio en pruebas diagnósticas.</w:t>
      </w:r>
    </w:p>
    <w:p w14:paraId="53E0607F" w14:textId="77777777" w:rsidR="00A87FCF" w:rsidRPr="00A87FCF" w:rsidRDefault="00A87FCF" w:rsidP="00886F32">
      <w:pPr>
        <w:numPr>
          <w:ilvl w:val="0"/>
          <w:numId w:val="80"/>
        </w:numPr>
        <w:tabs>
          <w:tab w:val="clear" w:pos="720"/>
          <w:tab w:val="num" w:pos="360"/>
        </w:tabs>
        <w:spacing w:after="0" w:line="360" w:lineRule="auto"/>
        <w:jc w:val="both"/>
        <w:rPr>
          <w:rFonts w:eastAsia="Calibri"/>
          <w:noProof/>
          <w:color w:val="4C4747"/>
          <w:lang w:val="es-DO"/>
        </w:rPr>
      </w:pPr>
      <w:r w:rsidRPr="00A87FCF">
        <w:rPr>
          <w:rFonts w:eastAsia="Calibri"/>
          <w:noProof/>
          <w:color w:val="4C4747"/>
          <w:lang w:val="es-DO"/>
        </w:rPr>
        <w:t>Alcanzar, al 2028, una cobertura de 900 mil jóvenes de 12 a 17 años (80%) en Educación Secundaria.</w:t>
      </w:r>
    </w:p>
    <w:p w14:paraId="61E2D202" w14:textId="77777777" w:rsidR="00A87FCF" w:rsidRPr="00A87FCF" w:rsidRDefault="00A87FCF" w:rsidP="00886F32">
      <w:pPr>
        <w:spacing w:after="0" w:line="360" w:lineRule="auto"/>
        <w:ind w:left="720"/>
        <w:jc w:val="both"/>
        <w:rPr>
          <w:rFonts w:eastAsia="Calibri"/>
          <w:noProof/>
          <w:color w:val="4C4747"/>
          <w:lang w:val="es-DO"/>
        </w:rPr>
      </w:pPr>
    </w:p>
    <w:p w14:paraId="559F89D1" w14:textId="23C48CD6" w:rsidR="00A87FCF" w:rsidRPr="00A87FCF" w:rsidRDefault="00A87FCF" w:rsidP="00886F32">
      <w:pPr>
        <w:spacing w:after="0" w:line="360" w:lineRule="auto"/>
        <w:ind w:left="720"/>
        <w:jc w:val="both"/>
        <w:rPr>
          <w:rFonts w:eastAsia="Calibri"/>
          <w:noProof/>
          <w:color w:val="4C4747"/>
          <w:lang w:val="es-DO"/>
        </w:rPr>
      </w:pPr>
      <w:r w:rsidRPr="001B65AB">
        <w:rPr>
          <w:rFonts w:eastAsia="Calibri"/>
          <w:b/>
          <w:bCs/>
          <w:noProof/>
          <w:color w:val="4C4747"/>
          <w:lang w:val="es-DO"/>
        </w:rPr>
        <w:t>Impulso a la Estrategia "La Escuela como Centro del Desarrollo"</w:t>
      </w:r>
      <w:r w:rsidR="001B65AB">
        <w:rPr>
          <w:rFonts w:eastAsia="Calibri"/>
          <w:noProof/>
          <w:color w:val="4C4747"/>
          <w:lang w:val="es-DO"/>
        </w:rPr>
        <w:t>:</w:t>
      </w:r>
      <w:r w:rsidRPr="001B65AB">
        <w:rPr>
          <w:rFonts w:eastAsia="Calibri"/>
          <w:noProof/>
          <w:color w:val="4C4747"/>
          <w:lang w:val="es-DO"/>
        </w:rPr>
        <w:br/>
      </w:r>
      <w:r w:rsidRPr="00A87FCF">
        <w:rPr>
          <w:rFonts w:eastAsia="Calibri"/>
          <w:noProof/>
          <w:color w:val="4C4747"/>
          <w:lang w:val="es-DO"/>
        </w:rPr>
        <w:t>Se promovió de manera sistemática esta estrategia, articulando esfuerzos con el Sistema de Naciones Unidas y diversas dependencias del gobierno central y territorial. Los avances concretos incluyen:</w:t>
      </w:r>
    </w:p>
    <w:p w14:paraId="41FF60E0" w14:textId="77777777" w:rsidR="00A87FCF" w:rsidRPr="00A87FCF" w:rsidRDefault="00A87FCF" w:rsidP="00886F32">
      <w:pPr>
        <w:numPr>
          <w:ilvl w:val="0"/>
          <w:numId w:val="81"/>
        </w:numPr>
        <w:spacing w:after="0" w:line="360" w:lineRule="auto"/>
        <w:jc w:val="both"/>
        <w:rPr>
          <w:rFonts w:eastAsia="Calibri"/>
          <w:noProof/>
          <w:color w:val="4C4747"/>
          <w:lang w:val="es-DO"/>
        </w:rPr>
      </w:pPr>
      <w:r w:rsidRPr="00B8086E">
        <w:rPr>
          <w:rFonts w:eastAsia="Calibri"/>
          <w:b/>
          <w:bCs/>
          <w:noProof/>
          <w:color w:val="4C4747"/>
          <w:lang w:val="es-DO"/>
        </w:rPr>
        <w:lastRenderedPageBreak/>
        <w:t>Programa de Salud Escolar:</w:t>
      </w:r>
      <w:r w:rsidRPr="00A87FCF">
        <w:rPr>
          <w:rFonts w:eastAsia="Calibri"/>
          <w:noProof/>
          <w:color w:val="4C4747"/>
          <w:lang w:val="es-DO"/>
        </w:rPr>
        <w:t> Se lideró, junto al Ministerio de Hacienda y Economía, la reactivación de la Mesa Técnica Nacional, lo que permitió diseñar una nueva estrategia de ejecución y un plan integral. Este espacio fue monitoreado mediante 31 rutinas de seguimiento y 18 reuniones de trabajo, resultando clave para identificar y solucionar obstáculos administrativos y logísticos, asegurando así la ejecución continua del programa.</w:t>
      </w:r>
    </w:p>
    <w:p w14:paraId="7D344AC3" w14:textId="77777777" w:rsidR="00A87FCF" w:rsidRPr="00A87FCF" w:rsidRDefault="00A87FCF" w:rsidP="00886F32">
      <w:pPr>
        <w:numPr>
          <w:ilvl w:val="0"/>
          <w:numId w:val="81"/>
        </w:numPr>
        <w:spacing w:after="0" w:line="360" w:lineRule="auto"/>
        <w:jc w:val="both"/>
        <w:rPr>
          <w:rFonts w:eastAsia="Calibri"/>
          <w:noProof/>
          <w:color w:val="4C4747"/>
          <w:lang w:val="es-DO"/>
        </w:rPr>
      </w:pPr>
      <w:r w:rsidRPr="00B8086E">
        <w:rPr>
          <w:rFonts w:eastAsia="Calibri"/>
          <w:b/>
          <w:bCs/>
          <w:noProof/>
          <w:color w:val="4C4747"/>
          <w:lang w:val="es-DO"/>
        </w:rPr>
        <w:t>Programa "Escuela Abierta y Activa":</w:t>
      </w:r>
      <w:r w:rsidRPr="00A87FCF">
        <w:rPr>
          <w:rFonts w:eastAsia="Calibri"/>
          <w:noProof/>
          <w:color w:val="4C4747"/>
          <w:lang w:val="es-DO"/>
        </w:rPr>
        <w:t> Se estableció una mesa de trabajo interinstitucional con la participación de MINERD, INEFI, ISFODOSU, MIDEREC, IDEICE, Ministerio de Hacienda y Economía y Ministerio de Cultura, con el objetivo de implementar el programa en al menos 1,000 centros educativos al 2028. El apoyo consistió en el diseño del plan de trabajo, la facilitación de 10 reuniones de articulación y 18 rutinas de seguimiento, además de un acompañamiento activo en territorio con las gobernaciones provinciales.</w:t>
      </w:r>
    </w:p>
    <w:p w14:paraId="5A250F6D" w14:textId="77777777" w:rsidR="00A87FCF" w:rsidRPr="00A87FCF" w:rsidRDefault="00A87FCF" w:rsidP="00886F32">
      <w:pPr>
        <w:numPr>
          <w:ilvl w:val="0"/>
          <w:numId w:val="81"/>
        </w:numPr>
        <w:spacing w:after="0" w:line="360" w:lineRule="auto"/>
        <w:jc w:val="both"/>
        <w:rPr>
          <w:rFonts w:eastAsia="Calibri"/>
          <w:noProof/>
          <w:color w:val="4C4747"/>
          <w:lang w:val="es-DO"/>
        </w:rPr>
      </w:pPr>
      <w:r w:rsidRPr="00B8086E">
        <w:rPr>
          <w:rFonts w:eastAsia="Calibri"/>
          <w:b/>
          <w:bCs/>
          <w:noProof/>
          <w:color w:val="4C4747"/>
          <w:lang w:val="es-DO"/>
        </w:rPr>
        <w:t>Educación para la Seguridad Vial:</w:t>
      </w:r>
      <w:r w:rsidRPr="00A87FCF">
        <w:rPr>
          <w:rFonts w:eastAsia="Calibri"/>
          <w:noProof/>
          <w:color w:val="4C4747"/>
          <w:lang w:val="es-DO"/>
        </w:rPr>
        <w:t> Para alcanzar la meta de 300,000 adolescentes formados, se fortaleció la articulación entre el MINERD y el INTRANT mediante una mesa de trabajo permanente, que sostuvo 18 reuniones y 7 rutinas de seguimiento. Asimismo, se coordinó la presentación de la iniciativa a 220 formadores de formadores y al personal docente durante la Escuela de Verano.</w:t>
      </w:r>
    </w:p>
    <w:p w14:paraId="5ACDBAB6" w14:textId="77777777" w:rsidR="00A87FCF" w:rsidRPr="00A87FCF" w:rsidRDefault="00A87FCF" w:rsidP="00886F32">
      <w:pPr>
        <w:spacing w:after="0" w:line="360" w:lineRule="auto"/>
        <w:ind w:left="720"/>
        <w:jc w:val="both"/>
        <w:rPr>
          <w:rFonts w:eastAsia="Calibri"/>
          <w:noProof/>
          <w:color w:val="4C4747"/>
          <w:lang w:val="es-DO"/>
        </w:rPr>
      </w:pPr>
    </w:p>
    <w:p w14:paraId="2180CA76" w14:textId="77777777" w:rsidR="00A87FCF" w:rsidRPr="001B65AB" w:rsidRDefault="00A87FCF" w:rsidP="00886F32">
      <w:pPr>
        <w:spacing w:after="0" w:line="360" w:lineRule="auto"/>
        <w:ind w:left="720"/>
        <w:jc w:val="both"/>
        <w:rPr>
          <w:rFonts w:eastAsia="Calibri"/>
          <w:b/>
          <w:bCs/>
          <w:noProof/>
          <w:color w:val="4C4747"/>
          <w:lang w:val="es-DO"/>
        </w:rPr>
      </w:pPr>
      <w:r w:rsidRPr="001B65AB">
        <w:rPr>
          <w:rFonts w:eastAsia="Calibri"/>
          <w:b/>
          <w:bCs/>
          <w:noProof/>
          <w:color w:val="4C4747"/>
          <w:lang w:val="es-DO"/>
        </w:rPr>
        <w:t>Seguimiento a Metas Específicas de Cobertura y Calidad</w:t>
      </w:r>
    </w:p>
    <w:p w14:paraId="64E3CB62" w14:textId="77777777" w:rsidR="00A87FCF" w:rsidRPr="00A87FCF" w:rsidRDefault="00A87FCF" w:rsidP="00886F32">
      <w:pPr>
        <w:numPr>
          <w:ilvl w:val="0"/>
          <w:numId w:val="82"/>
        </w:numPr>
        <w:tabs>
          <w:tab w:val="clear" w:pos="720"/>
          <w:tab w:val="num" w:pos="360"/>
        </w:tabs>
        <w:spacing w:after="0" w:line="360" w:lineRule="auto"/>
        <w:jc w:val="both"/>
        <w:rPr>
          <w:rFonts w:eastAsia="Calibri"/>
          <w:noProof/>
          <w:color w:val="4C4747"/>
          <w:lang w:val="es-DO"/>
        </w:rPr>
      </w:pPr>
      <w:r w:rsidRPr="001B65AB">
        <w:rPr>
          <w:rFonts w:eastAsia="Calibri"/>
          <w:b/>
          <w:bCs/>
          <w:noProof/>
          <w:color w:val="4C4747"/>
          <w:lang w:val="es-DO"/>
        </w:rPr>
        <w:t>Educación de Personas Jóvenes y Adultas (EPJA):</w:t>
      </w:r>
      <w:r w:rsidRPr="00A87FCF">
        <w:rPr>
          <w:rFonts w:eastAsia="Calibri"/>
          <w:noProof/>
          <w:color w:val="4C4747"/>
          <w:lang w:val="es-DO"/>
        </w:rPr>
        <w:t xml:space="preserve"> Se brindó acompañamiento técnico para la elaboración del protocolo de derivación e integración de 5,000 jóvenes del programa Oportunidad 14-24 al subsistema EPJA. Se gestionaron 6 casos que requirieron </w:t>
      </w:r>
      <w:r w:rsidRPr="00A87FCF">
        <w:rPr>
          <w:rFonts w:eastAsia="Calibri"/>
          <w:noProof/>
          <w:color w:val="4C4747"/>
          <w:lang w:val="es-DO"/>
        </w:rPr>
        <w:lastRenderedPageBreak/>
        <w:t>articulación interinstitucional y se participó en charlas virtuales de motivación y seguimiento a egresados.</w:t>
      </w:r>
    </w:p>
    <w:p w14:paraId="11FE697D" w14:textId="77777777" w:rsidR="00A87FCF" w:rsidRPr="00A87FCF" w:rsidRDefault="00A87FCF" w:rsidP="00886F32">
      <w:pPr>
        <w:numPr>
          <w:ilvl w:val="0"/>
          <w:numId w:val="82"/>
        </w:numPr>
        <w:tabs>
          <w:tab w:val="clear" w:pos="720"/>
          <w:tab w:val="num" w:pos="360"/>
        </w:tabs>
        <w:spacing w:after="0" w:line="360" w:lineRule="auto"/>
        <w:jc w:val="both"/>
        <w:rPr>
          <w:rFonts w:eastAsia="Calibri"/>
          <w:noProof/>
          <w:color w:val="4C4747"/>
          <w:lang w:val="es-DO"/>
        </w:rPr>
      </w:pPr>
      <w:r w:rsidRPr="001B65AB">
        <w:rPr>
          <w:rFonts w:eastAsia="Calibri"/>
          <w:b/>
          <w:bCs/>
          <w:noProof/>
          <w:color w:val="4C4747"/>
          <w:lang w:val="es-DO"/>
        </w:rPr>
        <w:t>Centros Educativos de Innovación y Excelencia:</w:t>
      </w:r>
      <w:r w:rsidRPr="00A87FCF">
        <w:rPr>
          <w:rFonts w:eastAsia="Calibri"/>
          <w:noProof/>
          <w:color w:val="4C4747"/>
          <w:lang w:val="es-DO"/>
        </w:rPr>
        <w:t> Para la meta de alcanzar 6,000 adolescentes en estos centros, se desarrollaron 4 reuniones con actores del sector y se realizó un levantamiento de información que permitió definir los hitos para la transformación de los Liceos de Innovación.</w:t>
      </w:r>
    </w:p>
    <w:p w14:paraId="68218FB0" w14:textId="77777777" w:rsidR="00A87FCF" w:rsidRPr="00A87FCF" w:rsidRDefault="00A87FCF" w:rsidP="00886F32">
      <w:pPr>
        <w:numPr>
          <w:ilvl w:val="0"/>
          <w:numId w:val="82"/>
        </w:numPr>
        <w:tabs>
          <w:tab w:val="clear" w:pos="720"/>
          <w:tab w:val="num" w:pos="360"/>
        </w:tabs>
        <w:spacing w:after="0" w:line="360" w:lineRule="auto"/>
        <w:jc w:val="both"/>
        <w:rPr>
          <w:rFonts w:eastAsia="Calibri"/>
          <w:noProof/>
          <w:color w:val="4C4747"/>
          <w:lang w:val="es-DO"/>
        </w:rPr>
      </w:pPr>
      <w:r w:rsidRPr="001B65AB">
        <w:rPr>
          <w:rFonts w:eastAsia="Calibri"/>
          <w:b/>
          <w:bCs/>
          <w:noProof/>
          <w:color w:val="4C4747"/>
          <w:lang w:val="es-DO"/>
        </w:rPr>
        <w:t>Vinculación de la Oferta de Becas con el Territorio:</w:t>
      </w:r>
      <w:r w:rsidRPr="00A87FCF">
        <w:rPr>
          <w:rFonts w:eastAsia="Calibri"/>
          <w:noProof/>
          <w:color w:val="4C4747"/>
          <w:lang w:val="es-DO"/>
        </w:rPr>
        <w:t> Como parte de la meta del MESCyT de sobrepasar las 50,000 becas en 4 años, se coordinó un plan de trabajo que incluyó 6 reuniones técnicas. Para alinear la oferta con la demanda territorial, se gestionaron presentaciones clave de la Iniciativa Empresarial para la Educación Técnica (IEET), el Observatorio FTP del INFOTEP y un estudio del BID sobre necesidades del sector productivo. Se apoyó al MESCyT en encuentros en 14 provincias priorizadas, socializando el proceso de becas con aproximadamente 800 jóvenes y realizando 12 reuniones con sectores productivos para identificar necesidades formativas.</w:t>
      </w:r>
    </w:p>
    <w:p w14:paraId="6A924460" w14:textId="77777777" w:rsidR="00A87FCF" w:rsidRPr="00725D55" w:rsidRDefault="00A87FCF" w:rsidP="00886F32">
      <w:pPr>
        <w:spacing w:after="0" w:line="360" w:lineRule="auto"/>
        <w:ind w:left="720"/>
        <w:jc w:val="both"/>
        <w:rPr>
          <w:lang w:val="es-DO"/>
        </w:rPr>
      </w:pPr>
    </w:p>
    <w:p w14:paraId="6BA7E0C3" w14:textId="6516B8B1" w:rsidR="00A87FCF" w:rsidRPr="001B65AB" w:rsidRDefault="001B65AB" w:rsidP="00886F32">
      <w:pPr>
        <w:spacing w:after="0" w:line="360" w:lineRule="auto"/>
        <w:ind w:left="720"/>
        <w:rPr>
          <w:b/>
          <w:bCs/>
          <w:color w:val="4C4747"/>
          <w:lang w:val="es-DO"/>
        </w:rPr>
      </w:pPr>
      <w:bookmarkStart w:id="53" w:name="_Toc216197647"/>
      <w:r w:rsidRPr="001B65AB">
        <w:rPr>
          <w:b/>
          <w:bCs/>
          <w:color w:val="4C4747"/>
          <w:lang w:val="es-DO"/>
        </w:rPr>
        <w:t xml:space="preserve">Coordinación </w:t>
      </w:r>
      <w:r>
        <w:rPr>
          <w:b/>
          <w:bCs/>
          <w:color w:val="4C4747"/>
          <w:lang w:val="es-DO"/>
        </w:rPr>
        <w:t>y</w:t>
      </w:r>
      <w:r w:rsidRPr="001B65AB">
        <w:rPr>
          <w:b/>
          <w:bCs/>
          <w:color w:val="4C4747"/>
          <w:lang w:val="es-DO"/>
        </w:rPr>
        <w:t xml:space="preserve"> Seguimiento </w:t>
      </w:r>
      <w:r>
        <w:rPr>
          <w:b/>
          <w:bCs/>
          <w:color w:val="4C4747"/>
          <w:lang w:val="es-DO"/>
        </w:rPr>
        <w:t>a</w:t>
      </w:r>
      <w:r w:rsidRPr="001B65AB">
        <w:rPr>
          <w:b/>
          <w:bCs/>
          <w:color w:val="4C4747"/>
          <w:lang w:val="es-DO"/>
        </w:rPr>
        <w:t xml:space="preserve"> </w:t>
      </w:r>
      <w:r>
        <w:rPr>
          <w:b/>
          <w:bCs/>
          <w:color w:val="4C4747"/>
          <w:lang w:val="es-DO"/>
        </w:rPr>
        <w:t>l</w:t>
      </w:r>
      <w:r w:rsidRPr="001B65AB">
        <w:rPr>
          <w:b/>
          <w:bCs/>
          <w:color w:val="4C4747"/>
          <w:lang w:val="es-DO"/>
        </w:rPr>
        <w:t xml:space="preserve">a Ejecución </w:t>
      </w:r>
      <w:r>
        <w:rPr>
          <w:b/>
          <w:bCs/>
          <w:color w:val="4C4747"/>
          <w:lang w:val="es-DO"/>
        </w:rPr>
        <w:t>d</w:t>
      </w:r>
      <w:r w:rsidRPr="001B65AB">
        <w:rPr>
          <w:b/>
          <w:bCs/>
          <w:color w:val="4C4747"/>
          <w:lang w:val="es-DO"/>
        </w:rPr>
        <w:t xml:space="preserve">e </w:t>
      </w:r>
      <w:r>
        <w:rPr>
          <w:b/>
          <w:bCs/>
          <w:color w:val="4C4747"/>
          <w:lang w:val="es-DO"/>
        </w:rPr>
        <w:t>l</w:t>
      </w:r>
      <w:r w:rsidRPr="001B65AB">
        <w:rPr>
          <w:b/>
          <w:bCs/>
          <w:color w:val="4C4747"/>
          <w:lang w:val="es-DO"/>
        </w:rPr>
        <w:t xml:space="preserve">as Prioridades </w:t>
      </w:r>
      <w:r>
        <w:rPr>
          <w:b/>
          <w:bCs/>
          <w:color w:val="4C4747"/>
          <w:lang w:val="es-DO"/>
        </w:rPr>
        <w:t>d</w:t>
      </w:r>
      <w:r w:rsidRPr="001B65AB">
        <w:rPr>
          <w:b/>
          <w:bCs/>
          <w:color w:val="4C4747"/>
          <w:lang w:val="es-DO"/>
        </w:rPr>
        <w:t xml:space="preserve">e Desarrollo Rural </w:t>
      </w:r>
      <w:r>
        <w:rPr>
          <w:b/>
          <w:bCs/>
          <w:color w:val="4C4747"/>
          <w:lang w:val="es-DO"/>
        </w:rPr>
        <w:t>y</w:t>
      </w:r>
      <w:r w:rsidRPr="001B65AB">
        <w:rPr>
          <w:b/>
          <w:bCs/>
          <w:color w:val="4C4747"/>
          <w:lang w:val="es-DO"/>
        </w:rPr>
        <w:t xml:space="preserve"> Eje Productivo</w:t>
      </w:r>
      <w:bookmarkEnd w:id="53"/>
    </w:p>
    <w:p w14:paraId="52890982" w14:textId="77777777" w:rsidR="00A87FCF" w:rsidRPr="00A87FCF" w:rsidRDefault="00A87FCF" w:rsidP="00886F32">
      <w:pPr>
        <w:spacing w:after="0" w:line="360" w:lineRule="auto"/>
        <w:ind w:left="720"/>
        <w:jc w:val="both"/>
        <w:rPr>
          <w:rFonts w:eastAsia="Calibri"/>
          <w:noProof/>
          <w:color w:val="4C4747"/>
          <w:lang w:val="es-DO"/>
        </w:rPr>
      </w:pPr>
      <w:r w:rsidRPr="001B65AB">
        <w:rPr>
          <w:rFonts w:eastAsia="Calibri"/>
          <w:b/>
          <w:bCs/>
          <w:noProof/>
          <w:color w:val="4C4747"/>
          <w:lang w:val="es-DO"/>
        </w:rPr>
        <w:t>Compras para el Desarrollo:</w:t>
      </w:r>
      <w:r w:rsidRPr="00026F6C">
        <w:rPr>
          <w:rFonts w:eastAsia="Calibri"/>
          <w:noProof/>
          <w:color w:val="4C4747"/>
          <w:lang w:val="es-DO"/>
        </w:rPr>
        <w:t xml:space="preserve"> </w:t>
      </w:r>
      <w:r w:rsidRPr="00A87FCF">
        <w:rPr>
          <w:rFonts w:eastAsia="Calibri"/>
          <w:noProof/>
          <w:color w:val="4C4747"/>
          <w:lang w:val="es-DO"/>
        </w:rPr>
        <w:t>Este esfuerzo inició con la conformación de la Mesa Técnica de Unidades Productivas Penitenciarias, integrada por INABIE, la Dirección General de Servicios Penitenciarios y Correccionales (DGSPC), INFOTEP, INAGUJA y el Comisionado de Reforma Penitenciaria, orientada a coordinar la estandarización de procesos productivos, la capacitación laboral y la asistencia técnica requerida.</w:t>
      </w:r>
    </w:p>
    <w:p w14:paraId="6E3E97E4" w14:textId="77777777" w:rsidR="00A87FCF" w:rsidRPr="00A87FCF"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A87FCF">
        <w:rPr>
          <w:rFonts w:eastAsia="Calibri"/>
          <w:noProof/>
          <w:color w:val="4C4747"/>
          <w:spacing w:val="20"/>
          <w:lang w:eastAsia="en-US"/>
        </w:rPr>
        <w:t xml:space="preserve">Como parte de este proceso, se realizó un diagnóstico técnico en 11 centros penitenciarios, evaluando infraestructura, </w:t>
      </w:r>
      <w:r w:rsidRPr="00A87FCF">
        <w:rPr>
          <w:rFonts w:eastAsia="Calibri"/>
          <w:noProof/>
          <w:color w:val="4C4747"/>
          <w:spacing w:val="20"/>
          <w:lang w:eastAsia="en-US"/>
        </w:rPr>
        <w:lastRenderedPageBreak/>
        <w:t>espacios físicos y condiciones estructurales para la instalación de talleres productivos. El diagnóstico también incluyó la elaboración de un inventario de equipos disponibles, así como la cuantificación de la población condenada con formación en textil y calzado, identificando el potencial laboral certificado que puede incorporarse a la producción nacional. Plan de Negocio para las Unidades Productivas Penitenciarias, validado por la Escuela de Alta Dirección BARNA.</w:t>
      </w:r>
    </w:p>
    <w:p w14:paraId="1AA95D2A" w14:textId="77777777" w:rsidR="00AB4946" w:rsidRDefault="00AB4946" w:rsidP="00886F32">
      <w:pPr>
        <w:pStyle w:val="NormalWeb"/>
        <w:spacing w:before="0" w:beforeAutospacing="0" w:after="0" w:afterAutospacing="0" w:line="360" w:lineRule="auto"/>
        <w:ind w:left="720"/>
        <w:jc w:val="both"/>
        <w:rPr>
          <w:rFonts w:eastAsia="Calibri"/>
          <w:b/>
          <w:bCs/>
          <w:noProof/>
          <w:color w:val="4C4747"/>
          <w:spacing w:val="20"/>
          <w:lang w:eastAsia="en-US"/>
        </w:rPr>
      </w:pPr>
    </w:p>
    <w:p w14:paraId="7255F398" w14:textId="082BFD84" w:rsidR="00A87FCF" w:rsidRPr="00A87FCF"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1B65AB">
        <w:rPr>
          <w:rFonts w:eastAsia="Calibri"/>
          <w:b/>
          <w:bCs/>
          <w:noProof/>
          <w:color w:val="4C4747"/>
          <w:spacing w:val="20"/>
          <w:lang w:eastAsia="en-US"/>
        </w:rPr>
        <w:t>Reducción del despedicio de agua en el sector agropecuario</w:t>
      </w:r>
      <w:r w:rsidR="001B65AB" w:rsidRPr="001B65AB">
        <w:rPr>
          <w:rFonts w:eastAsia="Calibri"/>
          <w:b/>
          <w:bCs/>
          <w:noProof/>
          <w:color w:val="4C4747"/>
          <w:spacing w:val="20"/>
          <w:lang w:eastAsia="en-US"/>
        </w:rPr>
        <w:t>:</w:t>
      </w:r>
      <w:r>
        <w:rPr>
          <w:rFonts w:eastAsia="Calibri"/>
          <w:noProof/>
          <w:color w:val="4C4747"/>
          <w:spacing w:val="20"/>
          <w:lang w:eastAsia="en-US"/>
        </w:rPr>
        <w:t xml:space="preserve"> </w:t>
      </w:r>
      <w:r w:rsidRPr="00A87FCF">
        <w:rPr>
          <w:rFonts w:eastAsia="Calibri"/>
          <w:noProof/>
          <w:color w:val="4C4747"/>
          <w:spacing w:val="20"/>
          <w:lang w:eastAsia="en-US"/>
        </w:rPr>
        <w:t>Se consolidó un proceso de articulación y coordinación interinstitucional entre el Instituto Nacional de Recursos Hidráulicos (INDRHI), Banco Agrícola y Tecnificación Nacional de Riego (TNR), fortaleciendo la planificación conjunta para el uso eficiente del recurso hídrico y definiendo acciones concretas de intervención. Se incorporó el indicador de superficie de cuencas bajo manejo, otorgando a la estrategia una visión integral desde la cuenca. Se definió un territorio piloto de intervención conjunta, focalizado en la cuenca del Yaque del Sur, con el propósito de concentrar recursos, proyectos y acciones que permitan incrementar la eficiencia hídrica y mejorar el manejo sostenible de cuencas. Matriz y repositorio de Proyectos, Iniciativas y Programas vinculados al territorio priorizado, que identifica lo que cada institución está ejecutando en el territorio y nivel nacional.</w:t>
      </w:r>
    </w:p>
    <w:p w14:paraId="1F5D7DD9" w14:textId="77777777" w:rsidR="00AB4946" w:rsidRDefault="00AB4946" w:rsidP="00886F32">
      <w:pPr>
        <w:pStyle w:val="NormalWeb"/>
        <w:spacing w:before="0" w:beforeAutospacing="0" w:after="0" w:afterAutospacing="0" w:line="360" w:lineRule="auto"/>
        <w:ind w:left="720"/>
        <w:jc w:val="both"/>
        <w:rPr>
          <w:rFonts w:eastAsia="Calibri"/>
          <w:b/>
          <w:bCs/>
          <w:noProof/>
          <w:color w:val="4C4747"/>
          <w:spacing w:val="20"/>
          <w:lang w:eastAsia="en-US"/>
        </w:rPr>
      </w:pPr>
    </w:p>
    <w:p w14:paraId="666F1277" w14:textId="6E67CE2D" w:rsidR="00A87FCF" w:rsidRPr="00A87FCF"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6D2A95">
        <w:rPr>
          <w:rFonts w:eastAsia="Calibri"/>
          <w:b/>
          <w:bCs/>
          <w:noProof/>
          <w:color w:val="4C4747"/>
          <w:spacing w:val="20"/>
          <w:lang w:eastAsia="en-US"/>
        </w:rPr>
        <w:t>Seguimiento y coordinación del Plan de Desarrollo Economico San Juan</w:t>
      </w:r>
      <w:r w:rsidR="006D2A95">
        <w:rPr>
          <w:rFonts w:eastAsia="Calibri"/>
          <w:b/>
          <w:bCs/>
          <w:noProof/>
          <w:color w:val="4C4747"/>
          <w:spacing w:val="20"/>
          <w:lang w:eastAsia="en-US"/>
        </w:rPr>
        <w:t>:</w:t>
      </w:r>
      <w:r w:rsidRPr="00A87FCF">
        <w:rPr>
          <w:rFonts w:eastAsia="Calibri"/>
          <w:noProof/>
          <w:color w:val="4C4747"/>
          <w:spacing w:val="20"/>
          <w:lang w:eastAsia="en-US"/>
        </w:rPr>
        <w:t xml:space="preserve"> Se ha acompañado la articulación de acciones productivas, agroindustriales y comerciales orientadas a fortalecer los medios de vida rurales y diversificar la estructura económica de la provincia. Esta coordinación ha </w:t>
      </w:r>
      <w:r w:rsidRPr="00A87FCF">
        <w:rPr>
          <w:rFonts w:eastAsia="Calibri"/>
          <w:noProof/>
          <w:color w:val="4C4747"/>
          <w:spacing w:val="20"/>
          <w:lang w:eastAsia="en-US"/>
        </w:rPr>
        <w:lastRenderedPageBreak/>
        <w:t>permitido priorizar iniciativas de alto impacto productivo, alineadas con la demanda real del mercado y con el aprovechamiento sostenible de la producción local. Plan de Siembra de Tabaco, la diversificación agrícola mediante cultivo de uva, la producción de vegetales bajo ambiente controlado, la producción de batata, el acompañamiento técnico a cooperativas locales, el apoyo al Valluejo AgroPark y el convenio de producción de papa, promoviendo capacidades agroindustriales dentro de la cadena de valor territorial. Todo esto forma parte de un acompañamiento integral orientado al desarrollo productivo sostenible del territorio. Perfil Productivo del Plan San Juan, mapeo detallado de los beneficiarios, sus características productivas, niveles de producción, interés por la diversificación, necesidades de capacitación, apoyos recibidos y principales desafíos. Estos insumos constituyen una base técnica estratégica para la toma de decisiones.</w:t>
      </w:r>
    </w:p>
    <w:p w14:paraId="1DD5F3B6" w14:textId="77777777" w:rsidR="00AB4946" w:rsidRDefault="00AB4946" w:rsidP="00886F32">
      <w:pPr>
        <w:pStyle w:val="NormalWeb"/>
        <w:spacing w:before="0" w:beforeAutospacing="0" w:after="0" w:afterAutospacing="0" w:line="360" w:lineRule="auto"/>
        <w:ind w:left="720"/>
        <w:jc w:val="both"/>
        <w:rPr>
          <w:rFonts w:eastAsia="Calibri"/>
          <w:b/>
          <w:bCs/>
          <w:noProof/>
          <w:color w:val="4C4747"/>
          <w:spacing w:val="20"/>
          <w:lang w:eastAsia="en-US"/>
        </w:rPr>
      </w:pPr>
    </w:p>
    <w:p w14:paraId="4E244FFF" w14:textId="60B1BE14" w:rsidR="00A87FCF" w:rsidRPr="00A87FCF"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6D2A95">
        <w:rPr>
          <w:rFonts w:eastAsia="Calibri"/>
          <w:b/>
          <w:bCs/>
          <w:noProof/>
          <w:color w:val="4C4747"/>
          <w:spacing w:val="20"/>
          <w:lang w:eastAsia="en-US"/>
        </w:rPr>
        <w:t>Meta RD2036</w:t>
      </w:r>
      <w:r w:rsidR="006D2A95">
        <w:rPr>
          <w:rFonts w:eastAsia="Calibri"/>
          <w:b/>
          <w:bCs/>
          <w:noProof/>
          <w:color w:val="4C4747"/>
          <w:spacing w:val="20"/>
          <w:lang w:eastAsia="en-US"/>
        </w:rPr>
        <w:t>:</w:t>
      </w:r>
      <w:r w:rsidRPr="00A87FCF">
        <w:rPr>
          <w:rFonts w:eastAsia="Calibri"/>
          <w:noProof/>
          <w:color w:val="4C4747"/>
          <w:spacing w:val="20"/>
          <w:lang w:eastAsia="en-US"/>
        </w:rPr>
        <w:t xml:space="preserve"> Se lidera la estrategia de Meta RD 2036 mediante la convocatoria, activación y acompañamiento técnico de los Comités Sectoriales, garantizando coordinación interinstitucional, visión de Estado y continuidad estratégica. </w:t>
      </w:r>
    </w:p>
    <w:p w14:paraId="621DD1A3"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Entre los principales insumos generados destacan:</w:t>
      </w:r>
    </w:p>
    <w:p w14:paraId="7C8646FF" w14:textId="77777777" w:rsidR="00A87FCF" w:rsidRPr="00A87FCF" w:rsidRDefault="00A87FCF" w:rsidP="00886F32">
      <w:pPr>
        <w:pStyle w:val="ListParagraph"/>
        <w:numPr>
          <w:ilvl w:val="0"/>
          <w:numId w:val="79"/>
        </w:numPr>
        <w:spacing w:after="0" w:line="360" w:lineRule="auto"/>
        <w:jc w:val="both"/>
        <w:rPr>
          <w:rFonts w:eastAsia="Calibri"/>
          <w:noProof/>
          <w:color w:val="4C4747"/>
        </w:rPr>
      </w:pPr>
      <w:r w:rsidRPr="00A87FCF">
        <w:rPr>
          <w:rFonts w:eastAsia="Calibri"/>
          <w:noProof/>
          <w:color w:val="4C4747"/>
        </w:rPr>
        <w:t>Matriz país de 25 inversiones estratégicas, que identifica las inversiones capaces de cambiar la estructura productiva nacional, distribuidas por territorio y capacidad de impacto, acompañada de una hoja de ruta de inversión estratégica.</w:t>
      </w:r>
    </w:p>
    <w:p w14:paraId="3545FC1E" w14:textId="77777777" w:rsidR="00A87FCF" w:rsidRPr="00A87FCF" w:rsidRDefault="00A87FCF" w:rsidP="00886F32">
      <w:pPr>
        <w:pStyle w:val="ListParagraph"/>
        <w:numPr>
          <w:ilvl w:val="0"/>
          <w:numId w:val="79"/>
        </w:numPr>
        <w:spacing w:after="0" w:line="360" w:lineRule="auto"/>
        <w:jc w:val="both"/>
        <w:rPr>
          <w:rFonts w:eastAsia="Calibri"/>
          <w:noProof/>
          <w:color w:val="4C4747"/>
        </w:rPr>
      </w:pPr>
      <w:r w:rsidRPr="00A87FCF">
        <w:rPr>
          <w:rFonts w:eastAsia="Calibri"/>
          <w:noProof/>
          <w:color w:val="4C4747"/>
        </w:rPr>
        <w:t>Modelo de evaluación ex ante para logística y zonas francas, un instrumento que permite medir retornos económicos, generación de empleo y movilidad social antes de la toma de decisiones.</w:t>
      </w:r>
    </w:p>
    <w:p w14:paraId="0288863F" w14:textId="77777777" w:rsidR="00A87FCF" w:rsidRPr="00A87FCF" w:rsidRDefault="00A87FCF" w:rsidP="00886F32">
      <w:pPr>
        <w:pStyle w:val="ListParagraph"/>
        <w:numPr>
          <w:ilvl w:val="0"/>
          <w:numId w:val="79"/>
        </w:numPr>
        <w:spacing w:after="0" w:line="360" w:lineRule="auto"/>
        <w:jc w:val="both"/>
        <w:rPr>
          <w:rFonts w:eastAsia="Calibri"/>
          <w:noProof/>
          <w:color w:val="4C4747"/>
        </w:rPr>
      </w:pPr>
      <w:r w:rsidRPr="00A87FCF">
        <w:rPr>
          <w:rFonts w:eastAsia="Calibri"/>
          <w:noProof/>
          <w:color w:val="4C4747"/>
        </w:rPr>
        <w:lastRenderedPageBreak/>
        <w:t>Matrices territoriales sectoriales, que incluyen un mapa de capacidad productiva por territorio, con drivers económicos, brechas y activos locales para orientar decisiones de inversión pública y privada.</w:t>
      </w:r>
    </w:p>
    <w:p w14:paraId="4A92D715" w14:textId="77777777" w:rsidR="00A87FCF" w:rsidRPr="00A87FCF" w:rsidRDefault="00A87FCF" w:rsidP="00886F32">
      <w:pPr>
        <w:spacing w:after="0" w:line="360" w:lineRule="auto"/>
        <w:ind w:left="720"/>
        <w:jc w:val="both"/>
        <w:rPr>
          <w:rFonts w:eastAsia="Calibri"/>
          <w:noProof/>
          <w:color w:val="4C4747"/>
          <w:lang w:val="es-DO"/>
        </w:rPr>
      </w:pPr>
    </w:p>
    <w:p w14:paraId="7E52234F" w14:textId="77777777" w:rsidR="00A87FCF" w:rsidRPr="00A87FCF" w:rsidRDefault="00A87FCF" w:rsidP="00886F32">
      <w:pPr>
        <w:pStyle w:val="ListParagraph"/>
        <w:spacing w:after="0" w:line="360" w:lineRule="auto"/>
        <w:jc w:val="both"/>
        <w:rPr>
          <w:rFonts w:eastAsia="Calibri"/>
          <w:noProof/>
          <w:color w:val="4C4747"/>
        </w:rPr>
      </w:pPr>
      <w:r w:rsidRPr="00A87FCF">
        <w:rPr>
          <w:rFonts w:eastAsia="Calibri"/>
          <w:noProof/>
          <w:color w:val="4C4747"/>
        </w:rPr>
        <w:t>Además, el Ministerio de la Presidencia ha promovido instrumentos de evaluación sectorial y medición de impacto, entre ellos:</w:t>
      </w:r>
    </w:p>
    <w:p w14:paraId="11453491" w14:textId="77777777" w:rsidR="00A87FCF" w:rsidRPr="00A87FCF" w:rsidRDefault="00A87FCF" w:rsidP="00886F32">
      <w:pPr>
        <w:pStyle w:val="ListParagraph"/>
        <w:numPr>
          <w:ilvl w:val="0"/>
          <w:numId w:val="79"/>
        </w:numPr>
        <w:spacing w:after="0" w:line="360" w:lineRule="auto"/>
        <w:ind w:hanging="270"/>
        <w:jc w:val="both"/>
        <w:rPr>
          <w:rFonts w:eastAsia="Calibri"/>
          <w:noProof/>
          <w:color w:val="4C4747"/>
        </w:rPr>
      </w:pPr>
      <w:r w:rsidRPr="00A87FCF">
        <w:rPr>
          <w:rFonts w:eastAsia="Calibri"/>
          <w:noProof/>
          <w:color w:val="4C4747"/>
        </w:rPr>
        <w:t>Propuesta de instrumento para medir el piloto de logística y ciudades–zonas francas (CZFs), integrando indicadores de tiempo, costo y empleo, alineados a estándares internacionales y aceptados por los comités para su implementación.</w:t>
      </w:r>
    </w:p>
    <w:p w14:paraId="05F0105A" w14:textId="77777777" w:rsidR="00A87FCF" w:rsidRPr="00A87FCF" w:rsidRDefault="00A87FCF" w:rsidP="00886F32">
      <w:pPr>
        <w:pStyle w:val="ListParagraph"/>
        <w:numPr>
          <w:ilvl w:val="0"/>
          <w:numId w:val="79"/>
        </w:numPr>
        <w:spacing w:after="0" w:line="360" w:lineRule="auto"/>
        <w:ind w:hanging="270"/>
        <w:jc w:val="both"/>
        <w:rPr>
          <w:rFonts w:eastAsia="Calibri"/>
          <w:noProof/>
          <w:color w:val="4C4747"/>
        </w:rPr>
      </w:pPr>
      <w:r w:rsidRPr="00A87FCF">
        <w:rPr>
          <w:rFonts w:eastAsia="Calibri"/>
          <w:noProof/>
          <w:color w:val="4C4747"/>
        </w:rPr>
        <w:t>Evaluación sectorial “Zonas Francas como motor de empleo formal”, estudio que evidencia el efecto multiplicador de las zonas francas en salarios, encadenamientos productivos y generación de empleo formal.</w:t>
      </w:r>
    </w:p>
    <w:p w14:paraId="2C84C3D7" w14:textId="77777777" w:rsidR="00A87FCF" w:rsidRPr="00A87FCF" w:rsidRDefault="00A87FCF" w:rsidP="00886F32">
      <w:pPr>
        <w:pStyle w:val="ListParagraph"/>
        <w:numPr>
          <w:ilvl w:val="0"/>
          <w:numId w:val="79"/>
        </w:numPr>
        <w:spacing w:after="0" w:line="360" w:lineRule="auto"/>
        <w:ind w:hanging="270"/>
        <w:jc w:val="both"/>
        <w:rPr>
          <w:rFonts w:eastAsia="Calibri"/>
          <w:noProof/>
          <w:color w:val="4C4747"/>
        </w:rPr>
      </w:pPr>
      <w:r w:rsidRPr="00A87FCF">
        <w:rPr>
          <w:rFonts w:eastAsia="Calibri"/>
          <w:noProof/>
          <w:color w:val="4C4747"/>
        </w:rPr>
        <w:t>Benchmarking internacional OCDE–LAC–R.D., que identifica brechas reales de productividad y competitividad, y establece puntos de referencia para orientar reformas estratégicas.</w:t>
      </w:r>
    </w:p>
    <w:p w14:paraId="276F579F" w14:textId="77777777" w:rsidR="008F7EDC" w:rsidRDefault="008F7EDC" w:rsidP="00886F32">
      <w:pPr>
        <w:pStyle w:val="NormalWeb"/>
        <w:spacing w:before="0" w:beforeAutospacing="0" w:after="0" w:afterAutospacing="0" w:line="360" w:lineRule="auto"/>
        <w:ind w:left="720"/>
        <w:jc w:val="both"/>
        <w:rPr>
          <w:rFonts w:eastAsia="Calibri"/>
          <w:b/>
          <w:bCs/>
          <w:noProof/>
          <w:color w:val="4C4747"/>
          <w:spacing w:val="20"/>
          <w:lang w:eastAsia="en-US"/>
        </w:rPr>
      </w:pPr>
    </w:p>
    <w:p w14:paraId="5E4686C4" w14:textId="06B6A1F1" w:rsidR="00B0636C"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B14EE4">
        <w:rPr>
          <w:rFonts w:eastAsia="Calibri"/>
          <w:b/>
          <w:bCs/>
          <w:noProof/>
          <w:color w:val="4C4747"/>
          <w:spacing w:val="20"/>
          <w:lang w:eastAsia="en-US"/>
        </w:rPr>
        <w:t>Unidad de entrega:</w:t>
      </w:r>
      <w:r w:rsidRPr="00A87FCF">
        <w:rPr>
          <w:rFonts w:eastAsia="Calibri"/>
          <w:noProof/>
          <w:color w:val="4C4747"/>
          <w:spacing w:val="20"/>
          <w:lang w:eastAsia="en-US"/>
        </w:rPr>
        <w:t xml:space="preserve"> </w:t>
      </w:r>
      <w:r w:rsidRPr="00026F6C">
        <w:rPr>
          <w:rFonts w:eastAsia="Calibri"/>
          <w:noProof/>
          <w:color w:val="4C4747"/>
          <w:spacing w:val="20"/>
          <w:lang w:eastAsia="en-US"/>
        </w:rPr>
        <w:t>Empleo Formal</w:t>
      </w:r>
      <w:r w:rsidRPr="00A87FCF">
        <w:rPr>
          <w:rFonts w:eastAsia="Calibri"/>
          <w:noProof/>
          <w:color w:val="4C4747"/>
          <w:spacing w:val="20"/>
          <w:lang w:eastAsia="en-US"/>
        </w:rPr>
        <w:t xml:space="preserve"> </w:t>
      </w:r>
    </w:p>
    <w:p w14:paraId="5ADC024C" w14:textId="6E16083A" w:rsidR="00A87FCF"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A87FCF">
        <w:rPr>
          <w:rFonts w:eastAsia="Calibri"/>
          <w:noProof/>
          <w:color w:val="4C4747"/>
          <w:spacing w:val="20"/>
          <w:lang w:eastAsia="en-US"/>
        </w:rPr>
        <w:t>Desde esta dirección, el empleo formal se ha trabajado como institución económica central del desarrollo y no solo como un indicador laboral, bajo una visión estructural que reconoce su vínculo directo con el crecimiento económico, la recaudación fiscal y la movilidad social. Por ello, el trabajo se ha enfocado en acciones concretas y herramientas de transformación, orientadas a acelerar la formalización y a incrementar el empleo productivo sostenible en el país.</w:t>
      </w:r>
    </w:p>
    <w:p w14:paraId="193FF799" w14:textId="77777777" w:rsidR="008F7EDC" w:rsidRPr="00A87FCF" w:rsidRDefault="008F7EDC" w:rsidP="00886F32">
      <w:pPr>
        <w:pStyle w:val="NormalWeb"/>
        <w:spacing w:before="0" w:beforeAutospacing="0" w:after="0" w:afterAutospacing="0" w:line="360" w:lineRule="auto"/>
        <w:ind w:left="720"/>
        <w:jc w:val="both"/>
        <w:rPr>
          <w:rFonts w:eastAsia="Calibri"/>
          <w:noProof/>
          <w:color w:val="4C4747"/>
          <w:spacing w:val="20"/>
          <w:lang w:eastAsia="en-US"/>
        </w:rPr>
      </w:pPr>
    </w:p>
    <w:p w14:paraId="45511066" w14:textId="77777777" w:rsidR="00A87FCF" w:rsidRPr="00A87FCF" w:rsidRDefault="00A87FCF" w:rsidP="00886F32">
      <w:pPr>
        <w:pStyle w:val="NormalWeb"/>
        <w:spacing w:before="0" w:beforeAutospacing="0" w:after="0" w:afterAutospacing="0" w:line="360" w:lineRule="auto"/>
        <w:ind w:left="720"/>
        <w:jc w:val="both"/>
        <w:rPr>
          <w:rFonts w:eastAsia="Calibri"/>
          <w:noProof/>
          <w:color w:val="4C4747"/>
          <w:spacing w:val="20"/>
          <w:lang w:eastAsia="en-US"/>
        </w:rPr>
      </w:pPr>
      <w:r w:rsidRPr="00A87FCF">
        <w:rPr>
          <w:rFonts w:eastAsia="Calibri"/>
          <w:noProof/>
          <w:color w:val="4C4747"/>
          <w:spacing w:val="20"/>
          <w:lang w:eastAsia="en-US"/>
        </w:rPr>
        <w:lastRenderedPageBreak/>
        <w:t>Entre los principales resultados se destacan:</w:t>
      </w:r>
    </w:p>
    <w:p w14:paraId="51EEFD62" w14:textId="77777777" w:rsidR="00A87FCF" w:rsidRPr="00A87FCF" w:rsidRDefault="00A87FCF" w:rsidP="00886F32">
      <w:pPr>
        <w:pStyle w:val="NormalWeb"/>
        <w:numPr>
          <w:ilvl w:val="0"/>
          <w:numId w:val="87"/>
        </w:numPr>
        <w:spacing w:before="0" w:beforeAutospacing="0" w:after="0" w:afterAutospacing="0" w:line="360" w:lineRule="auto"/>
        <w:jc w:val="both"/>
        <w:rPr>
          <w:rFonts w:eastAsia="Calibri"/>
          <w:noProof/>
          <w:color w:val="4C4747"/>
          <w:spacing w:val="20"/>
          <w:lang w:eastAsia="en-US"/>
        </w:rPr>
      </w:pPr>
      <w:r w:rsidRPr="00A87FCF">
        <w:rPr>
          <w:rFonts w:eastAsia="Calibri"/>
          <w:noProof/>
          <w:color w:val="4C4747"/>
          <w:spacing w:val="20"/>
          <w:lang w:eastAsia="en-US"/>
        </w:rPr>
        <w:t>Flujograma Nacional de Formalización</w:t>
      </w:r>
    </w:p>
    <w:p w14:paraId="587B7AC2" w14:textId="77777777" w:rsidR="00A87FCF" w:rsidRPr="00A87FCF" w:rsidRDefault="00A87FCF" w:rsidP="00886F32">
      <w:pPr>
        <w:pStyle w:val="NormalWeb"/>
        <w:numPr>
          <w:ilvl w:val="0"/>
          <w:numId w:val="87"/>
        </w:numPr>
        <w:spacing w:before="0" w:beforeAutospacing="0" w:after="0" w:afterAutospacing="0" w:line="360" w:lineRule="auto"/>
        <w:jc w:val="both"/>
        <w:rPr>
          <w:rFonts w:eastAsia="Calibri"/>
          <w:noProof/>
          <w:color w:val="4C4747"/>
          <w:spacing w:val="20"/>
          <w:lang w:eastAsia="en-US"/>
        </w:rPr>
      </w:pPr>
      <w:r w:rsidRPr="00A87FCF">
        <w:rPr>
          <w:rFonts w:eastAsia="Calibri"/>
          <w:noProof/>
          <w:color w:val="4C4747"/>
          <w:spacing w:val="20"/>
          <w:lang w:eastAsia="en-US"/>
        </w:rPr>
        <w:t>Instrumento Normativo para Monotributo</w:t>
      </w:r>
    </w:p>
    <w:p w14:paraId="14213C5F" w14:textId="77777777" w:rsidR="00A87FCF" w:rsidRPr="00A87FCF" w:rsidRDefault="00A87FCF" w:rsidP="00886F32">
      <w:pPr>
        <w:pStyle w:val="NormalWeb"/>
        <w:numPr>
          <w:ilvl w:val="0"/>
          <w:numId w:val="87"/>
        </w:numPr>
        <w:spacing w:before="0" w:beforeAutospacing="0" w:after="0" w:afterAutospacing="0" w:line="360" w:lineRule="auto"/>
        <w:jc w:val="both"/>
        <w:rPr>
          <w:rFonts w:eastAsia="Calibri"/>
          <w:noProof/>
          <w:color w:val="4C4747"/>
          <w:spacing w:val="20"/>
          <w:lang w:eastAsia="en-US"/>
        </w:rPr>
      </w:pPr>
      <w:r w:rsidRPr="00A87FCF">
        <w:rPr>
          <w:rFonts w:eastAsia="Calibri"/>
          <w:noProof/>
          <w:color w:val="4C4747"/>
          <w:spacing w:val="20"/>
          <w:lang w:eastAsia="en-US"/>
        </w:rPr>
        <w:t>Tablero de Datos Laborales</w:t>
      </w:r>
    </w:p>
    <w:p w14:paraId="5A15BE75" w14:textId="77777777" w:rsidR="00A87FCF" w:rsidRPr="00A87FCF" w:rsidRDefault="00A87FCF" w:rsidP="00886F32">
      <w:pPr>
        <w:pStyle w:val="NormalWeb"/>
        <w:numPr>
          <w:ilvl w:val="0"/>
          <w:numId w:val="87"/>
        </w:numPr>
        <w:spacing w:before="0" w:beforeAutospacing="0" w:after="0" w:afterAutospacing="0" w:line="360" w:lineRule="auto"/>
        <w:jc w:val="both"/>
        <w:rPr>
          <w:rFonts w:eastAsia="Calibri"/>
          <w:noProof/>
          <w:color w:val="4C4747"/>
          <w:spacing w:val="20"/>
          <w:lang w:eastAsia="en-US"/>
        </w:rPr>
      </w:pPr>
      <w:r w:rsidRPr="00A87FCF">
        <w:rPr>
          <w:rFonts w:eastAsia="Calibri"/>
          <w:noProof/>
          <w:color w:val="4C4747"/>
          <w:spacing w:val="20"/>
          <w:lang w:eastAsia="en-US"/>
        </w:rPr>
        <w:t>Agenda Técnica de la Mesa de Empleo</w:t>
      </w:r>
    </w:p>
    <w:p w14:paraId="0F388651" w14:textId="77777777" w:rsidR="00A87FCF" w:rsidRPr="00A87FCF" w:rsidRDefault="00A87FCF" w:rsidP="00886F32">
      <w:pPr>
        <w:pStyle w:val="NormalWeb"/>
        <w:numPr>
          <w:ilvl w:val="0"/>
          <w:numId w:val="87"/>
        </w:numPr>
        <w:spacing w:before="0" w:beforeAutospacing="0" w:after="0" w:afterAutospacing="0" w:line="360" w:lineRule="auto"/>
        <w:jc w:val="both"/>
        <w:rPr>
          <w:rFonts w:eastAsia="Calibri"/>
          <w:noProof/>
          <w:color w:val="4C4747"/>
          <w:spacing w:val="20"/>
          <w:lang w:eastAsia="en-US"/>
        </w:rPr>
      </w:pPr>
      <w:r w:rsidRPr="00A87FCF">
        <w:rPr>
          <w:rFonts w:eastAsia="Calibri"/>
          <w:noProof/>
          <w:color w:val="4C4747"/>
          <w:spacing w:val="20"/>
          <w:lang w:eastAsia="en-US"/>
        </w:rPr>
        <w:t>Evaluación Cuantitativa de Formalización</w:t>
      </w:r>
    </w:p>
    <w:p w14:paraId="4DD4E63B"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Estrategia de alineación de la demanda laboral y la formación. En coordinación con la Iniciativa Empresarial para la Educación Técnica (IEET), el Ministerio de Educación Superior, Ciencia y Tecnología, el Instituto Nacional de Formación Técnico Profesional, el Ministerio de Trabajo y el Consejo Nacional de Seguridad Social, se avanzó en la identificación de brechas reales de talento, el diseño de instrumentos curriculares vinculados a cadenas productivas, la medición de capacidades territoriales y la alineación de la oferta educativa con la demanda laboral y productiva, sentando las bases de una arquitectura educativa que impulsa competitividad y empleo formal sostenible en la República Dominicana.</w:t>
      </w:r>
    </w:p>
    <w:p w14:paraId="7B91566C" w14:textId="77777777" w:rsidR="00A87FCF" w:rsidRDefault="00A87FCF" w:rsidP="00886F32">
      <w:pPr>
        <w:spacing w:after="0" w:line="360" w:lineRule="auto"/>
        <w:ind w:left="720"/>
        <w:jc w:val="both"/>
        <w:rPr>
          <w:rFonts w:eastAsia="Calibri"/>
          <w:noProof/>
          <w:color w:val="4C4747"/>
          <w:lang w:val="es-DO"/>
        </w:rPr>
      </w:pPr>
    </w:p>
    <w:p w14:paraId="11AD6A25" w14:textId="6D1F295C" w:rsidR="00A87FCF" w:rsidRPr="00B14EE4" w:rsidRDefault="000A5475" w:rsidP="00886F32">
      <w:pPr>
        <w:spacing w:after="0" w:line="360" w:lineRule="auto"/>
        <w:ind w:left="720"/>
        <w:rPr>
          <w:b/>
          <w:bCs/>
          <w:color w:val="4C4747"/>
          <w:lang w:val="es-DO"/>
        </w:rPr>
      </w:pPr>
      <w:bookmarkStart w:id="54" w:name="_Toc216197648"/>
      <w:r w:rsidRPr="00B14EE4">
        <w:rPr>
          <w:b/>
          <w:bCs/>
          <w:color w:val="4C4747"/>
          <w:lang w:val="es-DO"/>
        </w:rPr>
        <w:t xml:space="preserve">Coordinación </w:t>
      </w:r>
      <w:r>
        <w:rPr>
          <w:b/>
          <w:bCs/>
          <w:color w:val="4C4747"/>
          <w:lang w:val="es-DO"/>
        </w:rPr>
        <w:t>y</w:t>
      </w:r>
      <w:r w:rsidRPr="00B14EE4">
        <w:rPr>
          <w:b/>
          <w:bCs/>
          <w:color w:val="4C4747"/>
          <w:lang w:val="es-DO"/>
        </w:rPr>
        <w:t xml:space="preserve"> Seguimiento </w:t>
      </w:r>
      <w:r>
        <w:rPr>
          <w:b/>
          <w:bCs/>
          <w:color w:val="4C4747"/>
          <w:lang w:val="es-DO"/>
        </w:rPr>
        <w:t>a</w:t>
      </w:r>
      <w:r w:rsidRPr="00B14EE4">
        <w:rPr>
          <w:b/>
          <w:bCs/>
          <w:color w:val="4C4747"/>
          <w:lang w:val="es-DO"/>
        </w:rPr>
        <w:t xml:space="preserve"> </w:t>
      </w:r>
      <w:r>
        <w:rPr>
          <w:b/>
          <w:bCs/>
          <w:color w:val="4C4747"/>
          <w:lang w:val="es-DO"/>
        </w:rPr>
        <w:t>l</w:t>
      </w:r>
      <w:r w:rsidRPr="00B14EE4">
        <w:rPr>
          <w:b/>
          <w:bCs/>
          <w:color w:val="4C4747"/>
          <w:lang w:val="es-DO"/>
        </w:rPr>
        <w:t xml:space="preserve">a Ejecución </w:t>
      </w:r>
      <w:r>
        <w:rPr>
          <w:b/>
          <w:bCs/>
          <w:color w:val="4C4747"/>
          <w:lang w:val="es-DO"/>
        </w:rPr>
        <w:t>d</w:t>
      </w:r>
      <w:r w:rsidRPr="00B14EE4">
        <w:rPr>
          <w:b/>
          <w:bCs/>
          <w:color w:val="4C4747"/>
          <w:lang w:val="es-DO"/>
        </w:rPr>
        <w:t xml:space="preserve">e Prioridades </w:t>
      </w:r>
      <w:r>
        <w:rPr>
          <w:b/>
          <w:bCs/>
          <w:color w:val="4C4747"/>
          <w:lang w:val="es-DO"/>
        </w:rPr>
        <w:t>e</w:t>
      </w:r>
      <w:r w:rsidRPr="00B14EE4">
        <w:rPr>
          <w:b/>
          <w:bCs/>
          <w:color w:val="4C4747"/>
          <w:lang w:val="es-DO"/>
        </w:rPr>
        <w:t xml:space="preserve">n Institucionalidad </w:t>
      </w:r>
      <w:r>
        <w:rPr>
          <w:b/>
          <w:bCs/>
          <w:color w:val="4C4747"/>
          <w:lang w:val="es-DO"/>
        </w:rPr>
        <w:t>y</w:t>
      </w:r>
      <w:r w:rsidRPr="00B14EE4">
        <w:rPr>
          <w:b/>
          <w:bCs/>
          <w:color w:val="4C4747"/>
          <w:lang w:val="es-DO"/>
        </w:rPr>
        <w:t xml:space="preserve"> Seguridad Ciudadana</w:t>
      </w:r>
      <w:bookmarkEnd w:id="54"/>
    </w:p>
    <w:p w14:paraId="44CDB920" w14:textId="77777777" w:rsidR="00A87FCF" w:rsidRPr="000A5475" w:rsidRDefault="00A87FCF" w:rsidP="00886F32">
      <w:pPr>
        <w:pStyle w:val="ListParagraph"/>
        <w:spacing w:after="0" w:line="360" w:lineRule="auto"/>
        <w:jc w:val="both"/>
        <w:rPr>
          <w:rFonts w:eastAsia="Calibri"/>
          <w:b/>
          <w:bCs/>
          <w:noProof/>
          <w:color w:val="4C4747"/>
        </w:rPr>
      </w:pPr>
      <w:r w:rsidRPr="000A5475">
        <w:rPr>
          <w:rFonts w:eastAsia="Calibri"/>
          <w:b/>
          <w:bCs/>
          <w:noProof/>
          <w:color w:val="4C4747"/>
        </w:rPr>
        <w:t>Institucionalidad</w:t>
      </w:r>
    </w:p>
    <w:p w14:paraId="2343D67F" w14:textId="3260EE15" w:rsidR="00A87FCF" w:rsidRPr="00A87FCF" w:rsidRDefault="00A87FCF" w:rsidP="00165A99">
      <w:pPr>
        <w:pStyle w:val="ListParagraph"/>
        <w:numPr>
          <w:ilvl w:val="0"/>
          <w:numId w:val="99"/>
        </w:numPr>
        <w:spacing w:after="0" w:line="360" w:lineRule="auto"/>
        <w:ind w:left="720"/>
        <w:jc w:val="both"/>
        <w:rPr>
          <w:rFonts w:eastAsia="Calibri"/>
          <w:noProof/>
          <w:color w:val="4C4747"/>
        </w:rPr>
      </w:pPr>
      <w:r w:rsidRPr="000A5475">
        <w:rPr>
          <w:rFonts w:eastAsia="Calibri"/>
          <w:b/>
          <w:bCs/>
          <w:noProof/>
          <w:color w:val="4C4747"/>
        </w:rPr>
        <w:t>Seguimiento al Índice de Efectividad del Gobierno</w:t>
      </w:r>
      <w:r w:rsidR="000A5475">
        <w:rPr>
          <w:rFonts w:eastAsia="Calibri"/>
          <w:noProof/>
          <w:color w:val="4C4747"/>
        </w:rPr>
        <w:t>:</w:t>
      </w:r>
      <w:r w:rsidRPr="00A87FCF">
        <w:rPr>
          <w:rFonts w:eastAsia="Calibri"/>
          <w:noProof/>
          <w:color w:val="4C4747"/>
        </w:rPr>
        <w:t xml:space="preserve"> Se lideraron ocho reuniones interinstitucionales con el objetivo de impulsar la definición de diez iniciativas estratégicas que impactan directamente en el Índice de Efectividad del Gobierno. Esta coordinación se realizó en conjunto con la Dirección General de Ética e Integridad Gubernamental (DIGEIG), el Consejo Nacional de Competitividad (CNC), el Ministerio </w:t>
      </w:r>
      <w:r w:rsidRPr="00A87FCF">
        <w:rPr>
          <w:rFonts w:eastAsia="Calibri"/>
          <w:noProof/>
          <w:color w:val="4C4747"/>
        </w:rPr>
        <w:lastRenderedPageBreak/>
        <w:t>de Administración Pública, el Ministerio de Hacienda y Economía, la Dirección General de Presupuesto y la Dirección General de Compras y Contrataciones.</w:t>
      </w:r>
    </w:p>
    <w:p w14:paraId="7C887FC1" w14:textId="77777777" w:rsidR="00A87FCF" w:rsidRPr="00A87FCF" w:rsidRDefault="00A87FCF" w:rsidP="00886F32">
      <w:pPr>
        <w:pStyle w:val="ListParagraph"/>
        <w:spacing w:after="0" w:line="360" w:lineRule="auto"/>
        <w:jc w:val="both"/>
        <w:rPr>
          <w:rFonts w:eastAsia="Calibri"/>
          <w:noProof/>
          <w:color w:val="4C4747"/>
        </w:rPr>
      </w:pPr>
    </w:p>
    <w:p w14:paraId="1B9A031B" w14:textId="77777777" w:rsidR="00A87FCF" w:rsidRPr="000A5475" w:rsidRDefault="00A87FCF" w:rsidP="00886F32">
      <w:pPr>
        <w:pStyle w:val="ListParagraph"/>
        <w:spacing w:after="0" w:line="360" w:lineRule="auto"/>
        <w:jc w:val="both"/>
        <w:rPr>
          <w:rFonts w:eastAsia="Calibri"/>
          <w:b/>
          <w:bCs/>
          <w:noProof/>
          <w:color w:val="4C4747"/>
        </w:rPr>
      </w:pPr>
      <w:r w:rsidRPr="000A5475">
        <w:rPr>
          <w:rFonts w:eastAsia="Calibri"/>
          <w:b/>
          <w:bCs/>
          <w:noProof/>
          <w:color w:val="4C4747"/>
        </w:rPr>
        <w:t xml:space="preserve">Análisis y Soporte Presupuestario para Programas Prioritarios y Procesos Institucionales: </w:t>
      </w:r>
    </w:p>
    <w:p w14:paraId="7E75DD2D" w14:textId="77777777" w:rsidR="00A87FCF" w:rsidRPr="00A87FCF" w:rsidRDefault="00A87FCF" w:rsidP="00886F32">
      <w:pPr>
        <w:pStyle w:val="ListParagraph"/>
        <w:numPr>
          <w:ilvl w:val="0"/>
          <w:numId w:val="86"/>
        </w:numPr>
        <w:spacing w:after="0" w:line="360" w:lineRule="auto"/>
        <w:jc w:val="both"/>
        <w:rPr>
          <w:rFonts w:eastAsia="Calibri"/>
          <w:noProof/>
          <w:color w:val="4C4747"/>
        </w:rPr>
      </w:pPr>
      <w:r w:rsidRPr="000A5475">
        <w:rPr>
          <w:rFonts w:eastAsia="Calibri"/>
          <w:b/>
          <w:bCs/>
          <w:noProof/>
          <w:color w:val="4C4747"/>
        </w:rPr>
        <w:t>Revisión de Programas Prioritarios de Salud:</w:t>
      </w:r>
      <w:r w:rsidRPr="00A87FCF">
        <w:rPr>
          <w:rFonts w:eastAsia="Calibri"/>
          <w:noProof/>
          <w:color w:val="4C4747"/>
        </w:rPr>
        <w:t> Se elaboraron tres informes de revisión presupuestaria para monitorear la ejecución de los programas de Salud Escolar, Salud Materno-Neonatal y Atención al Cáncer, asegurando la eficiencia en la asignación y uso de los fondos.</w:t>
      </w:r>
    </w:p>
    <w:p w14:paraId="0AB2F44C" w14:textId="77777777" w:rsidR="00A87FCF" w:rsidRPr="00A87FCF" w:rsidRDefault="00A87FCF" w:rsidP="00886F32">
      <w:pPr>
        <w:pStyle w:val="ListParagraph"/>
        <w:numPr>
          <w:ilvl w:val="0"/>
          <w:numId w:val="86"/>
        </w:numPr>
        <w:spacing w:after="0" w:line="360" w:lineRule="auto"/>
        <w:jc w:val="both"/>
        <w:rPr>
          <w:rFonts w:eastAsia="Calibri"/>
          <w:noProof/>
          <w:color w:val="4C4747"/>
        </w:rPr>
      </w:pPr>
      <w:r w:rsidRPr="000A5475">
        <w:rPr>
          <w:rFonts w:eastAsia="Calibri"/>
          <w:b/>
          <w:bCs/>
          <w:noProof/>
          <w:color w:val="4C4747"/>
        </w:rPr>
        <w:t>Análisis de Recursos Externos:</w:t>
      </w:r>
      <w:r w:rsidRPr="00A87FCF">
        <w:rPr>
          <w:rFonts w:eastAsia="Calibri"/>
          <w:noProof/>
          <w:color w:val="4C4747"/>
        </w:rPr>
        <w:t> Se completó un análisis integral de la ejecución presupuestaria de los Recursos Externos del Gobierno Central, proporcionando una visión clara del manejo de la cooperación y financiamiento internacional.</w:t>
      </w:r>
    </w:p>
    <w:p w14:paraId="0E52BF49" w14:textId="77777777" w:rsidR="00A87FCF" w:rsidRPr="00A87FCF" w:rsidRDefault="00A87FCF" w:rsidP="00886F32">
      <w:pPr>
        <w:pStyle w:val="ListParagraph"/>
        <w:numPr>
          <w:ilvl w:val="0"/>
          <w:numId w:val="86"/>
        </w:numPr>
        <w:spacing w:after="0" w:line="360" w:lineRule="auto"/>
        <w:jc w:val="both"/>
        <w:rPr>
          <w:rFonts w:eastAsia="Calibri"/>
          <w:noProof/>
          <w:color w:val="4C4747"/>
        </w:rPr>
      </w:pPr>
      <w:r w:rsidRPr="000A5475">
        <w:rPr>
          <w:rFonts w:eastAsia="Calibri"/>
          <w:b/>
          <w:bCs/>
          <w:noProof/>
          <w:color w:val="4C4747"/>
        </w:rPr>
        <w:t>Soporte a Procesos de Fusión Institucional:</w:t>
      </w:r>
      <w:r w:rsidRPr="00A87FCF">
        <w:rPr>
          <w:rFonts w:eastAsia="Calibri"/>
          <w:noProof/>
          <w:color w:val="4C4747"/>
        </w:rPr>
        <w:t> En el marco de la transición del Ministerio de Economía, Planificación y Desarrollo (MEPyD) al Ministerio de la Presidencia (MINPRE), se realizaron las siguientes labores críticas:</w:t>
      </w:r>
    </w:p>
    <w:p w14:paraId="1781056D" w14:textId="77777777" w:rsidR="00A87FCF" w:rsidRPr="00A87FCF" w:rsidRDefault="00A87FCF" w:rsidP="00886F32">
      <w:pPr>
        <w:pStyle w:val="ListParagraph"/>
        <w:numPr>
          <w:ilvl w:val="0"/>
          <w:numId w:val="89"/>
        </w:numPr>
        <w:spacing w:after="0" w:line="360" w:lineRule="auto"/>
        <w:jc w:val="both"/>
        <w:rPr>
          <w:rFonts w:eastAsia="Calibri"/>
          <w:noProof/>
          <w:color w:val="4C4747"/>
        </w:rPr>
      </w:pPr>
      <w:r w:rsidRPr="00A87FCF">
        <w:rPr>
          <w:rFonts w:eastAsia="Calibri"/>
          <w:noProof/>
          <w:color w:val="4C4747"/>
        </w:rPr>
        <w:t>Formulación Presupuestaria.</w:t>
      </w:r>
    </w:p>
    <w:p w14:paraId="4BB9D906" w14:textId="77777777" w:rsidR="00A87FCF" w:rsidRPr="00A87FCF" w:rsidRDefault="00A87FCF" w:rsidP="00886F32">
      <w:pPr>
        <w:pStyle w:val="ListParagraph"/>
        <w:numPr>
          <w:ilvl w:val="0"/>
          <w:numId w:val="89"/>
        </w:numPr>
        <w:spacing w:after="0" w:line="360" w:lineRule="auto"/>
        <w:jc w:val="both"/>
        <w:rPr>
          <w:rFonts w:eastAsia="Calibri"/>
          <w:noProof/>
          <w:color w:val="4C4747"/>
        </w:rPr>
      </w:pPr>
      <w:r w:rsidRPr="00A87FCF">
        <w:rPr>
          <w:rFonts w:eastAsia="Calibri"/>
          <w:noProof/>
          <w:color w:val="4C4747"/>
        </w:rPr>
        <w:t>Identificación de Procesos Financieros Clave</w:t>
      </w:r>
    </w:p>
    <w:p w14:paraId="33C79E63" w14:textId="77777777" w:rsidR="00A87FCF" w:rsidRDefault="00A87FCF" w:rsidP="00886F32">
      <w:pPr>
        <w:spacing w:after="0" w:line="360" w:lineRule="auto"/>
        <w:ind w:left="720"/>
        <w:jc w:val="both"/>
        <w:rPr>
          <w:rFonts w:eastAsia="Calibri"/>
          <w:b/>
          <w:noProof/>
          <w:color w:val="4C4747"/>
          <w:lang w:val="es-DO"/>
        </w:rPr>
      </w:pPr>
    </w:p>
    <w:p w14:paraId="0C140253" w14:textId="77777777" w:rsidR="00A87FCF" w:rsidRPr="008B3EC1" w:rsidRDefault="00A87FCF" w:rsidP="00886F32">
      <w:pPr>
        <w:spacing w:after="0" w:line="360" w:lineRule="auto"/>
        <w:ind w:left="720"/>
        <w:jc w:val="both"/>
        <w:rPr>
          <w:rFonts w:eastAsia="Calibri"/>
          <w:b/>
          <w:bCs/>
          <w:noProof/>
          <w:color w:val="4C4747"/>
          <w:lang w:val="es-DO"/>
        </w:rPr>
      </w:pPr>
      <w:r w:rsidRPr="008B3EC1">
        <w:rPr>
          <w:rFonts w:eastAsia="Calibri"/>
          <w:b/>
          <w:bCs/>
          <w:noProof/>
          <w:color w:val="4C4747"/>
          <w:lang w:val="es-DO"/>
        </w:rPr>
        <w:t>Seguridad Ciudadana</w:t>
      </w:r>
    </w:p>
    <w:p w14:paraId="70E1360A" w14:textId="08A03ACA" w:rsidR="00A87FCF" w:rsidRPr="008B3EC1" w:rsidRDefault="00A87FCF" w:rsidP="00886F32">
      <w:pPr>
        <w:pStyle w:val="ListParagraph"/>
        <w:numPr>
          <w:ilvl w:val="0"/>
          <w:numId w:val="86"/>
        </w:numPr>
        <w:spacing w:after="0" w:line="360" w:lineRule="auto"/>
        <w:jc w:val="both"/>
        <w:rPr>
          <w:rFonts w:eastAsia="Calibri"/>
          <w:noProof/>
          <w:color w:val="4C4747"/>
        </w:rPr>
      </w:pPr>
      <w:r w:rsidRPr="008B3EC1">
        <w:rPr>
          <w:rFonts w:eastAsia="Calibri"/>
          <w:b/>
          <w:bCs/>
          <w:noProof/>
          <w:color w:val="4C4747"/>
        </w:rPr>
        <w:t>Reducir la tasa de homicidios por cada 100 mil habitantes</w:t>
      </w:r>
      <w:r w:rsidR="008B3EC1" w:rsidRPr="008B3EC1">
        <w:rPr>
          <w:rFonts w:eastAsia="Calibri"/>
          <w:b/>
          <w:bCs/>
          <w:noProof/>
          <w:color w:val="4C4747"/>
        </w:rPr>
        <w:t>:</w:t>
      </w:r>
      <w:r w:rsidRPr="008B3EC1">
        <w:rPr>
          <w:rFonts w:eastAsia="Calibri"/>
          <w:noProof/>
          <w:color w:val="4C4747"/>
        </w:rPr>
        <w:t xml:space="preserve"> En la implementación de la metodología de unidades de entrega y el seguimiento a las ejecutorias principales alineadas con las metas de seguridad ciudadana se han incluido siete (7) iniciativas. En ese sentido, se ha conformado una mesa técnica de seguimiento, con reuniones semanales para la instalación de Centros de </w:t>
      </w:r>
      <w:r w:rsidRPr="008B3EC1">
        <w:rPr>
          <w:rFonts w:eastAsia="Calibri"/>
          <w:noProof/>
          <w:color w:val="4C4747"/>
        </w:rPr>
        <w:lastRenderedPageBreak/>
        <w:t xml:space="preserve">Prevención y Seguridad Ciudadana en sectores vulnerables del país, con el fin de orientar a las comunidades en aspectos de psicología, terapia familiar y educación cívica, así como mediación pacífica de conflictos, oportunidades de capacitación y orientación vocacional y promover entornos seguros y equitativos. La mesa técnica está conformada por el Viceministerio de Seguridad Preventiva en los Sectores Vulnerables y la Dirección de Planificación y Desarrollo del Ministerio de Interior y Policía (MIP). </w:t>
      </w:r>
    </w:p>
    <w:p w14:paraId="0AE323FC" w14:textId="77777777" w:rsidR="00A87FCF" w:rsidRPr="00A87FCF" w:rsidRDefault="00A87FCF" w:rsidP="00886F32">
      <w:pPr>
        <w:pStyle w:val="ListParagraph"/>
        <w:numPr>
          <w:ilvl w:val="0"/>
          <w:numId w:val="86"/>
        </w:numPr>
        <w:spacing w:after="0" w:line="360" w:lineRule="auto"/>
        <w:jc w:val="both"/>
        <w:rPr>
          <w:rFonts w:eastAsia="Calibri"/>
          <w:noProof/>
          <w:color w:val="4C4747"/>
        </w:rPr>
      </w:pPr>
      <w:r w:rsidRPr="00A87FCF">
        <w:rPr>
          <w:rFonts w:eastAsia="Calibri"/>
          <w:noProof/>
          <w:color w:val="4C4747"/>
        </w:rPr>
        <w:t xml:space="preserve">Además, se estableció una rutina de seguimiento con el Viceministerio de Convivencia Pacífica y la Dirección de Planificación y Desarrollo del Ministerio de Interior y Policía para dar seguimiento al Proyecto de Transformación del Ensanche Capotillo. </w:t>
      </w:r>
    </w:p>
    <w:p w14:paraId="46E821E2" w14:textId="77777777" w:rsidR="00A87FCF" w:rsidRPr="00A87FCF" w:rsidRDefault="00A87FCF" w:rsidP="00886F32">
      <w:pPr>
        <w:pStyle w:val="ListParagraph"/>
        <w:numPr>
          <w:ilvl w:val="0"/>
          <w:numId w:val="86"/>
        </w:numPr>
        <w:spacing w:after="0" w:line="360" w:lineRule="auto"/>
        <w:jc w:val="both"/>
        <w:rPr>
          <w:rFonts w:eastAsia="Calibri"/>
          <w:noProof/>
          <w:color w:val="4C4747"/>
        </w:rPr>
      </w:pPr>
      <w:r w:rsidRPr="00A87FCF">
        <w:rPr>
          <w:rFonts w:eastAsia="Calibri"/>
          <w:noProof/>
          <w:color w:val="4C4747"/>
        </w:rPr>
        <w:t>Sismap Seguridad: En conjunto con el Ministerio de Interior y Policía (MIP), la Dirección General de la Policía Nacional (PN) y el Ministerio de Administración Pública (MAP) se ha desarrollado la mesa técnica para el diseño e implementación del Sistema de monitoreo para medir los niveles de desarrollo de la Gestión Pública, específico para la Seguridad Ciudadana, a través de las estaciones policiales. En este sentido, se han desarrollado 14 reuiones para la definición de los indicadores básicos de organización y gestión (IBOG), de las evidencias, así como las conformación de equipos técnicos responsables para la aplicación de los instrumentos y la evaluación luego de la implementación. Presentado en julio a las autoridades para su aprobación e implementación.</w:t>
      </w:r>
    </w:p>
    <w:p w14:paraId="5268C2CD" w14:textId="77777777" w:rsidR="00A87FCF" w:rsidRPr="00A87FCF" w:rsidRDefault="00A87FCF" w:rsidP="00886F32">
      <w:pPr>
        <w:pStyle w:val="ListParagraph"/>
        <w:numPr>
          <w:ilvl w:val="0"/>
          <w:numId w:val="86"/>
        </w:numPr>
        <w:spacing w:after="0" w:line="360" w:lineRule="auto"/>
        <w:jc w:val="both"/>
        <w:rPr>
          <w:rFonts w:eastAsia="Calibri"/>
          <w:noProof/>
          <w:color w:val="4C4747"/>
        </w:rPr>
      </w:pPr>
      <w:r w:rsidRPr="00A87FCF">
        <w:rPr>
          <w:rFonts w:eastAsia="Calibri"/>
          <w:noProof/>
          <w:color w:val="4C4747"/>
        </w:rPr>
        <w:t xml:space="preserve">Asimismo, con la Policía Nacional se han trabajado documentos de planificación para la Capacitación y Reclutamiento de agentes de la esta institución. </w:t>
      </w:r>
    </w:p>
    <w:p w14:paraId="18061B4D" w14:textId="77777777" w:rsidR="00A87FCF" w:rsidRPr="00643493" w:rsidRDefault="00A87FCF" w:rsidP="00886F32">
      <w:pPr>
        <w:spacing w:after="0" w:line="360" w:lineRule="auto"/>
        <w:ind w:left="720"/>
        <w:rPr>
          <w:highlight w:val="yellow"/>
          <w:lang w:val="es-DO"/>
        </w:rPr>
      </w:pPr>
    </w:p>
    <w:p w14:paraId="3D5210DF" w14:textId="421D9B4C" w:rsidR="00A87FCF" w:rsidRPr="008B3EC1" w:rsidRDefault="008B3EC1" w:rsidP="00886F32">
      <w:pPr>
        <w:spacing w:after="0" w:line="360" w:lineRule="auto"/>
        <w:ind w:left="720"/>
        <w:jc w:val="both"/>
        <w:rPr>
          <w:rFonts w:eastAsia="Calibri"/>
          <w:b/>
          <w:bCs/>
          <w:noProof/>
          <w:color w:val="4C4747"/>
          <w:lang w:val="es-DO"/>
        </w:rPr>
      </w:pPr>
      <w:bookmarkStart w:id="55" w:name="_Toc216197649"/>
      <w:r w:rsidRPr="008B3EC1">
        <w:rPr>
          <w:rFonts w:eastAsia="Calibri"/>
          <w:b/>
          <w:bCs/>
          <w:noProof/>
          <w:color w:val="4C4747"/>
          <w:lang w:val="es-DO"/>
        </w:rPr>
        <w:lastRenderedPageBreak/>
        <w:t xml:space="preserve">Coordinación </w:t>
      </w:r>
      <w:r>
        <w:rPr>
          <w:rFonts w:eastAsia="Calibri"/>
          <w:b/>
          <w:bCs/>
          <w:noProof/>
          <w:color w:val="4C4747"/>
          <w:lang w:val="es-DO"/>
        </w:rPr>
        <w:t>y</w:t>
      </w:r>
      <w:r w:rsidRPr="008B3EC1">
        <w:rPr>
          <w:rFonts w:eastAsia="Calibri"/>
          <w:b/>
          <w:bCs/>
          <w:noProof/>
          <w:color w:val="4C4747"/>
          <w:lang w:val="es-DO"/>
        </w:rPr>
        <w:t xml:space="preserve"> Seguimiento </w:t>
      </w:r>
      <w:r>
        <w:rPr>
          <w:rFonts w:eastAsia="Calibri"/>
          <w:b/>
          <w:bCs/>
          <w:noProof/>
          <w:color w:val="4C4747"/>
          <w:lang w:val="es-DO"/>
        </w:rPr>
        <w:t>a</w:t>
      </w:r>
      <w:r w:rsidRPr="008B3EC1">
        <w:rPr>
          <w:rFonts w:eastAsia="Calibri"/>
          <w:b/>
          <w:bCs/>
          <w:noProof/>
          <w:color w:val="4C4747"/>
          <w:lang w:val="es-DO"/>
        </w:rPr>
        <w:t xml:space="preserve"> </w:t>
      </w:r>
      <w:r>
        <w:rPr>
          <w:rFonts w:eastAsia="Calibri"/>
          <w:b/>
          <w:bCs/>
          <w:noProof/>
          <w:color w:val="4C4747"/>
          <w:lang w:val="es-DO"/>
        </w:rPr>
        <w:t>l</w:t>
      </w:r>
      <w:r w:rsidRPr="008B3EC1">
        <w:rPr>
          <w:rFonts w:eastAsia="Calibri"/>
          <w:b/>
          <w:bCs/>
          <w:noProof/>
          <w:color w:val="4C4747"/>
          <w:lang w:val="es-DO"/>
        </w:rPr>
        <w:t xml:space="preserve">a Ejecución </w:t>
      </w:r>
      <w:r>
        <w:rPr>
          <w:rFonts w:eastAsia="Calibri"/>
          <w:b/>
          <w:bCs/>
          <w:noProof/>
          <w:color w:val="4C4747"/>
          <w:lang w:val="es-DO"/>
        </w:rPr>
        <w:t>d</w:t>
      </w:r>
      <w:r w:rsidRPr="008B3EC1">
        <w:rPr>
          <w:rFonts w:eastAsia="Calibri"/>
          <w:b/>
          <w:bCs/>
          <w:noProof/>
          <w:color w:val="4C4747"/>
          <w:lang w:val="es-DO"/>
        </w:rPr>
        <w:t xml:space="preserve">e Prioridades </w:t>
      </w:r>
      <w:r>
        <w:rPr>
          <w:rFonts w:eastAsia="Calibri"/>
          <w:b/>
          <w:bCs/>
          <w:noProof/>
          <w:color w:val="4C4747"/>
          <w:lang w:val="es-DO"/>
        </w:rPr>
        <w:t>e</w:t>
      </w:r>
      <w:r w:rsidRPr="008B3EC1">
        <w:rPr>
          <w:rFonts w:eastAsia="Calibri"/>
          <w:b/>
          <w:bCs/>
          <w:noProof/>
          <w:color w:val="4C4747"/>
          <w:lang w:val="es-DO"/>
        </w:rPr>
        <w:t xml:space="preserve">n Salud </w:t>
      </w:r>
      <w:r>
        <w:rPr>
          <w:rFonts w:eastAsia="Calibri"/>
          <w:b/>
          <w:bCs/>
          <w:noProof/>
          <w:color w:val="4C4747"/>
          <w:lang w:val="es-DO"/>
        </w:rPr>
        <w:t>y</w:t>
      </w:r>
      <w:r w:rsidRPr="008B3EC1">
        <w:rPr>
          <w:rFonts w:eastAsia="Calibri"/>
          <w:b/>
          <w:bCs/>
          <w:noProof/>
          <w:color w:val="4C4747"/>
          <w:lang w:val="es-DO"/>
        </w:rPr>
        <w:t xml:space="preserve"> Niñez</w:t>
      </w:r>
      <w:bookmarkEnd w:id="55"/>
    </w:p>
    <w:p w14:paraId="105E01D2" w14:textId="77777777" w:rsidR="00A87FCF" w:rsidRPr="008B3EC1" w:rsidRDefault="00A87FCF" w:rsidP="00886F32">
      <w:pPr>
        <w:spacing w:after="0" w:line="360" w:lineRule="auto"/>
        <w:ind w:left="720"/>
        <w:jc w:val="both"/>
        <w:rPr>
          <w:rFonts w:eastAsia="Calibri"/>
          <w:b/>
          <w:bCs/>
          <w:noProof/>
          <w:color w:val="4C4747"/>
          <w:lang w:val="es-DO"/>
        </w:rPr>
      </w:pPr>
      <w:r w:rsidRPr="008B3EC1">
        <w:rPr>
          <w:rFonts w:eastAsia="Calibri"/>
          <w:b/>
          <w:bCs/>
          <w:noProof/>
          <w:color w:val="4C4747"/>
          <w:lang w:val="es-DO"/>
        </w:rPr>
        <w:t>Meta de Salud – Aumentar la Esperanza de Vida</w:t>
      </w:r>
    </w:p>
    <w:p w14:paraId="0178A1B8" w14:textId="63B2B03D" w:rsidR="00A87FCF" w:rsidRPr="008B3EC1" w:rsidRDefault="00A87FCF" w:rsidP="00886F32">
      <w:pPr>
        <w:pStyle w:val="ListParagraph"/>
        <w:numPr>
          <w:ilvl w:val="0"/>
          <w:numId w:val="90"/>
        </w:numPr>
        <w:spacing w:after="0" w:line="360" w:lineRule="auto"/>
        <w:jc w:val="both"/>
        <w:rPr>
          <w:rFonts w:eastAsia="Calibri"/>
          <w:noProof/>
          <w:color w:val="4C4747"/>
        </w:rPr>
      </w:pPr>
      <w:r w:rsidRPr="008B3EC1">
        <w:rPr>
          <w:rFonts w:eastAsia="Calibri"/>
          <w:b/>
          <w:bCs/>
          <w:noProof/>
          <w:color w:val="4C4747"/>
        </w:rPr>
        <w:t>Mesa Técnica Interinstitucional para el fortalecimiento del programa Más Salud, Más Esperanza de Vida, basado en la Estrategia Hearts</w:t>
      </w:r>
      <w:r w:rsidR="008B3EC1">
        <w:rPr>
          <w:rFonts w:eastAsia="Calibri"/>
          <w:b/>
          <w:bCs/>
          <w:noProof/>
          <w:color w:val="4C4747"/>
        </w:rPr>
        <w:t>:</w:t>
      </w:r>
      <w:r w:rsidRPr="008B3EC1">
        <w:rPr>
          <w:rFonts w:eastAsia="Calibri"/>
          <w:noProof/>
          <w:color w:val="4C4747"/>
        </w:rPr>
        <w:t xml:space="preserve"> Esta mesa constituye un espacio permanente de articulación técnica y operativa entre las entidades con responsabilidades directas en la gestión de atención al paciente y dispensación de medicamentos, con servicios orientados a la prevención y control de las enfermedades crónicas no transmisibles (Hipertensión y Diabetes). Reúne representantes del Ministerio de Salud Pública y Asistencia Social (MISPAS), del Servicio Nacional de Salud (SNS), de Programa de Medicamentos Esenciales y Central de Apoyo Logístico (Promese-CAL) y del Ministerio de la Presidencia (MINPRE), asegurando una coordinación interinstitucional efectiva y la alineación de esfuerzos necesarios para mejorar la ejecución del programa. </w:t>
      </w:r>
    </w:p>
    <w:p w14:paraId="0BE0CDD0" w14:textId="77777777" w:rsidR="00A87FCF" w:rsidRPr="009E13DC" w:rsidRDefault="00A87FCF" w:rsidP="00886F32">
      <w:pPr>
        <w:pStyle w:val="ListParagraph"/>
        <w:numPr>
          <w:ilvl w:val="0"/>
          <w:numId w:val="90"/>
        </w:numPr>
        <w:spacing w:after="0" w:line="360" w:lineRule="auto"/>
        <w:jc w:val="both"/>
        <w:rPr>
          <w:rFonts w:eastAsia="Calibri"/>
          <w:noProof/>
          <w:color w:val="4C4747"/>
        </w:rPr>
      </w:pPr>
      <w:r w:rsidRPr="009E13DC">
        <w:rPr>
          <w:rFonts w:eastAsia="Calibri"/>
          <w:b/>
          <w:bCs/>
          <w:noProof/>
          <w:color w:val="4C4747"/>
        </w:rPr>
        <w:t>Diagnóstico general de la situación actual del programa</w:t>
      </w:r>
      <w:r w:rsidRPr="009E13DC">
        <w:rPr>
          <w:rFonts w:eastAsia="Calibri"/>
          <w:noProof/>
          <w:color w:val="4C4747"/>
        </w:rPr>
        <w:t xml:space="preserve">, identificación de territorios para una implementación focalizada que sirva como modelo para replicar en otros centros, farmacias o territorios. Este diagnóstico incluyó una revisión de los procesos y de la disponibilidad de recursos, tanto en farmacias, como en los CPN; resultando un insumo valioso para la toma de decisiones respecto a las necesidades y acciones que deben ser impulsadas. </w:t>
      </w:r>
    </w:p>
    <w:p w14:paraId="4A44605B" w14:textId="77777777" w:rsidR="00A87FCF" w:rsidRPr="009E13DC" w:rsidRDefault="00A87FCF" w:rsidP="00886F32">
      <w:pPr>
        <w:pStyle w:val="ListParagraph"/>
        <w:numPr>
          <w:ilvl w:val="0"/>
          <w:numId w:val="90"/>
        </w:numPr>
        <w:spacing w:after="0" w:line="360" w:lineRule="auto"/>
        <w:jc w:val="both"/>
        <w:rPr>
          <w:rFonts w:eastAsia="Calibri"/>
          <w:noProof/>
          <w:color w:val="4C4747"/>
        </w:rPr>
      </w:pPr>
      <w:r w:rsidRPr="009E13DC">
        <w:rPr>
          <w:rFonts w:eastAsia="Calibri"/>
          <w:b/>
          <w:bCs/>
          <w:noProof/>
          <w:color w:val="4C4747"/>
        </w:rPr>
        <w:t>Intervenciones con los equipos tecnológicos tanto del SNS</w:t>
      </w:r>
      <w:r w:rsidRPr="009E13DC">
        <w:rPr>
          <w:rFonts w:eastAsia="Calibri"/>
          <w:noProof/>
          <w:color w:val="4C4747"/>
        </w:rPr>
        <w:t xml:space="preserve">, como de Promese-CAL con el fin de mejorar la interacción entre los sistemas de ambas instituciones, con el objetivo de reducir los tiempos de respuesta al paciente. </w:t>
      </w:r>
    </w:p>
    <w:p w14:paraId="3C316674" w14:textId="77777777" w:rsidR="00A87FCF" w:rsidRPr="009E13DC" w:rsidRDefault="00A87FCF" w:rsidP="00886F32">
      <w:pPr>
        <w:pStyle w:val="ListParagraph"/>
        <w:numPr>
          <w:ilvl w:val="0"/>
          <w:numId w:val="90"/>
        </w:numPr>
        <w:spacing w:after="0" w:line="360" w:lineRule="auto"/>
        <w:jc w:val="both"/>
        <w:rPr>
          <w:rFonts w:eastAsia="Calibri"/>
          <w:noProof/>
          <w:color w:val="4C4747"/>
        </w:rPr>
      </w:pPr>
      <w:r w:rsidRPr="009E13DC">
        <w:rPr>
          <w:rFonts w:eastAsia="Calibri"/>
          <w:b/>
          <w:bCs/>
          <w:noProof/>
          <w:color w:val="4C4747"/>
        </w:rPr>
        <w:lastRenderedPageBreak/>
        <w:t>Estrategia comunicacional</w:t>
      </w:r>
      <w:r w:rsidRPr="009E13DC">
        <w:rPr>
          <w:rFonts w:eastAsia="Calibri"/>
          <w:noProof/>
          <w:color w:val="4C4747"/>
        </w:rPr>
        <w:t xml:space="preserve"> enfocada en la promoción de los servicios ofrecidos por los Centros de Primer Nivel (CPN) y las Farmacias del Pueblo ubicados en Ciudad Juan Bosch, así como la promoción de hábitos saludables y las evaluaciones preventivas. Se identificó el territorio de Ciudad Mendoza. El modelo incluye diagnóstico de necesidades, capacitación del personal, digitalización de expedientes, intercambio de información entre CPN y Farmacias y monitoreo de avances, para garantizar una prestación de servicios más eficiente, oportuna y de mayor impacto.</w:t>
      </w:r>
    </w:p>
    <w:p w14:paraId="4E3434C6" w14:textId="77777777" w:rsidR="00A87FCF" w:rsidRPr="009E13DC" w:rsidRDefault="00A87FCF" w:rsidP="00886F32">
      <w:pPr>
        <w:pStyle w:val="ListParagraph"/>
        <w:numPr>
          <w:ilvl w:val="0"/>
          <w:numId w:val="90"/>
        </w:numPr>
        <w:spacing w:after="0" w:line="360" w:lineRule="auto"/>
        <w:jc w:val="both"/>
        <w:rPr>
          <w:rFonts w:eastAsia="Calibri"/>
          <w:noProof/>
          <w:color w:val="4C4747"/>
        </w:rPr>
      </w:pPr>
      <w:r w:rsidRPr="009E13DC">
        <w:rPr>
          <w:rFonts w:eastAsia="Calibri"/>
          <w:b/>
          <w:bCs/>
          <w:noProof/>
          <w:color w:val="4C4747"/>
        </w:rPr>
        <w:t>Salud Laboral:</w:t>
      </w:r>
      <w:r w:rsidRPr="009E13DC">
        <w:rPr>
          <w:rFonts w:eastAsia="Calibri"/>
          <w:noProof/>
          <w:color w:val="4C4747"/>
        </w:rPr>
        <w:t xml:space="preserve"> Este programa es liderado por el Ministerio de Salud Pública y Asistencia Social (MISPAS), siendo su objetivo la definición de intervenciones en el lugar de trabajo que respondan a la necesidad de institucionalizar prácticas sostenibles de bienestar laboral, reducir factores de riesgo asociados a enfermedades crónicas no transmisibles y fomentar hábitos saludables que impacten positivamente la productividad, la salud física, la salud mental y el clima organizacional. Seguimiento para apoyar al Ministerio en la definición de una política que pueda ser implementada en las instituciones públicas, sugiriendo un enfoque inicial en las instituciones que se han priorizado para la evaluación de desempeño institucional. </w:t>
      </w:r>
    </w:p>
    <w:p w14:paraId="43D97874" w14:textId="77777777" w:rsidR="00A87FCF" w:rsidRPr="009B51A4" w:rsidRDefault="00A87FCF" w:rsidP="00886F32">
      <w:pPr>
        <w:spacing w:after="0" w:line="360" w:lineRule="auto"/>
        <w:ind w:left="720"/>
        <w:rPr>
          <w:lang w:val="es-DO"/>
        </w:rPr>
      </w:pPr>
    </w:p>
    <w:p w14:paraId="08EEE2E5" w14:textId="6DC600FF" w:rsidR="00A87FCF" w:rsidRPr="009E13DC" w:rsidRDefault="009E13DC" w:rsidP="00886F32">
      <w:pPr>
        <w:spacing w:after="0" w:line="360" w:lineRule="auto"/>
        <w:ind w:left="720"/>
        <w:jc w:val="both"/>
        <w:rPr>
          <w:rFonts w:eastAsia="Calibri"/>
          <w:b/>
          <w:bCs/>
          <w:noProof/>
          <w:color w:val="4C4747"/>
          <w:lang w:val="es-DO"/>
        </w:rPr>
      </w:pPr>
      <w:bookmarkStart w:id="56" w:name="_Toc216197650"/>
      <w:r w:rsidRPr="009E13DC">
        <w:rPr>
          <w:rFonts w:eastAsia="Calibri"/>
          <w:b/>
          <w:bCs/>
          <w:noProof/>
          <w:color w:val="4C4747"/>
          <w:lang w:val="es-DO"/>
        </w:rPr>
        <w:t xml:space="preserve">Rendición </w:t>
      </w:r>
      <w:r>
        <w:rPr>
          <w:rFonts w:eastAsia="Calibri"/>
          <w:b/>
          <w:bCs/>
          <w:noProof/>
          <w:color w:val="4C4747"/>
          <w:lang w:val="es-DO"/>
        </w:rPr>
        <w:t>d</w:t>
      </w:r>
      <w:r w:rsidRPr="009E13DC">
        <w:rPr>
          <w:rFonts w:eastAsia="Calibri"/>
          <w:b/>
          <w:bCs/>
          <w:noProof/>
          <w:color w:val="4C4747"/>
          <w:lang w:val="es-DO"/>
        </w:rPr>
        <w:t>e Cuentas Realizada</w:t>
      </w:r>
      <w:bookmarkEnd w:id="56"/>
    </w:p>
    <w:p w14:paraId="4F831C1E" w14:textId="77777777" w:rsidR="00A87FCF" w:rsidRPr="009E13DC" w:rsidRDefault="00A87FCF" w:rsidP="00886F32">
      <w:pPr>
        <w:spacing w:after="0" w:line="360" w:lineRule="auto"/>
        <w:ind w:left="720"/>
        <w:jc w:val="both"/>
        <w:rPr>
          <w:rFonts w:eastAsia="Calibri"/>
          <w:b/>
          <w:bCs/>
          <w:noProof/>
          <w:color w:val="4C4747"/>
          <w:lang w:val="es-DO"/>
        </w:rPr>
      </w:pPr>
      <w:r w:rsidRPr="009E13DC">
        <w:rPr>
          <w:rFonts w:eastAsia="Calibri"/>
          <w:b/>
          <w:bCs/>
          <w:noProof/>
          <w:color w:val="4C4747"/>
          <w:lang w:val="es-DO"/>
        </w:rPr>
        <w:t>Sistema de Administración de Memorias Institucionales.</w:t>
      </w:r>
    </w:p>
    <w:p w14:paraId="73DA9C30"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 xml:space="preserve">En el 2025, fue completado el proceso de rendición de cuentas del año 2024; con 189 instituciones convocadas, de las cuales 186 entregaron dentro de los plazos establecido, lo que representa un 98.41%. En cuanto a la efectividad del proceso, que mide el nivel de aprobación de las memorias entregadas, </w:t>
      </w:r>
      <w:r w:rsidRPr="00A87FCF">
        <w:rPr>
          <w:rFonts w:eastAsia="Calibri"/>
          <w:noProof/>
          <w:color w:val="4C4747"/>
          <w:lang w:val="es-DO"/>
        </w:rPr>
        <w:lastRenderedPageBreak/>
        <w:t xml:space="preserve">el resultado fue de un 98.39%, para unas 183 memorias aprobadas. 181 instituciones cumplieron en tiempo y forma con el registro, para un 98.37% de efectividad en el proceso. </w:t>
      </w:r>
    </w:p>
    <w:p w14:paraId="24A6CFDB"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Informe de avances y logros correspondiente al 2024 y que sirvió de base para el discurso de Rendición de Cuentas del Presidente de la República, ante el Congreso Nacional, el 27 de febrero de 2025.</w:t>
      </w:r>
    </w:p>
    <w:p w14:paraId="2E80C61F" w14:textId="55F0FA1B" w:rsid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Las 183 memorias que cumplieron con los criterios del proceso, fueron entregadas en formato digital al Presidente del Congreso Nacional.</w:t>
      </w:r>
    </w:p>
    <w:p w14:paraId="5F45FC59" w14:textId="77777777" w:rsidR="00165A99" w:rsidRPr="00A87FCF" w:rsidRDefault="00165A99" w:rsidP="00886F32">
      <w:pPr>
        <w:spacing w:after="0" w:line="360" w:lineRule="auto"/>
        <w:ind w:left="720"/>
        <w:jc w:val="both"/>
        <w:rPr>
          <w:rFonts w:eastAsia="Calibri"/>
          <w:noProof/>
          <w:color w:val="4C4747"/>
          <w:lang w:val="es-DO"/>
        </w:rPr>
      </w:pPr>
    </w:p>
    <w:p w14:paraId="58307462" w14:textId="4C118BDE" w:rsidR="00A87FCF" w:rsidRPr="009E13DC" w:rsidRDefault="009E13DC" w:rsidP="00886F32">
      <w:pPr>
        <w:spacing w:after="0" w:line="360" w:lineRule="auto"/>
        <w:ind w:left="720"/>
        <w:jc w:val="both"/>
        <w:rPr>
          <w:rFonts w:eastAsia="Calibri"/>
          <w:b/>
          <w:bCs/>
          <w:noProof/>
          <w:color w:val="4C4747"/>
          <w:lang w:val="es-DO"/>
        </w:rPr>
      </w:pPr>
      <w:bookmarkStart w:id="57" w:name="_Toc216197651"/>
      <w:r w:rsidRPr="009E13DC">
        <w:rPr>
          <w:rFonts w:eastAsia="Calibri"/>
          <w:b/>
          <w:bCs/>
          <w:noProof/>
          <w:color w:val="4C4747"/>
          <w:lang w:val="es-DO"/>
        </w:rPr>
        <w:t xml:space="preserve">Herramientas </w:t>
      </w:r>
      <w:r>
        <w:rPr>
          <w:rFonts w:eastAsia="Calibri"/>
          <w:b/>
          <w:bCs/>
          <w:noProof/>
          <w:color w:val="4C4747"/>
          <w:lang w:val="es-DO"/>
        </w:rPr>
        <w:t>p</w:t>
      </w:r>
      <w:r w:rsidRPr="009E13DC">
        <w:rPr>
          <w:rFonts w:eastAsia="Calibri"/>
          <w:b/>
          <w:bCs/>
          <w:noProof/>
          <w:color w:val="4C4747"/>
          <w:lang w:val="es-DO"/>
        </w:rPr>
        <w:t xml:space="preserve">ara </w:t>
      </w:r>
      <w:r>
        <w:rPr>
          <w:rFonts w:eastAsia="Calibri"/>
          <w:b/>
          <w:bCs/>
          <w:noProof/>
          <w:color w:val="4C4747"/>
          <w:lang w:val="es-DO"/>
        </w:rPr>
        <w:t>e</w:t>
      </w:r>
      <w:r w:rsidRPr="009E13DC">
        <w:rPr>
          <w:rFonts w:eastAsia="Calibri"/>
          <w:b/>
          <w:bCs/>
          <w:noProof/>
          <w:color w:val="4C4747"/>
          <w:lang w:val="es-DO"/>
        </w:rPr>
        <w:t xml:space="preserve">l Seguimiento </w:t>
      </w:r>
      <w:r>
        <w:rPr>
          <w:rFonts w:eastAsia="Calibri"/>
          <w:b/>
          <w:bCs/>
          <w:noProof/>
          <w:color w:val="4C4747"/>
          <w:lang w:val="es-DO"/>
        </w:rPr>
        <w:t>d</w:t>
      </w:r>
      <w:r w:rsidRPr="009E13DC">
        <w:rPr>
          <w:rFonts w:eastAsia="Calibri"/>
          <w:b/>
          <w:bCs/>
          <w:noProof/>
          <w:color w:val="4C4747"/>
          <w:lang w:val="es-DO"/>
        </w:rPr>
        <w:t xml:space="preserve">e </w:t>
      </w:r>
      <w:r>
        <w:rPr>
          <w:rFonts w:eastAsia="Calibri"/>
          <w:b/>
          <w:bCs/>
          <w:noProof/>
          <w:color w:val="4C4747"/>
          <w:lang w:val="es-DO"/>
        </w:rPr>
        <w:t>l</w:t>
      </w:r>
      <w:r w:rsidRPr="009E13DC">
        <w:rPr>
          <w:rFonts w:eastAsia="Calibri"/>
          <w:b/>
          <w:bCs/>
          <w:noProof/>
          <w:color w:val="4C4747"/>
          <w:lang w:val="es-DO"/>
        </w:rPr>
        <w:t xml:space="preserve">as Políticas Públicas </w:t>
      </w:r>
      <w:r>
        <w:rPr>
          <w:rFonts w:eastAsia="Calibri"/>
          <w:b/>
          <w:bCs/>
          <w:noProof/>
          <w:color w:val="4C4747"/>
          <w:lang w:val="es-DO"/>
        </w:rPr>
        <w:t>y</w:t>
      </w:r>
      <w:r w:rsidRPr="009E13DC">
        <w:rPr>
          <w:rFonts w:eastAsia="Calibri"/>
          <w:b/>
          <w:bCs/>
          <w:noProof/>
          <w:color w:val="4C4747"/>
          <w:lang w:val="es-DO"/>
        </w:rPr>
        <w:t xml:space="preserve"> </w:t>
      </w:r>
      <w:r>
        <w:rPr>
          <w:rFonts w:eastAsia="Calibri"/>
          <w:b/>
          <w:bCs/>
          <w:noProof/>
          <w:color w:val="4C4747"/>
          <w:lang w:val="es-DO"/>
        </w:rPr>
        <w:t>l</w:t>
      </w:r>
      <w:r w:rsidRPr="009E13DC">
        <w:rPr>
          <w:rFonts w:eastAsia="Calibri"/>
          <w:b/>
          <w:bCs/>
          <w:noProof/>
          <w:color w:val="4C4747"/>
          <w:lang w:val="es-DO"/>
        </w:rPr>
        <w:t xml:space="preserve">as Metas </w:t>
      </w:r>
      <w:r>
        <w:rPr>
          <w:rFonts w:eastAsia="Calibri"/>
          <w:b/>
          <w:bCs/>
          <w:noProof/>
          <w:color w:val="4C4747"/>
          <w:lang w:val="es-DO"/>
        </w:rPr>
        <w:t>d</w:t>
      </w:r>
      <w:r w:rsidRPr="009E13DC">
        <w:rPr>
          <w:rFonts w:eastAsia="Calibri"/>
          <w:b/>
          <w:bCs/>
          <w:noProof/>
          <w:color w:val="4C4747"/>
          <w:lang w:val="es-DO"/>
        </w:rPr>
        <w:t>e Alta Prioridad.</w:t>
      </w:r>
      <w:bookmarkEnd w:id="57"/>
    </w:p>
    <w:p w14:paraId="55EDC1E5" w14:textId="77777777" w:rsidR="00A87FCF" w:rsidRPr="00A87FCF" w:rsidRDefault="00A87FCF" w:rsidP="00886F32">
      <w:pPr>
        <w:pStyle w:val="ListParagraph"/>
        <w:numPr>
          <w:ilvl w:val="0"/>
          <w:numId w:val="83"/>
        </w:numPr>
        <w:spacing w:after="0" w:line="360" w:lineRule="auto"/>
        <w:jc w:val="both"/>
        <w:rPr>
          <w:rFonts w:eastAsia="Calibri"/>
          <w:noProof/>
          <w:color w:val="4C4747"/>
        </w:rPr>
      </w:pPr>
      <w:r w:rsidRPr="0011309F">
        <w:rPr>
          <w:rFonts w:eastAsia="Calibri"/>
          <w:b/>
          <w:bCs/>
          <w:noProof/>
          <w:color w:val="4C4747"/>
        </w:rPr>
        <w:t>Tablero de seguimiento a las metas prioritarias del Gobierno:</w:t>
      </w:r>
      <w:r w:rsidRPr="00A87FCF">
        <w:rPr>
          <w:rFonts w:eastAsia="Calibri"/>
          <w:noProof/>
          <w:color w:val="4C4747"/>
        </w:rPr>
        <w:t xml:space="preserve"> Principal herramienta de seguimiento de las 10 metas prioritarias de Gobierno y sus subindicadores y programas e iniciativas priorizadas por su contribución al logro de las metas. Presentado en el Consejo de Ministros. El tablero de metas permite observar de forma trimestral y anual el avance, la trayectoria esperada y los riesgos, habilitando decisiones tácticas para cumplir con las metas anuales y resultados esperados.</w:t>
      </w:r>
    </w:p>
    <w:p w14:paraId="1D34566B" w14:textId="77777777" w:rsidR="00A87FCF" w:rsidRPr="00A87FCF" w:rsidRDefault="00A87FCF" w:rsidP="00886F32">
      <w:pPr>
        <w:pStyle w:val="ListParagraph"/>
        <w:numPr>
          <w:ilvl w:val="0"/>
          <w:numId w:val="83"/>
        </w:numPr>
        <w:spacing w:after="0" w:line="360" w:lineRule="auto"/>
        <w:jc w:val="both"/>
        <w:rPr>
          <w:rFonts w:eastAsia="Calibri"/>
          <w:noProof/>
          <w:color w:val="4C4747"/>
        </w:rPr>
      </w:pPr>
      <w:r w:rsidRPr="0011309F">
        <w:rPr>
          <w:rFonts w:eastAsia="Calibri"/>
          <w:b/>
          <w:bCs/>
          <w:noProof/>
          <w:color w:val="4C4747"/>
        </w:rPr>
        <w:t>Tablero de seguimiento a obras de infraestructura:</w:t>
      </w:r>
      <w:r w:rsidRPr="00A87FCF">
        <w:rPr>
          <w:rFonts w:eastAsia="Calibri"/>
          <w:noProof/>
          <w:color w:val="4C4747"/>
        </w:rPr>
        <w:t xml:space="preserve"> El tablero de obras vincula ejecución física/financiera con beneficio público, reduciendo demoras y optimizando cronogramas críticos.</w:t>
      </w:r>
    </w:p>
    <w:p w14:paraId="7BE413BF" w14:textId="49F1EF59" w:rsidR="00A87FCF" w:rsidRPr="00A87FCF" w:rsidRDefault="00A87FCF" w:rsidP="00886F32">
      <w:pPr>
        <w:pStyle w:val="ListParagraph"/>
        <w:numPr>
          <w:ilvl w:val="0"/>
          <w:numId w:val="83"/>
        </w:numPr>
        <w:spacing w:after="0" w:line="360" w:lineRule="auto"/>
        <w:jc w:val="both"/>
        <w:rPr>
          <w:rFonts w:eastAsia="Calibri"/>
          <w:noProof/>
          <w:color w:val="4C4747"/>
        </w:rPr>
      </w:pPr>
      <w:r w:rsidRPr="0011309F">
        <w:rPr>
          <w:rFonts w:eastAsia="Calibri"/>
          <w:b/>
          <w:bCs/>
          <w:noProof/>
          <w:color w:val="4C4747"/>
        </w:rPr>
        <w:t>Tablero de indicadores de clasificación país:</w:t>
      </w:r>
      <w:r w:rsidRPr="00A87FCF">
        <w:rPr>
          <w:rFonts w:eastAsia="Calibri"/>
          <w:noProof/>
          <w:color w:val="4C4747"/>
        </w:rPr>
        <w:t xml:space="preserve"> Panel comparativo/benchmarking de indicadores-país utilizados como referentes internacionales para la comparación regional. Los indicadores presentados permiten posicionar a RD frente a referentes </w:t>
      </w:r>
      <w:r w:rsidRPr="00A87FCF">
        <w:rPr>
          <w:rFonts w:eastAsia="Calibri"/>
          <w:noProof/>
          <w:color w:val="4C4747"/>
        </w:rPr>
        <w:lastRenderedPageBreak/>
        <w:t>inetrnacionales, lo que guía reformas y proyectos que inciden en la competitividad y el desarrollo sostenible.</w:t>
      </w:r>
    </w:p>
    <w:p w14:paraId="77D66E29" w14:textId="75AEB20F" w:rsidR="00A87FCF" w:rsidRPr="00A87FCF" w:rsidRDefault="00A87FCF" w:rsidP="00886F32">
      <w:pPr>
        <w:pStyle w:val="ListParagraph"/>
        <w:numPr>
          <w:ilvl w:val="0"/>
          <w:numId w:val="83"/>
        </w:numPr>
        <w:spacing w:after="0" w:line="360" w:lineRule="auto"/>
        <w:jc w:val="both"/>
        <w:rPr>
          <w:rFonts w:eastAsia="Calibri"/>
          <w:noProof/>
          <w:color w:val="4C4747"/>
        </w:rPr>
      </w:pPr>
      <w:r w:rsidRPr="0011309F">
        <w:rPr>
          <w:rFonts w:eastAsia="Calibri"/>
          <w:b/>
          <w:bCs/>
          <w:noProof/>
          <w:color w:val="4C4747"/>
        </w:rPr>
        <w:t>Tablero de seguimiento del Plan San Juan:</w:t>
      </w:r>
      <w:r w:rsidRPr="00A87FCF">
        <w:rPr>
          <w:rFonts w:eastAsia="Calibri"/>
          <w:noProof/>
          <w:color w:val="4C4747"/>
        </w:rPr>
        <w:t xml:space="preserve"> Permite contribuir al seguimiento del Plan de Desarrollo Económico y Social de la Provincia San Juan. Traduce metas nacionales a indicadores locales, asegurando que la priorización llegue al territorio con resultados verificables.</w:t>
      </w:r>
    </w:p>
    <w:p w14:paraId="784D0AC2" w14:textId="3C9CD846" w:rsidR="00A87FCF" w:rsidRPr="00A87FCF" w:rsidRDefault="00A87FCF" w:rsidP="00886F32">
      <w:pPr>
        <w:pStyle w:val="ListParagraph"/>
        <w:numPr>
          <w:ilvl w:val="0"/>
          <w:numId w:val="83"/>
        </w:numPr>
        <w:spacing w:after="0" w:line="360" w:lineRule="auto"/>
        <w:jc w:val="both"/>
        <w:rPr>
          <w:rFonts w:eastAsia="Calibri"/>
          <w:noProof/>
          <w:color w:val="4C4747"/>
        </w:rPr>
      </w:pPr>
      <w:r w:rsidRPr="0011309F">
        <w:rPr>
          <w:rFonts w:eastAsia="Calibri"/>
          <w:b/>
          <w:bCs/>
          <w:noProof/>
          <w:color w:val="4C4747"/>
        </w:rPr>
        <w:t>Sistema integrado de seguimiento “Esferas de Gobierno – GovSphere”:</w:t>
      </w:r>
      <w:r w:rsidRPr="00A87FCF">
        <w:rPr>
          <w:rFonts w:eastAsia="Calibri"/>
          <w:noProof/>
          <w:color w:val="4C4747"/>
        </w:rPr>
        <w:t xml:space="preserve"> Versión beta de un sistema integrado de seguimiento que se constituirá en una puerta de acceso de todas las instituciones del Estado y de los ciudadanos a los productos de Inteligencia de Datos y del Laboratorio de Políticas Públicas. Además, actúa como capa articuladora para consolidar información transversal, minimizar </w:t>
      </w:r>
    </w:p>
    <w:p w14:paraId="3EA2BC06" w14:textId="77777777" w:rsidR="00A87FCF" w:rsidRDefault="00A87FCF" w:rsidP="00886F32">
      <w:pPr>
        <w:pStyle w:val="ListParagraph"/>
        <w:spacing w:after="0" w:line="360" w:lineRule="auto"/>
        <w:jc w:val="both"/>
        <w:rPr>
          <w:rFonts w:eastAsia="Calibri"/>
          <w:b/>
          <w:bCs/>
          <w:noProof/>
        </w:rPr>
      </w:pPr>
    </w:p>
    <w:p w14:paraId="0DC248A6" w14:textId="151FA856" w:rsidR="00A87FCF" w:rsidRPr="0011309F" w:rsidRDefault="0011309F" w:rsidP="00886F32">
      <w:pPr>
        <w:spacing w:after="0" w:line="360" w:lineRule="auto"/>
        <w:ind w:left="720"/>
        <w:rPr>
          <w:rFonts w:eastAsia="Calibri"/>
          <w:b/>
          <w:noProof/>
          <w:color w:val="4C4747"/>
          <w:lang w:val="es-DO"/>
        </w:rPr>
      </w:pPr>
      <w:bookmarkStart w:id="58" w:name="_Toc216197652"/>
      <w:r w:rsidRPr="0011309F">
        <w:rPr>
          <w:rFonts w:eastAsia="Calibri"/>
          <w:b/>
          <w:noProof/>
          <w:color w:val="4C4747"/>
          <w:lang w:val="es-DO"/>
        </w:rPr>
        <w:t>Investigaciones, Evaluaciones y Levantamientos de Información</w:t>
      </w:r>
      <w:bookmarkEnd w:id="58"/>
      <w:r w:rsidRPr="0011309F">
        <w:rPr>
          <w:rFonts w:eastAsia="Calibri"/>
          <w:b/>
          <w:noProof/>
          <w:color w:val="4C4747"/>
          <w:lang w:val="es-DO"/>
        </w:rPr>
        <w:t xml:space="preserve"> </w:t>
      </w:r>
    </w:p>
    <w:p w14:paraId="7169D0C2" w14:textId="77777777" w:rsidR="00A87FCF" w:rsidRPr="00A87FCF" w:rsidRDefault="00A87FCF" w:rsidP="00886F32">
      <w:pPr>
        <w:pStyle w:val="ListParagraph"/>
        <w:numPr>
          <w:ilvl w:val="0"/>
          <w:numId w:val="84"/>
        </w:numPr>
        <w:spacing w:after="0" w:line="360" w:lineRule="auto"/>
        <w:jc w:val="both"/>
        <w:rPr>
          <w:rFonts w:eastAsia="Calibri"/>
          <w:noProof/>
          <w:color w:val="4C4747"/>
        </w:rPr>
      </w:pPr>
      <w:r w:rsidRPr="0011309F">
        <w:rPr>
          <w:rFonts w:eastAsia="Calibri"/>
          <w:b/>
          <w:bCs/>
          <w:noProof/>
          <w:color w:val="4C4747"/>
        </w:rPr>
        <w:t>Boletines de Seguimiento al Plan de Gobierno 2024-2028:</w:t>
      </w:r>
      <w:r w:rsidRPr="00A87FCF">
        <w:rPr>
          <w:rFonts w:eastAsia="Calibri"/>
          <w:noProof/>
          <w:color w:val="4C4747"/>
        </w:rPr>
        <w:t xml:space="preserve"> Herramientas de comunicación estratégica dirigidas al Consejo de Gobierno y al Gobierno Ampliado, diseñadas para informar sobre los avances alcanzados en los tiempos establecidos. Estos boletines operan en dos modalidades, anual y trimestral, permitiendo a los implementadores ajustar tácticas y estrategias según la evolución de los indicadores. Durante 2025 se produjeron 3 boletines:1 boletín anual y 2 boletines trimestrales.</w:t>
      </w:r>
    </w:p>
    <w:p w14:paraId="037A951F" w14:textId="77777777" w:rsidR="00A87FCF" w:rsidRPr="00A87FCF" w:rsidRDefault="00A87FCF" w:rsidP="00886F32">
      <w:pPr>
        <w:pStyle w:val="ListParagraph"/>
        <w:numPr>
          <w:ilvl w:val="0"/>
          <w:numId w:val="84"/>
        </w:numPr>
        <w:spacing w:after="0" w:line="360" w:lineRule="auto"/>
        <w:jc w:val="both"/>
        <w:rPr>
          <w:rFonts w:eastAsia="Calibri"/>
          <w:noProof/>
          <w:color w:val="4C4747"/>
        </w:rPr>
      </w:pPr>
      <w:r w:rsidRPr="0011309F">
        <w:rPr>
          <w:rFonts w:eastAsia="Calibri"/>
          <w:b/>
          <w:bCs/>
          <w:noProof/>
          <w:color w:val="4C4747"/>
        </w:rPr>
        <w:t>Policy Briefings:</w:t>
      </w:r>
      <w:r w:rsidRPr="00A87FCF">
        <w:rPr>
          <w:rFonts w:eastAsia="Calibri"/>
          <w:noProof/>
          <w:color w:val="4C4747"/>
        </w:rPr>
        <w:t xml:space="preserve"> Documentos técnicos concisos diseñados para informar y orientar la toma de decisiones mediante la presentación de los principales hallazgos de investigaciones focalizadas, recopilación de datos o análisis en profundidad sobre temas específicos. Su objetivo es responder de manera </w:t>
      </w:r>
      <w:r w:rsidRPr="00A87FCF">
        <w:rPr>
          <w:rFonts w:eastAsia="Calibri"/>
          <w:noProof/>
          <w:color w:val="4C4747"/>
        </w:rPr>
        <w:lastRenderedPageBreak/>
        <w:t>ágil a necesidades urgentes de decisión y facilitar ajustes estratégicos en la implementación de políticas públicas. Como parte de su contenido, el Policy Briefing presenta recomendaciones de política en base a la evidencia analizada. Durante 2025 se produjo el briefing "El servicio de agua en los hogares: analizando la cobertura y la continuidad del abastecimiento", una evaluación ágil que contribuyó a reorientar estrategias en la implementación de proyectos vinculados a las metas de agua y saneamiento, ejemplificando la capacidad del laboratorio para generar evidencia oportuna y accionable.</w:t>
      </w:r>
    </w:p>
    <w:p w14:paraId="10B77672" w14:textId="77777777" w:rsidR="00A87FCF" w:rsidRPr="00A87FCF" w:rsidRDefault="00A87FCF" w:rsidP="00886F32">
      <w:pPr>
        <w:pStyle w:val="ListParagraph"/>
        <w:numPr>
          <w:ilvl w:val="0"/>
          <w:numId w:val="84"/>
        </w:numPr>
        <w:spacing w:after="0" w:line="360" w:lineRule="auto"/>
        <w:jc w:val="both"/>
        <w:rPr>
          <w:rFonts w:eastAsia="Calibri"/>
          <w:noProof/>
          <w:color w:val="4C4747"/>
        </w:rPr>
      </w:pPr>
      <w:r w:rsidRPr="0011309F">
        <w:rPr>
          <w:rFonts w:eastAsia="Calibri"/>
          <w:b/>
          <w:bCs/>
          <w:noProof/>
          <w:color w:val="4C4747"/>
        </w:rPr>
        <w:t>Índice de Congestionamiento Vehicular de Santo Domingo (ICoV.SD):</w:t>
      </w:r>
      <w:r w:rsidRPr="00A87FCF">
        <w:rPr>
          <w:rFonts w:eastAsia="Calibri"/>
          <w:noProof/>
          <w:color w:val="4C4747"/>
        </w:rPr>
        <w:t xml:space="preserve"> Herramienta innovadora para el monitoreo y medición de la efectividad de las políticas públicas en materia de tránsito y movilidad implementadas a partir de agosto 2025 en el Gran Santo Domingo. Este índice permite evaluar el impacto de las intervenciones y ajustar las estrategias de movilidad urbana con base en datos objetivos.</w:t>
      </w:r>
    </w:p>
    <w:p w14:paraId="69479F05"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Además de estos instrumentos, el Departamento ha consolidado su rol como articulador técnico entre instituciones del Estado y organismos internacionales, facilitando el intercambio de información, brindando asistencia técnica y acompañando procesos de definición de indicadores prioritarios. Durante 2025, se establecieron colaboraciones estratégicas con: Ministerio de Salud Pública y Asistencia Social (MISPAS), Servicio Nacional de Salud (SNS), UNICEF, Oficina Nacional de Estadística (ONE), MIVED, Embajadas de República Dominicana en el exterior, Ministerio de Defensa e Instituto Nacional de Migración (INM). Adicionalmente, se han realizado esfuerzos sistemáticos para garantizar la actualidad, calidad y coherencia de los sistemas de información:</w:t>
      </w:r>
    </w:p>
    <w:p w14:paraId="7BAC7813"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lastRenderedPageBreak/>
        <w:t>Estos esfuerzos han permitido consolidar un ecosistema de datos confiable, oportuno y coherente, que sirve de base para la coordinación gubernamental y la evaluación del desempeño institucional en torno a las metas prioritarias.</w:t>
      </w:r>
    </w:p>
    <w:p w14:paraId="22877B5F" w14:textId="77777777" w:rsidR="00A87FCF" w:rsidRPr="00702807" w:rsidRDefault="00A87FCF" w:rsidP="00886F32">
      <w:pPr>
        <w:spacing w:after="0" w:line="360" w:lineRule="auto"/>
        <w:ind w:left="720"/>
        <w:rPr>
          <w:color w:val="FF0000"/>
          <w:highlight w:val="yellow"/>
          <w:lang w:val="es-DO"/>
        </w:rPr>
      </w:pPr>
    </w:p>
    <w:p w14:paraId="4294B8C3" w14:textId="4E84BB06" w:rsidR="00A87FCF" w:rsidRPr="006651EA" w:rsidRDefault="006651EA" w:rsidP="00886F32">
      <w:pPr>
        <w:spacing w:after="0" w:line="360" w:lineRule="auto"/>
        <w:ind w:left="720"/>
        <w:rPr>
          <w:rFonts w:eastAsia="Calibri"/>
          <w:b/>
          <w:noProof/>
          <w:color w:val="4C4747"/>
          <w:lang w:val="es-DO"/>
        </w:rPr>
      </w:pPr>
      <w:bookmarkStart w:id="59" w:name="_Toc216197653"/>
      <w:r w:rsidRPr="006651EA">
        <w:rPr>
          <w:rFonts w:eastAsia="Calibri"/>
          <w:b/>
          <w:noProof/>
          <w:color w:val="4C4747"/>
          <w:lang w:val="es-DO"/>
        </w:rPr>
        <w:t>Políticas Públicas Experimentales</w:t>
      </w:r>
      <w:bookmarkEnd w:id="59"/>
    </w:p>
    <w:p w14:paraId="5E80F518"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La innovación en políticas públicas requiere sistemas que permitan identificar, articular y escalar intervenciones efectivas mediante evidencia rigurosa y coordinación estratégica. Durante 2025, el LabPP ha avanzado en el diseño e implementación inicial de dos iniciativas complementarias.</w:t>
      </w:r>
    </w:p>
    <w:p w14:paraId="144774E9" w14:textId="77777777" w:rsidR="00A87FCF" w:rsidRPr="00A87FCF" w:rsidRDefault="00A87FCF" w:rsidP="00886F32">
      <w:pPr>
        <w:pStyle w:val="ListParagraph"/>
        <w:numPr>
          <w:ilvl w:val="0"/>
          <w:numId w:val="84"/>
        </w:numPr>
        <w:tabs>
          <w:tab w:val="clear" w:pos="720"/>
          <w:tab w:val="num" w:pos="450"/>
        </w:tabs>
        <w:spacing w:after="0" w:line="360" w:lineRule="auto"/>
        <w:jc w:val="both"/>
        <w:rPr>
          <w:rFonts w:eastAsia="Calibri"/>
          <w:noProof/>
          <w:color w:val="4C4747"/>
        </w:rPr>
      </w:pPr>
      <w:r w:rsidRPr="006651EA">
        <w:rPr>
          <w:rFonts w:eastAsia="Calibri"/>
          <w:b/>
          <w:bCs/>
          <w:noProof/>
          <w:color w:val="4C4747"/>
        </w:rPr>
        <w:t>Banco de Programas e Intervenciones Públicas (BPIP)</w:t>
      </w:r>
      <w:r w:rsidRPr="00A87FCF">
        <w:rPr>
          <w:rFonts w:eastAsia="Calibri"/>
          <w:noProof/>
          <w:color w:val="4C4747"/>
        </w:rPr>
        <w:t>, estableciendo la arquitectura de información, taxonomía, clasificadores programáticos y estándares técnicos que regirán el funcionamiento del sistema. El BPIP representa la construcción del primer inventario público exhaustivo de programas e intervenciones implementadas por las instituciones del Estado dominicano, a nivel central y municipal. Más allá de ser un simple registro, se constituye como un sistema integral de información accesible que transforma la cultura de gestión pública al introducir estándares de documentación, transparencia y aprendizaje institucional.Paralelamente, se iniciaron acuerdos estratégicos y desarrollos tecnológicos para el pilotaje gradual del Banco.</w:t>
      </w:r>
    </w:p>
    <w:p w14:paraId="45E34D2F" w14:textId="77777777" w:rsidR="00A87FCF" w:rsidRPr="00A87FCF" w:rsidRDefault="00A87FCF" w:rsidP="00886F32">
      <w:pPr>
        <w:pStyle w:val="ListParagraph"/>
        <w:numPr>
          <w:ilvl w:val="0"/>
          <w:numId w:val="84"/>
        </w:numPr>
        <w:tabs>
          <w:tab w:val="clear" w:pos="720"/>
          <w:tab w:val="num" w:pos="450"/>
        </w:tabs>
        <w:spacing w:after="0" w:line="360" w:lineRule="auto"/>
        <w:jc w:val="both"/>
        <w:rPr>
          <w:rFonts w:eastAsia="Calibri"/>
          <w:noProof/>
          <w:color w:val="4C4747"/>
        </w:rPr>
      </w:pPr>
      <w:r w:rsidRPr="006651EA">
        <w:rPr>
          <w:rFonts w:eastAsia="Calibri"/>
          <w:b/>
          <w:bCs/>
          <w:noProof/>
          <w:color w:val="4C4747"/>
        </w:rPr>
        <w:t>Acelerador STEM</w:t>
      </w:r>
      <w:r w:rsidRPr="00A87FCF">
        <w:rPr>
          <w:rFonts w:eastAsia="Calibri"/>
          <w:noProof/>
          <w:color w:val="4C4747"/>
        </w:rPr>
        <w:t xml:space="preserve">, como un mecanismo innovado de integrado de política pública que visibiliza, fortalece y conecta programas existentes para aumentar la inserción, permanencia, egreso y empleabilidad de jóvenes (15-29 años) en carreras de ciencia, tecnología, ingeniería y matemáticas (STEM). Es una intervención articuladora específica diseñada para responder a brechas críticas de capital humano. El Acelerador contribuye </w:t>
      </w:r>
      <w:r w:rsidRPr="00A87FCF">
        <w:rPr>
          <w:rFonts w:eastAsia="Calibri"/>
          <w:noProof/>
          <w:color w:val="4C4747"/>
        </w:rPr>
        <w:lastRenderedPageBreak/>
        <w:t>directamente a dos metas prioritarias del gobierno: Meta 5 Mayor Empleo de Calidad e Inclusivo y Meta 7 + Calidad Educación + Alineada a los Sectores Productivos.</w:t>
      </w:r>
    </w:p>
    <w:p w14:paraId="3C14D90B"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Desde la conceptualización inicial hasta diciembre 2025, se realizaron acciones concretas para transitar del diseño a la implementación:</w:t>
      </w:r>
    </w:p>
    <w:p w14:paraId="06D75417" w14:textId="77777777" w:rsidR="00A87FCF" w:rsidRPr="00A87FCF" w:rsidRDefault="00A87FCF" w:rsidP="00886F32">
      <w:pPr>
        <w:pStyle w:val="ListParagraph"/>
        <w:numPr>
          <w:ilvl w:val="0"/>
          <w:numId w:val="88"/>
        </w:numPr>
        <w:spacing w:after="0" w:line="360" w:lineRule="auto"/>
        <w:ind w:left="720"/>
        <w:jc w:val="both"/>
        <w:rPr>
          <w:rFonts w:eastAsia="Calibri"/>
          <w:noProof/>
          <w:color w:val="4C4747"/>
        </w:rPr>
      </w:pPr>
      <w:r w:rsidRPr="00A87FCF">
        <w:rPr>
          <w:rFonts w:eastAsia="Calibri"/>
          <w:noProof/>
          <w:color w:val="4C4747"/>
        </w:rPr>
        <w:t>Legitimidad y respaldo institucional de alto nivel.</w:t>
      </w:r>
    </w:p>
    <w:p w14:paraId="0DC1A8B6" w14:textId="77777777" w:rsidR="00A87FCF" w:rsidRPr="00A87FCF" w:rsidRDefault="00A87FCF" w:rsidP="00886F32">
      <w:pPr>
        <w:pStyle w:val="ListParagraph"/>
        <w:numPr>
          <w:ilvl w:val="0"/>
          <w:numId w:val="88"/>
        </w:numPr>
        <w:spacing w:after="0" w:line="360" w:lineRule="auto"/>
        <w:ind w:left="720"/>
        <w:jc w:val="both"/>
        <w:rPr>
          <w:rFonts w:eastAsia="Calibri"/>
          <w:noProof/>
          <w:color w:val="4C4747"/>
        </w:rPr>
      </w:pPr>
      <w:r w:rsidRPr="00A87FCF">
        <w:rPr>
          <w:rFonts w:eastAsia="Calibri"/>
          <w:noProof/>
          <w:color w:val="4C4747"/>
        </w:rPr>
        <w:t>Diálogo estratégico y articulación con actores clave.</w:t>
      </w:r>
    </w:p>
    <w:p w14:paraId="597203FD" w14:textId="77777777" w:rsidR="00A87FCF" w:rsidRPr="00A87FCF" w:rsidRDefault="00A87FCF" w:rsidP="00886F32">
      <w:pPr>
        <w:pStyle w:val="ListParagraph"/>
        <w:numPr>
          <w:ilvl w:val="0"/>
          <w:numId w:val="88"/>
        </w:numPr>
        <w:spacing w:after="0" w:line="360" w:lineRule="auto"/>
        <w:ind w:left="720"/>
        <w:jc w:val="both"/>
        <w:rPr>
          <w:rFonts w:eastAsia="Calibri"/>
          <w:noProof/>
          <w:color w:val="4C4747"/>
        </w:rPr>
      </w:pPr>
      <w:r w:rsidRPr="00A87FCF">
        <w:rPr>
          <w:rFonts w:eastAsia="Calibri"/>
          <w:noProof/>
          <w:color w:val="4C4747"/>
        </w:rPr>
        <w:t>Aseguramiento de estudio cualitativo</w:t>
      </w:r>
    </w:p>
    <w:p w14:paraId="060FF1C2" w14:textId="77777777" w:rsidR="00A87FCF" w:rsidRPr="00A87FCF" w:rsidRDefault="00A87FCF" w:rsidP="00886F32">
      <w:pPr>
        <w:pStyle w:val="ListParagraph"/>
        <w:numPr>
          <w:ilvl w:val="0"/>
          <w:numId w:val="88"/>
        </w:numPr>
        <w:spacing w:after="0" w:line="360" w:lineRule="auto"/>
        <w:ind w:left="720"/>
        <w:jc w:val="both"/>
        <w:rPr>
          <w:rFonts w:eastAsia="Calibri"/>
          <w:noProof/>
          <w:color w:val="4C4747"/>
        </w:rPr>
      </w:pPr>
      <w:r w:rsidRPr="00A87FCF">
        <w:rPr>
          <w:rFonts w:eastAsia="Calibri"/>
          <w:noProof/>
          <w:color w:val="4C4747"/>
        </w:rPr>
        <w:t>Desarrollo de un sistema de seguimiento de trayectoria académica-laboral.</w:t>
      </w:r>
    </w:p>
    <w:p w14:paraId="2CBA41B8" w14:textId="77777777" w:rsidR="00A87FCF" w:rsidRDefault="00A87FCF" w:rsidP="00886F32">
      <w:pPr>
        <w:spacing w:after="0" w:line="360" w:lineRule="auto"/>
        <w:ind w:left="720"/>
        <w:jc w:val="center"/>
        <w:rPr>
          <w:rFonts w:eastAsia="Calibri"/>
          <w:b/>
          <w:noProof/>
          <w:lang w:val="es-DO"/>
        </w:rPr>
      </w:pPr>
    </w:p>
    <w:p w14:paraId="00780A10" w14:textId="77777777" w:rsidR="00A87FCF" w:rsidRPr="006651EA" w:rsidRDefault="00A87FCF" w:rsidP="00886F32">
      <w:pPr>
        <w:spacing w:after="0" w:line="360" w:lineRule="auto"/>
        <w:ind w:left="720"/>
        <w:rPr>
          <w:rFonts w:eastAsia="Calibri"/>
          <w:b/>
          <w:noProof/>
          <w:color w:val="4C4747"/>
          <w:lang w:val="es-DO"/>
        </w:rPr>
      </w:pPr>
      <w:r w:rsidRPr="006651EA">
        <w:rPr>
          <w:rFonts w:eastAsia="Calibri"/>
          <w:b/>
          <w:noProof/>
          <w:color w:val="4C4747"/>
          <w:lang w:val="es-DO"/>
        </w:rPr>
        <w:t>Sistema Nacional de Atención Ciudadana 3-1-1</w:t>
      </w:r>
    </w:p>
    <w:p w14:paraId="1F2B6BBC" w14:textId="77777777" w:rsid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Hasta noviembre del año 2025, se han recibido y tramitado 7,842 casos a través del Sistema 3-1-1, dirigidos a distintos organismos gubernamentales. Como se observa en el Mapa 1, las provincias que concentran la mayor cantidad de casos son: Santo Domingo (3,166), Distrito Nacional (1,170), Santiago (669), San Cristóbal (368), La Vega (367), La Altagracia (319), San Pedro de Macorís (167), La Romana (162), Puerto Plata (155), San Juan (135), Barahora (130) y Monte Plata (103). La distribución de estos casos resulta clave para la planificación de la atención por territorios.</w:t>
      </w:r>
    </w:p>
    <w:p w14:paraId="57254E15" w14:textId="77777777" w:rsidR="00165A99" w:rsidRPr="00A87FCF" w:rsidRDefault="00165A99" w:rsidP="00886F32">
      <w:pPr>
        <w:spacing w:after="0" w:line="360" w:lineRule="auto"/>
        <w:ind w:left="720"/>
        <w:jc w:val="both"/>
        <w:rPr>
          <w:rFonts w:eastAsia="Calibri"/>
          <w:noProof/>
          <w:color w:val="4C4747"/>
          <w:lang w:val="es-DO"/>
        </w:rPr>
      </w:pPr>
    </w:p>
    <w:p w14:paraId="320701F9" w14:textId="619EC94C" w:rsidR="00A87FCF" w:rsidRPr="004108F4" w:rsidRDefault="00F33229" w:rsidP="00886F32">
      <w:pPr>
        <w:spacing w:after="0" w:line="360" w:lineRule="auto"/>
        <w:ind w:left="720"/>
        <w:jc w:val="both"/>
        <w:rPr>
          <w:b/>
          <w:bCs/>
          <w:i/>
          <w:iCs/>
          <w:lang w:val="es-US"/>
        </w:rPr>
      </w:pPr>
      <w:r>
        <w:rPr>
          <w:b/>
          <w:bCs/>
          <w:i/>
          <w:iCs/>
          <w:lang w:val="es-US"/>
        </w:rPr>
        <w:t>Gráfico</w:t>
      </w:r>
      <w:r w:rsidR="00A87FCF" w:rsidRPr="004108F4">
        <w:rPr>
          <w:b/>
          <w:bCs/>
          <w:i/>
          <w:iCs/>
          <w:lang w:val="es-US"/>
        </w:rPr>
        <w:t xml:space="preserve"> 1. Distribución de los casos recibidos en el Sistema 3-11 por provincia, año 2025</w:t>
      </w:r>
    </w:p>
    <w:p w14:paraId="51E38DBD" w14:textId="77777777" w:rsidR="00A87FCF" w:rsidRPr="0020588F" w:rsidRDefault="00A87FCF" w:rsidP="00886F32">
      <w:pPr>
        <w:spacing w:after="0" w:line="360" w:lineRule="auto"/>
        <w:ind w:left="720"/>
        <w:jc w:val="both"/>
        <w:rPr>
          <w:sz w:val="22"/>
          <w:szCs w:val="22"/>
          <w:lang w:val="es-US"/>
        </w:rPr>
      </w:pPr>
      <w:r w:rsidRPr="0020588F">
        <w:rPr>
          <w:noProof/>
        </w:rPr>
        <w:lastRenderedPageBreak/>
        <mc:AlternateContent>
          <mc:Choice Requires="cx4">
            <w:drawing>
              <wp:inline distT="0" distB="0" distL="0" distR="0" wp14:anchorId="40C2D389" wp14:editId="0D3A16A0">
                <wp:extent cx="4817110" cy="2990850"/>
                <wp:effectExtent l="0" t="0" r="2540" b="0"/>
                <wp:docPr id="874261204" name="Gráfico 1">
                  <a:extLst xmlns:a="http://schemas.openxmlformats.org/drawingml/2006/main">
                    <a:ext uri="{FF2B5EF4-FFF2-40B4-BE49-F238E27FC236}">
                      <a16:creationId xmlns:a16="http://schemas.microsoft.com/office/drawing/2014/main" id="{BD0545E1-4C02-C3EA-66F5-0E8793A12EF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4"/>
                  </a:graphicData>
                </a:graphic>
              </wp:inline>
            </w:drawing>
          </mc:Choice>
          <mc:Fallback>
            <w:drawing>
              <wp:inline distT="0" distB="0" distL="0" distR="0" wp14:anchorId="40C2D389" wp14:editId="0D3A16A0">
                <wp:extent cx="4817110" cy="2990850"/>
                <wp:effectExtent l="0" t="0" r="2540" b="0"/>
                <wp:docPr id="874261204" name="Gráfico 1">
                  <a:extLst xmlns:a="http://schemas.openxmlformats.org/drawingml/2006/main">
                    <a:ext uri="{FF2B5EF4-FFF2-40B4-BE49-F238E27FC236}">
                      <a16:creationId xmlns:a16="http://schemas.microsoft.com/office/drawing/2014/main" id="{BD0545E1-4C02-C3EA-66F5-0E8793A12EF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74261204" name="Gráfico 1">
                          <a:extLst>
                            <a:ext uri="{FF2B5EF4-FFF2-40B4-BE49-F238E27FC236}">
                              <a16:creationId xmlns:a16="http://schemas.microsoft.com/office/drawing/2014/main" id="{BD0545E1-4C02-C3EA-66F5-0E8793A12EF6}"/>
                            </a:ext>
                          </a:extLst>
                        </pic:cNvPr>
                        <pic:cNvPicPr>
                          <a:picLocks noGrp="1" noRot="1" noChangeAspect="1" noMove="1" noResize="1" noEditPoints="1" noAdjustHandles="1" noChangeArrowheads="1" noChangeShapeType="1"/>
                        </pic:cNvPicPr>
                      </pic:nvPicPr>
                      <pic:blipFill>
                        <a:blip r:embed="rId25"/>
                        <a:stretch>
                          <a:fillRect/>
                        </a:stretch>
                      </pic:blipFill>
                      <pic:spPr>
                        <a:xfrm>
                          <a:off x="0" y="0"/>
                          <a:ext cx="4817110" cy="2990850"/>
                        </a:xfrm>
                        <a:prstGeom prst="rect">
                          <a:avLst/>
                        </a:prstGeom>
                      </pic:spPr>
                    </pic:pic>
                  </a:graphicData>
                </a:graphic>
              </wp:inline>
            </w:drawing>
          </mc:Fallback>
        </mc:AlternateContent>
      </w:r>
    </w:p>
    <w:p w14:paraId="21C17529" w14:textId="77777777" w:rsidR="00A87FCF" w:rsidRDefault="00A87FCF" w:rsidP="00886F32">
      <w:pPr>
        <w:spacing w:after="0" w:line="360" w:lineRule="auto"/>
        <w:ind w:left="720"/>
        <w:jc w:val="both"/>
        <w:rPr>
          <w:rFonts w:eastAsia="Calibri"/>
          <w:i/>
          <w:iCs/>
          <w:noProof/>
          <w:lang w:val="es-ES"/>
        </w:rPr>
      </w:pPr>
      <w:r w:rsidRPr="0020588F">
        <w:rPr>
          <w:rFonts w:eastAsia="Calibri"/>
          <w:i/>
          <w:iCs/>
          <w:noProof/>
          <w:lang w:val="es-ES"/>
        </w:rPr>
        <w:t>Fuente: Sistema 3-1-1</w:t>
      </w:r>
    </w:p>
    <w:p w14:paraId="15B87625" w14:textId="77777777" w:rsidR="00A87FCF" w:rsidRPr="004108F4" w:rsidRDefault="00A87FCF" w:rsidP="00886F32">
      <w:pPr>
        <w:spacing w:after="0" w:line="360" w:lineRule="auto"/>
        <w:ind w:left="720"/>
        <w:jc w:val="both"/>
        <w:rPr>
          <w:rFonts w:eastAsia="Calibri"/>
          <w:i/>
          <w:iCs/>
          <w:noProof/>
          <w:lang w:val="es-ES"/>
        </w:rPr>
      </w:pPr>
      <w:r w:rsidRPr="0020588F">
        <w:rPr>
          <w:rFonts w:eastAsia="Calibri"/>
          <w:i/>
          <w:iCs/>
          <w:noProof/>
          <w:lang w:val="es-ES"/>
        </w:rPr>
        <w:t>Nota: El dato de 2025 incluye casos registrados hasta noviembre.</w:t>
      </w:r>
    </w:p>
    <w:p w14:paraId="7586CF46" w14:textId="77777777" w:rsidR="00483E9F" w:rsidRDefault="00483E9F" w:rsidP="00886F32">
      <w:pPr>
        <w:spacing w:after="0" w:line="360" w:lineRule="auto"/>
        <w:ind w:left="720"/>
        <w:jc w:val="both"/>
        <w:rPr>
          <w:rFonts w:eastAsia="Calibri"/>
          <w:noProof/>
          <w:color w:val="4C4747"/>
          <w:lang w:val="es-DO"/>
        </w:rPr>
      </w:pPr>
    </w:p>
    <w:p w14:paraId="60993185" w14:textId="3185CFEF"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De los 7,842 casos recibidos en el Sistema 311 para el año 2025, se registra un cumplimiento de respuesta oportuna de 88%, lo que significa que la mayoría de las personas obtuvo respuesta a sus necesidades en un tiempo adecuado. En los últimos tres años, la respuesta oportuna de las instituciones públicas a los casos registrados en el Sistema 3-1-1 no solo se ha mantenido por encima de la meta institucional (80%), sino que además ha mostrado un crecimiento sostenido, como se muestra a continuación:</w:t>
      </w:r>
    </w:p>
    <w:p w14:paraId="700DB17A"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En la plataforma se encuentran vinculadas y acreditadas de manera general 501 instituciones.</w:t>
      </w:r>
    </w:p>
    <w:p w14:paraId="585E8051"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 xml:space="preserve">Desde enero del corriente año 2025, fueron capacitadas 287 instituciones, de las cuales el 72.1% fueron hospitales de la red pública según se muestra en la siguiente matriz. De los hospitales se reciben un volumen significativo de casos a </w:t>
      </w:r>
      <w:r w:rsidRPr="00A87FCF">
        <w:rPr>
          <w:rFonts w:eastAsia="Calibri"/>
          <w:noProof/>
          <w:color w:val="4C4747"/>
          <w:lang w:val="es-DO"/>
        </w:rPr>
        <w:lastRenderedPageBreak/>
        <w:t>través del Sistema 3-1-1, lo que hace prioritaria su capacitación.</w:t>
      </w:r>
    </w:p>
    <w:p w14:paraId="3C6D8BF4" w14:textId="77777777" w:rsidR="00A87FCF" w:rsidRPr="00A87FCF"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Fueron capacitados 737 servidores públicos, impulsando aún más el seguimiento y acompañamiento a las instituciones públicas, garantizando la operatividad y respuesta a los ciudadanos y ciudadanas ante sus quejas, reclamaciones, sugerencias y denuncias, conforme lo establece la normativa vigente.</w:t>
      </w:r>
    </w:p>
    <w:p w14:paraId="39639818" w14:textId="2773C608" w:rsidR="00BA2267" w:rsidRDefault="00A87FCF" w:rsidP="00886F32">
      <w:pPr>
        <w:spacing w:after="0" w:line="360" w:lineRule="auto"/>
        <w:ind w:left="720"/>
        <w:jc w:val="both"/>
        <w:rPr>
          <w:rFonts w:eastAsia="Calibri"/>
          <w:noProof/>
          <w:color w:val="4C4747"/>
          <w:lang w:val="es-DO"/>
        </w:rPr>
      </w:pPr>
      <w:r w:rsidRPr="00A87FCF">
        <w:rPr>
          <w:rFonts w:eastAsia="Calibri"/>
          <w:noProof/>
          <w:color w:val="4C4747"/>
          <w:lang w:val="es-DO"/>
        </w:rPr>
        <w:t>Comprometido con fortalecer la participación ciudadana como base de la democracia y la transparencia, desarrolló cuatro amplias jornadas de capacitación en coordinación con diversas instituciones responsables de ofrecer servicios directos a la población. A través de la plataforma del Observatorio Nacional de la Calidad del Servicio del MAP, fueron formados 369 miembros de la sociedad civil. Además, se trabajó conjuntamente con FEDOMU para capacitar a los principales ayuntamientos, con el Servicio Nacional de Salud (SNS) para abarcar centros de salud de todo el país, y con el Ministerio de Salud Pública (MISPAS) para incluir la participación de las 80 direcciones regionales en las operaciones del sistema 3-1-1, fortaleciendo así la capacidad institucional y la calidad del servicio público.</w:t>
      </w:r>
    </w:p>
    <w:p w14:paraId="2D65AE7F" w14:textId="77777777" w:rsidR="00483E9F" w:rsidRDefault="00483E9F" w:rsidP="00886F32">
      <w:pPr>
        <w:spacing w:after="0" w:line="360" w:lineRule="auto"/>
        <w:ind w:left="720"/>
        <w:jc w:val="both"/>
        <w:rPr>
          <w:rFonts w:eastAsia="Calibri"/>
          <w:noProof/>
          <w:color w:val="4C4747"/>
          <w:lang w:val="es-DO"/>
        </w:rPr>
      </w:pPr>
    </w:p>
    <w:p w14:paraId="0A729470" w14:textId="76D46936" w:rsidR="00C673AC" w:rsidRDefault="00A40444" w:rsidP="00886F32">
      <w:pPr>
        <w:pStyle w:val="Heading2"/>
        <w:numPr>
          <w:ilvl w:val="1"/>
          <w:numId w:val="95"/>
        </w:numPr>
        <w:spacing w:before="0" w:line="360" w:lineRule="auto"/>
        <w:ind w:left="720"/>
        <w:jc w:val="center"/>
        <w:rPr>
          <w:b/>
          <w:bCs/>
          <w:color w:val="767171"/>
          <w:lang w:val="es-DO"/>
        </w:rPr>
      </w:pPr>
      <w:bookmarkStart w:id="60" w:name="_Toc185843624"/>
      <w:r w:rsidRPr="00AA3CF3">
        <w:rPr>
          <w:b/>
          <w:bCs/>
          <w:color w:val="767171"/>
          <w:lang w:val="es-DO"/>
        </w:rPr>
        <w:t xml:space="preserve"> </w:t>
      </w:r>
      <w:bookmarkStart w:id="61" w:name="_Toc217382612"/>
      <w:r w:rsidR="000607B9" w:rsidRPr="00AA3CF3">
        <w:rPr>
          <w:b/>
          <w:bCs/>
          <w:color w:val="767171"/>
          <w:lang w:val="es-DO"/>
        </w:rPr>
        <w:t xml:space="preserve">Viceministerio de </w:t>
      </w:r>
      <w:r w:rsidRPr="00AA3CF3">
        <w:rPr>
          <w:b/>
          <w:bCs/>
          <w:color w:val="767171"/>
          <w:lang w:val="es-DO"/>
        </w:rPr>
        <w:t>Desarrollo</w:t>
      </w:r>
      <w:r w:rsidR="000607B9" w:rsidRPr="00AA3CF3">
        <w:rPr>
          <w:b/>
          <w:bCs/>
          <w:color w:val="767171"/>
          <w:lang w:val="es-DO"/>
        </w:rPr>
        <w:t xml:space="preserve"> Social</w:t>
      </w:r>
      <w:bookmarkEnd w:id="60"/>
      <w:bookmarkEnd w:id="61"/>
    </w:p>
    <w:p w14:paraId="5FE2390C" w14:textId="77777777" w:rsidR="000635F8" w:rsidRPr="000635F8" w:rsidRDefault="000635F8" w:rsidP="00886F32">
      <w:pPr>
        <w:spacing w:after="0" w:line="360" w:lineRule="auto"/>
        <w:ind w:left="720"/>
        <w:rPr>
          <w:lang w:val="es-DO"/>
        </w:rPr>
      </w:pPr>
    </w:p>
    <w:p w14:paraId="7FDDBD77" w14:textId="0DD93433" w:rsidR="002C2238" w:rsidRPr="00AA3CF3" w:rsidRDefault="00C673AC" w:rsidP="001F31E2">
      <w:pPr>
        <w:pStyle w:val="ListParagraph"/>
        <w:tabs>
          <w:tab w:val="left" w:pos="990"/>
        </w:tabs>
        <w:spacing w:after="0" w:line="360" w:lineRule="auto"/>
        <w:jc w:val="both"/>
        <w:rPr>
          <w:rFonts w:eastAsiaTheme="majorEastAsia" w:cstheme="majorBidi"/>
          <w:b/>
          <w:bCs/>
          <w:szCs w:val="26"/>
        </w:rPr>
      </w:pPr>
      <w:r w:rsidRPr="00AA3CF3">
        <w:rPr>
          <w:rFonts w:eastAsiaTheme="majorEastAsia" w:cstheme="majorBidi"/>
          <w:b/>
          <w:bCs/>
          <w:szCs w:val="26"/>
        </w:rPr>
        <w:t>Secretaría Técnica para la Soberanía y Seguridad Alimentaria y Nutricional (SETESSAN)</w:t>
      </w:r>
    </w:p>
    <w:p w14:paraId="5E8F937B" w14:textId="66E87BAE" w:rsidR="002C2238" w:rsidRDefault="002C2238" w:rsidP="00886F32">
      <w:pPr>
        <w:spacing w:after="0" w:line="360" w:lineRule="auto"/>
        <w:ind w:left="720"/>
        <w:jc w:val="both"/>
        <w:rPr>
          <w:rFonts w:eastAsia="Calibri"/>
          <w:noProof/>
          <w:color w:val="4C4747"/>
          <w:lang w:val="es-DO"/>
        </w:rPr>
      </w:pPr>
      <w:r w:rsidRPr="00F00F5B">
        <w:rPr>
          <w:rFonts w:eastAsia="Calibri"/>
          <w:noProof/>
          <w:color w:val="4C4747"/>
          <w:lang w:val="es-DO"/>
        </w:rPr>
        <w:t xml:space="preserve">La </w:t>
      </w:r>
      <w:r w:rsidRPr="00873E82">
        <w:rPr>
          <w:rFonts w:eastAsia="Calibri"/>
          <w:noProof/>
          <w:color w:val="4C4747"/>
          <w:lang w:val="es-DO"/>
        </w:rPr>
        <w:t>Secretaría Técnica para la Soberanía y Seguridad Alimentaria y Nutricional (SETESSAN)</w:t>
      </w:r>
      <w:r w:rsidRPr="00F00F5B">
        <w:rPr>
          <w:rFonts w:eastAsia="Calibri"/>
          <w:noProof/>
          <w:color w:val="4C4747"/>
          <w:lang w:val="es-DO"/>
        </w:rPr>
        <w:t xml:space="preserve"> fue creada mediante la </w:t>
      </w:r>
      <w:r w:rsidRPr="00873E82">
        <w:rPr>
          <w:rFonts w:eastAsia="Calibri"/>
          <w:noProof/>
          <w:color w:val="4C4747"/>
          <w:lang w:val="es-DO"/>
        </w:rPr>
        <w:t>Ley núm. 589-16</w:t>
      </w:r>
      <w:r w:rsidRPr="00F00F5B">
        <w:rPr>
          <w:rFonts w:eastAsia="Calibri"/>
          <w:noProof/>
          <w:color w:val="4C4747"/>
          <w:lang w:val="es-DO"/>
        </w:rPr>
        <w:t xml:space="preserve">, promulgada el </w:t>
      </w:r>
      <w:r w:rsidRPr="00873E82">
        <w:rPr>
          <w:rFonts w:eastAsia="Calibri"/>
          <w:noProof/>
          <w:color w:val="4C4747"/>
          <w:lang w:val="es-DO"/>
        </w:rPr>
        <w:t>5 de julio de 2016</w:t>
      </w:r>
      <w:r w:rsidRPr="00F00F5B">
        <w:rPr>
          <w:rFonts w:eastAsia="Calibri"/>
          <w:noProof/>
          <w:color w:val="4C4747"/>
          <w:lang w:val="es-DO"/>
        </w:rPr>
        <w:t xml:space="preserve">, como </w:t>
      </w:r>
      <w:r w:rsidRPr="00873E82">
        <w:rPr>
          <w:rFonts w:eastAsia="Calibri"/>
          <w:noProof/>
          <w:color w:val="4C4747"/>
          <w:lang w:val="es-DO"/>
        </w:rPr>
        <w:t xml:space="preserve">órgano de apoyo operativo del Consejo Nacional para la </w:t>
      </w:r>
      <w:r w:rsidRPr="00873E82">
        <w:rPr>
          <w:rFonts w:eastAsia="Calibri"/>
          <w:noProof/>
          <w:color w:val="4C4747"/>
          <w:lang w:val="es-DO"/>
        </w:rPr>
        <w:lastRenderedPageBreak/>
        <w:t>Soberanía y Seguridad Alimentaria y Nutricional (CONASSAN)</w:t>
      </w:r>
      <w:r w:rsidRPr="00F00F5B">
        <w:rPr>
          <w:rFonts w:eastAsia="Calibri"/>
          <w:noProof/>
          <w:color w:val="4C4747"/>
          <w:lang w:val="es-DO"/>
        </w:rPr>
        <w:t xml:space="preserve">. Su función principal es </w:t>
      </w:r>
      <w:r w:rsidRPr="00873E82">
        <w:rPr>
          <w:rFonts w:eastAsia="Calibri"/>
          <w:noProof/>
          <w:color w:val="4C4747"/>
          <w:lang w:val="es-DO"/>
        </w:rPr>
        <w:t>coordinar, asistir y preparar los análisis, informes y propuestas técnicas necesarias</w:t>
      </w:r>
      <w:r w:rsidRPr="00F00F5B">
        <w:rPr>
          <w:rFonts w:eastAsia="Calibri"/>
          <w:noProof/>
          <w:color w:val="4C4747"/>
          <w:lang w:val="es-DO"/>
        </w:rPr>
        <w:t xml:space="preserve"> para la deliberación y toma de decisiones del Consejo.</w:t>
      </w:r>
    </w:p>
    <w:p w14:paraId="3029FFC8" w14:textId="77777777" w:rsidR="008631E1" w:rsidRPr="00F00F5B" w:rsidRDefault="008631E1" w:rsidP="00886F32">
      <w:pPr>
        <w:spacing w:after="0" w:line="360" w:lineRule="auto"/>
        <w:ind w:left="720"/>
        <w:jc w:val="both"/>
        <w:rPr>
          <w:rFonts w:eastAsia="Calibri"/>
          <w:noProof/>
          <w:color w:val="4C4747"/>
          <w:lang w:val="es-DO"/>
        </w:rPr>
      </w:pPr>
    </w:p>
    <w:p w14:paraId="4519CCE5" w14:textId="77777777" w:rsidR="002C2238" w:rsidRDefault="002C2238" w:rsidP="00886F32">
      <w:pPr>
        <w:spacing w:after="0" w:line="360" w:lineRule="auto"/>
        <w:ind w:left="720"/>
        <w:jc w:val="both"/>
        <w:rPr>
          <w:rFonts w:eastAsia="Calibri"/>
          <w:noProof/>
          <w:color w:val="4C4747"/>
          <w:lang w:val="es-DO"/>
        </w:rPr>
      </w:pPr>
      <w:r w:rsidRPr="00F00F5B">
        <w:rPr>
          <w:rFonts w:eastAsia="Calibri"/>
          <w:noProof/>
          <w:color w:val="4C4747"/>
          <w:lang w:val="es-DO"/>
        </w:rPr>
        <w:t xml:space="preserve">Asimismo, la SETESSAN actúa como </w:t>
      </w:r>
      <w:r w:rsidRPr="00873E82">
        <w:rPr>
          <w:rFonts w:eastAsia="Calibri"/>
          <w:noProof/>
          <w:color w:val="4C4747"/>
          <w:lang w:val="es-DO"/>
        </w:rPr>
        <w:t>ente coordinador del Sistema Nacional de Soberanía y Seguridad Alimentaria y Nutricional (SINASSAN)</w:t>
      </w:r>
      <w:r w:rsidRPr="00F00F5B">
        <w:rPr>
          <w:rFonts w:eastAsia="Calibri"/>
          <w:noProof/>
          <w:color w:val="4C4747"/>
          <w:lang w:val="es-DO"/>
        </w:rPr>
        <w:t xml:space="preserve">, siendo responsable de </w:t>
      </w:r>
      <w:r w:rsidRPr="00873E82">
        <w:rPr>
          <w:rFonts w:eastAsia="Calibri"/>
          <w:noProof/>
          <w:color w:val="4C4747"/>
          <w:lang w:val="es-DO"/>
        </w:rPr>
        <w:t>articular, implementar y dar seguimiento a las políticas, programas y proyectos vinculados a la SSAN</w:t>
      </w:r>
      <w:r w:rsidRPr="00F00F5B">
        <w:rPr>
          <w:rFonts w:eastAsia="Calibri"/>
          <w:noProof/>
          <w:color w:val="4C4747"/>
          <w:lang w:val="es-DO"/>
        </w:rPr>
        <w:t xml:space="preserve"> en la República Dominicana. Dentro de este marco, tiene la misión de </w:t>
      </w:r>
      <w:r w:rsidRPr="00873E82">
        <w:rPr>
          <w:rFonts w:eastAsia="Calibri"/>
          <w:noProof/>
          <w:color w:val="4C4747"/>
          <w:lang w:val="es-DO"/>
        </w:rPr>
        <w:t>coordinar la participación de las instituciones públicas, organismos internacionales y actores sociales</w:t>
      </w:r>
      <w:r w:rsidRPr="00F00F5B">
        <w:rPr>
          <w:rFonts w:eastAsia="Calibri"/>
          <w:noProof/>
          <w:color w:val="4C4747"/>
          <w:lang w:val="es-DO"/>
        </w:rPr>
        <w:t xml:space="preserve"> que intervienen en el fortalecimiento del derecho a la alimentación adecuada.</w:t>
      </w:r>
    </w:p>
    <w:p w14:paraId="65225CD2" w14:textId="77777777" w:rsidR="008631E1" w:rsidRPr="00F00F5B" w:rsidRDefault="008631E1" w:rsidP="00886F32">
      <w:pPr>
        <w:spacing w:after="0" w:line="360" w:lineRule="auto"/>
        <w:ind w:left="720"/>
        <w:jc w:val="both"/>
        <w:rPr>
          <w:rFonts w:eastAsia="Calibri"/>
          <w:noProof/>
          <w:color w:val="4C4747"/>
          <w:lang w:val="es-DO"/>
        </w:rPr>
      </w:pPr>
    </w:p>
    <w:p w14:paraId="09D646A9" w14:textId="77777777" w:rsidR="002C2238" w:rsidRDefault="002C2238" w:rsidP="00886F32">
      <w:pPr>
        <w:spacing w:after="0" w:line="360" w:lineRule="auto"/>
        <w:ind w:left="720"/>
        <w:jc w:val="both"/>
        <w:rPr>
          <w:rFonts w:eastAsia="Calibri"/>
          <w:noProof/>
          <w:color w:val="4C4747"/>
          <w:lang w:val="es-DO"/>
        </w:rPr>
      </w:pPr>
      <w:r w:rsidRPr="00F00F5B">
        <w:rPr>
          <w:rFonts w:eastAsia="Calibri"/>
          <w:noProof/>
          <w:color w:val="4C4747"/>
          <w:lang w:val="es-DO"/>
        </w:rPr>
        <w:t xml:space="preserve">La Ley 589-16 otorga a la SETESSAN </w:t>
      </w:r>
      <w:r w:rsidRPr="00873E82">
        <w:rPr>
          <w:rFonts w:eastAsia="Calibri"/>
          <w:noProof/>
          <w:color w:val="4C4747"/>
          <w:lang w:val="es-DO"/>
        </w:rPr>
        <w:t>atribuciones esenciales</w:t>
      </w:r>
      <w:r w:rsidRPr="00F00F5B">
        <w:rPr>
          <w:rFonts w:eastAsia="Calibri"/>
          <w:noProof/>
          <w:color w:val="4C4747"/>
          <w:lang w:val="es-DO"/>
        </w:rPr>
        <w:t xml:space="preserve"> que la responsabilizan de </w:t>
      </w:r>
      <w:r w:rsidRPr="00873E82">
        <w:rPr>
          <w:rFonts w:eastAsia="Calibri"/>
          <w:noProof/>
          <w:color w:val="4C4747"/>
          <w:lang w:val="es-DO"/>
        </w:rPr>
        <w:t>difundir la Política Nacional de Seguridad Alimentaria y Nutricional</w:t>
      </w:r>
      <w:r w:rsidRPr="00F00F5B">
        <w:rPr>
          <w:rFonts w:eastAsia="Calibri"/>
          <w:noProof/>
          <w:color w:val="4C4747"/>
          <w:lang w:val="es-DO"/>
        </w:rPr>
        <w:t xml:space="preserve">, supervisar su ejecución y </w:t>
      </w:r>
      <w:r w:rsidRPr="00873E82">
        <w:rPr>
          <w:rFonts w:eastAsia="Calibri"/>
          <w:noProof/>
          <w:color w:val="4C4747"/>
          <w:lang w:val="es-DO"/>
        </w:rPr>
        <w:t>proponer al CONASSAN las normativas, instrumentos o disposiciones complementarias</w:t>
      </w:r>
      <w:r w:rsidRPr="00F00F5B">
        <w:rPr>
          <w:rFonts w:eastAsia="Calibri"/>
          <w:noProof/>
          <w:color w:val="4C4747"/>
          <w:lang w:val="es-DO"/>
        </w:rPr>
        <w:t xml:space="preserve"> que fortalezcan su implementación. Del mismo modo, promueve la </w:t>
      </w:r>
      <w:r w:rsidRPr="00873E82">
        <w:rPr>
          <w:rFonts w:eastAsia="Calibri"/>
          <w:noProof/>
          <w:color w:val="4C4747"/>
          <w:lang w:val="es-DO"/>
        </w:rPr>
        <w:t>creación y consolidación de espacios de diálogo, concertación y comunicación</w:t>
      </w:r>
      <w:r w:rsidRPr="00F00F5B">
        <w:rPr>
          <w:rFonts w:eastAsia="Calibri"/>
          <w:noProof/>
          <w:color w:val="4C4747"/>
          <w:lang w:val="es-DO"/>
        </w:rPr>
        <w:t xml:space="preserve"> entre los distintos sectores, con el propósito de analizar las problemáticas alimentarias y nutricionales del país y generar </w:t>
      </w:r>
      <w:r w:rsidRPr="00873E82">
        <w:rPr>
          <w:rFonts w:eastAsia="Calibri"/>
          <w:noProof/>
          <w:color w:val="4C4747"/>
          <w:lang w:val="es-DO"/>
        </w:rPr>
        <w:t>respuestas efectivas y sostenibles</w:t>
      </w:r>
      <w:r w:rsidRPr="00F00F5B">
        <w:rPr>
          <w:rFonts w:eastAsia="Calibri"/>
          <w:noProof/>
          <w:color w:val="4C4747"/>
          <w:lang w:val="es-DO"/>
        </w:rPr>
        <w:t>.</w:t>
      </w:r>
    </w:p>
    <w:p w14:paraId="799F59C0" w14:textId="77777777" w:rsidR="008631E1" w:rsidRPr="00F00F5B" w:rsidRDefault="008631E1" w:rsidP="00886F32">
      <w:pPr>
        <w:spacing w:after="0" w:line="360" w:lineRule="auto"/>
        <w:ind w:left="720"/>
        <w:jc w:val="both"/>
        <w:rPr>
          <w:rFonts w:eastAsia="Calibri"/>
          <w:noProof/>
          <w:color w:val="4C4747"/>
          <w:lang w:val="es-DO"/>
        </w:rPr>
      </w:pPr>
    </w:p>
    <w:p w14:paraId="7C617039" w14:textId="77777777" w:rsidR="002C2238" w:rsidRPr="00F00F5B" w:rsidRDefault="002C2238" w:rsidP="00886F32">
      <w:pPr>
        <w:spacing w:after="0" w:line="360" w:lineRule="auto"/>
        <w:ind w:left="720"/>
        <w:jc w:val="both"/>
        <w:rPr>
          <w:rFonts w:eastAsia="Calibri"/>
          <w:noProof/>
          <w:color w:val="4C4747"/>
          <w:lang w:val="es-DO"/>
        </w:rPr>
      </w:pPr>
      <w:r w:rsidRPr="00F00F5B">
        <w:rPr>
          <w:rFonts w:eastAsia="Calibri"/>
          <w:noProof/>
          <w:color w:val="4C4747"/>
          <w:lang w:val="es-DO"/>
        </w:rPr>
        <w:t xml:space="preserve">Posteriormente, mediante el </w:t>
      </w:r>
      <w:r w:rsidRPr="00873E82">
        <w:rPr>
          <w:rFonts w:eastAsia="Calibri"/>
          <w:noProof/>
          <w:color w:val="4C4747"/>
          <w:lang w:val="es-DO"/>
        </w:rPr>
        <w:t>Decreto núm. 120-18</w:t>
      </w:r>
      <w:r w:rsidRPr="00F00F5B">
        <w:rPr>
          <w:rFonts w:eastAsia="Calibri"/>
          <w:noProof/>
          <w:color w:val="4C4747"/>
          <w:lang w:val="es-DO"/>
        </w:rPr>
        <w:t xml:space="preserve">, del </w:t>
      </w:r>
      <w:r w:rsidRPr="00873E82">
        <w:rPr>
          <w:rFonts w:eastAsia="Calibri"/>
          <w:noProof/>
          <w:color w:val="4C4747"/>
          <w:lang w:val="es-DO"/>
        </w:rPr>
        <w:t>23 de marzo de 2018</w:t>
      </w:r>
      <w:r w:rsidRPr="00F00F5B">
        <w:rPr>
          <w:rFonts w:eastAsia="Calibri"/>
          <w:noProof/>
          <w:color w:val="4C4747"/>
          <w:lang w:val="es-DO"/>
        </w:rPr>
        <w:t xml:space="preserve">, se establecieron de manera operativa sus </w:t>
      </w:r>
      <w:r w:rsidRPr="00873E82">
        <w:rPr>
          <w:rFonts w:eastAsia="Calibri"/>
          <w:noProof/>
          <w:color w:val="4C4747"/>
          <w:lang w:val="es-DO"/>
        </w:rPr>
        <w:t>funciones específicas</w:t>
      </w:r>
      <w:r w:rsidRPr="00F00F5B">
        <w:rPr>
          <w:rFonts w:eastAsia="Calibri"/>
          <w:noProof/>
          <w:color w:val="4C4747"/>
          <w:lang w:val="es-DO"/>
        </w:rPr>
        <w:t>, entre las que se destacan:</w:t>
      </w:r>
    </w:p>
    <w:p w14:paraId="411B28B4" w14:textId="77777777" w:rsidR="002C2238" w:rsidRPr="000635F8" w:rsidRDefault="002C2238" w:rsidP="00886F32">
      <w:pPr>
        <w:pStyle w:val="ListParagraph"/>
        <w:numPr>
          <w:ilvl w:val="0"/>
          <w:numId w:val="16"/>
        </w:numPr>
        <w:spacing w:after="0" w:line="360" w:lineRule="auto"/>
        <w:jc w:val="both"/>
        <w:rPr>
          <w:rFonts w:eastAsia="Calibri"/>
          <w:noProof/>
          <w:color w:val="4C4747"/>
        </w:rPr>
      </w:pPr>
      <w:r w:rsidRPr="000635F8">
        <w:rPr>
          <w:rFonts w:eastAsia="Calibri"/>
          <w:noProof/>
          <w:color w:val="4C4747"/>
        </w:rPr>
        <w:lastRenderedPageBreak/>
        <w:t>La elaboración del Plan Estratégico de Seguridad Alimentaria y Nutricional cada cuatro años, así como su monitoreo y evaluación.</w:t>
      </w:r>
    </w:p>
    <w:p w14:paraId="49F54DBE" w14:textId="77777777" w:rsidR="002C2238" w:rsidRPr="000635F8" w:rsidRDefault="002C2238" w:rsidP="00886F32">
      <w:pPr>
        <w:pStyle w:val="ListParagraph"/>
        <w:numPr>
          <w:ilvl w:val="0"/>
          <w:numId w:val="16"/>
        </w:numPr>
        <w:spacing w:after="0" w:line="360" w:lineRule="auto"/>
        <w:jc w:val="both"/>
        <w:rPr>
          <w:rFonts w:eastAsia="Calibri"/>
          <w:noProof/>
          <w:color w:val="4C4747"/>
        </w:rPr>
      </w:pPr>
      <w:r w:rsidRPr="000635F8">
        <w:rPr>
          <w:rFonts w:eastAsia="Calibri"/>
          <w:noProof/>
          <w:color w:val="4C4747"/>
        </w:rPr>
        <w:t>La articulación interinstitucional de las acciones y programas ejecutados por los diferentes órganos que integran el SINASSAN.</w:t>
      </w:r>
    </w:p>
    <w:p w14:paraId="62B44F62" w14:textId="77777777" w:rsidR="002C2238" w:rsidRPr="000635F8" w:rsidRDefault="002C2238" w:rsidP="00886F32">
      <w:pPr>
        <w:pStyle w:val="ListParagraph"/>
        <w:numPr>
          <w:ilvl w:val="0"/>
          <w:numId w:val="16"/>
        </w:numPr>
        <w:spacing w:after="0" w:line="360" w:lineRule="auto"/>
        <w:jc w:val="both"/>
        <w:rPr>
          <w:rFonts w:eastAsia="Calibri"/>
          <w:noProof/>
          <w:color w:val="4C4747"/>
        </w:rPr>
      </w:pPr>
      <w:r w:rsidRPr="000635F8">
        <w:rPr>
          <w:rFonts w:eastAsia="Calibri"/>
          <w:noProof/>
          <w:color w:val="4C4747"/>
        </w:rPr>
        <w:t>La difusión de resultados y buenas prácticas que contribuyan a fortalecer la gobernanza alimentaria en el país.</w:t>
      </w:r>
    </w:p>
    <w:p w14:paraId="3A5648E1" w14:textId="77777777" w:rsidR="002C2238" w:rsidRDefault="002C2238" w:rsidP="00886F32">
      <w:pPr>
        <w:pStyle w:val="ListParagraph"/>
        <w:numPr>
          <w:ilvl w:val="0"/>
          <w:numId w:val="16"/>
        </w:numPr>
        <w:spacing w:after="0" w:line="360" w:lineRule="auto"/>
        <w:jc w:val="both"/>
        <w:rPr>
          <w:rFonts w:eastAsia="Calibri"/>
          <w:noProof/>
          <w:color w:val="4C4747"/>
        </w:rPr>
      </w:pPr>
      <w:r w:rsidRPr="000635F8">
        <w:rPr>
          <w:rFonts w:eastAsia="Calibri"/>
          <w:noProof/>
          <w:color w:val="4C4747"/>
        </w:rPr>
        <w:t>La implementación y articulación  las políticas SAN en los territorios a tráves de las Redes SSAN.</w:t>
      </w:r>
    </w:p>
    <w:p w14:paraId="35262322" w14:textId="77777777" w:rsidR="008631E1" w:rsidRPr="000635F8" w:rsidRDefault="008631E1" w:rsidP="008631E1">
      <w:pPr>
        <w:pStyle w:val="ListParagraph"/>
        <w:spacing w:after="0" w:line="360" w:lineRule="auto"/>
        <w:jc w:val="both"/>
        <w:rPr>
          <w:rFonts w:eastAsia="Calibri"/>
          <w:noProof/>
          <w:color w:val="4C4747"/>
        </w:rPr>
      </w:pPr>
    </w:p>
    <w:p w14:paraId="1B36B742" w14:textId="77777777" w:rsidR="002C2238" w:rsidRDefault="002C2238" w:rsidP="00886F32">
      <w:pPr>
        <w:spacing w:after="0" w:line="360" w:lineRule="auto"/>
        <w:ind w:left="720"/>
        <w:jc w:val="both"/>
        <w:rPr>
          <w:rFonts w:eastAsia="Calibri"/>
          <w:noProof/>
          <w:color w:val="4C4747"/>
          <w:lang w:val="es-DO"/>
        </w:rPr>
      </w:pPr>
      <w:r w:rsidRPr="00F00F5B">
        <w:rPr>
          <w:rFonts w:eastAsia="Calibri"/>
          <w:noProof/>
          <w:color w:val="4C4747"/>
          <w:lang w:val="es-DO"/>
        </w:rPr>
        <w:t xml:space="preserve">Como parte de su estructura, la SETESSAN coordina la </w:t>
      </w:r>
      <w:r w:rsidRPr="00873E82">
        <w:rPr>
          <w:rFonts w:eastAsia="Calibri"/>
          <w:noProof/>
          <w:color w:val="4C4747"/>
          <w:lang w:val="es-DO"/>
        </w:rPr>
        <w:t>Red Nacional para la Soberanía y Seguridad Alimentaria y Nutricional (RED SSAN)</w:t>
      </w:r>
      <w:r w:rsidRPr="00F00F5B">
        <w:rPr>
          <w:rFonts w:eastAsia="Calibri"/>
          <w:noProof/>
          <w:color w:val="4C4747"/>
          <w:lang w:val="es-DO"/>
        </w:rPr>
        <w:t xml:space="preserve">, concebida como un </w:t>
      </w:r>
      <w:r w:rsidRPr="00873E82">
        <w:rPr>
          <w:rFonts w:eastAsia="Calibri"/>
          <w:noProof/>
          <w:color w:val="4C4747"/>
          <w:lang w:val="es-DO"/>
        </w:rPr>
        <w:t>espacio de articulación y cooperación</w:t>
      </w:r>
      <w:r w:rsidRPr="00F00F5B">
        <w:rPr>
          <w:rFonts w:eastAsia="Calibri"/>
          <w:noProof/>
          <w:color w:val="4C4747"/>
          <w:lang w:val="es-DO"/>
        </w:rPr>
        <w:t xml:space="preserve"> entre instituciones públicas, organismos internacionales, sociedad civil y sector privado. </w:t>
      </w:r>
    </w:p>
    <w:p w14:paraId="1D211873" w14:textId="77777777" w:rsidR="002C2238" w:rsidRDefault="002C2238" w:rsidP="00886F32">
      <w:pPr>
        <w:spacing w:after="0" w:line="360" w:lineRule="auto"/>
        <w:ind w:left="720"/>
        <w:jc w:val="both"/>
        <w:rPr>
          <w:rFonts w:eastAsia="Calibri"/>
          <w:noProof/>
          <w:color w:val="4C4747"/>
          <w:lang w:val="es-DO"/>
        </w:rPr>
      </w:pPr>
      <w:r w:rsidRPr="00F00F5B">
        <w:rPr>
          <w:rFonts w:eastAsia="Calibri"/>
          <w:noProof/>
          <w:color w:val="4C4747"/>
          <w:lang w:val="es-DO"/>
        </w:rPr>
        <w:t xml:space="preserve">Esta red tiene como propósito </w:t>
      </w:r>
      <w:r w:rsidRPr="00873E82">
        <w:rPr>
          <w:rFonts w:eastAsia="Calibri"/>
          <w:noProof/>
          <w:color w:val="4C4747"/>
          <w:lang w:val="es-DO"/>
        </w:rPr>
        <w:t>fortalecer las acciones orientadas a garantizar el derecho a una alimentación adecuada</w:t>
      </w:r>
      <w:r w:rsidRPr="00F00F5B">
        <w:rPr>
          <w:rFonts w:eastAsia="Calibri"/>
          <w:noProof/>
          <w:color w:val="4C4747"/>
          <w:lang w:val="es-DO"/>
        </w:rPr>
        <w:t xml:space="preserve"> en la República Dominicana, promoviendo el </w:t>
      </w:r>
      <w:r w:rsidRPr="00873E82">
        <w:rPr>
          <w:rFonts w:eastAsia="Calibri"/>
          <w:noProof/>
          <w:color w:val="4C4747"/>
          <w:lang w:val="es-DO"/>
        </w:rPr>
        <w:t>diálogo, la planificación conjunta y el seguimiento a las políticas y programas</w:t>
      </w:r>
      <w:r w:rsidRPr="00F00F5B">
        <w:rPr>
          <w:rFonts w:eastAsia="Calibri"/>
          <w:noProof/>
          <w:color w:val="4C4747"/>
          <w:lang w:val="es-DO"/>
        </w:rPr>
        <w:t xml:space="preserve"> desde una </w:t>
      </w:r>
      <w:r w:rsidRPr="00873E82">
        <w:rPr>
          <w:rFonts w:eastAsia="Calibri"/>
          <w:noProof/>
          <w:color w:val="4C4747"/>
          <w:lang w:val="es-DO"/>
        </w:rPr>
        <w:t>perspectiva territorial</w:t>
      </w:r>
      <w:r w:rsidRPr="00F00F5B">
        <w:rPr>
          <w:rFonts w:eastAsia="Calibri"/>
          <w:noProof/>
          <w:color w:val="4C4747"/>
          <w:lang w:val="es-DO"/>
        </w:rPr>
        <w:t>, que permite adaptar las estrategias nacionales a las realidades locales</w:t>
      </w:r>
      <w:r>
        <w:rPr>
          <w:rFonts w:eastAsia="Calibri"/>
          <w:noProof/>
          <w:color w:val="4C4747"/>
          <w:lang w:val="es-DO"/>
        </w:rPr>
        <w:t>.</w:t>
      </w:r>
    </w:p>
    <w:p w14:paraId="26C6C705" w14:textId="77777777" w:rsidR="0081262F" w:rsidRDefault="0081262F" w:rsidP="00886F32">
      <w:pPr>
        <w:spacing w:after="0" w:line="360" w:lineRule="auto"/>
        <w:ind w:left="720"/>
        <w:jc w:val="both"/>
        <w:rPr>
          <w:rFonts w:eastAsia="Calibri"/>
          <w:noProof/>
          <w:color w:val="4C4747"/>
          <w:lang w:val="es-DO"/>
        </w:rPr>
      </w:pPr>
    </w:p>
    <w:p w14:paraId="27ABE325" w14:textId="77777777" w:rsidR="002179DA" w:rsidRPr="000635F8" w:rsidRDefault="002179DA" w:rsidP="00886F32">
      <w:pPr>
        <w:spacing w:after="0" w:line="360" w:lineRule="auto"/>
        <w:ind w:left="720"/>
        <w:jc w:val="both"/>
        <w:rPr>
          <w:rFonts w:eastAsia="Calibri"/>
          <w:b/>
          <w:bCs/>
          <w:noProof/>
          <w:color w:val="4C4747"/>
          <w:lang w:val="es-DO"/>
        </w:rPr>
      </w:pPr>
      <w:r w:rsidRPr="000635F8">
        <w:rPr>
          <w:rFonts w:eastAsia="Calibri"/>
          <w:b/>
          <w:bCs/>
          <w:noProof/>
          <w:color w:val="4C4747"/>
          <w:lang w:val="es-DO"/>
        </w:rPr>
        <w:t>Asambleas Eleccionarias: Municipales, Provinciales y Nacional.</w:t>
      </w:r>
    </w:p>
    <w:p w14:paraId="0835D5C4"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Con el fin de continuar dando cumplimiento al reglamento de aplicación de la Ley 589-16 y su reglamento de aplicación 349-19 la Red SSAN realizó su Asamblea Nacional Eleccionaria en el Salón Hermanas Mirabal del Palacio Nacional. La misma reunió a coordinadores provinciales de todo el país para validar el quórum, </w:t>
      </w:r>
      <w:r w:rsidRPr="00873E82">
        <w:rPr>
          <w:rFonts w:eastAsia="Calibri"/>
          <w:noProof/>
          <w:color w:val="4C4747"/>
          <w:lang w:val="es-DO"/>
        </w:rPr>
        <w:lastRenderedPageBreak/>
        <w:t xml:space="preserve">intercambiar experiencias y participar en el proceso de elección de su Representante Nacional ante el Consejo Nacional de Soberanía y Seguridad Alimentaria y Nutricional (CONASSAN). Durante la jornada se destacó la importancia de fortalecer las redes territoriales para garantizar sistemas alimentarios justos y sostenibles, mientras que autoridades nacionales reafirmaron el compromiso con la seguridad alimentaria y nutricional en todas sus formas. </w:t>
      </w:r>
    </w:p>
    <w:p w14:paraId="1AADED8D" w14:textId="77777777" w:rsidR="0081262F" w:rsidRPr="00873E82" w:rsidRDefault="0081262F" w:rsidP="00886F32">
      <w:pPr>
        <w:spacing w:after="0" w:line="360" w:lineRule="auto"/>
        <w:ind w:left="720"/>
        <w:jc w:val="both"/>
        <w:rPr>
          <w:rFonts w:eastAsia="Calibri"/>
          <w:noProof/>
          <w:color w:val="4C4747"/>
          <w:lang w:val="es-DO"/>
        </w:rPr>
      </w:pPr>
    </w:p>
    <w:p w14:paraId="14567315"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Tras la votación secreta y con la veeduría de la FAO, la coordinadora provincial de Barahona, Wilda Muñoz, fue elegida como nueva Representante Nacional de la Red SSAN. </w:t>
      </w:r>
    </w:p>
    <w:p w14:paraId="5389ACEB"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Previo a esta asamblea, se llevaron a cabo un total de 52 asambleas eleccionarias para el período 2025-2027, las cuales contemplaron la elección de nuevos coordinadores a nivel provincial y municipal para garantizar una representación territorial amplia. Estas reuniones permitieron fortalecer la estructura de las redes, garantizando que la voz de todos los rincones del país este presente en la máxima instancia de toma de decisiones en materia de seguridad alimentaria.</w:t>
      </w:r>
    </w:p>
    <w:p w14:paraId="28AB66A0" w14:textId="77777777" w:rsidR="0081262F" w:rsidRPr="00873E82" w:rsidRDefault="0081262F" w:rsidP="00886F32">
      <w:pPr>
        <w:spacing w:after="0" w:line="360" w:lineRule="auto"/>
        <w:ind w:left="720"/>
        <w:jc w:val="both"/>
        <w:rPr>
          <w:rFonts w:eastAsia="Calibri"/>
          <w:noProof/>
          <w:color w:val="4C4747"/>
          <w:lang w:val="es-DO"/>
        </w:rPr>
      </w:pPr>
    </w:p>
    <w:p w14:paraId="618520DA" w14:textId="77777777" w:rsidR="00622966" w:rsidRDefault="002179DA" w:rsidP="00886F32">
      <w:pPr>
        <w:spacing w:after="0" w:line="360" w:lineRule="auto"/>
        <w:ind w:left="720"/>
        <w:jc w:val="both"/>
        <w:rPr>
          <w:rFonts w:eastAsia="Calibri"/>
          <w:b/>
          <w:bCs/>
          <w:noProof/>
          <w:color w:val="4C4747"/>
          <w:lang w:val="es-DO"/>
        </w:rPr>
      </w:pPr>
      <w:r w:rsidRPr="000635F8">
        <w:rPr>
          <w:rFonts w:eastAsia="Calibri"/>
          <w:b/>
          <w:bCs/>
          <w:noProof/>
          <w:color w:val="4C4747"/>
          <w:lang w:val="es-DO"/>
        </w:rPr>
        <w:t>Visitas de socialización y sensibilización SAN a autoridades locales.</w:t>
      </w:r>
    </w:p>
    <w:p w14:paraId="6B2D06CC" w14:textId="693997E5"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Como parte de las funciones de la Red SSAN en su rol de articulador de las políticas SAN a nivel terriorial, se llevaron a cabo unas 52 reuniones con las distintas autoridades locales; entre ellos gobernadoras y alcaldes, a las cuales se le socializó las líneas de acción del Plan SSAN 2023-2026, se sensibilizó sobre la Ley 589-16 y la estructura del SINASSAN. Así mismo se les presentó los resultados del último Análisis CIF 2024 realizado en el país, con el fin de darles a conocer el nivel de </w:t>
      </w:r>
      <w:r w:rsidRPr="00873E82">
        <w:rPr>
          <w:rFonts w:eastAsia="Calibri"/>
          <w:noProof/>
          <w:color w:val="4C4747"/>
          <w:lang w:val="es-DO"/>
        </w:rPr>
        <w:lastRenderedPageBreak/>
        <w:t>inseguridad alimentaria aguda en la que se encontraba su territorio.</w:t>
      </w:r>
    </w:p>
    <w:p w14:paraId="7E531A1A" w14:textId="77777777" w:rsidR="0081262F" w:rsidRPr="00873E82" w:rsidRDefault="0081262F" w:rsidP="00886F32">
      <w:pPr>
        <w:spacing w:after="0" w:line="360" w:lineRule="auto"/>
        <w:ind w:left="720"/>
        <w:jc w:val="both"/>
        <w:rPr>
          <w:rFonts w:eastAsia="Calibri"/>
          <w:noProof/>
          <w:color w:val="4C4747"/>
          <w:lang w:val="es-DO"/>
        </w:rPr>
      </w:pPr>
    </w:p>
    <w:p w14:paraId="4F01B327"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Capacitaciones a coordinadores de la Red SSAN.</w:t>
      </w:r>
    </w:p>
    <w:p w14:paraId="0F42B50A" w14:textId="47ABD0F6"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Durante el año 2025 los coordinadores de la Red SSAN fueron capacitados en distintas </w:t>
      </w:r>
      <w:r w:rsidR="009479B0" w:rsidRPr="00873E82">
        <w:rPr>
          <w:rFonts w:eastAsia="Calibri"/>
          <w:noProof/>
          <w:color w:val="4C4747"/>
          <w:lang w:val="es-DO"/>
        </w:rPr>
        <w:t>á</w:t>
      </w:r>
      <w:r w:rsidRPr="00873E82">
        <w:rPr>
          <w:rFonts w:eastAsia="Calibri"/>
          <w:noProof/>
          <w:color w:val="4C4747"/>
          <w:lang w:val="es-DO"/>
        </w:rPr>
        <w:t xml:space="preserve">reas relacionadas a temas SAN entre ellas: un (1) taller de Manipulación de Frutas, un (1) taller de Buenas Prácticas de Higiene (BPH) y un (1) taller de Análisis de Peligros y Puntos Criticos de Control (HACCP) que fueron impartidas en modalidad virtual por el Ministerio de Industria, Comercio y Mypymes, impactando a 36 coordinadores de los distintas provincias. </w:t>
      </w:r>
    </w:p>
    <w:p w14:paraId="61876F53" w14:textId="77777777" w:rsidR="0081262F" w:rsidRPr="00873E82" w:rsidRDefault="0081262F" w:rsidP="00886F32">
      <w:pPr>
        <w:spacing w:after="0" w:line="360" w:lineRule="auto"/>
        <w:ind w:left="720"/>
        <w:jc w:val="both"/>
        <w:rPr>
          <w:rFonts w:eastAsia="Calibri"/>
          <w:noProof/>
          <w:color w:val="4C4747"/>
          <w:lang w:val="es-DO"/>
        </w:rPr>
      </w:pPr>
    </w:p>
    <w:p w14:paraId="0D27FA42"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Estas capacitaciones tuvieron el objetivo de fortalecer las competencias del sector productivo para promover la mejora continua, al cumplimiento de estándares de calidad y la inocuidad en procesos de manofactura y manipulación de alimentos.</w:t>
      </w:r>
    </w:p>
    <w:p w14:paraId="3521B7A7" w14:textId="77777777" w:rsidR="00573439" w:rsidRPr="00873E82" w:rsidRDefault="00573439" w:rsidP="00886F32">
      <w:pPr>
        <w:spacing w:after="0" w:line="360" w:lineRule="auto"/>
        <w:ind w:left="720"/>
        <w:jc w:val="both"/>
        <w:rPr>
          <w:rFonts w:eastAsia="Calibri"/>
          <w:noProof/>
          <w:color w:val="4C4747"/>
          <w:lang w:val="es-DO"/>
        </w:rPr>
      </w:pPr>
    </w:p>
    <w:p w14:paraId="28DDCDE5" w14:textId="678020F1"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Así mismo con el propósito de fomentar hábitos alimentarios saludables y prevenir enfermedades crónicas no transmisibles, el Ministerio de Salud Pública (MSP), en coordinación con las Redes SSAN, las gobernaciones provinciales y con el respaldo técnico de la FAO, realizaron doce (12) talleres formativos provinciales en: Independencia, Bahoruco, Dajabón, Monte Cristi, Hato Mayor del Rey, El Seibo, Elías Piña, San Juan, Azua, San Jose de Ocoa, Barahona y Pedernales.</w:t>
      </w:r>
    </w:p>
    <w:p w14:paraId="3D17EBFE" w14:textId="77777777" w:rsidR="00573439" w:rsidRPr="00873E82" w:rsidRDefault="00573439" w:rsidP="00886F32">
      <w:pPr>
        <w:spacing w:after="0" w:line="360" w:lineRule="auto"/>
        <w:ind w:left="720"/>
        <w:jc w:val="both"/>
        <w:rPr>
          <w:rFonts w:eastAsia="Calibri"/>
          <w:noProof/>
          <w:color w:val="4C4747"/>
          <w:lang w:val="es-DO"/>
        </w:rPr>
      </w:pPr>
    </w:p>
    <w:p w14:paraId="603090C6"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Estos talleres impactaron a más de 540 personas, entre ellos; líderes comunitarios, coordinadores de la Red SSAN, representantes de organizaciones gubernamentales y no </w:t>
      </w:r>
      <w:r w:rsidRPr="00873E82">
        <w:rPr>
          <w:rFonts w:eastAsia="Calibri"/>
          <w:noProof/>
          <w:color w:val="4C4747"/>
          <w:lang w:val="es-DO"/>
        </w:rPr>
        <w:lastRenderedPageBreak/>
        <w:t xml:space="preserve">gubernamentales; enfocados en fortalecer y promover la adopción de hábitos alimentarios saludables como pilar del bienestar comunitario. </w:t>
      </w:r>
    </w:p>
    <w:p w14:paraId="7F481E13" w14:textId="77777777" w:rsidR="00573439" w:rsidRPr="00873E82" w:rsidRDefault="00573439" w:rsidP="00886F32">
      <w:pPr>
        <w:spacing w:after="0" w:line="360" w:lineRule="auto"/>
        <w:ind w:left="720"/>
        <w:jc w:val="both"/>
        <w:rPr>
          <w:rFonts w:eastAsia="Calibri"/>
          <w:noProof/>
          <w:color w:val="4C4747"/>
          <w:lang w:val="es-DO"/>
        </w:rPr>
      </w:pPr>
    </w:p>
    <w:p w14:paraId="422ED9D1"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Durante las jornadas se trataron temas clave como: La Ley 589-16 y su marco de gobernanza, los fundamentos de alimentación y nutrición, la clasificación de alimentos según su función, los principios de una dieta equilibrada, consumo recomendado de frutas y vegetales, la importancia de la actividad física, la hidratación y la inocuidad alimentaria. La metodología de estos talleres se basó en charlas interactivas, dinámicas grupales y espacios de intercambio con especialistas del área.</w:t>
      </w:r>
    </w:p>
    <w:p w14:paraId="5BC549FF" w14:textId="77777777" w:rsidR="00573439" w:rsidRPr="00873E82" w:rsidRDefault="00573439" w:rsidP="00886F32">
      <w:pPr>
        <w:spacing w:after="0" w:line="360" w:lineRule="auto"/>
        <w:ind w:left="720"/>
        <w:jc w:val="both"/>
        <w:rPr>
          <w:rFonts w:eastAsia="Calibri"/>
          <w:noProof/>
          <w:color w:val="4C4747"/>
          <w:lang w:val="es-DO"/>
        </w:rPr>
      </w:pPr>
    </w:p>
    <w:p w14:paraId="7A422BA4"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Sesiones del Consejo Nacional para la Soberanía y Seguridad Alimentaria y Nutricional (CONASSAN).</w:t>
      </w:r>
    </w:p>
    <w:p w14:paraId="79A0859A" w14:textId="6A28FCF1"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Durante este año se realizaron un total de (4) sesiones ampliadas del CONASSAN, las cuales contaron con una robusta participación de los </w:t>
      </w:r>
      <w:r w:rsidR="0083294F" w:rsidRPr="00873E82">
        <w:rPr>
          <w:rFonts w:eastAsia="Calibri"/>
          <w:noProof/>
          <w:color w:val="4C4747"/>
          <w:lang w:val="es-DO"/>
        </w:rPr>
        <w:t>M</w:t>
      </w:r>
      <w:r w:rsidRPr="00873E82">
        <w:rPr>
          <w:rFonts w:eastAsia="Calibri"/>
          <w:noProof/>
          <w:color w:val="4C4747"/>
          <w:lang w:val="es-DO"/>
        </w:rPr>
        <w:t xml:space="preserve">inistros de la </w:t>
      </w:r>
      <w:r w:rsidR="0083294F" w:rsidRPr="00873E82">
        <w:rPr>
          <w:rFonts w:eastAsia="Calibri"/>
          <w:noProof/>
          <w:color w:val="4C4747"/>
          <w:lang w:val="es-DO"/>
        </w:rPr>
        <w:t>P</w:t>
      </w:r>
      <w:r w:rsidRPr="00873E82">
        <w:rPr>
          <w:rFonts w:eastAsia="Calibri"/>
          <w:noProof/>
          <w:color w:val="4C4747"/>
          <w:lang w:val="es-DO"/>
        </w:rPr>
        <w:t xml:space="preserve">residencia, </w:t>
      </w:r>
      <w:r w:rsidR="0083294F" w:rsidRPr="00873E82">
        <w:rPr>
          <w:rFonts w:eastAsia="Calibri"/>
          <w:noProof/>
          <w:color w:val="4C4747"/>
          <w:lang w:val="es-DO"/>
        </w:rPr>
        <w:t>S</w:t>
      </w:r>
      <w:r w:rsidRPr="00873E82">
        <w:rPr>
          <w:rFonts w:eastAsia="Calibri"/>
          <w:noProof/>
          <w:color w:val="4C4747"/>
          <w:lang w:val="es-DO"/>
        </w:rPr>
        <w:t xml:space="preserve">alud, </w:t>
      </w:r>
      <w:r w:rsidR="0083294F" w:rsidRPr="00873E82">
        <w:rPr>
          <w:rFonts w:eastAsia="Calibri"/>
          <w:noProof/>
          <w:color w:val="4C4747"/>
          <w:lang w:val="es-DO"/>
        </w:rPr>
        <w:t>Ag</w:t>
      </w:r>
      <w:r w:rsidRPr="00873E82">
        <w:rPr>
          <w:rFonts w:eastAsia="Calibri"/>
          <w:noProof/>
          <w:color w:val="4C4747"/>
          <w:lang w:val="es-DO"/>
        </w:rPr>
        <w:t xml:space="preserve">ricultura, </w:t>
      </w:r>
      <w:r w:rsidR="0083294F" w:rsidRPr="00873E82">
        <w:rPr>
          <w:rFonts w:eastAsia="Calibri"/>
          <w:noProof/>
          <w:color w:val="4C4747"/>
          <w:lang w:val="es-DO"/>
        </w:rPr>
        <w:t>V</w:t>
      </w:r>
      <w:r w:rsidRPr="00873E82">
        <w:rPr>
          <w:rFonts w:eastAsia="Calibri"/>
          <w:noProof/>
          <w:color w:val="4C4747"/>
          <w:lang w:val="es-DO"/>
        </w:rPr>
        <w:t xml:space="preserve">iceministros y </w:t>
      </w:r>
      <w:r w:rsidR="0083294F" w:rsidRPr="00873E82">
        <w:rPr>
          <w:rFonts w:eastAsia="Calibri"/>
          <w:noProof/>
          <w:color w:val="4C4747"/>
          <w:lang w:val="es-DO"/>
        </w:rPr>
        <w:t>D</w:t>
      </w:r>
      <w:r w:rsidRPr="00873E82">
        <w:rPr>
          <w:rFonts w:eastAsia="Calibri"/>
          <w:noProof/>
          <w:color w:val="4C4747"/>
          <w:lang w:val="es-DO"/>
        </w:rPr>
        <w:t xml:space="preserve">irectores </w:t>
      </w:r>
      <w:r w:rsidR="0083294F" w:rsidRPr="00873E82">
        <w:rPr>
          <w:rFonts w:eastAsia="Calibri"/>
          <w:noProof/>
          <w:color w:val="4C4747"/>
          <w:lang w:val="es-DO"/>
        </w:rPr>
        <w:t>G</w:t>
      </w:r>
      <w:r w:rsidRPr="00873E82">
        <w:rPr>
          <w:rFonts w:eastAsia="Calibri"/>
          <w:noProof/>
          <w:color w:val="4C4747"/>
          <w:lang w:val="es-DO"/>
        </w:rPr>
        <w:t xml:space="preserve">enerales de las diferentes instituciones gubernamentales que trabajan temas de seguridad alimentaria, así como tambien asistieron representantes de organismos de </w:t>
      </w:r>
      <w:r w:rsidR="0083294F" w:rsidRPr="00873E82">
        <w:rPr>
          <w:rFonts w:eastAsia="Calibri"/>
          <w:noProof/>
          <w:color w:val="4C4747"/>
          <w:lang w:val="es-DO"/>
        </w:rPr>
        <w:t>C</w:t>
      </w:r>
      <w:r w:rsidRPr="00873E82">
        <w:rPr>
          <w:rFonts w:eastAsia="Calibri"/>
          <w:noProof/>
          <w:color w:val="4C4747"/>
          <w:lang w:val="es-DO"/>
        </w:rPr>
        <w:t xml:space="preserve">ooperación </w:t>
      </w:r>
      <w:r w:rsidR="0083294F" w:rsidRPr="00873E82">
        <w:rPr>
          <w:rFonts w:eastAsia="Calibri"/>
          <w:noProof/>
          <w:color w:val="4C4747"/>
          <w:lang w:val="es-DO"/>
        </w:rPr>
        <w:t>I</w:t>
      </w:r>
      <w:r w:rsidRPr="00873E82">
        <w:rPr>
          <w:rFonts w:eastAsia="Calibri"/>
          <w:noProof/>
          <w:color w:val="4C4747"/>
          <w:lang w:val="es-DO"/>
        </w:rPr>
        <w:t>nternacional. En el marco de estas sesiones se discutieron y socializaron temas claves como: presentación del documento preliminar de la Hoja de Balance de Alimentos (HBA), validación de la propuesta del Sistema Nacional de Monitoreo de los Sistemas Agroalimentarios, validación de los hallazgos de los diálogos sectoriales para el borrador del Plan de Acción de Convergencia (CAB), así como el documento país que representó a la República Dominicana en la Cumbre de Sistemas Alimentarios de las Naciones Unidas.</w:t>
      </w:r>
    </w:p>
    <w:p w14:paraId="0E5C54C2"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lastRenderedPageBreak/>
        <w:t>Mesas de Coordinación Interinstitucionales SSAN.</w:t>
      </w:r>
    </w:p>
    <w:p w14:paraId="072C5B90"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En este marco se llevaron a cabo más de 30 reuniones entre mesas de articulación y talleres intersectoriales, dentro de las cuales se contemplan: Cuatro (4) reuniones de la mesa de alto nivel de Hambre Cero, con el fin de dar continuidad a los avances de esta meta y a la vez identificar los desafíos para redireccionar las actividades y acciones de las instituciones involucradas, entre ellas: Ministerio de Agricultura, Dirección de Desarrollo Social Supérate, DASAC, INABIE y Ministerio de la Presidencia.</w:t>
      </w:r>
    </w:p>
    <w:p w14:paraId="4004B665" w14:textId="77777777" w:rsidR="00573439" w:rsidRPr="00873E82" w:rsidRDefault="00573439" w:rsidP="00886F32">
      <w:pPr>
        <w:spacing w:after="0" w:line="360" w:lineRule="auto"/>
        <w:ind w:left="720"/>
        <w:jc w:val="both"/>
        <w:rPr>
          <w:rFonts w:eastAsia="Calibri"/>
          <w:noProof/>
          <w:color w:val="4C4747"/>
          <w:lang w:val="es-DO"/>
        </w:rPr>
      </w:pPr>
    </w:p>
    <w:p w14:paraId="4BC168EC" w14:textId="750FA6F6"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Se realizarón los diálogos sectoriales público y privado donde se trabajaron la </w:t>
      </w:r>
      <w:r w:rsidR="004F02E0" w:rsidRPr="00873E82">
        <w:rPr>
          <w:rFonts w:eastAsia="Calibri"/>
          <w:noProof/>
          <w:color w:val="4C4747"/>
          <w:lang w:val="es-DO"/>
        </w:rPr>
        <w:t>c</w:t>
      </w:r>
      <w:r w:rsidRPr="00873E82">
        <w:rPr>
          <w:rFonts w:eastAsia="Calibri"/>
          <w:noProof/>
          <w:color w:val="4C4747"/>
          <w:lang w:val="es-DO"/>
        </w:rPr>
        <w:t xml:space="preserve">onsolidación de la Hoja de Ruta para la Convergencia de los Sistemas Alimentarios Sostenibles y Acción Climática; los cuales sirvieron como base para la realización del borrador del Plan de Acción de Convergencia (CAB), y el documento país que representó a la República Dominicana en la Cumbre de Sistemas Alimentarios de las Naciones Unidas (UNFSS+4), celebrada en Adís Abeba, Etiopía. </w:t>
      </w:r>
    </w:p>
    <w:p w14:paraId="2166205E" w14:textId="77777777" w:rsidR="00573439" w:rsidRPr="00873E82" w:rsidRDefault="00573439" w:rsidP="00886F32">
      <w:pPr>
        <w:spacing w:after="0" w:line="360" w:lineRule="auto"/>
        <w:ind w:left="720"/>
        <w:jc w:val="both"/>
        <w:rPr>
          <w:rFonts w:eastAsia="Calibri"/>
          <w:noProof/>
          <w:color w:val="4C4747"/>
          <w:lang w:val="es-DO"/>
        </w:rPr>
      </w:pPr>
    </w:p>
    <w:p w14:paraId="55E2F5C2"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Igualmente en este año se realizó un (1) Taller Nacional de Adopción y Adaptación de la Iniciativa Cuenta Atrás de los Sistemas Alimentarios (FSCI), el cual contempló una jornada de tres (3) días orientadas a construir un sistema nacional de monitoreo que guíe la transformación de los sistemas agroalimentarios hacia un modelo más sostenible, equitativo y resiliente.</w:t>
      </w:r>
    </w:p>
    <w:p w14:paraId="7047E578" w14:textId="77777777" w:rsidR="00573439" w:rsidRPr="00873E82" w:rsidRDefault="00573439" w:rsidP="00886F32">
      <w:pPr>
        <w:spacing w:after="0" w:line="360" w:lineRule="auto"/>
        <w:ind w:left="720"/>
        <w:jc w:val="both"/>
        <w:rPr>
          <w:rFonts w:eastAsia="Calibri"/>
          <w:noProof/>
          <w:color w:val="4C4747"/>
          <w:lang w:val="es-DO"/>
        </w:rPr>
      </w:pPr>
    </w:p>
    <w:p w14:paraId="7EFAED03"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El taller reunió a más de 50 actores clave de diversos sectores, quienes discutieron la adaptación del marco global de </w:t>
      </w:r>
      <w:r w:rsidRPr="00873E82">
        <w:rPr>
          <w:rFonts w:eastAsia="Calibri"/>
          <w:noProof/>
          <w:color w:val="4C4747"/>
          <w:lang w:val="es-DO"/>
        </w:rPr>
        <w:lastRenderedPageBreak/>
        <w:t>indicadores del FSCI al contexto nacional, estructurado en cinco dimensiones fundamentales: Dietas, Salud y Nutrición; Medio Ambiente, Recursos Naturales y Producción; Medios de Vida, Pobreza y Equidad; Gobernanza; y Resiliencia.</w:t>
      </w:r>
    </w:p>
    <w:p w14:paraId="26353FA7" w14:textId="77777777" w:rsidR="00573439" w:rsidRPr="00873E82" w:rsidRDefault="00573439" w:rsidP="00886F32">
      <w:pPr>
        <w:spacing w:after="0" w:line="360" w:lineRule="auto"/>
        <w:ind w:left="720"/>
        <w:jc w:val="both"/>
        <w:rPr>
          <w:rFonts w:eastAsia="Calibri"/>
          <w:noProof/>
          <w:color w:val="4C4747"/>
          <w:lang w:val="es-DO"/>
        </w:rPr>
      </w:pPr>
    </w:p>
    <w:p w14:paraId="7B638E9D"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Durante las sesiones realizadas los dos primeros días, se trabajó en la identificación y validación de indicadores clave, así como en el vínculo entre el monitoreo y la acción de políticas públicas. Este proceso culminó con una jornada de alto nivel en el Palacio Nacional en el marco de una sesión ampliada del CONASSAN, donde se presentó y validó la propuesta del Sistema Nacional de Monitoreo de los Sistemas Agroalimentarios, el cual articula 58 indicadores estratégicos agrupados en las cinco dimensiones de la SAN.</w:t>
      </w:r>
    </w:p>
    <w:p w14:paraId="66C4CBC9" w14:textId="77777777" w:rsidR="00573439" w:rsidRPr="00873E82" w:rsidRDefault="00573439" w:rsidP="00886F32">
      <w:pPr>
        <w:spacing w:after="0" w:line="360" w:lineRule="auto"/>
        <w:ind w:left="720"/>
        <w:jc w:val="both"/>
        <w:rPr>
          <w:rFonts w:eastAsia="Calibri"/>
          <w:noProof/>
          <w:color w:val="4C4747"/>
          <w:lang w:val="es-DO"/>
        </w:rPr>
      </w:pPr>
    </w:p>
    <w:p w14:paraId="3563070F"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el mes de abril, luego de varias reuniones y sesiones de trabajo junto a un equipo técnico compuesto por el Ministerio de Agricultura, ONE, SETESSAN, en acompañamiento de la FAO, se realizaron dos (2) jornadas de dos (2) días con la participación de más de 70 personas de diferentes instituciones tanto del sector público como del sector privado, con el fin de validar y completar los datos de las tablas de los grupos de alimentos que contempla la Hoja de Balance de Alimentos. </w:t>
      </w:r>
    </w:p>
    <w:p w14:paraId="33008972" w14:textId="77777777" w:rsidR="001D1674" w:rsidRDefault="001D1674" w:rsidP="00886F32">
      <w:pPr>
        <w:spacing w:after="0" w:line="360" w:lineRule="auto"/>
        <w:ind w:left="720"/>
        <w:jc w:val="both"/>
        <w:rPr>
          <w:rFonts w:eastAsia="Calibri"/>
          <w:noProof/>
          <w:color w:val="4C4747"/>
          <w:lang w:val="es-DO"/>
        </w:rPr>
      </w:pPr>
    </w:p>
    <w:p w14:paraId="3312A530" w14:textId="26A8C0FE"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Las informaciones levantadas de dicha actividad, fueron incluidas en el documento preliminar que se presentó en una sesión ampliada del CONASSAN, bajo el titulo: "Rumbo al Hambre Cero: Construcción de la Hoja de Balance de Alimentos". </w:t>
      </w:r>
    </w:p>
    <w:p w14:paraId="4D1880C5" w14:textId="77777777" w:rsidR="00573439" w:rsidRPr="00873E82" w:rsidRDefault="00573439" w:rsidP="00886F32">
      <w:pPr>
        <w:spacing w:after="0" w:line="360" w:lineRule="auto"/>
        <w:ind w:left="720"/>
        <w:jc w:val="both"/>
        <w:rPr>
          <w:rFonts w:eastAsia="Calibri"/>
          <w:noProof/>
          <w:color w:val="4C4747"/>
          <w:lang w:val="es-DO"/>
        </w:rPr>
      </w:pPr>
    </w:p>
    <w:p w14:paraId="6D57FB00"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lastRenderedPageBreak/>
        <w:t>De igual forma, se realizó un (1) taller de dos (2) días para dar inicio a los trabajos de actualización del Plan SSAN 2026-2028 con la participación de más de 60 colaboradores de distintas instancias gubernamentales y de agencias de cooperación internacional, los cuáles a través de mesas de trabajo, validaron las líneas estratégicas, indicadores y vínculos entre el Plan SSAN y el Plan SAN-CELAC 2030.</w:t>
      </w:r>
    </w:p>
    <w:p w14:paraId="63AD7B10" w14:textId="77777777" w:rsidR="00573439" w:rsidRPr="00873E82" w:rsidRDefault="00573439" w:rsidP="00886F32">
      <w:pPr>
        <w:spacing w:after="0" w:line="360" w:lineRule="auto"/>
        <w:ind w:left="720"/>
        <w:jc w:val="both"/>
        <w:rPr>
          <w:rFonts w:eastAsia="Calibri"/>
          <w:noProof/>
          <w:color w:val="4C4747"/>
          <w:lang w:val="es-DO"/>
        </w:rPr>
      </w:pPr>
    </w:p>
    <w:p w14:paraId="634523A9"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este mismo proceso, se llevaron a cabo más de 12 mesas de articulación biletarales con las principales instituciones ejecutoras de los componentes de seguridad alimentaria de este instrumento de planificación; con el fin de consolidar un proceso participativo, así como tambien para validar y completar los indicadores y metas de cada una de las líneas de acción identificadas. </w:t>
      </w:r>
    </w:p>
    <w:p w14:paraId="503C20C3" w14:textId="77777777" w:rsidR="00573439" w:rsidRPr="00873E82" w:rsidRDefault="00573439" w:rsidP="00886F32">
      <w:pPr>
        <w:spacing w:after="0" w:line="360" w:lineRule="auto"/>
        <w:ind w:left="720"/>
        <w:jc w:val="both"/>
        <w:rPr>
          <w:rFonts w:eastAsia="Calibri"/>
          <w:noProof/>
          <w:color w:val="4C4747"/>
          <w:lang w:val="es-DO"/>
        </w:rPr>
      </w:pPr>
    </w:p>
    <w:p w14:paraId="6E76038D"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este orden, posteriormente se realizó un (1) taller de validación de un día con más de 60 colaboradores y autoridades de todas las instituciones ejecutoras y aliados estratégicos identificados en el Plan SSAN, con el fin de socializar los avances de el marco estratégico del plan. </w:t>
      </w:r>
    </w:p>
    <w:p w14:paraId="79444226" w14:textId="77777777" w:rsidR="00573439" w:rsidRPr="00873E82" w:rsidRDefault="00573439" w:rsidP="00886F32">
      <w:pPr>
        <w:spacing w:after="0" w:line="360" w:lineRule="auto"/>
        <w:ind w:left="720"/>
        <w:jc w:val="both"/>
        <w:rPr>
          <w:rFonts w:eastAsia="Calibri"/>
          <w:noProof/>
          <w:color w:val="4C4747"/>
          <w:lang w:val="es-DO"/>
        </w:rPr>
      </w:pPr>
    </w:p>
    <w:p w14:paraId="40732D69"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Como parte de los compromisos posteriores a la realización del taller de Análisis CIF 2024, se llevó a cabo una (1) reunión de la mesa del Comité Nacional de la Clasificación Integrada de la Seguridad Alimentaria en Fases (CIF), con el propósito de revisar y evaluar los avances en la implementación de la CIF y la plantilla de comunicación, así como de discutir estrategias para mejorar la respuesta ante situaciones críticas futuras que puedan afectar la seguridad alimentaria nacional.</w:t>
      </w:r>
    </w:p>
    <w:p w14:paraId="108CFACA" w14:textId="77777777" w:rsidR="00573439" w:rsidRPr="00873E82" w:rsidRDefault="00573439" w:rsidP="00886F32">
      <w:pPr>
        <w:spacing w:after="0" w:line="360" w:lineRule="auto"/>
        <w:ind w:left="720"/>
        <w:jc w:val="both"/>
        <w:rPr>
          <w:rFonts w:eastAsia="Calibri"/>
          <w:noProof/>
          <w:color w:val="4C4747"/>
          <w:lang w:val="es-DO"/>
        </w:rPr>
      </w:pPr>
    </w:p>
    <w:p w14:paraId="68D88587"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lastRenderedPageBreak/>
        <w:t xml:space="preserve">Captación de fondos para desarrollo de proyectos en materia SAN. </w:t>
      </w:r>
    </w:p>
    <w:p w14:paraId="55876FEC"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2025, la SETESSAN consolidó importantes avances en la movilización de recursos y el fortalecimiento de alianzas estratégicas para impulsar proyectos clave en Seguridad Alimentaria y Nutricional (SAN). Estas gestiones permitieron estructurar iniciativas orientadas al monitoreo, la gobernanza, la resiliencia climática y la articulación territorial de los sistemas alimentarios. Entre estas se destacan: </w:t>
      </w:r>
    </w:p>
    <w:p w14:paraId="2590B8B9" w14:textId="77777777" w:rsidR="00483E9F" w:rsidRDefault="00483E9F" w:rsidP="00886F32">
      <w:pPr>
        <w:spacing w:after="0" w:line="360" w:lineRule="auto"/>
        <w:ind w:left="720"/>
        <w:jc w:val="both"/>
        <w:rPr>
          <w:rFonts w:eastAsia="Calibri"/>
          <w:noProof/>
          <w:color w:val="4C4747"/>
          <w:lang w:val="es-DO"/>
        </w:rPr>
      </w:pPr>
    </w:p>
    <w:p w14:paraId="47DD8F72" w14:textId="4DAB7192"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Misión estratégica BID–SICA–República Dominicana</w:t>
      </w:r>
      <w:r w:rsidR="00C70391">
        <w:rPr>
          <w:rFonts w:eastAsia="Calibri"/>
          <w:b/>
          <w:bCs/>
          <w:noProof/>
          <w:color w:val="4C4747"/>
          <w:lang w:val="es-DO"/>
        </w:rPr>
        <w:t>.</w:t>
      </w:r>
    </w:p>
    <w:p w14:paraId="19D4D2AC" w14:textId="36A5A498"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Se desarrolló una misión técnica con el BID y el SG-SICA para fortalecer el Sistema de Indicadores de Monitoreo y Evaluación del país. La misión permitió:</w:t>
      </w:r>
    </w:p>
    <w:p w14:paraId="0BA82E51" w14:textId="77777777" w:rsidR="001D1674" w:rsidRPr="00873E82" w:rsidRDefault="001D1674" w:rsidP="00886F32">
      <w:pPr>
        <w:spacing w:after="0" w:line="360" w:lineRule="auto"/>
        <w:ind w:left="720"/>
        <w:jc w:val="both"/>
        <w:rPr>
          <w:rFonts w:eastAsia="Calibri"/>
          <w:noProof/>
          <w:color w:val="4C4747"/>
          <w:lang w:val="es-DO"/>
        </w:rPr>
      </w:pPr>
    </w:p>
    <w:p w14:paraId="14A2C430" w14:textId="77777777" w:rsidR="002179DA" w:rsidRPr="00C70391" w:rsidRDefault="002179DA" w:rsidP="00886F32">
      <w:pPr>
        <w:pStyle w:val="ListParagraph"/>
        <w:numPr>
          <w:ilvl w:val="0"/>
          <w:numId w:val="17"/>
        </w:numPr>
        <w:tabs>
          <w:tab w:val="left" w:pos="360"/>
        </w:tabs>
        <w:spacing w:after="0" w:line="360" w:lineRule="auto"/>
        <w:jc w:val="both"/>
        <w:rPr>
          <w:rFonts w:eastAsia="Calibri"/>
          <w:noProof/>
          <w:color w:val="4C4747"/>
        </w:rPr>
      </w:pPr>
      <w:r w:rsidRPr="00C70391">
        <w:rPr>
          <w:rFonts w:eastAsia="Calibri"/>
          <w:noProof/>
          <w:color w:val="4C4747"/>
        </w:rPr>
        <w:t>Identificar indicadores priorizados y sus fichas metodológicas.</w:t>
      </w:r>
    </w:p>
    <w:p w14:paraId="434D25A7" w14:textId="77777777" w:rsidR="002179DA" w:rsidRPr="00C70391" w:rsidRDefault="002179DA" w:rsidP="00886F32">
      <w:pPr>
        <w:pStyle w:val="ListParagraph"/>
        <w:numPr>
          <w:ilvl w:val="0"/>
          <w:numId w:val="17"/>
        </w:numPr>
        <w:tabs>
          <w:tab w:val="left" w:pos="360"/>
        </w:tabs>
        <w:spacing w:after="0" w:line="360" w:lineRule="auto"/>
        <w:jc w:val="both"/>
        <w:rPr>
          <w:rFonts w:eastAsia="Calibri"/>
          <w:noProof/>
          <w:color w:val="4C4747"/>
        </w:rPr>
      </w:pPr>
      <w:r w:rsidRPr="00C70391">
        <w:rPr>
          <w:rFonts w:eastAsia="Calibri"/>
          <w:noProof/>
          <w:color w:val="4C4747"/>
        </w:rPr>
        <w:t>Definir fuentes, mecanismos de intercambio de datos y puntos focales institucionales.</w:t>
      </w:r>
    </w:p>
    <w:p w14:paraId="01AA44B3" w14:textId="77777777" w:rsidR="002179DA" w:rsidRPr="00C70391" w:rsidRDefault="002179DA" w:rsidP="00886F32">
      <w:pPr>
        <w:pStyle w:val="ListParagraph"/>
        <w:numPr>
          <w:ilvl w:val="0"/>
          <w:numId w:val="17"/>
        </w:numPr>
        <w:tabs>
          <w:tab w:val="left" w:pos="360"/>
        </w:tabs>
        <w:spacing w:after="0" w:line="360" w:lineRule="auto"/>
        <w:jc w:val="both"/>
        <w:rPr>
          <w:rFonts w:eastAsia="Calibri"/>
          <w:noProof/>
          <w:color w:val="4C4747"/>
        </w:rPr>
      </w:pPr>
      <w:r w:rsidRPr="00C70391">
        <w:rPr>
          <w:rFonts w:eastAsia="Calibri"/>
          <w:noProof/>
          <w:color w:val="4C4747"/>
        </w:rPr>
        <w:t>Elaborar un diagnóstico de indicadores no disponibles.</w:t>
      </w:r>
    </w:p>
    <w:p w14:paraId="7C1A3003" w14:textId="77777777" w:rsidR="002179DA" w:rsidRDefault="002179DA" w:rsidP="00886F32">
      <w:pPr>
        <w:pStyle w:val="ListParagraph"/>
        <w:numPr>
          <w:ilvl w:val="0"/>
          <w:numId w:val="17"/>
        </w:numPr>
        <w:tabs>
          <w:tab w:val="left" w:pos="360"/>
        </w:tabs>
        <w:spacing w:after="0" w:line="360" w:lineRule="auto"/>
        <w:jc w:val="both"/>
        <w:rPr>
          <w:rFonts w:eastAsia="Calibri"/>
          <w:noProof/>
          <w:color w:val="4C4747"/>
        </w:rPr>
      </w:pPr>
      <w:r w:rsidRPr="00C70391">
        <w:rPr>
          <w:rFonts w:eastAsia="Calibri"/>
          <w:noProof/>
          <w:color w:val="4C4747"/>
        </w:rPr>
        <w:t>Diseñar el Plan de Acción 2025–2026 para la implementación nacional del proyecto BID–SICA.</w:t>
      </w:r>
    </w:p>
    <w:p w14:paraId="70D3F885" w14:textId="77777777" w:rsidR="00155C8B" w:rsidRPr="00C70391" w:rsidRDefault="00155C8B" w:rsidP="00155C8B">
      <w:pPr>
        <w:pStyle w:val="ListParagraph"/>
        <w:tabs>
          <w:tab w:val="left" w:pos="360"/>
        </w:tabs>
        <w:spacing w:after="0" w:line="360" w:lineRule="auto"/>
        <w:jc w:val="both"/>
        <w:rPr>
          <w:rFonts w:eastAsia="Calibri"/>
          <w:noProof/>
          <w:color w:val="4C4747"/>
        </w:rPr>
      </w:pPr>
    </w:p>
    <w:p w14:paraId="13B0CAA5"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Estos insumos constituyen la base para el desarrollo de un proyecto financiado por el BID-SICA para un Observatorio SAN y para robustecer el sistema de seguimiento y monitoreo del Plan SSAN. Como resultado de la misión, se acordó una propuesta de actividades a relizar a partir del 2026, por un monto de USD 128,333.33</w:t>
      </w:r>
    </w:p>
    <w:p w14:paraId="72DD517F" w14:textId="77777777" w:rsidR="00155C8B" w:rsidRPr="00873E82" w:rsidRDefault="00155C8B" w:rsidP="00886F32">
      <w:pPr>
        <w:spacing w:after="0" w:line="360" w:lineRule="auto"/>
        <w:ind w:left="720"/>
        <w:jc w:val="both"/>
        <w:rPr>
          <w:rFonts w:eastAsia="Calibri"/>
          <w:noProof/>
          <w:color w:val="4C4747"/>
          <w:lang w:val="es-DO"/>
        </w:rPr>
      </w:pPr>
    </w:p>
    <w:p w14:paraId="5E4DE484" w14:textId="2DDB6EC2"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lastRenderedPageBreak/>
        <w:t>Proyecto: Transformación de los Sistemas Alimentarios en la Cuenca del Yaque del Sur</w:t>
      </w:r>
    </w:p>
    <w:p w14:paraId="6D449123"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La SETESSAN en colaboración con otras instituciones elaboró este proyecto, el cual fue aprobado por la cooperación internacional e iniciará un Programa Conjunto de 18 meses para transformar los sistemas agroalimentarios en 11 comunidades de San Juan de la Maguana. El proyecto integrará seguridad alimentaria, resiliencia climática, educación, inclusión social y financiamiento verde.</w:t>
      </w:r>
    </w:p>
    <w:p w14:paraId="7A80EF36"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Los impactos principales esperados son:</w:t>
      </w:r>
    </w:p>
    <w:p w14:paraId="3F65E26E" w14:textId="77777777" w:rsidR="002179DA" w:rsidRPr="00C70391" w:rsidRDefault="002179DA" w:rsidP="00886F32">
      <w:pPr>
        <w:pStyle w:val="ListParagraph"/>
        <w:numPr>
          <w:ilvl w:val="0"/>
          <w:numId w:val="18"/>
        </w:numPr>
        <w:spacing w:after="0" w:line="360" w:lineRule="auto"/>
        <w:jc w:val="both"/>
        <w:rPr>
          <w:rFonts w:eastAsia="Calibri"/>
          <w:noProof/>
          <w:color w:val="4C4747"/>
        </w:rPr>
      </w:pPr>
      <w:r w:rsidRPr="00C70391">
        <w:rPr>
          <w:rFonts w:eastAsia="Calibri"/>
          <w:noProof/>
          <w:color w:val="4C4747"/>
        </w:rPr>
        <w:t>Modelo de Escuelas Saludables y educación alimentaria.</w:t>
      </w:r>
    </w:p>
    <w:p w14:paraId="42AC5A85" w14:textId="77777777" w:rsidR="002179DA" w:rsidRPr="00C70391" w:rsidRDefault="002179DA" w:rsidP="00886F32">
      <w:pPr>
        <w:pStyle w:val="ListParagraph"/>
        <w:numPr>
          <w:ilvl w:val="0"/>
          <w:numId w:val="18"/>
        </w:numPr>
        <w:spacing w:after="0" w:line="360" w:lineRule="auto"/>
        <w:jc w:val="both"/>
        <w:rPr>
          <w:rFonts w:eastAsia="Calibri"/>
          <w:noProof/>
          <w:color w:val="4C4747"/>
        </w:rPr>
      </w:pPr>
      <w:r w:rsidRPr="00C70391">
        <w:rPr>
          <w:rFonts w:eastAsia="Calibri"/>
          <w:noProof/>
          <w:color w:val="4C4747"/>
        </w:rPr>
        <w:t>Prácticas agrícolas resilientes y restauración de ecosistemas.</w:t>
      </w:r>
    </w:p>
    <w:p w14:paraId="691981DF" w14:textId="77777777" w:rsidR="002179DA" w:rsidRDefault="002179DA" w:rsidP="00886F32">
      <w:pPr>
        <w:pStyle w:val="ListParagraph"/>
        <w:numPr>
          <w:ilvl w:val="0"/>
          <w:numId w:val="18"/>
        </w:numPr>
        <w:spacing w:after="0" w:line="360" w:lineRule="auto"/>
        <w:jc w:val="both"/>
        <w:rPr>
          <w:rFonts w:eastAsia="Calibri"/>
          <w:noProof/>
          <w:color w:val="4C4747"/>
        </w:rPr>
      </w:pPr>
      <w:r w:rsidRPr="00C70391">
        <w:rPr>
          <w:rFonts w:eastAsia="Calibri"/>
          <w:noProof/>
          <w:color w:val="4C4747"/>
        </w:rPr>
        <w:t>Inclusión financiera para pequeños productores y emprendimientos rurales.</w:t>
      </w:r>
    </w:p>
    <w:p w14:paraId="3836D688" w14:textId="77777777" w:rsidR="00155C8B" w:rsidRPr="00C70391" w:rsidRDefault="00155C8B" w:rsidP="00155C8B">
      <w:pPr>
        <w:pStyle w:val="ListParagraph"/>
        <w:spacing w:after="0" w:line="360" w:lineRule="auto"/>
        <w:jc w:val="both"/>
        <w:rPr>
          <w:rFonts w:eastAsia="Calibri"/>
          <w:noProof/>
          <w:color w:val="4C4747"/>
        </w:rPr>
      </w:pPr>
    </w:p>
    <w:p w14:paraId="74319904"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Este proyecto beneficiará a 12,796 personas, incluyendo estudiantes, docentes, productores y líderes comunitarios. Así mismo aportará directamente a los ODS 2, 5, 10, 11, 12 y 13, estableciendo un modelo replicable para futuras políticas públicas en sistemas alimentarios sostenibles.</w:t>
      </w:r>
    </w:p>
    <w:p w14:paraId="2CC8E524" w14:textId="77777777" w:rsidR="00155C8B" w:rsidRPr="00873E82" w:rsidRDefault="00155C8B" w:rsidP="00886F32">
      <w:pPr>
        <w:spacing w:after="0" w:line="360" w:lineRule="auto"/>
        <w:ind w:left="720"/>
        <w:jc w:val="both"/>
        <w:rPr>
          <w:rFonts w:eastAsia="Calibri"/>
          <w:noProof/>
          <w:color w:val="4C4747"/>
          <w:lang w:val="es-DO"/>
        </w:rPr>
      </w:pPr>
    </w:p>
    <w:p w14:paraId="06987810"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Participación en talleres, ferias y foros nacionales e Internacionales.</w:t>
      </w:r>
    </w:p>
    <w:p w14:paraId="2242A23B"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Durante el año 2025, la Secretaría Técnica para la Soberanía y Seguridad Alimentaria y Nutricional (SETESSAN) fortaleció su presencia técnica e institucional en espacios de alto nivel, tanto nacionales como internacionales, orientados a promover el intercambio de conocimientos, la articulación intersectorial y la difusión de los avances del país en materia de Seguridad Alimentaria y Nutricional (SAN). </w:t>
      </w:r>
    </w:p>
    <w:p w14:paraId="779B6C89" w14:textId="77777777" w:rsidR="00155C8B" w:rsidRPr="00873E82" w:rsidRDefault="00155C8B" w:rsidP="00886F32">
      <w:pPr>
        <w:spacing w:after="0" w:line="360" w:lineRule="auto"/>
        <w:ind w:left="720"/>
        <w:jc w:val="both"/>
        <w:rPr>
          <w:rFonts w:eastAsia="Calibri"/>
          <w:noProof/>
          <w:color w:val="4C4747"/>
          <w:lang w:val="es-DO"/>
        </w:rPr>
      </w:pPr>
    </w:p>
    <w:p w14:paraId="71566F8C"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lastRenderedPageBreak/>
        <w:t>Estas participaciones resultaron clave para posicionar a la República Dominicana como un referente regional en políticas públicas, innovación agroalimentaria, inclusión social y gestión sostenible de los sistemas alimentarios.</w:t>
      </w:r>
    </w:p>
    <w:p w14:paraId="1C023DF4"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Entre las principales intervenciones se destacan:</w:t>
      </w:r>
    </w:p>
    <w:p w14:paraId="1D0F894B"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II Congreso de la Castaña de Masa, participando en el panel “Propiedades nutricionales y gastronomía de la Castaña de masa”, donde se resaltó su potencial como alimento tradicional, nutritivo y culturalmente relevante para los sistemas alimentarios locales.</w:t>
      </w:r>
    </w:p>
    <w:p w14:paraId="7812B8F1"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la Cumbre de Sistemas Alimentarios de las Naciones Unidas UNFSS+4 2025, celebrada en Etiopía, donde el país presentó sus avances en la implementación de políticas públicas vinculadas a la seguridad alimentaria y nutricional.</w:t>
      </w:r>
    </w:p>
    <w:p w14:paraId="014DE652"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Integración activa en la conformación del Comité Interinstitucional para acompañar la implementación de la Política Nacional de Igualdad de Género del Sector Agropecuario, reafirmando el compromiso del país con la equidad, el empoderamiento femenino y la igualdad de oportunidades en el ámbito rural.</w:t>
      </w:r>
    </w:p>
    <w:p w14:paraId="24899981"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el evento “Un Pacto por la Agroindustria: Hacia la Primera Estrategia Nacional de Fomento a la Agroindustria (ENFA)”, organizado por el MICM, el BCIE, la FAO y la AIRD, donde se discutieron líneas estratégicas para fortalecer la competitividad, sostenibilidad y encadenamientos productivos agroindustriales del país.</w:t>
      </w:r>
    </w:p>
    <w:p w14:paraId="4DD2A8CE"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Asistencia al Encuentro Internacional sobre Buen Gobierno Cooperativo en el Sector Agroalimentario, promoviendo el fortalecimiento de modelos asociativos y cooperativos como herramientas para el desarrollo rural inclusivo.</w:t>
      </w:r>
    </w:p>
    <w:p w14:paraId="25A2BBFE"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lastRenderedPageBreak/>
        <w:t>Participación en el Diálogo Regional de Seguridad Alimentaria e Hídrica: Una Agenda Mano de la Mano, organizado por FAO, el Gobierno dominicano y el SICA, con la presencia del presidente de la República, Luis Abinader. En este espacio se abordaron acciones regionales integradas para enfrentar los desafíos de la seguridad alimentaria, el agua y el clima.</w:t>
      </w:r>
    </w:p>
    <w:p w14:paraId="6F12D6A3"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el Foro Internacional para la Prevención del Sobrepeso y la Obesidad, aportando perspectivas sobre políticas públicas y estrategias multisectoriales para mejorar los entornos alimentarios saludables.</w:t>
      </w:r>
    </w:p>
    <w:p w14:paraId="40C1237A"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la Conferencia-Panel “Tecnificación en la Agricultura Bajo Riego”, destacando la importancia de la innovación y el uso eficiente del agua para la sostenibilidad productiva.</w:t>
      </w:r>
    </w:p>
    <w:p w14:paraId="4C7AC753"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el panel “Mercado Global: Alianzas para impulsar la agroindustria” del AgroTech Summit 2025 de la Revista Mercado, donde se presentaron oportunidades para la transformación tecnológica y la internacionalización del sector.</w:t>
      </w:r>
    </w:p>
    <w:p w14:paraId="1D3DAA59"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Presencia en el evento Agro Sostenible 2025 celebrado en Santiago, orientado a promover prácticas agrícolas resilientes y cadenas de valor sostenibles.</w:t>
      </w:r>
    </w:p>
    <w:p w14:paraId="61BCE116"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el lanzamiento oficial de la Mesa Técnica Interinstitucional de Sequía, fortaleciendo la planificación y respuesta del país ante fenómenos climáticos extremos.</w:t>
      </w:r>
    </w:p>
    <w:p w14:paraId="2613F125"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Capacitación de dos miembros de SETESSAN en el taller “Survey Solutions para la Recopilación de Encuestas Agropecuarias”, impartido por la FAO en las oficinas de la ONE, contribuyendo al fortalecimiento técnico en la gestión de datos, monitoreo y análisis de información agroalimentaria.</w:t>
      </w:r>
    </w:p>
    <w:p w14:paraId="6616DE59"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lastRenderedPageBreak/>
        <w:t>Participación en el encuentro sobre el Impacto del Desarrollo Turístico en la Región para el Sector Agropecuario, realizado en el Puerto de Cabo Rojo, Pedernales, analizando oportunidades y desafíos para el encadenamiento productivo local.</w:t>
      </w:r>
    </w:p>
    <w:p w14:paraId="165CE83B" w14:textId="77777777" w:rsidR="002179DA" w:rsidRPr="00C70391"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Participación en la inauguración del Proyecto de Transformación de Residuos Orgánicos mediante Biodigestores en Villa Poppy, Constanza, destinado a la producción de biogás y fertilizantes, junto a Supérate, el Ministerio de Agricultura, FAO y la Fundación Rica. Este proyecto impulsa la economía circular, la sostenibilidad ambiental y la resiliencia comunitaria.</w:t>
      </w:r>
    </w:p>
    <w:p w14:paraId="0545E87E" w14:textId="77777777" w:rsidR="002179DA" w:rsidRDefault="002179DA" w:rsidP="00886F32">
      <w:pPr>
        <w:pStyle w:val="ListParagraph"/>
        <w:numPr>
          <w:ilvl w:val="0"/>
          <w:numId w:val="19"/>
        </w:numPr>
        <w:spacing w:after="0" w:line="360" w:lineRule="auto"/>
        <w:jc w:val="both"/>
        <w:rPr>
          <w:rFonts w:eastAsia="Calibri"/>
          <w:noProof/>
          <w:color w:val="4C4747"/>
        </w:rPr>
      </w:pPr>
      <w:r w:rsidRPr="00C70391">
        <w:rPr>
          <w:rFonts w:eastAsia="Calibri"/>
          <w:noProof/>
          <w:color w:val="4C4747"/>
        </w:rPr>
        <w:t>En conjunto, estas participaciones fortalecieron el liderazgo técnico de SETESSAN, consolidando alianzas estratégicas y ampliando las capacidades nacionales para avanzar hacia un sistema alimentario más sostenible, equitativo y resiliente.</w:t>
      </w:r>
    </w:p>
    <w:p w14:paraId="2DBD874E" w14:textId="77777777" w:rsidR="00155C8B" w:rsidRPr="00C70391" w:rsidRDefault="00155C8B" w:rsidP="00155C8B">
      <w:pPr>
        <w:pStyle w:val="ListParagraph"/>
        <w:spacing w:after="0" w:line="360" w:lineRule="auto"/>
        <w:jc w:val="both"/>
        <w:rPr>
          <w:rFonts w:eastAsia="Calibri"/>
          <w:noProof/>
          <w:color w:val="4C4747"/>
        </w:rPr>
      </w:pPr>
    </w:p>
    <w:p w14:paraId="75359C8B"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Seguimiento, monitoreo y difusión de información en materia SSAN.</w:t>
      </w:r>
    </w:p>
    <w:p w14:paraId="24C38831"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Como parte de las funciones de la SETESSAN, en este año se logró el avance en el desarrollo de un (1) sistema de seguimiento y monitoreo interno para el PLAN SSAN y las diversas actividades que conlleva la secretaría, con el fin de tener una plataforma que permita tener visible y organizado los avances del plan, los indicadores y acciones para la toma de decisiones oportuna del CONASSAN.</w:t>
      </w:r>
    </w:p>
    <w:p w14:paraId="239DF76E" w14:textId="77777777" w:rsidR="00155C8B" w:rsidRPr="00873E82" w:rsidRDefault="00155C8B" w:rsidP="00886F32">
      <w:pPr>
        <w:spacing w:after="0" w:line="360" w:lineRule="auto"/>
        <w:ind w:left="720"/>
        <w:jc w:val="both"/>
        <w:rPr>
          <w:rFonts w:eastAsia="Calibri"/>
          <w:noProof/>
          <w:color w:val="4C4747"/>
          <w:lang w:val="es-DO"/>
        </w:rPr>
      </w:pPr>
    </w:p>
    <w:p w14:paraId="7C4C97D7"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este orden, se elaboró de manera participativa la actualización del Plan SSAN 2026-2028 a fin de alinear este instrumento de planificación con los demas planes nacionales, para de esta </w:t>
      </w:r>
      <w:r w:rsidRPr="00873E82">
        <w:rPr>
          <w:rFonts w:eastAsia="Calibri"/>
          <w:noProof/>
          <w:color w:val="4C4747"/>
          <w:lang w:val="es-DO"/>
        </w:rPr>
        <w:lastRenderedPageBreak/>
        <w:t xml:space="preserve">forma facilitar y asegurar las ejecuciones físicas y presupuestarias por parte de las instituciones responsables del mismo. </w:t>
      </w:r>
    </w:p>
    <w:p w14:paraId="2169FD5B"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cuanto a la difusión de información durante este año se realizaron más de (20) publicaciones entorno a este tema en las redes sociales del ministerio de la presidencia. </w:t>
      </w:r>
    </w:p>
    <w:p w14:paraId="55F93CE2" w14:textId="77777777" w:rsidR="002255CA" w:rsidRPr="00873E82" w:rsidRDefault="002255CA" w:rsidP="00886F32">
      <w:pPr>
        <w:spacing w:after="0" w:line="360" w:lineRule="auto"/>
        <w:ind w:left="720"/>
        <w:jc w:val="both"/>
        <w:rPr>
          <w:rFonts w:eastAsia="Calibri"/>
          <w:noProof/>
          <w:color w:val="4C4747"/>
          <w:lang w:val="es-DO"/>
        </w:rPr>
      </w:pPr>
    </w:p>
    <w:p w14:paraId="7A295569"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Igualmente, se difundió a los puntos focales de las distintas instancias y actores que forman parte del SINASSAN (2) boletines informativos SSAN con noticias e informaciones relevantes en torno a este tema. </w:t>
      </w:r>
    </w:p>
    <w:p w14:paraId="343D98F6" w14:textId="77777777" w:rsidR="002255CA" w:rsidRPr="00873E82" w:rsidRDefault="002255CA" w:rsidP="00886F32">
      <w:pPr>
        <w:spacing w:after="0" w:line="360" w:lineRule="auto"/>
        <w:ind w:left="720"/>
        <w:jc w:val="both"/>
        <w:rPr>
          <w:rFonts w:eastAsia="Calibri"/>
          <w:noProof/>
          <w:color w:val="4C4747"/>
          <w:lang w:val="es-DO"/>
        </w:rPr>
      </w:pPr>
    </w:p>
    <w:p w14:paraId="1EBE96AE" w14:textId="77777777"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Avances de los indicadores del Plan SSAN.</w:t>
      </w:r>
    </w:p>
    <w:p w14:paraId="10A75CAB"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Durante el período 2023–2025 se realizó un seguimiento sistemático a los indicadores priorizados del Plan Nacional de Soberanía y Seguridad Alimentaria y Nutricional (Plan SSAN). Estos indicadores permitieron evaluar el nivel de avance de los principales compromisos estratégicos del Estado dominicano en materia de gobernanza, disponibilidad de alimentos, acceso, protección social y nutrición.</w:t>
      </w:r>
    </w:p>
    <w:p w14:paraId="3F61BE47" w14:textId="77777777" w:rsidR="002255CA" w:rsidRPr="00873E82" w:rsidRDefault="002255CA" w:rsidP="00886F32">
      <w:pPr>
        <w:spacing w:after="0" w:line="360" w:lineRule="auto"/>
        <w:ind w:left="720"/>
        <w:jc w:val="both"/>
        <w:rPr>
          <w:rFonts w:eastAsia="Calibri"/>
          <w:noProof/>
          <w:color w:val="4C4747"/>
          <w:lang w:val="es-DO"/>
        </w:rPr>
      </w:pPr>
    </w:p>
    <w:p w14:paraId="7F9ABC39"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términos generales, los resultados evidencian progresos importantes, con un número significativo de metas alcanzadas y superadas, así como avances parciales en indicadores que continúan en proceso de consolidación. </w:t>
      </w:r>
    </w:p>
    <w:p w14:paraId="1B659060" w14:textId="77777777" w:rsidR="002255CA" w:rsidRPr="00873E82" w:rsidRDefault="002255CA" w:rsidP="00886F32">
      <w:pPr>
        <w:spacing w:after="0" w:line="360" w:lineRule="auto"/>
        <w:ind w:left="720"/>
        <w:jc w:val="both"/>
        <w:rPr>
          <w:rFonts w:eastAsia="Calibri"/>
          <w:noProof/>
          <w:color w:val="4C4747"/>
          <w:lang w:val="es-DO"/>
        </w:rPr>
      </w:pPr>
    </w:p>
    <w:p w14:paraId="538F53FF" w14:textId="23C6D1B4"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Fortalecimiento Institucional y Gobernanza del SINASSAN</w:t>
      </w:r>
      <w:r w:rsidR="00C70391">
        <w:rPr>
          <w:rFonts w:eastAsia="Calibri"/>
          <w:b/>
          <w:bCs/>
          <w:noProof/>
          <w:color w:val="4C4747"/>
          <w:lang w:val="es-DO"/>
        </w:rPr>
        <w:t>.</w:t>
      </w:r>
    </w:p>
    <w:p w14:paraId="3C964869"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El componente orientado a fortalecer la capacidad operativa y técnica del SINASSAN muestra avances relevantes. El número de POA SSAN efectivamente diseñados y ejecutados, así como los planes formulados de manera participativa, alcanzaron la </w:t>
      </w:r>
      <w:r w:rsidRPr="00873E82">
        <w:rPr>
          <w:rFonts w:eastAsia="Calibri"/>
          <w:noProof/>
          <w:color w:val="4C4747"/>
          <w:lang w:val="es-DO"/>
        </w:rPr>
        <w:lastRenderedPageBreak/>
        <w:t>meta prevista para 2025. Asimismo, se registró un progreso sostenido en la incorporación de proyectos SSAN a los POA institucionales, alcanzando el 92 % de la meta establecida.</w:t>
      </w:r>
    </w:p>
    <w:p w14:paraId="6C64B7C3"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En cuanto al funcionamiento de las redes territoriales, se verificó un incremento en la cantidad de redes provinciales activas, con un avance del 94 % respecto a la meta anual, mientras que las redes municipales, aunque con crecimiento, presentan una brecha significativa hacia la meta proyectada. El programa de seguimiento y evaluación del Plan SSAN se mantiene en fase de implementación, proyectándose su consolidación para el siguiente periodo.</w:t>
      </w:r>
    </w:p>
    <w:p w14:paraId="68D5CA42" w14:textId="77777777" w:rsidR="002255CA" w:rsidRPr="00873E82" w:rsidRDefault="002255CA" w:rsidP="00886F32">
      <w:pPr>
        <w:spacing w:after="0" w:line="360" w:lineRule="auto"/>
        <w:ind w:left="720"/>
        <w:jc w:val="both"/>
        <w:rPr>
          <w:rFonts w:eastAsia="Calibri"/>
          <w:noProof/>
          <w:color w:val="4C4747"/>
          <w:lang w:val="es-DO"/>
        </w:rPr>
      </w:pPr>
    </w:p>
    <w:p w14:paraId="3B606EE2" w14:textId="1AADF13F"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Producción Nacional y Disponibilidad de Alimentos</w:t>
      </w:r>
      <w:r w:rsidR="00C70391">
        <w:rPr>
          <w:rFonts w:eastAsia="Calibri"/>
          <w:b/>
          <w:bCs/>
          <w:noProof/>
          <w:color w:val="4C4747"/>
          <w:lang w:val="es-DO"/>
        </w:rPr>
        <w:t>.</w:t>
      </w:r>
    </w:p>
    <w:p w14:paraId="7D8AB0A2"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Los indicadores vinculados a la disponibilidad alimentaria reflejan un desempeño mixto. La suficiencia del suministro medio de energía alimentaria superó el valor proyectado para 2025, situándose por encima de los requerimientos de referencia. Asimismo, el porcentaje de tierras cultivables equipadas con riego alcanzó la meta establecida.</w:t>
      </w:r>
    </w:p>
    <w:p w14:paraId="33EF67BF" w14:textId="77777777" w:rsidR="002255CA" w:rsidRPr="00873E82" w:rsidRDefault="002255CA" w:rsidP="00886F32">
      <w:pPr>
        <w:spacing w:after="0" w:line="360" w:lineRule="auto"/>
        <w:ind w:left="720"/>
        <w:jc w:val="both"/>
        <w:rPr>
          <w:rFonts w:eastAsia="Calibri"/>
          <w:noProof/>
          <w:color w:val="4C4747"/>
          <w:lang w:val="es-DO"/>
        </w:rPr>
      </w:pPr>
    </w:p>
    <w:p w14:paraId="4CA74391"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No obstante, otros indicadores relevantes, como el índice de producción de alimentos y la variabilidad del suministro per cápita, exhiben rezagos o ausencia de datos actualizados. La proporción del consumo nacional suplido por producción interna permanece pendiente de actualización, lo cual limita la evaluación completa de este eje.</w:t>
      </w:r>
    </w:p>
    <w:p w14:paraId="7EDD6539" w14:textId="77777777" w:rsidR="002255CA" w:rsidRDefault="002255CA" w:rsidP="00886F32">
      <w:pPr>
        <w:spacing w:after="0" w:line="360" w:lineRule="auto"/>
        <w:ind w:left="720"/>
        <w:jc w:val="both"/>
        <w:rPr>
          <w:rFonts w:eastAsia="Calibri"/>
          <w:noProof/>
          <w:color w:val="4C4747"/>
          <w:lang w:val="es-DO"/>
        </w:rPr>
      </w:pPr>
    </w:p>
    <w:p w14:paraId="422AF059" w14:textId="1E0CB8BF"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Acceso a Alimentos y Capacidad de Compra</w:t>
      </w:r>
      <w:r w:rsidR="00C70391">
        <w:rPr>
          <w:rFonts w:eastAsia="Calibri"/>
          <w:b/>
          <w:bCs/>
          <w:noProof/>
          <w:color w:val="4C4747"/>
          <w:lang w:val="es-DO"/>
        </w:rPr>
        <w:t>.</w:t>
      </w:r>
    </w:p>
    <w:p w14:paraId="04536485"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Los avances más significativos del periodo se registran en este componente. La pobreza extrema y la pobreza moderada nacional presentan reducciones sostenidas, superando ambas </w:t>
      </w:r>
      <w:r w:rsidRPr="00873E82">
        <w:rPr>
          <w:rFonts w:eastAsia="Calibri"/>
          <w:noProof/>
          <w:color w:val="4C4747"/>
          <w:lang w:val="es-DO"/>
        </w:rPr>
        <w:lastRenderedPageBreak/>
        <w:t>las metas fijadas para 2025. El acceso a subsidios alimentarios también refleja una cobertura estable, en particular el programa “Aliméntate”, que mantiene una población de beneficiarios superior a 1.49 millones de hogares.</w:t>
      </w:r>
    </w:p>
    <w:p w14:paraId="2FF256D6" w14:textId="77777777" w:rsidR="00B45277" w:rsidRPr="00873E82" w:rsidRDefault="00B45277" w:rsidP="00886F32">
      <w:pPr>
        <w:spacing w:after="0" w:line="360" w:lineRule="auto"/>
        <w:ind w:left="720"/>
        <w:jc w:val="both"/>
        <w:rPr>
          <w:rFonts w:eastAsia="Calibri"/>
          <w:noProof/>
          <w:color w:val="4C4747"/>
          <w:lang w:val="es-DO"/>
        </w:rPr>
      </w:pPr>
    </w:p>
    <w:p w14:paraId="0E440229"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En este mismo eje, la prevalencia de inseguridad alimentaria moderada o grave muestra una disminución sostenida, alcanzando 43.8 % en el periodo 2022–2024, lo que representa un avance significativo hacia la meta 2025, aunque aún con una brecha considerable por cerrar. Los subsidios administrados por el INESPRE alcanzaron la meta prevista, consolidando su aporte al acceso alimentario de los hogares.</w:t>
      </w:r>
    </w:p>
    <w:p w14:paraId="5DF4AC7B" w14:textId="77777777" w:rsidR="00B45277" w:rsidRPr="00873E82" w:rsidRDefault="00B45277" w:rsidP="00886F32">
      <w:pPr>
        <w:spacing w:after="0" w:line="360" w:lineRule="auto"/>
        <w:ind w:left="720"/>
        <w:jc w:val="both"/>
        <w:rPr>
          <w:rFonts w:eastAsia="Calibri"/>
          <w:noProof/>
          <w:color w:val="4C4747"/>
          <w:lang w:val="es-DO"/>
        </w:rPr>
      </w:pPr>
    </w:p>
    <w:p w14:paraId="62138914"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No obstante, persisten desafíos en la reducción del porcentaje de hogares que enfrentan dificultades para adquirir alimentos saludables, así como en la actualización de indicadores relacionados con la recepción de alimentos de programas sociales específicos.</w:t>
      </w:r>
    </w:p>
    <w:p w14:paraId="587E40BE" w14:textId="77777777" w:rsidR="00B45277" w:rsidRPr="00873E82" w:rsidRDefault="00B45277" w:rsidP="00886F32">
      <w:pPr>
        <w:spacing w:after="0" w:line="360" w:lineRule="auto"/>
        <w:ind w:left="720"/>
        <w:jc w:val="both"/>
        <w:rPr>
          <w:rFonts w:eastAsia="Calibri"/>
          <w:noProof/>
          <w:color w:val="4C4747"/>
          <w:lang w:val="es-DO"/>
        </w:rPr>
      </w:pPr>
    </w:p>
    <w:p w14:paraId="0A3F7651" w14:textId="4FC7FD71" w:rsidR="002179DA" w:rsidRPr="00C70391" w:rsidRDefault="002179DA"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Nutrición y Salud Alimentaria</w:t>
      </w:r>
      <w:r w:rsidR="00C70391">
        <w:rPr>
          <w:rFonts w:eastAsia="Calibri"/>
          <w:b/>
          <w:bCs/>
          <w:noProof/>
          <w:color w:val="4C4747"/>
          <w:lang w:val="es-DO"/>
        </w:rPr>
        <w:t>.</w:t>
      </w:r>
    </w:p>
    <w:p w14:paraId="3FAAB580"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Los resultados vinculados a la nutrición reflejan avances importantes en la reducción de la subalimentación, que se ubicó por debajo de la meta proyectada para el periodo. La prevalencia de sobrepeso y obesidad en menores de cinco años también mostró una tendencia a la baja, aunque sin alcanzar completamente la meta establecida.</w:t>
      </w:r>
    </w:p>
    <w:p w14:paraId="0FDECA5E" w14:textId="77777777" w:rsidR="00B45277" w:rsidRPr="00873E82" w:rsidRDefault="00B45277" w:rsidP="00886F32">
      <w:pPr>
        <w:spacing w:after="0" w:line="360" w:lineRule="auto"/>
        <w:ind w:left="720"/>
        <w:jc w:val="both"/>
        <w:rPr>
          <w:rFonts w:eastAsia="Calibri"/>
          <w:noProof/>
          <w:color w:val="4C4747"/>
          <w:lang w:val="es-DO"/>
        </w:rPr>
      </w:pPr>
    </w:p>
    <w:p w14:paraId="1301D28F" w14:textId="77777777" w:rsidR="002179DA" w:rsidRPr="00873E82"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Los indicadores relacionados con malnutrición escolar, lactancia materna y anemia infantil mantienen cifras pendientes de actualización debido a la periodicidad de las </w:t>
      </w:r>
      <w:r w:rsidRPr="00873E82">
        <w:rPr>
          <w:rFonts w:eastAsia="Calibri"/>
          <w:noProof/>
          <w:color w:val="4C4747"/>
          <w:lang w:val="es-DO"/>
        </w:rPr>
        <w:lastRenderedPageBreak/>
        <w:t>encuestas nacionales, lo que limita una evaluación final para el año 2025.</w:t>
      </w:r>
    </w:p>
    <w:p w14:paraId="47F7705F"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En este sentido, el monitoreo realizado confirma que el país presenta avances importantes en áreas como la gobernanza del SINASSAN, la reducción de la pobreza, el acceso alimentario y la disponibilidad de alimentos. Al cierre de 2025, aproximadamente el 45 % de los indicadores priorizados alcanzaron o superaron las metas establecidas, mientras que un 35 % muestra progresos significativos pero requiere continuidad en la implementación. </w:t>
      </w:r>
    </w:p>
    <w:p w14:paraId="176ACC47" w14:textId="77777777" w:rsidR="00B45277" w:rsidRPr="00873E82" w:rsidRDefault="00B45277" w:rsidP="00886F32">
      <w:pPr>
        <w:spacing w:after="0" w:line="360" w:lineRule="auto"/>
        <w:ind w:left="720"/>
        <w:jc w:val="both"/>
        <w:rPr>
          <w:rFonts w:eastAsia="Calibri"/>
          <w:noProof/>
          <w:color w:val="4C4747"/>
          <w:lang w:val="es-DO"/>
        </w:rPr>
      </w:pPr>
    </w:p>
    <w:p w14:paraId="7A9EBDBB" w14:textId="77777777" w:rsidR="002179DA"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El restante 20 % corresponde a indicadores sin actualización reciente o con rezagos estructurales que deben ser fortalecidos para la gestión 2026–2028.</w:t>
      </w:r>
    </w:p>
    <w:p w14:paraId="5CA0C551" w14:textId="77777777" w:rsidR="00B45277" w:rsidRPr="00873E82" w:rsidRDefault="00B45277" w:rsidP="00886F32">
      <w:pPr>
        <w:spacing w:after="0" w:line="360" w:lineRule="auto"/>
        <w:ind w:left="720"/>
        <w:jc w:val="both"/>
        <w:rPr>
          <w:rFonts w:eastAsia="Calibri"/>
          <w:noProof/>
          <w:color w:val="4C4747"/>
          <w:lang w:val="es-DO"/>
        </w:rPr>
      </w:pPr>
    </w:p>
    <w:p w14:paraId="1537ED2A" w14:textId="318D118C" w:rsidR="00CD41EC" w:rsidRDefault="002179DA" w:rsidP="00886F32">
      <w:pPr>
        <w:spacing w:after="0" w:line="360" w:lineRule="auto"/>
        <w:ind w:left="720"/>
        <w:jc w:val="both"/>
        <w:rPr>
          <w:rFonts w:eastAsia="Calibri"/>
          <w:noProof/>
          <w:color w:val="4C4747"/>
          <w:lang w:val="es-DO"/>
        </w:rPr>
      </w:pPr>
      <w:r w:rsidRPr="00873E82">
        <w:rPr>
          <w:rFonts w:eastAsia="Calibri"/>
          <w:noProof/>
          <w:color w:val="4C4747"/>
          <w:lang w:val="es-DO"/>
        </w:rPr>
        <w:t>Estos resultados evidencian el compromiso institucional con el fortalecimiento del sistema alimentario nacional y sientan las bases para la actualización del Plan SSAN 2026–2028, orientado a consolidar la seguridad alimentaria y nutricional en la República Dominicana.</w:t>
      </w:r>
      <w:bookmarkStart w:id="62" w:name="_Toc185843626"/>
    </w:p>
    <w:p w14:paraId="3628197F" w14:textId="77777777" w:rsidR="00C70391" w:rsidRPr="00C70391" w:rsidRDefault="00C70391" w:rsidP="00886F32">
      <w:pPr>
        <w:spacing w:after="0" w:line="360" w:lineRule="auto"/>
        <w:ind w:left="720"/>
        <w:jc w:val="both"/>
        <w:rPr>
          <w:rFonts w:eastAsia="Calibri"/>
          <w:noProof/>
          <w:color w:val="4C4747"/>
          <w:lang w:val="es-DO"/>
        </w:rPr>
      </w:pPr>
    </w:p>
    <w:p w14:paraId="6B6D0424" w14:textId="13BFE633" w:rsidR="00DA4A48" w:rsidRPr="00DA4A48" w:rsidRDefault="00DA4A48" w:rsidP="00B45277">
      <w:pPr>
        <w:pStyle w:val="Heading2"/>
        <w:numPr>
          <w:ilvl w:val="1"/>
          <w:numId w:val="95"/>
        </w:numPr>
        <w:spacing w:before="0" w:line="360" w:lineRule="auto"/>
        <w:ind w:left="720"/>
        <w:jc w:val="center"/>
        <w:rPr>
          <w:b/>
          <w:bCs/>
          <w:color w:val="767171"/>
          <w:lang w:val="es-DO"/>
        </w:rPr>
      </w:pPr>
      <w:bookmarkStart w:id="63" w:name="_Toc217382613"/>
      <w:r w:rsidRPr="00DA4A48">
        <w:rPr>
          <w:b/>
          <w:bCs/>
          <w:color w:val="767171"/>
          <w:lang w:val="es-DO"/>
        </w:rPr>
        <w:t>Viceministerio de Relaciones con la Sociedad Civil</w:t>
      </w:r>
      <w:bookmarkEnd w:id="62"/>
      <w:bookmarkEnd w:id="63"/>
    </w:p>
    <w:p w14:paraId="287ED60E" w14:textId="34EE69C6" w:rsidR="00CC1E81" w:rsidRDefault="00CC1E81" w:rsidP="00886F32">
      <w:pPr>
        <w:spacing w:after="0" w:line="360" w:lineRule="auto"/>
        <w:ind w:left="720"/>
        <w:jc w:val="both"/>
        <w:rPr>
          <w:rFonts w:eastAsia="Calibri"/>
          <w:noProof/>
          <w:color w:val="4C4747"/>
          <w:lang w:val="es-DO"/>
        </w:rPr>
      </w:pPr>
      <w:r w:rsidRPr="00E86B23">
        <w:rPr>
          <w:rFonts w:eastAsia="Calibri"/>
          <w:noProof/>
          <w:color w:val="4C4747"/>
          <w:lang w:val="es-DO"/>
        </w:rPr>
        <w:t xml:space="preserve">El Viceministerio de </w:t>
      </w:r>
      <w:r>
        <w:rPr>
          <w:rFonts w:eastAsia="Calibri"/>
          <w:noProof/>
          <w:color w:val="4C4747"/>
          <w:lang w:val="es-DO"/>
        </w:rPr>
        <w:t>Relaciones con la Sociedad Civil</w:t>
      </w:r>
      <w:r w:rsidRPr="00E86B23">
        <w:rPr>
          <w:rFonts w:eastAsia="Calibri"/>
          <w:noProof/>
          <w:color w:val="4C4747"/>
          <w:lang w:val="es-DO"/>
        </w:rPr>
        <w:t xml:space="preserve"> tiene la responsabilidad de colaborar en la formulación y ejecución de políticas, planes y programas orientados al bienestar social. Su labor se centra en impulsar iniciativas que brinden apoyo a personas y comunidades en situación de vulnerabilidad, promoviendo su inclusión y fortaleciendo su integración en la sociedad. Asimismo, le corresponde evaluar de manera continua los programas sociales del Estado, asegurar el seguimiento de los proyectos bajo su ámbito de acción y </w:t>
      </w:r>
      <w:r w:rsidRPr="00E86B23">
        <w:rPr>
          <w:rFonts w:eastAsia="Calibri"/>
          <w:noProof/>
          <w:color w:val="4C4747"/>
          <w:lang w:val="es-DO"/>
        </w:rPr>
        <w:lastRenderedPageBreak/>
        <w:t>verificar que estos se desarrollen conforme a las normativas ambientales vigentes y en coordinación con las instituciones competentes.</w:t>
      </w:r>
    </w:p>
    <w:p w14:paraId="40C0B19A" w14:textId="77777777" w:rsidR="00B45277" w:rsidRDefault="00B45277" w:rsidP="00886F32">
      <w:pPr>
        <w:spacing w:after="0" w:line="360" w:lineRule="auto"/>
        <w:ind w:left="720"/>
        <w:jc w:val="both"/>
        <w:rPr>
          <w:rFonts w:eastAsia="Calibri"/>
          <w:noProof/>
          <w:color w:val="4C4747"/>
          <w:lang w:val="es-DO"/>
        </w:rPr>
      </w:pPr>
    </w:p>
    <w:p w14:paraId="24E6AE61" w14:textId="5087C386"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Fortalecimiento de las capacidades en finanzas, emprendimiento y liderazgo</w:t>
      </w:r>
      <w:r w:rsidR="00C70391">
        <w:rPr>
          <w:rFonts w:eastAsia="Calibri"/>
          <w:b/>
          <w:bCs/>
          <w:noProof/>
          <w:color w:val="4C4747"/>
          <w:lang w:val="es-DO"/>
        </w:rPr>
        <w:t>.</w:t>
      </w:r>
    </w:p>
    <w:p w14:paraId="40BC8A2B" w14:textId="77777777" w:rsidR="00CC1E81" w:rsidRDefault="00CC1E81" w:rsidP="00886F32">
      <w:pPr>
        <w:spacing w:after="0" w:line="360" w:lineRule="auto"/>
        <w:ind w:left="720"/>
        <w:jc w:val="both"/>
        <w:rPr>
          <w:rFonts w:eastAsia="Calibri"/>
          <w:noProof/>
          <w:color w:val="4C4747"/>
          <w:lang w:val="es-DO"/>
        </w:rPr>
      </w:pPr>
      <w:r w:rsidRPr="009B1210">
        <w:rPr>
          <w:rFonts w:eastAsia="Calibri"/>
          <w:noProof/>
          <w:color w:val="4C4747"/>
          <w:lang w:val="es-DO"/>
        </w:rPr>
        <w:t xml:space="preserve">Con el objetivo de fortalecer las capacidades individuales y colectivas en materia de finanzas, emprendimiento y liderazgo, en este </w:t>
      </w:r>
      <w:r>
        <w:rPr>
          <w:rFonts w:eastAsia="Calibri"/>
          <w:noProof/>
          <w:color w:val="4C4747"/>
          <w:lang w:val="es-DO"/>
        </w:rPr>
        <w:t xml:space="preserve">año </w:t>
      </w:r>
      <w:r w:rsidRPr="009B1210">
        <w:rPr>
          <w:rFonts w:eastAsia="Calibri"/>
          <w:noProof/>
          <w:color w:val="4C4747"/>
          <w:lang w:val="es-DO"/>
        </w:rPr>
        <w:t xml:space="preserve">se han </w:t>
      </w:r>
      <w:r>
        <w:rPr>
          <w:rFonts w:eastAsia="Calibri"/>
          <w:noProof/>
          <w:color w:val="4C4747"/>
          <w:lang w:val="es-DO"/>
        </w:rPr>
        <w:t>ejecutado</w:t>
      </w:r>
      <w:r w:rsidRPr="009B1210">
        <w:rPr>
          <w:rFonts w:eastAsia="Calibri"/>
          <w:noProof/>
          <w:color w:val="4C4747"/>
          <w:lang w:val="es-DO"/>
        </w:rPr>
        <w:t xml:space="preserve"> dos</w:t>
      </w:r>
      <w:r>
        <w:rPr>
          <w:rFonts w:eastAsia="Calibri"/>
          <w:noProof/>
          <w:color w:val="4C4747"/>
          <w:lang w:val="es-DO"/>
        </w:rPr>
        <w:t xml:space="preserve"> talleres </w:t>
      </w:r>
      <w:r w:rsidRPr="009B1210">
        <w:rPr>
          <w:rFonts w:eastAsia="Calibri"/>
          <w:noProof/>
          <w:color w:val="4C4747"/>
          <w:lang w:val="es-DO"/>
        </w:rPr>
        <w:t>a jóvenes, líderes comunitarios y miembros de distintos sectores</w:t>
      </w:r>
      <w:r>
        <w:rPr>
          <w:rFonts w:eastAsia="Calibri"/>
          <w:noProof/>
          <w:color w:val="4C4747"/>
          <w:lang w:val="es-DO"/>
        </w:rPr>
        <w:t>, impactando a unos 350 ciudadanos en el municipio de Nizao, provincia Peravia y en el sector de Herrera, municipio de Santo Domingo Oeste</w:t>
      </w:r>
      <w:r w:rsidRPr="009B1210">
        <w:rPr>
          <w:rFonts w:eastAsia="Calibri"/>
          <w:noProof/>
          <w:color w:val="4C4747"/>
          <w:lang w:val="es-DO"/>
        </w:rPr>
        <w:t xml:space="preserve">. </w:t>
      </w:r>
    </w:p>
    <w:p w14:paraId="757501A7" w14:textId="77777777" w:rsidR="00B45277" w:rsidRDefault="00B45277" w:rsidP="00886F32">
      <w:pPr>
        <w:spacing w:after="0" w:line="360" w:lineRule="auto"/>
        <w:ind w:left="720"/>
        <w:jc w:val="both"/>
        <w:rPr>
          <w:rFonts w:eastAsia="Calibri"/>
          <w:noProof/>
          <w:color w:val="4C4747"/>
          <w:lang w:val="es-DO"/>
        </w:rPr>
      </w:pPr>
    </w:p>
    <w:p w14:paraId="481C3156" w14:textId="77777777" w:rsidR="00CC1E81" w:rsidRDefault="00CC1E81" w:rsidP="00886F32">
      <w:pPr>
        <w:spacing w:after="0" w:line="360" w:lineRule="auto"/>
        <w:ind w:left="720"/>
        <w:jc w:val="both"/>
        <w:rPr>
          <w:rFonts w:eastAsia="Calibri"/>
          <w:noProof/>
          <w:color w:val="4C4747"/>
          <w:lang w:val="es-DO"/>
        </w:rPr>
      </w:pPr>
      <w:r w:rsidRPr="009B1210">
        <w:rPr>
          <w:rFonts w:eastAsia="Calibri"/>
          <w:noProof/>
          <w:color w:val="4C4747"/>
          <w:lang w:val="es-DO"/>
        </w:rPr>
        <w:t>Este espacio de formación permite el fomento entre la sociedad civil y el sector empresarial entorno a las acciones del gobierno para construir proyectos de vida sostenible, mejorando la relación de los ciudadanos con sus finanzas, generar oportunidades de negocios y ejercer un liderazgo positivo en sus entornos.</w:t>
      </w:r>
    </w:p>
    <w:p w14:paraId="64A00F4F" w14:textId="77777777" w:rsidR="00483E9F" w:rsidRDefault="00483E9F" w:rsidP="00886F32">
      <w:pPr>
        <w:spacing w:after="0" w:line="360" w:lineRule="auto"/>
        <w:ind w:left="720"/>
        <w:jc w:val="both"/>
        <w:rPr>
          <w:rFonts w:eastAsia="Calibri"/>
          <w:noProof/>
          <w:color w:val="4C4747"/>
          <w:lang w:val="es-DO"/>
        </w:rPr>
      </w:pPr>
    </w:p>
    <w:p w14:paraId="7C9D80A3" w14:textId="1F9DEF2F"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Recepción y Seguimiento de Protestas</w:t>
      </w:r>
      <w:r w:rsidR="00C70391">
        <w:rPr>
          <w:rFonts w:eastAsia="Calibri"/>
          <w:b/>
          <w:bCs/>
          <w:noProof/>
          <w:color w:val="4C4747"/>
          <w:lang w:val="es-DO"/>
        </w:rPr>
        <w:t>.</w:t>
      </w:r>
    </w:p>
    <w:p w14:paraId="415CE999" w14:textId="77777777" w:rsidR="00CC1E81" w:rsidRPr="008257B6" w:rsidRDefault="00CC1E81" w:rsidP="00886F32">
      <w:pPr>
        <w:spacing w:after="0" w:line="360" w:lineRule="auto"/>
        <w:ind w:left="720"/>
        <w:jc w:val="both"/>
        <w:rPr>
          <w:rFonts w:eastAsia="Calibri"/>
          <w:noProof/>
          <w:color w:val="4C4747"/>
          <w:lang w:val="es-DO"/>
        </w:rPr>
      </w:pPr>
      <w:r w:rsidRPr="008257B6">
        <w:rPr>
          <w:rFonts w:eastAsia="Calibri"/>
          <w:noProof/>
          <w:color w:val="4C4747"/>
          <w:lang w:val="es-DO"/>
        </w:rPr>
        <w:t xml:space="preserve">Durante el año 2025 se registraron y gestionaron </w:t>
      </w:r>
      <w:r w:rsidRPr="00E30C0D">
        <w:rPr>
          <w:rFonts w:eastAsia="Calibri"/>
          <w:noProof/>
          <w:color w:val="4C4747"/>
          <w:lang w:val="es-DO"/>
        </w:rPr>
        <w:t>60</w:t>
      </w:r>
      <w:r w:rsidRPr="008257B6">
        <w:rPr>
          <w:rFonts w:eastAsia="Calibri"/>
          <w:noProof/>
          <w:color w:val="4C4747"/>
          <w:lang w:val="es-DO"/>
        </w:rPr>
        <w:t xml:space="preserve"> manifestaciones realizadas en los alrededores del Palacio Nacional. En su función de enlace entre la ciudadanía y el Estado, este Viceministerio mantuvo un seguimiento permanente</w:t>
      </w:r>
      <w:r>
        <w:rPr>
          <w:rFonts w:eastAsia="Calibri"/>
          <w:noProof/>
          <w:color w:val="4C4747"/>
          <w:lang w:val="es-DO"/>
        </w:rPr>
        <w:t xml:space="preserve"> y</w:t>
      </w:r>
      <w:r w:rsidRPr="008257B6">
        <w:rPr>
          <w:rFonts w:eastAsia="Calibri"/>
          <w:noProof/>
          <w:color w:val="4C4747"/>
          <w:lang w:val="es-DO"/>
        </w:rPr>
        <w:t xml:space="preserve"> promovió espacios de diálogo de forma oportuna.</w:t>
      </w:r>
    </w:p>
    <w:p w14:paraId="247A5A24" w14:textId="77777777" w:rsidR="00CC1E81" w:rsidRDefault="00CC1E81" w:rsidP="00886F32">
      <w:pPr>
        <w:spacing w:after="0" w:line="360" w:lineRule="auto"/>
        <w:ind w:left="720"/>
        <w:jc w:val="both"/>
        <w:rPr>
          <w:rFonts w:eastAsia="Calibri"/>
          <w:noProof/>
          <w:color w:val="4C4747"/>
          <w:lang w:val="es-DO"/>
        </w:rPr>
      </w:pPr>
      <w:r w:rsidRPr="008257B6">
        <w:rPr>
          <w:rFonts w:eastAsia="Calibri"/>
          <w:noProof/>
          <w:color w:val="4C4747"/>
          <w:lang w:val="es-DO"/>
        </w:rPr>
        <w:t xml:space="preserve">Estas </w:t>
      </w:r>
      <w:r>
        <w:rPr>
          <w:rFonts w:eastAsia="Calibri"/>
          <w:noProof/>
          <w:color w:val="4C4747"/>
          <w:lang w:val="es-DO"/>
        </w:rPr>
        <w:t>manifestaciones</w:t>
      </w:r>
      <w:r w:rsidRPr="008257B6">
        <w:rPr>
          <w:rFonts w:eastAsia="Calibri"/>
          <w:noProof/>
          <w:color w:val="4C4747"/>
          <w:lang w:val="es-DO"/>
        </w:rPr>
        <w:t xml:space="preserve">, que involucraron a más de </w:t>
      </w:r>
      <w:r w:rsidRPr="00E30C0D">
        <w:rPr>
          <w:rFonts w:eastAsia="Calibri"/>
          <w:noProof/>
          <w:color w:val="4C4747"/>
          <w:lang w:val="es-DO"/>
        </w:rPr>
        <w:t xml:space="preserve">7,339 </w:t>
      </w:r>
      <w:r w:rsidRPr="008257B6">
        <w:rPr>
          <w:rFonts w:eastAsia="Calibri"/>
          <w:noProof/>
          <w:color w:val="4C4747"/>
          <w:lang w:val="es-DO"/>
        </w:rPr>
        <w:t>personas, reafirmaron el compromiso de este Ministerio con una respuesta social eficaz, respetuosa y orientada a garantizar el ejercicio pleno del derecho a la participación ciudadana.</w:t>
      </w:r>
    </w:p>
    <w:p w14:paraId="04E0DC77" w14:textId="08EDA483"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lastRenderedPageBreak/>
        <w:t>Organización para la Cooperación y el Desarrollo Económico</w:t>
      </w:r>
      <w:r w:rsidR="00C70391">
        <w:rPr>
          <w:rFonts w:eastAsia="Calibri"/>
          <w:b/>
          <w:bCs/>
          <w:noProof/>
          <w:color w:val="4C4747"/>
          <w:lang w:val="es-DO"/>
        </w:rPr>
        <w:t>.</w:t>
      </w:r>
    </w:p>
    <w:p w14:paraId="41767C59" w14:textId="77777777" w:rsidR="00CC1E81" w:rsidRDefault="00CC1E81" w:rsidP="00886F32">
      <w:pPr>
        <w:spacing w:after="0" w:line="360" w:lineRule="auto"/>
        <w:ind w:left="720"/>
        <w:jc w:val="both"/>
        <w:rPr>
          <w:rFonts w:eastAsia="Calibri"/>
          <w:noProof/>
          <w:color w:val="4C4747"/>
          <w:lang w:val="es-DO"/>
        </w:rPr>
      </w:pPr>
      <w:r>
        <w:rPr>
          <w:rFonts w:eastAsia="Calibri"/>
          <w:noProof/>
          <w:color w:val="4C4747"/>
          <w:lang w:val="es-DO"/>
        </w:rPr>
        <w:t>Mediante el Decreto núm. 408-25 se declara de interés nacional las acciones, actividades e iniciativas relacionadas con la organización, promoción, impulso y apoyo al proceso de adhesión de la República Dominicana a la Organización para el Cooperación y el Desarrollo Económicos (OCDE). Algunas de las actividades realizadas:</w:t>
      </w:r>
    </w:p>
    <w:p w14:paraId="798D483B" w14:textId="77777777" w:rsidR="00CC1E81" w:rsidRPr="00873E82"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Preparación de hoja de ruta para jornada de trabajo con la misión de la OCDE en el marco de la elaboración de la Primera Estrategia Nacional de Integridad de la República Dominicana.</w:t>
      </w:r>
    </w:p>
    <w:p w14:paraId="3C1900D6"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Conformación de mesas técnicas interintitucionales para la elaboración del borrador de la Primera Estrategia Nacional de Integridad de la República Dominicana.</w:t>
      </w:r>
    </w:p>
    <w:p w14:paraId="10F67E3B" w14:textId="77777777" w:rsidR="00B45277" w:rsidRPr="00873E82" w:rsidRDefault="00B45277" w:rsidP="00886F32">
      <w:pPr>
        <w:spacing w:after="0" w:line="360" w:lineRule="auto"/>
        <w:ind w:left="720"/>
        <w:jc w:val="both"/>
        <w:rPr>
          <w:rFonts w:eastAsia="Calibri"/>
          <w:noProof/>
          <w:color w:val="4C4747"/>
          <w:lang w:val="es-DO"/>
        </w:rPr>
      </w:pPr>
    </w:p>
    <w:p w14:paraId="2641DFE5" w14:textId="77777777" w:rsidR="00CC1E81" w:rsidRPr="00873E82"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Primera reunión de la comisión presidencial para la coordinacion del proceso de adhesión, donde se designó al embajador Cuello como coordinador de la comisión.</w:t>
      </w:r>
    </w:p>
    <w:p w14:paraId="483718FA"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Se presentó el borrador de Memorando de Entendimiento y la Propuesta de Estructura que establece una Coordinación Operativa.</w:t>
      </w:r>
    </w:p>
    <w:p w14:paraId="766945A5" w14:textId="77777777" w:rsidR="00B45277" w:rsidRPr="00873E82" w:rsidRDefault="00B45277" w:rsidP="00886F32">
      <w:pPr>
        <w:spacing w:after="0" w:line="360" w:lineRule="auto"/>
        <w:ind w:left="720"/>
        <w:jc w:val="both"/>
        <w:rPr>
          <w:rFonts w:eastAsia="Calibri"/>
          <w:noProof/>
          <w:color w:val="4C4747"/>
          <w:lang w:val="es-DO"/>
        </w:rPr>
      </w:pPr>
    </w:p>
    <w:p w14:paraId="3AD15DE1" w14:textId="72297EA7" w:rsidR="00CC1E81" w:rsidRPr="00C70391" w:rsidRDefault="00CC1E81" w:rsidP="00886F32">
      <w:pPr>
        <w:spacing w:after="0" w:line="360" w:lineRule="auto"/>
        <w:ind w:left="720"/>
        <w:jc w:val="both"/>
        <w:rPr>
          <w:rFonts w:eastAsia="Calibri"/>
          <w:b/>
          <w:bCs/>
          <w:noProof/>
          <w:color w:val="4C4747"/>
          <w:lang w:val="es-DO"/>
        </w:rPr>
      </w:pPr>
      <w:bookmarkStart w:id="64" w:name="_Hlk214873245"/>
      <w:r w:rsidRPr="00C70391">
        <w:rPr>
          <w:rFonts w:eastAsia="Calibri"/>
          <w:b/>
          <w:bCs/>
          <w:noProof/>
          <w:color w:val="4C4747"/>
          <w:lang w:val="es-DO"/>
        </w:rPr>
        <w:t>Comisión Presidencial de Transparencia y Anticorrupción (CPTA)</w:t>
      </w:r>
      <w:r w:rsidR="00C70391">
        <w:rPr>
          <w:rFonts w:eastAsia="Calibri"/>
          <w:b/>
          <w:bCs/>
          <w:noProof/>
          <w:color w:val="4C4747"/>
          <w:lang w:val="es-DO"/>
        </w:rPr>
        <w:t>.</w:t>
      </w:r>
    </w:p>
    <w:bookmarkEnd w:id="64"/>
    <w:p w14:paraId="0D0B58C8" w14:textId="77777777" w:rsidR="00CC1E81" w:rsidRPr="00914048" w:rsidRDefault="00CC1E81" w:rsidP="00886F32">
      <w:pPr>
        <w:spacing w:after="0" w:line="360" w:lineRule="auto"/>
        <w:ind w:left="720"/>
        <w:jc w:val="both"/>
        <w:rPr>
          <w:rFonts w:eastAsia="Calibri"/>
          <w:noProof/>
          <w:color w:val="4C4747"/>
          <w:lang w:val="es-DO"/>
        </w:rPr>
      </w:pPr>
      <w:r w:rsidRPr="00914048">
        <w:rPr>
          <w:rFonts w:eastAsia="Calibri"/>
          <w:noProof/>
          <w:color w:val="4C4747"/>
          <w:lang w:val="es-DO"/>
        </w:rPr>
        <w:t xml:space="preserve">La Comisión Presidencial de Transparencia y Anticorrupción (CPTA), creado mediante el Decreto 76-25, para integrar y coordinar las dintintas estrategias gubernamentales de prevención, transparencia y acceso a la información pública. </w:t>
      </w:r>
    </w:p>
    <w:p w14:paraId="0759B48C" w14:textId="77777777" w:rsidR="00CC1E81" w:rsidRDefault="00CC1E81" w:rsidP="00886F32">
      <w:pPr>
        <w:spacing w:after="0" w:line="360" w:lineRule="auto"/>
        <w:ind w:left="720"/>
        <w:jc w:val="both"/>
        <w:rPr>
          <w:rFonts w:eastAsia="Calibri"/>
          <w:noProof/>
          <w:color w:val="4C4747"/>
          <w:lang w:val="es-DO"/>
        </w:rPr>
      </w:pPr>
      <w:r w:rsidRPr="00914048">
        <w:rPr>
          <w:rFonts w:eastAsia="Calibri"/>
          <w:noProof/>
          <w:color w:val="4C4747"/>
          <w:lang w:val="es-DO"/>
        </w:rPr>
        <w:t xml:space="preserve">La CPTA como parte del Plan Nacional de lucha contra la corrupción, tiene el compromiso de supervisar las compras, contrataciones públicas, recuperación de bienes adquiridos </w:t>
      </w:r>
      <w:r w:rsidRPr="00914048">
        <w:rPr>
          <w:rFonts w:eastAsia="Calibri"/>
          <w:noProof/>
          <w:color w:val="4C4747"/>
          <w:lang w:val="es-DO"/>
        </w:rPr>
        <w:lastRenderedPageBreak/>
        <w:t>ilícitamente, creación de un observatorio de transparencia para monitorear el sector público y el fortalecimiento de un sistema nacional de denuncias de corrupción.</w:t>
      </w:r>
    </w:p>
    <w:p w14:paraId="2F376BE1" w14:textId="77777777" w:rsidR="00496CA4" w:rsidRPr="00914048" w:rsidRDefault="00496CA4" w:rsidP="00886F32">
      <w:pPr>
        <w:spacing w:after="0" w:line="360" w:lineRule="auto"/>
        <w:ind w:left="720"/>
        <w:jc w:val="both"/>
        <w:rPr>
          <w:rFonts w:eastAsia="Calibri"/>
          <w:noProof/>
          <w:color w:val="4C4747"/>
          <w:lang w:val="es-DO"/>
        </w:rPr>
      </w:pPr>
    </w:p>
    <w:p w14:paraId="177001B4" w14:textId="77777777" w:rsidR="00CC1E81" w:rsidRPr="00914048" w:rsidRDefault="00CC1E81" w:rsidP="00886F32">
      <w:pPr>
        <w:spacing w:after="0" w:line="360" w:lineRule="auto"/>
        <w:ind w:left="720"/>
        <w:jc w:val="both"/>
        <w:rPr>
          <w:rFonts w:eastAsia="Calibri"/>
          <w:noProof/>
          <w:color w:val="4C4747"/>
          <w:lang w:val="es-DO"/>
        </w:rPr>
      </w:pPr>
      <w:r w:rsidRPr="00914048">
        <w:rPr>
          <w:rFonts w:eastAsia="Calibri"/>
          <w:noProof/>
          <w:color w:val="4C4747"/>
          <w:lang w:val="es-DO"/>
        </w:rPr>
        <w:t>Durante el presente año, se promulgó la ley 47-25 sobre Contrataciones Públicas,</w:t>
      </w:r>
      <w:r>
        <w:rPr>
          <w:rFonts w:eastAsia="Calibri"/>
          <w:noProof/>
          <w:color w:val="4C4747"/>
          <w:lang w:val="es-DO"/>
        </w:rPr>
        <w:t xml:space="preserve"> y la ley 74-25 nuevo código penal de la República Dominicana que entratrá en vigencia en el año 2026 y que serán herramientas que</w:t>
      </w:r>
      <w:r w:rsidRPr="00914048">
        <w:rPr>
          <w:rFonts w:eastAsia="Calibri"/>
          <w:noProof/>
          <w:color w:val="4C4747"/>
          <w:lang w:val="es-DO"/>
        </w:rPr>
        <w:t xml:space="preserve"> incrementa</w:t>
      </w:r>
      <w:r>
        <w:rPr>
          <w:rFonts w:eastAsia="Calibri"/>
          <w:noProof/>
          <w:color w:val="4C4747"/>
          <w:lang w:val="es-DO"/>
        </w:rPr>
        <w:t>rán</w:t>
      </w:r>
      <w:r w:rsidRPr="00914048">
        <w:rPr>
          <w:rFonts w:eastAsia="Calibri"/>
          <w:noProof/>
          <w:color w:val="4C4747"/>
          <w:lang w:val="es-DO"/>
        </w:rPr>
        <w:t xml:space="preserve"> la trazabilidad y publicidad de todo el ciclo de contratación pública</w:t>
      </w:r>
      <w:r>
        <w:rPr>
          <w:rFonts w:eastAsia="Calibri"/>
          <w:noProof/>
          <w:color w:val="4C4747"/>
          <w:lang w:val="es-DO"/>
        </w:rPr>
        <w:t xml:space="preserve"> y lucha efectiva contra la corrupción.</w:t>
      </w:r>
    </w:p>
    <w:p w14:paraId="3EFE1BA0" w14:textId="77777777" w:rsidR="00CC1E81" w:rsidRDefault="00CC1E81" w:rsidP="00886F32">
      <w:pPr>
        <w:spacing w:after="0" w:line="360" w:lineRule="auto"/>
        <w:ind w:left="720"/>
        <w:jc w:val="both"/>
        <w:rPr>
          <w:rFonts w:eastAsia="Calibri"/>
          <w:noProof/>
          <w:color w:val="4C4747"/>
          <w:lang w:val="es-DO"/>
        </w:rPr>
      </w:pPr>
      <w:r w:rsidRPr="00914048">
        <w:rPr>
          <w:rFonts w:eastAsia="Calibri"/>
          <w:noProof/>
          <w:color w:val="4C4747"/>
          <w:lang w:val="es-DO"/>
        </w:rPr>
        <w:t xml:space="preserve">Se ha evidenciado avances en la percepción de la corrupción en el país mediante el reporte de principios del 2025, lo que indica un progreso general en las estrategias anticorrupción del gobierno. </w:t>
      </w:r>
    </w:p>
    <w:p w14:paraId="53892632" w14:textId="77777777" w:rsidR="00496CA4" w:rsidRPr="00914048" w:rsidRDefault="00496CA4" w:rsidP="00886F32">
      <w:pPr>
        <w:spacing w:after="0" w:line="360" w:lineRule="auto"/>
        <w:ind w:left="720"/>
        <w:jc w:val="both"/>
        <w:rPr>
          <w:rFonts w:eastAsia="Calibri"/>
          <w:noProof/>
          <w:color w:val="4C4747"/>
          <w:lang w:val="es-DO"/>
        </w:rPr>
      </w:pPr>
    </w:p>
    <w:p w14:paraId="35769CAC" w14:textId="77777777" w:rsidR="00CC1E81" w:rsidRDefault="00CC1E81" w:rsidP="00886F32">
      <w:pPr>
        <w:spacing w:after="0" w:line="360" w:lineRule="auto"/>
        <w:ind w:left="720"/>
        <w:jc w:val="both"/>
        <w:rPr>
          <w:rFonts w:eastAsia="Calibri"/>
          <w:noProof/>
          <w:color w:val="4C4747"/>
          <w:lang w:val="es-DO"/>
        </w:rPr>
      </w:pPr>
      <w:r w:rsidRPr="00914048">
        <w:rPr>
          <w:rFonts w:eastAsia="Calibri"/>
          <w:noProof/>
          <w:color w:val="4C4747"/>
          <w:lang w:val="es-DO"/>
        </w:rPr>
        <w:t>Se han incluido entidades gubernamentales en los alineamientos en su planificación estratégica 2025-2028 con los objetivos de transparencia y eficiencia.</w:t>
      </w:r>
    </w:p>
    <w:p w14:paraId="7D2E9A2C" w14:textId="77777777" w:rsidR="00496CA4" w:rsidRPr="00914048" w:rsidRDefault="00496CA4" w:rsidP="00886F32">
      <w:pPr>
        <w:spacing w:after="0" w:line="360" w:lineRule="auto"/>
        <w:ind w:left="720"/>
        <w:jc w:val="both"/>
        <w:rPr>
          <w:rFonts w:eastAsia="Calibri"/>
          <w:noProof/>
          <w:color w:val="4C4747"/>
          <w:lang w:val="es-DO"/>
        </w:rPr>
      </w:pPr>
    </w:p>
    <w:p w14:paraId="22653A45" w14:textId="77777777" w:rsidR="00CC1E81" w:rsidRDefault="00CC1E81" w:rsidP="00886F32">
      <w:pPr>
        <w:spacing w:after="0" w:line="360" w:lineRule="auto"/>
        <w:ind w:left="720"/>
        <w:jc w:val="both"/>
        <w:rPr>
          <w:rFonts w:eastAsia="Calibri"/>
          <w:noProof/>
          <w:color w:val="4C4747"/>
          <w:lang w:val="es-DO"/>
        </w:rPr>
      </w:pPr>
      <w:r w:rsidRPr="00914048">
        <w:rPr>
          <w:rFonts w:eastAsia="Calibri"/>
          <w:noProof/>
          <w:color w:val="4C4747"/>
          <w:lang w:val="es-DO"/>
        </w:rPr>
        <w:t xml:space="preserve">Concientes de la importancia de la participación ciudadana como un pilar fundamental para la consolidacion de la democracia y la transparencia en el uso responsable de los recursos públicos y fomento de la cultura de transparencia y ética, se realizó la Jornada Nacional de diálogo abierto con los líderes comunitarios destacados de las diferentes provincias del país. </w:t>
      </w:r>
    </w:p>
    <w:p w14:paraId="27F8C924" w14:textId="77777777" w:rsidR="00496CA4" w:rsidRPr="00873E82" w:rsidRDefault="00496CA4" w:rsidP="00886F32">
      <w:pPr>
        <w:spacing w:after="0" w:line="360" w:lineRule="auto"/>
        <w:ind w:left="720"/>
        <w:jc w:val="both"/>
        <w:rPr>
          <w:rFonts w:eastAsia="Calibri"/>
          <w:noProof/>
          <w:color w:val="4C4747"/>
          <w:lang w:val="es-DO"/>
        </w:rPr>
      </w:pPr>
    </w:p>
    <w:p w14:paraId="20791CFE" w14:textId="77777777" w:rsidR="00CC1E81" w:rsidRDefault="00CC1E81" w:rsidP="00886F32">
      <w:pPr>
        <w:spacing w:after="0" w:line="360" w:lineRule="auto"/>
        <w:ind w:left="720"/>
        <w:jc w:val="both"/>
        <w:rPr>
          <w:rFonts w:eastAsia="Calibri"/>
          <w:noProof/>
          <w:color w:val="4C4747"/>
          <w:lang w:val="es-DO"/>
        </w:rPr>
      </w:pPr>
      <w:r>
        <w:rPr>
          <w:rFonts w:eastAsia="Calibri"/>
          <w:noProof/>
          <w:color w:val="4C4747"/>
          <w:lang w:val="es-DO"/>
        </w:rPr>
        <w:t>Esta jornada impató al 100% las regiones Cibao Sur, Cibao Nordeste, Yuma y Valdesia, al 66% la región Higuamo y al 33% la región Cibao Norte.</w:t>
      </w:r>
    </w:p>
    <w:p w14:paraId="29413CC1" w14:textId="77777777" w:rsidR="00496CA4" w:rsidRPr="00914048" w:rsidRDefault="00496CA4" w:rsidP="00886F32">
      <w:pPr>
        <w:spacing w:after="0" w:line="360" w:lineRule="auto"/>
        <w:ind w:left="720"/>
        <w:jc w:val="both"/>
        <w:rPr>
          <w:rFonts w:eastAsia="Calibri"/>
          <w:noProof/>
          <w:color w:val="4C4747"/>
          <w:lang w:val="es-DO"/>
        </w:rPr>
      </w:pPr>
    </w:p>
    <w:p w14:paraId="615A1164" w14:textId="3CECB62B"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lastRenderedPageBreak/>
        <w:t>Comisión de Derechos Humanos, MIREX</w:t>
      </w:r>
      <w:r w:rsidR="00C70391">
        <w:rPr>
          <w:rFonts w:eastAsia="Calibri"/>
          <w:b/>
          <w:bCs/>
          <w:noProof/>
          <w:color w:val="4C4747"/>
          <w:lang w:val="es-DO"/>
        </w:rPr>
        <w:t>.</w:t>
      </w:r>
    </w:p>
    <w:p w14:paraId="575A105A" w14:textId="77777777" w:rsidR="00CC1E81" w:rsidRDefault="00CC1E81" w:rsidP="00886F32">
      <w:pPr>
        <w:spacing w:after="0" w:line="360" w:lineRule="auto"/>
        <w:ind w:left="720"/>
        <w:jc w:val="both"/>
        <w:rPr>
          <w:rFonts w:eastAsia="Calibri"/>
          <w:noProof/>
          <w:color w:val="4C4747"/>
          <w:lang w:val="es-DO"/>
        </w:rPr>
      </w:pPr>
      <w:r>
        <w:rPr>
          <w:rFonts w:eastAsia="Calibri"/>
          <w:noProof/>
          <w:color w:val="4C4747"/>
          <w:lang w:val="es-DO"/>
        </w:rPr>
        <w:t xml:space="preserve">Como miembros de la Comisión Interinstitucional para los Derechos Humanos, hemos ejecutado diversas acciones </w:t>
      </w:r>
      <w:r w:rsidRPr="00860B99">
        <w:rPr>
          <w:rFonts w:eastAsia="Calibri"/>
          <w:noProof/>
          <w:color w:val="4C4747"/>
          <w:lang w:val="es-DO"/>
        </w:rPr>
        <w:t>orientadas a impulsar el desarrollo de los</w:t>
      </w:r>
      <w:r>
        <w:rPr>
          <w:rFonts w:eastAsia="Calibri"/>
          <w:noProof/>
          <w:color w:val="4C4747"/>
          <w:lang w:val="es-DO"/>
        </w:rPr>
        <w:t xml:space="preserve"> trabajos </w:t>
      </w:r>
      <w:r w:rsidRPr="00860B99">
        <w:rPr>
          <w:rFonts w:eastAsia="Calibri"/>
          <w:noProof/>
          <w:color w:val="4C4747"/>
          <w:lang w:val="es-DO"/>
        </w:rPr>
        <w:t>y a fortalecer la promoción y protección de los derechos humanos en los ámbitos global, regional y nacional.</w:t>
      </w:r>
      <w:r>
        <w:rPr>
          <w:rFonts w:eastAsia="Calibri"/>
          <w:noProof/>
          <w:color w:val="4C4747"/>
          <w:lang w:val="es-DO"/>
        </w:rPr>
        <w:t xml:space="preserve"> A continuación, se detallan las acciones realizadas:</w:t>
      </w:r>
    </w:p>
    <w:p w14:paraId="35324388" w14:textId="77777777" w:rsidR="00CC1E81" w:rsidRPr="00C70391" w:rsidRDefault="00CC1E81" w:rsidP="00886F32">
      <w:pPr>
        <w:pStyle w:val="ListParagraph"/>
        <w:numPr>
          <w:ilvl w:val="0"/>
          <w:numId w:val="20"/>
        </w:numPr>
        <w:spacing w:after="0" w:line="360" w:lineRule="auto"/>
        <w:jc w:val="both"/>
        <w:rPr>
          <w:rFonts w:eastAsia="Calibri"/>
          <w:noProof/>
          <w:color w:val="4C4747"/>
        </w:rPr>
      </w:pPr>
      <w:r w:rsidRPr="00C70391">
        <w:rPr>
          <w:rFonts w:eastAsia="Calibri"/>
          <w:noProof/>
          <w:color w:val="4C4747"/>
        </w:rPr>
        <w:t>Aprobacion del Plan Nacional de Acción 2025-2028 contra la trata de personas y tráfico ilícito de migrantes.</w:t>
      </w:r>
    </w:p>
    <w:p w14:paraId="64559564" w14:textId="77777777" w:rsidR="00CC1E81" w:rsidRPr="00C70391" w:rsidRDefault="00CC1E81" w:rsidP="00886F32">
      <w:pPr>
        <w:pStyle w:val="ListParagraph"/>
        <w:numPr>
          <w:ilvl w:val="0"/>
          <w:numId w:val="20"/>
        </w:numPr>
        <w:spacing w:after="0" w:line="360" w:lineRule="auto"/>
        <w:jc w:val="both"/>
        <w:rPr>
          <w:rFonts w:eastAsia="Calibri"/>
          <w:noProof/>
          <w:color w:val="4C4747"/>
        </w:rPr>
      </w:pPr>
      <w:r w:rsidRPr="00C70391">
        <w:rPr>
          <w:rFonts w:eastAsia="Calibri"/>
          <w:noProof/>
          <w:color w:val="4C4747"/>
        </w:rPr>
        <w:t>Informes de denuncia en temas de violación de derechos humanos.</w:t>
      </w:r>
    </w:p>
    <w:p w14:paraId="42510721" w14:textId="77777777" w:rsidR="00CC1E81" w:rsidRPr="00C70391" w:rsidRDefault="00CC1E81" w:rsidP="00886F32">
      <w:pPr>
        <w:pStyle w:val="ListParagraph"/>
        <w:numPr>
          <w:ilvl w:val="0"/>
          <w:numId w:val="20"/>
        </w:numPr>
        <w:spacing w:after="0" w:line="360" w:lineRule="auto"/>
        <w:jc w:val="both"/>
        <w:rPr>
          <w:rFonts w:eastAsia="Calibri"/>
          <w:noProof/>
          <w:color w:val="4C4747"/>
        </w:rPr>
      </w:pPr>
      <w:r w:rsidRPr="00C70391">
        <w:rPr>
          <w:rFonts w:eastAsia="Calibri"/>
          <w:noProof/>
          <w:color w:val="4C4747"/>
        </w:rPr>
        <w:t xml:space="preserve">La República Dominicana se integró como miembro del Consejo de Derechos Humanos de la ONU para el período 2024-2026, reforzando el compromiso con las normas internacionales. </w:t>
      </w:r>
    </w:p>
    <w:p w14:paraId="398B42BF" w14:textId="77777777" w:rsidR="00CC1E81" w:rsidRPr="00C70391" w:rsidRDefault="00CC1E81" w:rsidP="00886F32">
      <w:pPr>
        <w:pStyle w:val="ListParagraph"/>
        <w:numPr>
          <w:ilvl w:val="0"/>
          <w:numId w:val="20"/>
        </w:numPr>
        <w:spacing w:after="0" w:line="360" w:lineRule="auto"/>
        <w:jc w:val="both"/>
        <w:rPr>
          <w:rFonts w:eastAsia="Calibri"/>
          <w:noProof/>
          <w:color w:val="4C4747"/>
        </w:rPr>
      </w:pPr>
      <w:r w:rsidRPr="00C70391">
        <w:rPr>
          <w:rFonts w:eastAsia="Calibri"/>
          <w:noProof/>
          <w:color w:val="4C4747"/>
        </w:rPr>
        <w:t xml:space="preserve">República Dominicana logra aprobación de resolución ante el consejo de Derechos Humanos de la ONU sobre el aumento del nivel del mar y su impacto en los derechos humanos. </w:t>
      </w:r>
    </w:p>
    <w:p w14:paraId="2E8C7759" w14:textId="77777777" w:rsidR="00CC1E81" w:rsidRPr="00C70391" w:rsidRDefault="00CC1E81" w:rsidP="00886F32">
      <w:pPr>
        <w:pStyle w:val="ListParagraph"/>
        <w:numPr>
          <w:ilvl w:val="0"/>
          <w:numId w:val="20"/>
        </w:numPr>
        <w:spacing w:after="0" w:line="360" w:lineRule="auto"/>
        <w:jc w:val="both"/>
        <w:rPr>
          <w:rFonts w:eastAsia="Calibri"/>
          <w:noProof/>
          <w:color w:val="4C4747"/>
        </w:rPr>
      </w:pPr>
      <w:r w:rsidRPr="00C70391">
        <w:rPr>
          <w:rFonts w:eastAsia="Calibri"/>
          <w:noProof/>
          <w:color w:val="4C4747"/>
        </w:rPr>
        <w:t>Presentación de informe del relator especial de Naciones Unidas, Marcos Orellana, sobre la situación ambiental de la República Dominicana, ante el Consejo de Derechos Humanos de la Organización de Naciones Unidas, ONU, el martes 16 de septiembre de 2025, en Ginebra, Suiza.</w:t>
      </w:r>
    </w:p>
    <w:p w14:paraId="5E939766" w14:textId="77777777" w:rsidR="00CC1E81" w:rsidRPr="00C70391" w:rsidRDefault="00CC1E81" w:rsidP="00886F32">
      <w:pPr>
        <w:pStyle w:val="ListParagraph"/>
        <w:numPr>
          <w:ilvl w:val="0"/>
          <w:numId w:val="20"/>
        </w:numPr>
        <w:spacing w:after="0" w:line="360" w:lineRule="auto"/>
        <w:jc w:val="both"/>
        <w:rPr>
          <w:rFonts w:eastAsia="Calibri"/>
          <w:noProof/>
          <w:color w:val="4C4747"/>
        </w:rPr>
      </w:pPr>
      <w:r w:rsidRPr="00C70391">
        <w:rPr>
          <w:rFonts w:eastAsia="Calibri"/>
          <w:noProof/>
          <w:color w:val="4C4747"/>
        </w:rPr>
        <w:t>Diálogo sobre la Crisis Haitiana y sus Implicaciones para la República Dominicana</w:t>
      </w:r>
    </w:p>
    <w:p w14:paraId="5F2406E2" w14:textId="77777777" w:rsidR="00CC1E81" w:rsidRDefault="00CC1E81" w:rsidP="00886F32">
      <w:pPr>
        <w:spacing w:after="0" w:line="360" w:lineRule="auto"/>
        <w:ind w:left="720"/>
        <w:jc w:val="both"/>
        <w:rPr>
          <w:rFonts w:eastAsia="Calibri"/>
          <w:noProof/>
          <w:color w:val="4C4747"/>
          <w:lang w:val="es-DO"/>
        </w:rPr>
      </w:pPr>
      <w:r w:rsidRPr="00C16127">
        <w:rPr>
          <w:rFonts w:eastAsia="Calibri"/>
          <w:noProof/>
          <w:color w:val="4C4747"/>
          <w:lang w:val="es-DO"/>
        </w:rPr>
        <w:t xml:space="preserve">El Presidente Luis Abinader se reunió con los expresidentes Hipólito Mejía, Leonel Fernández y Danilo Medina el miércoles 14 de mayo, </w:t>
      </w:r>
      <w:r>
        <w:rPr>
          <w:rFonts w:eastAsia="Calibri"/>
          <w:noProof/>
          <w:color w:val="4C4747"/>
          <w:lang w:val="es-DO"/>
        </w:rPr>
        <w:t>donde se generó un diálogo junto al Consejo Economico y Social (CES).</w:t>
      </w:r>
    </w:p>
    <w:p w14:paraId="0428FC59" w14:textId="77777777" w:rsidR="00CC1E81" w:rsidRDefault="00CC1E81" w:rsidP="00886F32">
      <w:pPr>
        <w:spacing w:after="0" w:line="360" w:lineRule="auto"/>
        <w:ind w:left="720"/>
        <w:jc w:val="both"/>
        <w:rPr>
          <w:rFonts w:eastAsia="Calibri"/>
          <w:noProof/>
          <w:color w:val="4C4747"/>
          <w:lang w:val="es-DO"/>
        </w:rPr>
      </w:pPr>
      <w:r w:rsidRPr="007F7975">
        <w:rPr>
          <w:rFonts w:eastAsia="Calibri"/>
          <w:noProof/>
          <w:color w:val="4C4747"/>
          <w:lang w:val="es-DO"/>
        </w:rPr>
        <w:t xml:space="preserve">El diálogo del Consejo Económico y Social (CES) sobre la crisis haitiana </w:t>
      </w:r>
      <w:r w:rsidRPr="007F7975">
        <w:rPr>
          <w:rFonts w:eastAsia="Calibri"/>
          <w:noProof/>
          <w:color w:val="4C4747"/>
          <w:lang w:val="es-DO"/>
        </w:rPr>
        <w:lastRenderedPageBreak/>
        <w:t xml:space="preserve">concluyó con la entrega de un informe final que aborda seis ejes estratégicos: migración, comercio bilateral, desarrollo fronterizo, seguridad nacional, política exterior y </w:t>
      </w:r>
      <w:r>
        <w:rPr>
          <w:rFonts w:eastAsia="Calibri"/>
          <w:noProof/>
          <w:color w:val="4C4747"/>
          <w:lang w:val="es-DO"/>
        </w:rPr>
        <w:t>tema</w:t>
      </w:r>
      <w:r w:rsidRPr="007F7975">
        <w:rPr>
          <w:rFonts w:eastAsia="Calibri"/>
          <w:noProof/>
          <w:color w:val="4C4747"/>
          <w:lang w:val="es-DO"/>
        </w:rPr>
        <w:t xml:space="preserve"> laboral. El informe presenta consensos, disensos y acuerdos para fortalecer la gobernanza y la seguridad nacional, enfatizando la necesidad de una política migratoria humana pero firme y de promover el desarrollo de las zonas fronterizas. </w:t>
      </w:r>
      <w:r>
        <w:rPr>
          <w:rFonts w:eastAsia="Calibri"/>
          <w:noProof/>
          <w:color w:val="4C4747"/>
          <w:lang w:val="es-DO"/>
        </w:rPr>
        <w:t xml:space="preserve"> </w:t>
      </w:r>
    </w:p>
    <w:p w14:paraId="711C6468" w14:textId="77777777" w:rsidR="00496CA4" w:rsidRDefault="00496CA4" w:rsidP="00886F32">
      <w:pPr>
        <w:spacing w:after="0" w:line="360" w:lineRule="auto"/>
        <w:ind w:left="720"/>
        <w:jc w:val="both"/>
        <w:rPr>
          <w:rFonts w:eastAsia="Calibri"/>
          <w:noProof/>
          <w:color w:val="4C4747"/>
          <w:lang w:val="es-DO"/>
        </w:rPr>
      </w:pPr>
    </w:p>
    <w:p w14:paraId="3365998E" w14:textId="07972846"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Construcción del Cenobio Ramón Pané</w:t>
      </w:r>
      <w:r w:rsidR="00C70391">
        <w:rPr>
          <w:rFonts w:eastAsia="Calibri"/>
          <w:b/>
          <w:bCs/>
          <w:noProof/>
          <w:color w:val="4C4747"/>
          <w:lang w:val="es-DO"/>
        </w:rPr>
        <w:t>.</w:t>
      </w:r>
    </w:p>
    <w:p w14:paraId="5BC0B167" w14:textId="77777777" w:rsidR="00CC1E81" w:rsidRDefault="00CC1E81" w:rsidP="00886F32">
      <w:pPr>
        <w:spacing w:after="0" w:line="360" w:lineRule="auto"/>
        <w:ind w:left="720"/>
        <w:jc w:val="both"/>
        <w:rPr>
          <w:rFonts w:eastAsia="Calibri"/>
          <w:noProof/>
          <w:color w:val="4C4747"/>
          <w:lang w:val="es-DO"/>
        </w:rPr>
      </w:pPr>
      <w:r w:rsidRPr="000A4552">
        <w:rPr>
          <w:rFonts w:eastAsia="Calibri"/>
          <w:noProof/>
          <w:color w:val="4C4747"/>
          <w:lang w:val="es-DO"/>
        </w:rPr>
        <w:t>El</w:t>
      </w:r>
      <w:r>
        <w:rPr>
          <w:rFonts w:eastAsia="Calibri"/>
          <w:noProof/>
          <w:color w:val="4C4747"/>
          <w:lang w:val="es-DO"/>
        </w:rPr>
        <w:t xml:space="preserve"> 21 de marzo del año 2025, el Ministro José Ignacio Paliza recibe la comunicación suscrita por el Sr. Ricardo Grzona, presidente de la Fundación Ramón Pané quien solicitó confirmar si los terrenos donde está ubicado el Templo de Las Américas, municipio de la Isabela, provincia Puerto Plata, se encuentran dentro de algún área protegida con la finalidad de construir el Cenebio Ramón Pané en los alrederores del Templo de Las Américas.</w:t>
      </w:r>
    </w:p>
    <w:p w14:paraId="11199998" w14:textId="77777777" w:rsidR="00496CA4" w:rsidRDefault="00496CA4" w:rsidP="00886F32">
      <w:pPr>
        <w:spacing w:after="0" w:line="360" w:lineRule="auto"/>
        <w:ind w:left="720"/>
        <w:jc w:val="both"/>
        <w:rPr>
          <w:rFonts w:eastAsia="Calibri"/>
          <w:noProof/>
          <w:color w:val="4C4747"/>
          <w:lang w:val="es-DO"/>
        </w:rPr>
      </w:pPr>
    </w:p>
    <w:p w14:paraId="0A62ADF0" w14:textId="77777777" w:rsidR="00CC1E81" w:rsidRDefault="00CC1E81" w:rsidP="00886F32">
      <w:pPr>
        <w:spacing w:after="0" w:line="360" w:lineRule="auto"/>
        <w:ind w:left="720"/>
        <w:jc w:val="both"/>
        <w:rPr>
          <w:rFonts w:eastAsia="Calibri"/>
          <w:noProof/>
          <w:color w:val="4C4747"/>
          <w:lang w:val="es-DO"/>
        </w:rPr>
      </w:pPr>
      <w:r>
        <w:rPr>
          <w:rFonts w:eastAsia="Calibri"/>
          <w:noProof/>
          <w:color w:val="4C4747"/>
          <w:lang w:val="es-DO"/>
        </w:rPr>
        <w:t xml:space="preserve">La Dirección Técnica Ejecutora de Titulación de Terrenos del Estado, emitió el Informe de Investigación sobre los Terrenos solicitados, determinando que el Parque Nacional La Hispaniola cae dentro del rango de protección Categoría II, por lo que, cualquier usufructo, que se pueda otorgar a estos predios para las construcciones solicitadas, debera hacerse a traves de una solicitud formal al Ministerio de Medio Ambiente y Recursos Naturales (MMARN), así como también al Ministerio de Cultura, pues ambos ostentan la administración y disposición de los citados predios. </w:t>
      </w:r>
    </w:p>
    <w:p w14:paraId="36294658" w14:textId="77777777" w:rsidR="00496CA4" w:rsidRDefault="00496CA4" w:rsidP="00886F32">
      <w:pPr>
        <w:spacing w:after="0" w:line="360" w:lineRule="auto"/>
        <w:ind w:left="720"/>
        <w:jc w:val="both"/>
        <w:rPr>
          <w:rFonts w:eastAsia="Calibri"/>
          <w:noProof/>
          <w:color w:val="4C4747"/>
          <w:lang w:val="es-DO"/>
        </w:rPr>
      </w:pPr>
    </w:p>
    <w:p w14:paraId="06B78AC9" w14:textId="77777777" w:rsidR="00CC1E81" w:rsidRDefault="00CC1E81" w:rsidP="00886F32">
      <w:pPr>
        <w:spacing w:after="0" w:line="360" w:lineRule="auto"/>
        <w:ind w:left="720"/>
        <w:jc w:val="both"/>
        <w:rPr>
          <w:rFonts w:eastAsia="Calibri"/>
          <w:noProof/>
          <w:color w:val="4C4747"/>
          <w:lang w:val="es-DO"/>
        </w:rPr>
      </w:pPr>
      <w:r>
        <w:rPr>
          <w:rFonts w:eastAsia="Calibri"/>
          <w:noProof/>
          <w:color w:val="4C4747"/>
          <w:lang w:val="es-DO"/>
        </w:rPr>
        <w:t xml:space="preserve">La construcción del Cenobio Ramón Pané busca ser un centro de reflexión, oración, formación y misión de impacto local, </w:t>
      </w:r>
      <w:r>
        <w:rPr>
          <w:rFonts w:eastAsia="Calibri"/>
          <w:noProof/>
          <w:color w:val="4C4747"/>
          <w:lang w:val="es-DO"/>
        </w:rPr>
        <w:lastRenderedPageBreak/>
        <w:t>regional, nacional, continental y mudial, que junto a las obras de caridad ayuden a que la comunidad pueda tener una manera digna de trabajo y que esté asistida en sus necesidades básicas como lo son la salud, la capacitación laboral, la capacitación en valores humanos y cultura en general.</w:t>
      </w:r>
    </w:p>
    <w:p w14:paraId="093B3B51" w14:textId="77777777" w:rsidR="00496CA4" w:rsidRDefault="00496CA4" w:rsidP="00886F32">
      <w:pPr>
        <w:spacing w:after="0" w:line="360" w:lineRule="auto"/>
        <w:ind w:left="720"/>
        <w:jc w:val="both"/>
        <w:rPr>
          <w:rFonts w:eastAsia="Calibri"/>
          <w:noProof/>
          <w:color w:val="4C4747"/>
          <w:lang w:val="es-DO"/>
        </w:rPr>
      </w:pPr>
    </w:p>
    <w:p w14:paraId="4A53F625" w14:textId="77777777" w:rsidR="00CC1E81" w:rsidRDefault="00CC1E81" w:rsidP="00886F32">
      <w:pPr>
        <w:spacing w:after="0" w:line="360" w:lineRule="auto"/>
        <w:ind w:left="720"/>
        <w:jc w:val="both"/>
        <w:rPr>
          <w:rFonts w:eastAsia="Calibri"/>
          <w:noProof/>
          <w:color w:val="4C4747"/>
          <w:lang w:val="es-DO"/>
        </w:rPr>
      </w:pPr>
      <w:r w:rsidRPr="00AE1427">
        <w:rPr>
          <w:rFonts w:eastAsia="Calibri"/>
          <w:noProof/>
          <w:color w:val="4C4747"/>
          <w:lang w:val="es-DO"/>
        </w:rPr>
        <w:t>Como parte de la agenda, se visitó el Templo de Las Américas, en compañía de una comisión integrada por representantes del Ministerio de Medio Ambiente y de la Dirección de Patrimonio Cultural e Histórico del Ministerio de Cultura. Posteriormente, se realizó un recorrido completo por el Parque Arqueológico Las Américas.</w:t>
      </w:r>
    </w:p>
    <w:p w14:paraId="210F6BD8" w14:textId="77777777" w:rsidR="00496CA4" w:rsidRPr="00AE1427" w:rsidRDefault="00496CA4" w:rsidP="00886F32">
      <w:pPr>
        <w:spacing w:after="0" w:line="360" w:lineRule="auto"/>
        <w:ind w:left="720"/>
        <w:jc w:val="both"/>
        <w:rPr>
          <w:rFonts w:eastAsia="Calibri"/>
          <w:noProof/>
          <w:color w:val="4C4747"/>
          <w:lang w:val="es-DO"/>
        </w:rPr>
      </w:pPr>
    </w:p>
    <w:p w14:paraId="1216BAF7" w14:textId="77777777" w:rsidR="00CC1E81" w:rsidRDefault="00CC1E81" w:rsidP="00886F32">
      <w:pPr>
        <w:spacing w:after="0" w:line="360" w:lineRule="auto"/>
        <w:ind w:left="720"/>
        <w:jc w:val="both"/>
        <w:rPr>
          <w:rFonts w:eastAsia="Calibri"/>
          <w:noProof/>
          <w:color w:val="4C4747"/>
          <w:lang w:val="es-DO"/>
        </w:rPr>
      </w:pPr>
      <w:r w:rsidRPr="00AE1427">
        <w:rPr>
          <w:rFonts w:eastAsia="Calibri"/>
          <w:noProof/>
          <w:color w:val="4C4747"/>
          <w:lang w:val="es-DO"/>
        </w:rPr>
        <w:t>Durante esta visita, se contó con la presencia del director del Distrito Municipal La Isabela, señor Tony Peña, y del alcalde del municipio de Luperón, Edwin Espinal.</w:t>
      </w:r>
    </w:p>
    <w:p w14:paraId="591BCF78" w14:textId="77777777" w:rsidR="00496CA4" w:rsidRDefault="00496CA4" w:rsidP="00886F32">
      <w:pPr>
        <w:spacing w:after="0" w:line="360" w:lineRule="auto"/>
        <w:ind w:left="720"/>
        <w:jc w:val="both"/>
        <w:rPr>
          <w:rFonts w:eastAsia="Calibri"/>
          <w:noProof/>
          <w:color w:val="4C4747"/>
          <w:lang w:val="es-DO"/>
        </w:rPr>
      </w:pPr>
    </w:p>
    <w:p w14:paraId="5F70857F" w14:textId="255388CE"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Inteligencia Artificial</w:t>
      </w:r>
      <w:r w:rsidR="00C70391">
        <w:rPr>
          <w:rFonts w:eastAsia="Calibri"/>
          <w:b/>
          <w:bCs/>
          <w:noProof/>
          <w:color w:val="4C4747"/>
          <w:lang w:val="es-DO"/>
        </w:rPr>
        <w:t>.</w:t>
      </w:r>
    </w:p>
    <w:p w14:paraId="7ABE5284" w14:textId="02E2FCA9" w:rsidR="00CC1E81" w:rsidRDefault="00CC1E81" w:rsidP="00886F32">
      <w:pPr>
        <w:spacing w:after="0" w:line="360" w:lineRule="auto"/>
        <w:ind w:left="720"/>
        <w:jc w:val="both"/>
        <w:rPr>
          <w:rFonts w:eastAsia="Calibri"/>
          <w:noProof/>
          <w:color w:val="4C4747"/>
          <w:lang w:val="es-DO"/>
        </w:rPr>
      </w:pPr>
      <w:r w:rsidRPr="00862B19">
        <w:rPr>
          <w:rFonts w:eastAsia="Calibri"/>
          <w:noProof/>
          <w:color w:val="4C4747"/>
          <w:lang w:val="es-DO"/>
        </w:rPr>
        <w:t xml:space="preserve">El </w:t>
      </w:r>
      <w:r w:rsidR="00564DD8">
        <w:rPr>
          <w:rFonts w:eastAsia="Calibri"/>
          <w:noProof/>
          <w:color w:val="4C4747"/>
          <w:lang w:val="es-DO"/>
        </w:rPr>
        <w:t>V</w:t>
      </w:r>
      <w:r w:rsidRPr="00862B19">
        <w:rPr>
          <w:rFonts w:eastAsia="Calibri"/>
          <w:noProof/>
          <w:color w:val="4C4747"/>
          <w:lang w:val="es-DO"/>
        </w:rPr>
        <w:t xml:space="preserve">iceministerio de </w:t>
      </w:r>
      <w:r w:rsidR="00564DD8">
        <w:rPr>
          <w:rFonts w:eastAsia="Calibri"/>
          <w:noProof/>
          <w:color w:val="4C4747"/>
          <w:lang w:val="es-DO"/>
        </w:rPr>
        <w:t>Relaciones con la Sociedad Civil</w:t>
      </w:r>
      <w:r w:rsidRPr="00862B19">
        <w:rPr>
          <w:rFonts w:eastAsia="Calibri"/>
          <w:noProof/>
          <w:color w:val="4C4747"/>
          <w:lang w:val="es-DO"/>
        </w:rPr>
        <w:t xml:space="preserve"> en coordinación con el INFOTEP, en el marco de su misión de promover una gestión pública eficiente, moderna y transparente, y en aras de eficientizar, modernizar y fortalecer las competencias del talento humano, impartió el Curso de Inteligencia Artificial 4.0.</w:t>
      </w:r>
    </w:p>
    <w:p w14:paraId="7C2692FF" w14:textId="77777777" w:rsidR="00496CA4" w:rsidRDefault="00496CA4" w:rsidP="00886F32">
      <w:pPr>
        <w:spacing w:after="0" w:line="360" w:lineRule="auto"/>
        <w:ind w:left="720"/>
        <w:jc w:val="both"/>
        <w:rPr>
          <w:rFonts w:eastAsia="Calibri"/>
          <w:noProof/>
          <w:color w:val="4C4747"/>
          <w:lang w:val="es-DO"/>
        </w:rPr>
      </w:pPr>
    </w:p>
    <w:p w14:paraId="72709C0B" w14:textId="77777777" w:rsidR="00CC1E81" w:rsidRPr="00862B19" w:rsidRDefault="00CC1E81" w:rsidP="00886F32">
      <w:pPr>
        <w:spacing w:after="0" w:line="360" w:lineRule="auto"/>
        <w:ind w:left="720"/>
        <w:jc w:val="both"/>
        <w:rPr>
          <w:rFonts w:eastAsia="Calibri"/>
          <w:noProof/>
          <w:color w:val="4C4747"/>
          <w:lang w:val="es-DO"/>
        </w:rPr>
      </w:pPr>
      <w:r w:rsidRPr="00862B19">
        <w:rPr>
          <w:rFonts w:eastAsia="Calibri"/>
          <w:noProof/>
          <w:color w:val="4C4747"/>
          <w:lang w:val="es-DO"/>
        </w:rPr>
        <w:t>Se proporcionaron una serie de herramientas para tener mayor conocimiento y manejo al utilizar la Inteligencia artificial</w:t>
      </w:r>
      <w:r>
        <w:rPr>
          <w:rFonts w:eastAsia="Calibri"/>
          <w:noProof/>
          <w:color w:val="4C4747"/>
          <w:lang w:val="es-DO"/>
        </w:rPr>
        <w:t>:</w:t>
      </w:r>
    </w:p>
    <w:p w14:paraId="651F4934"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El uso del Buscador GoogleBookml como una fuente más confiable, al realizar investigaciones.</w:t>
      </w:r>
    </w:p>
    <w:p w14:paraId="787F6E31" w14:textId="77777777" w:rsidR="00496CA4" w:rsidRPr="00873E82" w:rsidRDefault="00496CA4" w:rsidP="00886F32">
      <w:pPr>
        <w:spacing w:after="0" w:line="360" w:lineRule="auto"/>
        <w:ind w:left="720"/>
        <w:jc w:val="both"/>
        <w:rPr>
          <w:rFonts w:eastAsia="Calibri"/>
          <w:noProof/>
          <w:color w:val="4C4747"/>
          <w:lang w:val="es-DO"/>
        </w:rPr>
      </w:pPr>
    </w:p>
    <w:p w14:paraId="7C484FCA"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lastRenderedPageBreak/>
        <w:t>Napkin AI, una herramienta que nos permite crear gráficos basado en datos. Permite a los usuarios generar infografías impactantes y gráficos de marcas para redes sociales sin necesidad de conocimientos avanzados de diseño.</w:t>
      </w:r>
    </w:p>
    <w:p w14:paraId="382ED4D6" w14:textId="77777777" w:rsidR="00496CA4" w:rsidRPr="00873E82" w:rsidRDefault="00496CA4" w:rsidP="00886F32">
      <w:pPr>
        <w:spacing w:after="0" w:line="360" w:lineRule="auto"/>
        <w:ind w:left="720"/>
        <w:jc w:val="both"/>
        <w:rPr>
          <w:rFonts w:eastAsia="Calibri"/>
          <w:noProof/>
          <w:color w:val="4C4747"/>
          <w:lang w:val="es-DO"/>
        </w:rPr>
      </w:pPr>
    </w:p>
    <w:p w14:paraId="7D29FAE8"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Para edición de fotos se sugirió Qwen, esta herramienta de la IA desarrollada por Alibaba nos ayuda a procesar y generar texto, imágenes, audio y video.</w:t>
      </w:r>
    </w:p>
    <w:p w14:paraId="7F37A8F7" w14:textId="77777777" w:rsidR="00496CA4" w:rsidRPr="00873E82" w:rsidRDefault="00496CA4" w:rsidP="00886F32">
      <w:pPr>
        <w:spacing w:after="0" w:line="360" w:lineRule="auto"/>
        <w:ind w:left="720"/>
        <w:jc w:val="both"/>
        <w:rPr>
          <w:rFonts w:eastAsia="Calibri"/>
          <w:noProof/>
          <w:color w:val="4C4747"/>
          <w:lang w:val="es-DO"/>
        </w:rPr>
      </w:pPr>
    </w:p>
    <w:p w14:paraId="58C60B13" w14:textId="3D5A3DF4" w:rsidR="00CC1E81" w:rsidRPr="00873E82"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Flow, que es una plataforma creada para ayudar a las empresas a lograr mejores interacciones y mejorar la experiencia digital a través de chatbots y asistentes de voz impulsados por inteligencia artificial. También recibieron instrucciones para crear Prompt (una instrucción o entrada que se le proporciona a un modelo de IA para obtener una respuesta), son efectivos para obtener resultados de búsquedas más exactos y certeros.</w:t>
      </w:r>
    </w:p>
    <w:p w14:paraId="40A3B078"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Heygen, una plataforma de generación de videos con IA que permite a los usuarios crear videos de alta calidad de manera instantánea al ingresar instrucciones de lo que se desea. </w:t>
      </w:r>
    </w:p>
    <w:p w14:paraId="1D7E40B5" w14:textId="77777777" w:rsidR="00496CA4" w:rsidRPr="00873E82" w:rsidRDefault="00496CA4" w:rsidP="00886F32">
      <w:pPr>
        <w:spacing w:after="0" w:line="360" w:lineRule="auto"/>
        <w:ind w:left="720"/>
        <w:jc w:val="both"/>
        <w:rPr>
          <w:rFonts w:eastAsia="Calibri"/>
          <w:noProof/>
          <w:color w:val="4C4747"/>
          <w:lang w:val="es-DO"/>
        </w:rPr>
      </w:pPr>
    </w:p>
    <w:p w14:paraId="62B5B9E4" w14:textId="77777777" w:rsidR="00CC1E81" w:rsidRDefault="00CC1E81" w:rsidP="00886F32">
      <w:pPr>
        <w:spacing w:after="0" w:line="360" w:lineRule="auto"/>
        <w:ind w:left="720"/>
        <w:jc w:val="both"/>
        <w:rPr>
          <w:rFonts w:eastAsia="Calibri"/>
          <w:noProof/>
          <w:color w:val="4C4747"/>
          <w:lang w:val="es-DO"/>
        </w:rPr>
      </w:pPr>
      <w:r w:rsidRPr="00873E82">
        <w:rPr>
          <w:rFonts w:eastAsia="Calibri"/>
          <w:noProof/>
          <w:color w:val="4C4747"/>
          <w:lang w:val="es-DO"/>
        </w:rPr>
        <w:t>Además, se mostraron parámetros de cómo crear una página web a través de la IA de manera rápida y efectiva.</w:t>
      </w:r>
    </w:p>
    <w:p w14:paraId="7F7ECD42" w14:textId="77777777" w:rsidR="00496CA4" w:rsidRPr="00873E82" w:rsidRDefault="00496CA4" w:rsidP="00886F32">
      <w:pPr>
        <w:spacing w:after="0" w:line="360" w:lineRule="auto"/>
        <w:ind w:left="720"/>
        <w:jc w:val="both"/>
        <w:rPr>
          <w:rFonts w:eastAsia="Calibri"/>
          <w:noProof/>
          <w:color w:val="4C4747"/>
          <w:lang w:val="es-DO"/>
        </w:rPr>
      </w:pPr>
    </w:p>
    <w:p w14:paraId="2BC4D0DE" w14:textId="4797DD7A" w:rsidR="00CC1E81" w:rsidRPr="00C70391" w:rsidRDefault="00CC1E81"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Triatlón Iron Man 70.3 Cap Cana</w:t>
      </w:r>
      <w:r w:rsidR="00C70391">
        <w:rPr>
          <w:rFonts w:eastAsia="Calibri"/>
          <w:b/>
          <w:bCs/>
          <w:noProof/>
          <w:color w:val="4C4747"/>
          <w:lang w:val="es-DO"/>
        </w:rPr>
        <w:t>.</w:t>
      </w:r>
    </w:p>
    <w:p w14:paraId="388D8F9E" w14:textId="77777777" w:rsidR="00CC1E81" w:rsidRDefault="00CC1E81" w:rsidP="00886F32">
      <w:pPr>
        <w:spacing w:after="0" w:line="360" w:lineRule="auto"/>
        <w:ind w:left="720"/>
        <w:jc w:val="both"/>
        <w:rPr>
          <w:rFonts w:eastAsia="Calibri"/>
          <w:noProof/>
          <w:color w:val="4C4747"/>
          <w:lang w:val="es-DO"/>
        </w:rPr>
      </w:pPr>
      <w:r w:rsidRPr="006D0988">
        <w:rPr>
          <w:rFonts w:eastAsia="Calibri"/>
          <w:noProof/>
          <w:color w:val="4C4747"/>
          <w:lang w:val="es-DO"/>
        </w:rPr>
        <w:t xml:space="preserve">El </w:t>
      </w:r>
      <w:r>
        <w:rPr>
          <w:rFonts w:eastAsia="Calibri"/>
          <w:noProof/>
          <w:color w:val="4C4747"/>
          <w:lang w:val="es-DO"/>
        </w:rPr>
        <w:t>triatlón Iron Man 70.3 Cap Cana 2025, coordinado y organizado por el Ministerio de la Presidencia, entre otras instituciones públicas y privada, se celebró el 4 de mayo en la costa este de República Dominicana. Este evento atrajo a miles de participantes internacionales, incluye una natación de 1.9km, un recorrido en bicicleta de 90km y una carrera pedestre de 21.1km.</w:t>
      </w:r>
    </w:p>
    <w:p w14:paraId="09E8BB32" w14:textId="77777777" w:rsidR="00470E32" w:rsidRDefault="00CC1E81" w:rsidP="00886F32">
      <w:pPr>
        <w:spacing w:after="0" w:line="360" w:lineRule="auto"/>
        <w:ind w:left="720"/>
        <w:jc w:val="both"/>
        <w:rPr>
          <w:rFonts w:eastAsia="Calibri"/>
          <w:noProof/>
          <w:color w:val="4C4747"/>
          <w:lang w:val="es-DO"/>
        </w:rPr>
      </w:pPr>
      <w:r>
        <w:rPr>
          <w:rFonts w:eastAsia="Calibri"/>
          <w:noProof/>
          <w:color w:val="4C4747"/>
          <w:lang w:val="es-DO"/>
        </w:rPr>
        <w:lastRenderedPageBreak/>
        <w:t xml:space="preserve">Este evento </w:t>
      </w:r>
      <w:r w:rsidRPr="006D0988">
        <w:rPr>
          <w:rFonts w:eastAsia="Calibri"/>
          <w:noProof/>
          <w:color w:val="4C4747"/>
          <w:lang w:val="es-DO"/>
        </w:rPr>
        <w:t>atra</w:t>
      </w:r>
      <w:r>
        <w:rPr>
          <w:rFonts w:eastAsia="Calibri"/>
          <w:noProof/>
          <w:color w:val="4C4747"/>
          <w:lang w:val="es-DO"/>
        </w:rPr>
        <w:t>jo</w:t>
      </w:r>
      <w:r w:rsidRPr="006D0988">
        <w:rPr>
          <w:rFonts w:eastAsia="Calibri"/>
          <w:noProof/>
          <w:color w:val="4C4747"/>
          <w:lang w:val="es-DO"/>
        </w:rPr>
        <w:t xml:space="preserve"> miles de turistas que vi</w:t>
      </w:r>
      <w:r>
        <w:rPr>
          <w:rFonts w:eastAsia="Calibri"/>
          <w:noProof/>
          <w:color w:val="4C4747"/>
          <w:lang w:val="es-DO"/>
        </w:rPr>
        <w:t>nieron</w:t>
      </w:r>
      <w:r w:rsidRPr="006D0988">
        <w:rPr>
          <w:rFonts w:eastAsia="Calibri"/>
          <w:noProof/>
          <w:color w:val="4C4747"/>
          <w:lang w:val="es-DO"/>
        </w:rPr>
        <w:t xml:space="preserve"> a la República Dominicana como una forma de consolidar el turismo deportivo, combinado con el bienestar y el turismo de diversificación.</w:t>
      </w:r>
    </w:p>
    <w:p w14:paraId="2C2386F9" w14:textId="77777777" w:rsidR="00470E32" w:rsidRDefault="00470E32" w:rsidP="00886F32">
      <w:pPr>
        <w:spacing w:after="0" w:line="360" w:lineRule="auto"/>
        <w:ind w:left="720"/>
        <w:jc w:val="both"/>
        <w:rPr>
          <w:rFonts w:eastAsia="Calibri"/>
          <w:noProof/>
          <w:color w:val="4C4747"/>
          <w:lang w:val="es-DO"/>
        </w:rPr>
      </w:pPr>
    </w:p>
    <w:p w14:paraId="38B0F342" w14:textId="2818737A" w:rsidR="00470E32" w:rsidRPr="0058014A" w:rsidRDefault="00470E32" w:rsidP="00886F32">
      <w:pPr>
        <w:pStyle w:val="ListParagraph"/>
        <w:numPr>
          <w:ilvl w:val="1"/>
          <w:numId w:val="95"/>
        </w:numPr>
        <w:spacing w:after="0" w:line="360" w:lineRule="auto"/>
        <w:ind w:left="720"/>
        <w:jc w:val="center"/>
        <w:rPr>
          <w:rFonts w:eastAsia="Calibri"/>
          <w:noProof/>
          <w:color w:val="4C4747"/>
        </w:rPr>
      </w:pPr>
      <w:r w:rsidRPr="00470E32">
        <w:rPr>
          <w:b/>
          <w:bCs/>
        </w:rPr>
        <w:t>Viceministerio de Proyectos de Inversión</w:t>
      </w:r>
    </w:p>
    <w:p w14:paraId="6B7D1BB0"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Viceministerio de Proyectos de Inversión es el responsable de coordinar estratégicamente las políticas y las iniciativas de desarrollo que incentiven los proyectos de inversión, orientados a generar valor al Estado y la Nación, del mismo modo, promoviendo el diálogo y la construcción de consensos estratégicos entre las diferentes organizaciones públicas, privadas, nacionales e internacionales, así como también la participación de inversionistas nacionales e internacionales.</w:t>
      </w:r>
    </w:p>
    <w:p w14:paraId="00FC984B" w14:textId="77777777" w:rsidR="00496CA4" w:rsidRPr="00873E82" w:rsidRDefault="00496CA4" w:rsidP="00886F32">
      <w:pPr>
        <w:spacing w:after="0" w:line="360" w:lineRule="auto"/>
        <w:ind w:left="720"/>
        <w:jc w:val="both"/>
        <w:rPr>
          <w:rFonts w:eastAsia="Calibri"/>
          <w:noProof/>
          <w:color w:val="4C4747"/>
          <w:lang w:val="es-DO"/>
        </w:rPr>
      </w:pPr>
    </w:p>
    <w:p w14:paraId="7366B11D" w14:textId="77777777" w:rsidR="005E67FE"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Viceministerio de Proyectos de Inversión está trabajando con cuatro asignaciones, a saber:</w:t>
      </w:r>
      <w:bookmarkStart w:id="65" w:name="_Toc215565586"/>
    </w:p>
    <w:p w14:paraId="4102327A" w14:textId="33CD8D52"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Fideicomiso de Vivienda Bajo Costo VBCR-RD:</w:t>
      </w:r>
      <w:bookmarkEnd w:id="65"/>
      <w:r w:rsidR="005E67FE" w:rsidRPr="00873E82">
        <w:rPr>
          <w:rFonts w:eastAsia="Calibri"/>
          <w:noProof/>
          <w:color w:val="4C4747"/>
          <w:lang w:val="es-DO"/>
        </w:rPr>
        <w:t xml:space="preserve"> </w:t>
      </w:r>
      <w:r w:rsidR="00FD138F" w:rsidRPr="00873E82">
        <w:rPr>
          <w:rFonts w:eastAsia="Calibri"/>
          <w:noProof/>
          <w:color w:val="4C4747"/>
          <w:lang w:val="es-DO"/>
        </w:rPr>
        <w:t>El cual</w:t>
      </w:r>
      <w:r w:rsidRPr="00873E82">
        <w:rPr>
          <w:rFonts w:eastAsia="Calibri"/>
          <w:noProof/>
          <w:color w:val="4C4747"/>
          <w:lang w:val="es-DO"/>
        </w:rPr>
        <w:t xml:space="preserve"> posee dos proyectos importantes en desarrollo:</w:t>
      </w:r>
    </w:p>
    <w:p w14:paraId="0C574340" w14:textId="77777777" w:rsidR="005D0277" w:rsidRPr="00873E82" w:rsidRDefault="005D0277" w:rsidP="00886F32">
      <w:pPr>
        <w:pStyle w:val="ListParagraph"/>
        <w:numPr>
          <w:ilvl w:val="0"/>
          <w:numId w:val="6"/>
        </w:numPr>
        <w:spacing w:after="0" w:line="360" w:lineRule="auto"/>
        <w:ind w:left="720"/>
        <w:jc w:val="both"/>
        <w:rPr>
          <w:rFonts w:eastAsia="Calibri"/>
          <w:noProof/>
          <w:color w:val="4C4747"/>
        </w:rPr>
      </w:pPr>
      <w:r w:rsidRPr="00873E82">
        <w:rPr>
          <w:rFonts w:eastAsia="Calibri"/>
          <w:noProof/>
          <w:color w:val="4C4747"/>
        </w:rPr>
        <w:t>Ciudad Juan Bosch, ubicada, Santo Domingo Este</w:t>
      </w:r>
    </w:p>
    <w:p w14:paraId="0ABB98F6" w14:textId="77777777" w:rsidR="005D0277" w:rsidRPr="00873E82" w:rsidRDefault="005D0277" w:rsidP="00886F32">
      <w:pPr>
        <w:pStyle w:val="ListParagraph"/>
        <w:numPr>
          <w:ilvl w:val="0"/>
          <w:numId w:val="6"/>
        </w:numPr>
        <w:spacing w:after="0" w:line="360" w:lineRule="auto"/>
        <w:ind w:left="720"/>
        <w:jc w:val="both"/>
        <w:rPr>
          <w:rFonts w:eastAsia="Calibri"/>
          <w:noProof/>
          <w:color w:val="4C4747"/>
        </w:rPr>
      </w:pPr>
      <w:r w:rsidRPr="00873E82">
        <w:rPr>
          <w:rFonts w:eastAsia="Calibri"/>
          <w:noProof/>
          <w:color w:val="4C4747"/>
        </w:rPr>
        <w:t>Ciudad presidente Antonio Guzmán, Santiago de los Caballeros</w:t>
      </w:r>
    </w:p>
    <w:p w14:paraId="29D84076" w14:textId="77777777" w:rsidR="00496CA4" w:rsidRDefault="00496CA4" w:rsidP="00886F32">
      <w:pPr>
        <w:spacing w:after="0" w:line="360" w:lineRule="auto"/>
        <w:ind w:left="720"/>
        <w:jc w:val="both"/>
        <w:rPr>
          <w:rFonts w:eastAsia="Calibri"/>
          <w:noProof/>
          <w:color w:val="4C4747"/>
          <w:lang w:val="es-DO"/>
        </w:rPr>
      </w:pPr>
    </w:p>
    <w:p w14:paraId="59E7DD5F" w14:textId="756B20DA"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Estos proyectos consisten en el desarrollo de viviendas de bajo costo, donde el Fideicomiso se encarga de desarrollar un plan urbanístico, construcción de obras de infraestructura, equipamientos adecuados y la lotificación para el desarrollo de los proyectos de viviendas y comercios de manera apropiada.</w:t>
      </w:r>
    </w:p>
    <w:p w14:paraId="51D50CD2" w14:textId="77777777" w:rsidR="00097509" w:rsidRDefault="00097509" w:rsidP="00886F32">
      <w:pPr>
        <w:spacing w:after="0" w:line="360" w:lineRule="auto"/>
        <w:ind w:left="720"/>
        <w:jc w:val="both"/>
        <w:rPr>
          <w:rFonts w:eastAsia="Calibri"/>
          <w:b/>
          <w:bCs/>
          <w:noProof/>
          <w:color w:val="4C4747"/>
          <w:lang w:val="es-DO"/>
        </w:rPr>
      </w:pPr>
      <w:bookmarkStart w:id="66" w:name="_Toc215565587"/>
    </w:p>
    <w:p w14:paraId="5E52BF60" w14:textId="375BA4FB" w:rsidR="005D0277" w:rsidRDefault="005D0277" w:rsidP="00886F32">
      <w:pPr>
        <w:spacing w:after="0" w:line="360" w:lineRule="auto"/>
        <w:ind w:left="720"/>
        <w:jc w:val="both"/>
        <w:rPr>
          <w:rFonts w:eastAsia="Calibri"/>
          <w:noProof/>
          <w:color w:val="4C4747"/>
          <w:lang w:val="es-DO"/>
        </w:rPr>
      </w:pPr>
      <w:r w:rsidRPr="00C70391">
        <w:rPr>
          <w:rFonts w:eastAsia="Calibri"/>
          <w:b/>
          <w:bCs/>
          <w:noProof/>
          <w:color w:val="4C4747"/>
          <w:lang w:val="es-DO"/>
        </w:rPr>
        <w:t>Fideicomiso FONVIVIENDA:</w:t>
      </w:r>
      <w:bookmarkEnd w:id="66"/>
      <w:r w:rsidR="005E67FE" w:rsidRPr="00873E82">
        <w:rPr>
          <w:rFonts w:eastAsia="Calibri"/>
          <w:noProof/>
          <w:color w:val="4C4747"/>
          <w:lang w:val="es-DO"/>
        </w:rPr>
        <w:t xml:space="preserve"> </w:t>
      </w:r>
      <w:r w:rsidRPr="00873E82">
        <w:rPr>
          <w:rFonts w:eastAsia="Calibri"/>
          <w:noProof/>
          <w:color w:val="4C4747"/>
          <w:lang w:val="es-DO"/>
        </w:rPr>
        <w:t xml:space="preserve">El Fideicomiso Fondo Nacional de la Vivienda (FONVIVIENDA) es la entidad gestora del Plan Nacional de Viviendas Familia Feliz (PNVFF), una iniciativa </w:t>
      </w:r>
      <w:r w:rsidRPr="00873E82">
        <w:rPr>
          <w:rFonts w:eastAsia="Calibri"/>
          <w:noProof/>
          <w:color w:val="4C4747"/>
          <w:lang w:val="es-DO"/>
        </w:rPr>
        <w:lastRenderedPageBreak/>
        <w:t>estratégica del Estado Dominicano diseñada para reducir el déficit habitacional y garantizar el derecho a una vivienda digna, consagrado en la Constitución. Su misión principal es facilitar que las familias de ingresos bajos y medios puedan acceder a una vivienda propia, articulando un ecosistema de colaboración entre el sector público y el privado.</w:t>
      </w:r>
    </w:p>
    <w:p w14:paraId="3D0135E1" w14:textId="77777777" w:rsidR="00496CA4" w:rsidRPr="00873E82" w:rsidRDefault="00496CA4" w:rsidP="00886F32">
      <w:pPr>
        <w:spacing w:after="0" w:line="360" w:lineRule="auto"/>
        <w:ind w:left="720"/>
        <w:jc w:val="both"/>
        <w:rPr>
          <w:rFonts w:eastAsia="Calibri"/>
          <w:noProof/>
          <w:color w:val="4C4747"/>
          <w:lang w:val="es-DO"/>
        </w:rPr>
      </w:pPr>
    </w:p>
    <w:p w14:paraId="60BEAC21" w14:textId="5E4E993B" w:rsidR="00C70391" w:rsidRDefault="005D0277" w:rsidP="00886F32">
      <w:pPr>
        <w:spacing w:after="0" w:line="360" w:lineRule="auto"/>
        <w:ind w:left="720"/>
        <w:jc w:val="both"/>
        <w:rPr>
          <w:rFonts w:eastAsia="Calibri"/>
          <w:noProof/>
          <w:color w:val="4C4747"/>
          <w:lang w:val="es-DO"/>
        </w:rPr>
      </w:pPr>
      <w:bookmarkStart w:id="67" w:name="_Toc215565588"/>
      <w:r w:rsidRPr="00C70391">
        <w:rPr>
          <w:rFonts w:eastAsia="Calibri"/>
          <w:b/>
          <w:bCs/>
          <w:noProof/>
          <w:color w:val="4C4747"/>
          <w:lang w:val="es-DO"/>
        </w:rPr>
        <w:t>PRERenRD:</w:t>
      </w:r>
      <w:bookmarkEnd w:id="67"/>
      <w:r w:rsidRPr="00873E82">
        <w:rPr>
          <w:rFonts w:eastAsia="Calibri"/>
          <w:noProof/>
          <w:color w:val="4C4747"/>
          <w:lang w:val="es-DO"/>
        </w:rPr>
        <w:t xml:space="preserve"> En respuesta a los efectos del huracán Fiona en 2022, el Gobierno Dominicano ha estructurado el Proyecto de Respuesta a Emergencias y Resiliencia de la República Dominicana (PRERenRD). Este proyecto, gestionado por una Unidad Ejecutora del Proyecto (UEP) en representación del Ministerio de la Presidencia, no solo da continuidad a las obras de reconstrucción, sino que expande la intervención hacia una reconstrucción planificada y sostenible, con el objetivo de fortalecer la capacidad del país para enfrentar futuros fenómenos atmosféricos.</w:t>
      </w:r>
      <w:bookmarkStart w:id="68" w:name="_Toc215565589"/>
    </w:p>
    <w:p w14:paraId="3779A287" w14:textId="77777777" w:rsidR="00496CA4" w:rsidRDefault="00496CA4" w:rsidP="00886F32">
      <w:pPr>
        <w:spacing w:after="0" w:line="360" w:lineRule="auto"/>
        <w:ind w:left="720"/>
        <w:jc w:val="both"/>
        <w:rPr>
          <w:rFonts w:eastAsia="Calibri"/>
          <w:noProof/>
          <w:color w:val="4C4747"/>
          <w:lang w:val="es-DO"/>
        </w:rPr>
      </w:pPr>
    </w:p>
    <w:p w14:paraId="18CC4907" w14:textId="5F4121E8" w:rsidR="005D0277" w:rsidRDefault="005D0277" w:rsidP="00886F32">
      <w:pPr>
        <w:spacing w:after="0" w:line="360" w:lineRule="auto"/>
        <w:ind w:left="720"/>
        <w:jc w:val="both"/>
        <w:rPr>
          <w:rFonts w:eastAsia="Calibri"/>
          <w:noProof/>
          <w:color w:val="4C4747"/>
          <w:lang w:val="es-DO"/>
        </w:rPr>
      </w:pPr>
      <w:r w:rsidRPr="00C70391">
        <w:rPr>
          <w:rFonts w:eastAsia="Calibri"/>
          <w:b/>
          <w:bCs/>
          <w:noProof/>
          <w:color w:val="4C4747"/>
          <w:lang w:val="es-DO"/>
        </w:rPr>
        <w:t>Plan Maestro de Manzanillo:</w:t>
      </w:r>
      <w:bookmarkEnd w:id="68"/>
      <w:r w:rsidRPr="00C70391">
        <w:rPr>
          <w:rFonts w:eastAsia="Calibri"/>
          <w:b/>
          <w:bCs/>
          <w:noProof/>
          <w:color w:val="4C4747"/>
          <w:lang w:val="es-DO"/>
        </w:rPr>
        <w:t xml:space="preserve"> </w:t>
      </w:r>
      <w:r w:rsidR="00B87FDF" w:rsidRPr="00C70391">
        <w:rPr>
          <w:rFonts w:eastAsia="Calibri"/>
          <w:noProof/>
          <w:color w:val="4C4747"/>
          <w:lang w:val="es-DO"/>
        </w:rPr>
        <w:t>E</w:t>
      </w:r>
      <w:r w:rsidRPr="00C70391">
        <w:rPr>
          <w:rFonts w:eastAsia="Calibri"/>
          <w:noProof/>
          <w:color w:val="4C4747"/>
          <w:lang w:val="es-DO"/>
        </w:rPr>
        <w:t>l Viceministerio de Proyectos de Inversión, actuando en conjunto con el Ministerio de la Presidencia, en el mes de abril de 2023, publicó el reporte final del Plan Maestro de Manzanillo, fruto de la consulta y participación de la comunidad de Manzanillo (+100 participantes), de representantes regionales y nacionales del sector privado (+25 entidades representadas), de representantes nacionales, provinciales y locales del Gobierno dominicano (+30 entidades representadas).</w:t>
      </w:r>
    </w:p>
    <w:p w14:paraId="74E412B5" w14:textId="77777777" w:rsidR="00496CA4" w:rsidRPr="00C70391" w:rsidRDefault="00496CA4" w:rsidP="00886F32">
      <w:pPr>
        <w:spacing w:after="0" w:line="360" w:lineRule="auto"/>
        <w:ind w:left="720"/>
        <w:jc w:val="both"/>
        <w:rPr>
          <w:rFonts w:eastAsia="Calibri"/>
          <w:noProof/>
          <w:color w:val="4C4747"/>
          <w:lang w:val="es-DO"/>
        </w:rPr>
      </w:pPr>
    </w:p>
    <w:p w14:paraId="701A4025"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El Plan Maestro de Manzanillo tiene por objetivo articular los distintos proyectos de inversión, públicos y privados, que se preparan y desarrollan en el municipio de Pepillo Salcedo y el </w:t>
      </w:r>
      <w:r w:rsidRPr="00873E82">
        <w:rPr>
          <w:rFonts w:eastAsia="Calibri"/>
          <w:noProof/>
          <w:color w:val="4C4747"/>
          <w:lang w:val="es-DO"/>
        </w:rPr>
        <w:lastRenderedPageBreak/>
        <w:t>resto de la región Cibao Noroeste, con miras al desarrollo logístico, energético e industrial de la zona de influencia del puerto de Manzanillo, acompañado de un conjunto de iniciativas de carácter social que propicien el desarrollo de la comunidad.</w:t>
      </w:r>
    </w:p>
    <w:p w14:paraId="2A5F964A" w14:textId="77777777" w:rsidR="00496CA4" w:rsidRPr="00873E82" w:rsidRDefault="00496CA4" w:rsidP="00886F32">
      <w:pPr>
        <w:spacing w:after="0" w:line="360" w:lineRule="auto"/>
        <w:ind w:left="720"/>
        <w:jc w:val="both"/>
        <w:rPr>
          <w:rFonts w:eastAsia="Calibri"/>
          <w:noProof/>
          <w:color w:val="4C4747"/>
          <w:lang w:val="es-DO"/>
        </w:rPr>
      </w:pPr>
    </w:p>
    <w:p w14:paraId="57438BFB" w14:textId="740E12EF" w:rsidR="005D0277" w:rsidRPr="00873E82" w:rsidRDefault="005D0277" w:rsidP="00886F32">
      <w:pPr>
        <w:pStyle w:val="Subtitle"/>
        <w:spacing w:after="0" w:line="360" w:lineRule="auto"/>
        <w:ind w:left="720"/>
        <w:jc w:val="both"/>
        <w:rPr>
          <w:rFonts w:ascii="Times New Roman" w:eastAsia="Calibri" w:hAnsi="Times New Roman" w:cs="Times New Roman"/>
          <w:noProof/>
          <w:color w:val="4C4747"/>
          <w:spacing w:val="20"/>
          <w:sz w:val="24"/>
          <w:szCs w:val="24"/>
          <w:lang w:val="es-DO"/>
        </w:rPr>
      </w:pPr>
      <w:r w:rsidRPr="00873E82">
        <w:rPr>
          <w:rFonts w:ascii="Times New Roman" w:eastAsia="Calibri" w:hAnsi="Times New Roman" w:cs="Times New Roman"/>
          <w:noProof/>
          <w:color w:val="4C4747"/>
          <w:spacing w:val="20"/>
          <w:sz w:val="24"/>
          <w:szCs w:val="24"/>
          <w:lang w:val="es-DO"/>
        </w:rPr>
        <w:t>Principales planes, proyectos o líneas de acción por orden de impacto</w:t>
      </w:r>
      <w:r w:rsidR="00496CA4">
        <w:rPr>
          <w:rFonts w:ascii="Times New Roman" w:eastAsia="Calibri" w:hAnsi="Times New Roman" w:cs="Times New Roman"/>
          <w:noProof/>
          <w:color w:val="4C4747"/>
          <w:spacing w:val="20"/>
          <w:sz w:val="24"/>
          <w:szCs w:val="24"/>
          <w:lang w:val="es-DO"/>
        </w:rPr>
        <w:t>:</w:t>
      </w:r>
    </w:p>
    <w:p w14:paraId="121B65B0" w14:textId="6263F88A" w:rsidR="005D0277" w:rsidRDefault="005D0277" w:rsidP="00886F32">
      <w:pPr>
        <w:spacing w:after="0" w:line="360" w:lineRule="auto"/>
        <w:ind w:left="720"/>
        <w:jc w:val="both"/>
        <w:rPr>
          <w:rFonts w:eastAsia="Calibri"/>
          <w:noProof/>
          <w:color w:val="4C4747"/>
          <w:lang w:val="es-DO"/>
        </w:rPr>
      </w:pPr>
      <w:bookmarkStart w:id="69" w:name="_Toc184636748"/>
      <w:bookmarkStart w:id="70" w:name="_Toc184636871"/>
      <w:bookmarkStart w:id="71" w:name="_Toc184637736"/>
      <w:r w:rsidRPr="00873E82">
        <w:rPr>
          <w:rFonts w:eastAsia="Calibri"/>
          <w:noProof/>
          <w:color w:val="4C4747"/>
          <w:lang w:val="es-DO"/>
        </w:rPr>
        <w:t>Partiendo de la importancia con la que cuentan los distintos Proyectos llevados a cabo por el Viceministerio de Proyectos de Inversión, en aras de mitigar el déficit habitación y mejorar la calidad de vida de los ciudadanos, resulta necesario establecer algunos de los aspectos más relevantes en lo que concierne al desarrollo de los objetivos de los referidos proyectos.</w:t>
      </w:r>
      <w:bookmarkEnd w:id="69"/>
      <w:bookmarkEnd w:id="70"/>
      <w:bookmarkEnd w:id="71"/>
    </w:p>
    <w:p w14:paraId="2097C13D" w14:textId="77777777" w:rsidR="00D83A98" w:rsidRPr="00C70391" w:rsidRDefault="00D83A98" w:rsidP="00886F32">
      <w:pPr>
        <w:spacing w:after="0" w:line="360" w:lineRule="auto"/>
        <w:ind w:left="720"/>
        <w:jc w:val="both"/>
        <w:rPr>
          <w:rFonts w:eastAsia="Calibri"/>
          <w:noProof/>
          <w:color w:val="4C4747"/>
          <w:lang w:val="es-DO"/>
        </w:rPr>
      </w:pPr>
    </w:p>
    <w:p w14:paraId="0C24C224" w14:textId="39F2141A" w:rsidR="005D0277" w:rsidRPr="00C70391" w:rsidRDefault="005D0277" w:rsidP="00FB77B8">
      <w:pPr>
        <w:ind w:firstLine="720"/>
        <w:rPr>
          <w:rFonts w:eastAsia="Calibri"/>
          <w:b/>
          <w:bCs/>
          <w:noProof/>
          <w:color w:val="4C4747"/>
          <w:lang w:val="es-DO"/>
        </w:rPr>
      </w:pPr>
      <w:bookmarkStart w:id="72" w:name="_Toc215565591"/>
      <w:r w:rsidRPr="00C70391">
        <w:rPr>
          <w:rFonts w:eastAsia="Calibri"/>
          <w:b/>
          <w:bCs/>
          <w:noProof/>
          <w:color w:val="4C4747"/>
          <w:lang w:val="es-DO"/>
        </w:rPr>
        <w:t>Fideicomiso FONVIVIENDA</w:t>
      </w:r>
      <w:bookmarkEnd w:id="72"/>
    </w:p>
    <w:p w14:paraId="0D2F82AC"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Plan Nacional de Vivienda Familia Feliz (PNVFF) ha demostrado un dinamismo significativo en el primer trimestre de 2025, avanzando en su objetivo de reducir el déficit habitacional. A continuación, se detallan los logros más relevantes en cuanto a la entrega y construcción de viviendas:</w:t>
      </w:r>
    </w:p>
    <w:p w14:paraId="4B1D3C9C" w14:textId="77777777" w:rsidR="00972F33"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Durante el primer trimestre del 2025, se ha completado y entregado un total de 232 nuevas unidades de vivienda a familias beneficiarias. </w:t>
      </w:r>
    </w:p>
    <w:p w14:paraId="18F5BB37" w14:textId="0FA86AFE"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Los proyectos destacados son:</w:t>
      </w:r>
    </w:p>
    <w:p w14:paraId="261BEB8C" w14:textId="77777777" w:rsidR="005D0277" w:rsidRPr="00873E82" w:rsidRDefault="005D0277" w:rsidP="00886F32">
      <w:pPr>
        <w:pStyle w:val="ListParagraph"/>
        <w:numPr>
          <w:ilvl w:val="0"/>
          <w:numId w:val="15"/>
        </w:numPr>
        <w:spacing w:after="0" w:line="360" w:lineRule="auto"/>
        <w:jc w:val="both"/>
        <w:rPr>
          <w:rFonts w:eastAsia="Calibri"/>
          <w:noProof/>
          <w:color w:val="4C4747"/>
        </w:rPr>
      </w:pPr>
      <w:r w:rsidRPr="00873E82">
        <w:rPr>
          <w:rFonts w:eastAsia="Calibri"/>
          <w:noProof/>
          <w:color w:val="4C4747"/>
        </w:rPr>
        <w:t>Residencial Lolita II (Santo Domingo Oeste): 120 unidades.</w:t>
      </w:r>
    </w:p>
    <w:p w14:paraId="1828270A" w14:textId="77777777" w:rsidR="005D0277" w:rsidRPr="00873E82" w:rsidRDefault="005D0277" w:rsidP="00886F32">
      <w:pPr>
        <w:pStyle w:val="ListParagraph"/>
        <w:numPr>
          <w:ilvl w:val="0"/>
          <w:numId w:val="15"/>
        </w:numPr>
        <w:spacing w:after="0" w:line="360" w:lineRule="auto"/>
        <w:jc w:val="both"/>
        <w:rPr>
          <w:rFonts w:eastAsia="Calibri"/>
          <w:noProof/>
          <w:color w:val="4C4747"/>
        </w:rPr>
      </w:pPr>
      <w:r w:rsidRPr="00873E82">
        <w:rPr>
          <w:rFonts w:eastAsia="Calibri"/>
          <w:noProof/>
          <w:color w:val="4C4747"/>
        </w:rPr>
        <w:t>Residencial Boca Residence (Boca Chica): 112 unidades.</w:t>
      </w:r>
    </w:p>
    <w:p w14:paraId="40A163E5"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El ritmo de construcción se mantuvo acelerado, con más de 3,500 viviendas próximas a ser entregadas. Estas unidades se encuentran </w:t>
      </w:r>
      <w:r w:rsidRPr="00873E82">
        <w:rPr>
          <w:rFonts w:eastAsia="Calibri"/>
          <w:noProof/>
          <w:color w:val="4C4747"/>
          <w:lang w:val="es-DO"/>
        </w:rPr>
        <w:lastRenderedPageBreak/>
        <w:t>en las etapas finales del proceso constructivo, desglosadas de la siguiente manera:</w:t>
      </w:r>
    </w:p>
    <w:p w14:paraId="0A8223D5"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En fase de Terminación: 2,499 unidades, donde se realizan los acabados finales para dejarlas listas para habitar.</w:t>
      </w:r>
    </w:p>
    <w:p w14:paraId="3DA55B7A"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En fase de Platea y Hormigonado: 1,001 unidades, que ya han completado su estructura principal y avanzan hacia las fases de acabado.</w:t>
      </w:r>
    </w:p>
    <w:p w14:paraId="513450C8" w14:textId="77777777" w:rsidR="00D83A98" w:rsidRPr="00873E82" w:rsidRDefault="00D83A98" w:rsidP="00886F32">
      <w:pPr>
        <w:spacing w:after="0" w:line="360" w:lineRule="auto"/>
        <w:ind w:left="720"/>
        <w:jc w:val="both"/>
        <w:rPr>
          <w:rFonts w:eastAsia="Calibri"/>
          <w:noProof/>
          <w:color w:val="4C4747"/>
          <w:lang w:val="es-DO"/>
        </w:rPr>
      </w:pPr>
    </w:p>
    <w:p w14:paraId="0BB31A89"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Este progreso refleja la consolidación del plan y asegura un flujo continuo de entregas para el resto del año.</w:t>
      </w:r>
    </w:p>
    <w:p w14:paraId="624A9BA3" w14:textId="2DA89D46" w:rsidR="00DE72D1" w:rsidRDefault="00DE72D1" w:rsidP="00886F32">
      <w:pPr>
        <w:spacing w:after="0" w:line="360" w:lineRule="auto"/>
        <w:ind w:left="720"/>
        <w:jc w:val="both"/>
        <w:rPr>
          <w:rFonts w:eastAsia="Calibri"/>
          <w:noProof/>
          <w:color w:val="4C4747"/>
          <w:lang w:val="es-DO"/>
        </w:rPr>
      </w:pPr>
      <w:r w:rsidRPr="00873E82">
        <w:rPr>
          <w:rFonts w:eastAsia="Calibri"/>
          <w:noProof/>
          <w:color w:val="4C4747"/>
          <w:lang w:val="es-DO"/>
        </w:rPr>
        <w:t>En el transcurso del primer semestre del año</w:t>
      </w:r>
      <w:r w:rsidR="00485FBB" w:rsidRPr="00873E82">
        <w:rPr>
          <w:rFonts w:eastAsia="Calibri"/>
          <w:noProof/>
          <w:color w:val="4C4747"/>
          <w:lang w:val="es-DO"/>
        </w:rPr>
        <w:t xml:space="preserve">, por disposición del Presidente de la República, fue transferido dicho Plan al Ministerio de </w:t>
      </w:r>
      <w:r w:rsidR="00056A6A" w:rsidRPr="00873E82">
        <w:rPr>
          <w:rFonts w:eastAsia="Calibri"/>
          <w:noProof/>
          <w:color w:val="4C4747"/>
          <w:lang w:val="es-DO"/>
        </w:rPr>
        <w:t>Vivienda y Edificaciones (MIVED), el cual sigue con la ardua labor de mantener en óptimo funcionamiento el Plan.</w:t>
      </w:r>
    </w:p>
    <w:p w14:paraId="4DE15B37" w14:textId="77777777" w:rsidR="00D83A98" w:rsidRPr="00873E82" w:rsidRDefault="00D83A98" w:rsidP="00886F32">
      <w:pPr>
        <w:spacing w:after="0" w:line="360" w:lineRule="auto"/>
        <w:ind w:left="720"/>
        <w:jc w:val="both"/>
        <w:rPr>
          <w:rFonts w:eastAsia="Calibri"/>
          <w:noProof/>
          <w:color w:val="4C4747"/>
          <w:lang w:val="es-DO"/>
        </w:rPr>
      </w:pPr>
    </w:p>
    <w:p w14:paraId="793405E9" w14:textId="77777777" w:rsidR="00C70391" w:rsidRPr="00C70391" w:rsidRDefault="005D0277" w:rsidP="00FB77B8">
      <w:pPr>
        <w:ind w:firstLine="720"/>
        <w:rPr>
          <w:rFonts w:eastAsia="Calibri"/>
          <w:b/>
          <w:bCs/>
          <w:noProof/>
          <w:color w:val="4C4747"/>
          <w:lang w:val="es-DO"/>
        </w:rPr>
      </w:pPr>
      <w:bookmarkStart w:id="73" w:name="_Toc215565592"/>
      <w:r w:rsidRPr="00C70391">
        <w:rPr>
          <w:rFonts w:eastAsia="Calibri"/>
          <w:b/>
          <w:bCs/>
          <w:noProof/>
          <w:color w:val="4C4747"/>
          <w:lang w:val="es-DO"/>
        </w:rPr>
        <w:t>PRERENRD</w:t>
      </w:r>
      <w:bookmarkEnd w:id="73"/>
    </w:p>
    <w:p w14:paraId="6F62C6CE" w14:textId="68A76755" w:rsidR="005D0277" w:rsidRPr="00C70391" w:rsidRDefault="005D0277" w:rsidP="00886F32">
      <w:pPr>
        <w:spacing w:after="0" w:line="360" w:lineRule="auto"/>
        <w:ind w:left="720"/>
        <w:jc w:val="both"/>
        <w:rPr>
          <w:rFonts w:eastAsia="Calibri"/>
          <w:noProof/>
          <w:color w:val="4C4747"/>
          <w:lang w:val="es-DO"/>
        </w:rPr>
      </w:pPr>
      <w:r w:rsidRPr="00C70391">
        <w:rPr>
          <w:rFonts w:eastAsia="Calibri"/>
          <w:noProof/>
          <w:color w:val="4C4747"/>
          <w:lang w:val="es-DO"/>
        </w:rPr>
        <w:t>Para el subcomponente 1.1</w:t>
      </w:r>
      <w:r w:rsidR="00056A6A" w:rsidRPr="00C70391">
        <w:rPr>
          <w:rFonts w:eastAsia="Calibri"/>
          <w:noProof/>
          <w:color w:val="4C4747"/>
          <w:lang w:val="es-DO"/>
        </w:rPr>
        <w:t xml:space="preserve"> -</w:t>
      </w:r>
      <w:r w:rsidRPr="00C70391">
        <w:rPr>
          <w:rFonts w:eastAsia="Calibri"/>
          <w:noProof/>
          <w:color w:val="4C4747"/>
          <w:lang w:val="es-DO"/>
        </w:rPr>
        <w:t xml:space="preserve"> Recuperación de emergencia en caso de catástrofe, hemos registrado los siguientes avances y logros: </w:t>
      </w:r>
    </w:p>
    <w:p w14:paraId="14477340" w14:textId="77777777" w:rsidR="005D0277" w:rsidRPr="00873E82" w:rsidRDefault="005D0277" w:rsidP="00886F32">
      <w:pPr>
        <w:pStyle w:val="ListParagraph"/>
        <w:spacing w:after="0" w:line="360" w:lineRule="auto"/>
        <w:jc w:val="both"/>
        <w:rPr>
          <w:rFonts w:eastAsia="Calibri"/>
          <w:noProof/>
          <w:color w:val="4C4747"/>
        </w:rPr>
      </w:pPr>
      <w:r w:rsidRPr="00873E82">
        <w:rPr>
          <w:rFonts w:eastAsia="Calibri"/>
          <w:noProof/>
          <w:color w:val="4C4747"/>
        </w:rPr>
        <w:t xml:space="preserve">Parte I: </w:t>
      </w:r>
    </w:p>
    <w:p w14:paraId="3AE7769D" w14:textId="77777777" w:rsidR="005D0277" w:rsidRPr="00873E82" w:rsidRDefault="005D0277" w:rsidP="00886F32">
      <w:pPr>
        <w:pStyle w:val="ListParagraph"/>
        <w:numPr>
          <w:ilvl w:val="0"/>
          <w:numId w:val="13"/>
        </w:numPr>
        <w:spacing w:after="0" w:line="360" w:lineRule="auto"/>
        <w:ind w:left="720"/>
        <w:jc w:val="both"/>
        <w:rPr>
          <w:rFonts w:eastAsia="Calibri"/>
          <w:noProof/>
          <w:color w:val="4C4747"/>
        </w:rPr>
      </w:pPr>
      <w:r w:rsidRPr="00873E82">
        <w:rPr>
          <w:rFonts w:eastAsia="Calibri"/>
          <w:noProof/>
          <w:color w:val="4C4747"/>
        </w:rPr>
        <w:t xml:space="preserve">Revisión de bonos de emergencia transferidos por cada entidad bancaria y definición de monto final a reembolsar. (RD$ 434,275,000.00). </w:t>
      </w:r>
    </w:p>
    <w:p w14:paraId="077C6033" w14:textId="0E24D5E7" w:rsidR="005D0277" w:rsidRPr="00873E82" w:rsidRDefault="005D0277" w:rsidP="00886F32">
      <w:pPr>
        <w:pStyle w:val="ListParagraph"/>
        <w:numPr>
          <w:ilvl w:val="0"/>
          <w:numId w:val="13"/>
        </w:numPr>
        <w:spacing w:after="0" w:line="360" w:lineRule="auto"/>
        <w:ind w:left="720"/>
        <w:jc w:val="both"/>
        <w:rPr>
          <w:rFonts w:eastAsia="Calibri"/>
          <w:noProof/>
          <w:color w:val="4C4747"/>
        </w:rPr>
      </w:pPr>
      <w:r w:rsidRPr="00873E82">
        <w:rPr>
          <w:rFonts w:eastAsia="Calibri"/>
          <w:noProof/>
          <w:color w:val="4C4747"/>
        </w:rPr>
        <w:t xml:space="preserve">Evaluación de Expresiones de Interés para el proceso de contratación de </w:t>
      </w:r>
      <w:r w:rsidR="00056A6A" w:rsidRPr="00873E82">
        <w:rPr>
          <w:rFonts w:eastAsia="Calibri"/>
          <w:noProof/>
          <w:color w:val="4C4747"/>
        </w:rPr>
        <w:t>e</w:t>
      </w:r>
      <w:r w:rsidRPr="00873E82">
        <w:rPr>
          <w:rFonts w:eastAsia="Calibri"/>
          <w:noProof/>
          <w:color w:val="4C4747"/>
        </w:rPr>
        <w:t xml:space="preserve">mpresa </w:t>
      </w:r>
      <w:r w:rsidR="00056A6A" w:rsidRPr="00873E82">
        <w:rPr>
          <w:rFonts w:eastAsia="Calibri"/>
          <w:noProof/>
          <w:color w:val="4C4747"/>
        </w:rPr>
        <w:t>v</w:t>
      </w:r>
      <w:r w:rsidRPr="00873E82">
        <w:rPr>
          <w:rFonts w:eastAsia="Calibri"/>
          <w:noProof/>
          <w:color w:val="4C4747"/>
        </w:rPr>
        <w:t xml:space="preserve">erificadora de los bonos de emergencia. Selección realizada de empresa a adjudicar. Adjudicación pautada para diciembre 2025. </w:t>
      </w:r>
    </w:p>
    <w:p w14:paraId="4B4761AE" w14:textId="77777777" w:rsidR="005D0277" w:rsidRPr="00873E82" w:rsidRDefault="005D0277" w:rsidP="00886F32">
      <w:pPr>
        <w:pStyle w:val="ListParagraph"/>
        <w:spacing w:after="0" w:line="360" w:lineRule="auto"/>
        <w:jc w:val="both"/>
        <w:rPr>
          <w:rFonts w:eastAsia="Calibri"/>
          <w:noProof/>
          <w:color w:val="4C4747"/>
        </w:rPr>
      </w:pPr>
      <w:r w:rsidRPr="00873E82">
        <w:rPr>
          <w:rFonts w:eastAsia="Calibri"/>
          <w:noProof/>
          <w:color w:val="4C4747"/>
        </w:rPr>
        <w:t xml:space="preserve">Parte II: </w:t>
      </w:r>
    </w:p>
    <w:p w14:paraId="6C67E220" w14:textId="77777777" w:rsidR="005D0277" w:rsidRPr="00873E82" w:rsidRDefault="005D0277" w:rsidP="00886F32">
      <w:pPr>
        <w:pStyle w:val="ListParagraph"/>
        <w:numPr>
          <w:ilvl w:val="0"/>
          <w:numId w:val="14"/>
        </w:numPr>
        <w:spacing w:after="0" w:line="360" w:lineRule="auto"/>
        <w:ind w:left="720"/>
        <w:jc w:val="both"/>
        <w:rPr>
          <w:rFonts w:eastAsia="Calibri"/>
          <w:noProof/>
          <w:color w:val="4C4747"/>
        </w:rPr>
      </w:pPr>
      <w:r w:rsidRPr="00873E82">
        <w:rPr>
          <w:rFonts w:eastAsia="Calibri"/>
          <w:noProof/>
          <w:color w:val="4C4747"/>
        </w:rPr>
        <w:lastRenderedPageBreak/>
        <w:t xml:space="preserve">Análisis de los registros de insumos para gastos retroactivos para emergencias. </w:t>
      </w:r>
    </w:p>
    <w:p w14:paraId="7EFC8CB1" w14:textId="77777777" w:rsidR="005D0277" w:rsidRPr="00873E82" w:rsidRDefault="005D0277" w:rsidP="00886F32">
      <w:pPr>
        <w:pStyle w:val="ListParagraph"/>
        <w:numPr>
          <w:ilvl w:val="0"/>
          <w:numId w:val="14"/>
        </w:numPr>
        <w:spacing w:after="0" w:line="360" w:lineRule="auto"/>
        <w:ind w:left="720"/>
        <w:jc w:val="both"/>
        <w:rPr>
          <w:rFonts w:eastAsia="Calibri"/>
          <w:noProof/>
          <w:color w:val="4C4747"/>
        </w:rPr>
      </w:pPr>
      <w:r w:rsidRPr="00873E82">
        <w:rPr>
          <w:rFonts w:eastAsia="Calibri"/>
          <w:noProof/>
          <w:color w:val="4C4747"/>
        </w:rPr>
        <w:t xml:space="preserve">Solicitud de documentaciones requeridas para cada proceso de gastos retroactivos a cada institución a reembolsar para su justa revisión de la UEP (facturas, contratos, recibos de pagos y otros). Recepción de documentación de las instituciones: MISPAS, MIVED, PromeseCal, MOPC, 911, ETED, EDEESTE y PASP. </w:t>
      </w:r>
    </w:p>
    <w:p w14:paraId="71D4E2E1" w14:textId="77777777" w:rsidR="005D0277" w:rsidRPr="00873E82" w:rsidRDefault="005D0277" w:rsidP="00886F32">
      <w:pPr>
        <w:pStyle w:val="ListParagraph"/>
        <w:numPr>
          <w:ilvl w:val="0"/>
          <w:numId w:val="14"/>
        </w:numPr>
        <w:spacing w:after="0" w:line="360" w:lineRule="auto"/>
        <w:ind w:left="720"/>
        <w:jc w:val="both"/>
        <w:rPr>
          <w:rFonts w:eastAsia="Calibri"/>
          <w:noProof/>
          <w:color w:val="4C4747"/>
        </w:rPr>
      </w:pPr>
      <w:r w:rsidRPr="00873E82">
        <w:rPr>
          <w:rFonts w:eastAsia="Calibri"/>
          <w:noProof/>
          <w:color w:val="4C4747"/>
        </w:rPr>
        <w:t xml:space="preserve">Revisión de toda la documentación de reembolsos por parte del Banco Mundial y para su aprobación y No Objeción de cada proceso. </w:t>
      </w:r>
    </w:p>
    <w:p w14:paraId="0F10D8C3" w14:textId="77777777" w:rsidR="005D0277" w:rsidRPr="00873E82" w:rsidRDefault="005D0277" w:rsidP="00886F32">
      <w:pPr>
        <w:pStyle w:val="ListParagraph"/>
        <w:spacing w:after="0" w:line="360" w:lineRule="auto"/>
        <w:jc w:val="both"/>
        <w:rPr>
          <w:rFonts w:eastAsia="Calibri"/>
          <w:noProof/>
          <w:color w:val="4C4747"/>
        </w:rPr>
      </w:pPr>
    </w:p>
    <w:p w14:paraId="23D5F38B" w14:textId="1EB93D0E" w:rsidR="005D0277" w:rsidRPr="00873E82" w:rsidRDefault="005D0277" w:rsidP="00886F32">
      <w:pPr>
        <w:pStyle w:val="ListParagraph"/>
        <w:spacing w:after="0" w:line="360" w:lineRule="auto"/>
        <w:jc w:val="both"/>
        <w:rPr>
          <w:rFonts w:eastAsia="Calibri"/>
          <w:noProof/>
          <w:color w:val="4C4747"/>
        </w:rPr>
      </w:pPr>
      <w:r w:rsidRPr="00873E82">
        <w:rPr>
          <w:rFonts w:eastAsia="Calibri"/>
          <w:noProof/>
          <w:color w:val="4C4747"/>
        </w:rPr>
        <w:t>Para el subcomponente 1.2</w:t>
      </w:r>
      <w:r w:rsidR="00056A6A" w:rsidRPr="00873E82">
        <w:rPr>
          <w:rFonts w:eastAsia="Calibri"/>
          <w:noProof/>
          <w:color w:val="4C4747"/>
        </w:rPr>
        <w:t xml:space="preserve"> -</w:t>
      </w:r>
      <w:r w:rsidRPr="00873E82">
        <w:rPr>
          <w:rFonts w:eastAsia="Calibri"/>
          <w:noProof/>
          <w:color w:val="4C4747"/>
        </w:rPr>
        <w:t xml:space="preserve"> Rehabilitación y reconstrucción resiliente de una selección de infraestructuras públicas y comunitarias, hemos registrado los siguientes avances y logros: </w:t>
      </w:r>
    </w:p>
    <w:p w14:paraId="61ECDA6F"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Registro de 9 obras en Inversión Pública para su aprobación de código SNIP, en el Ministerio de Economía, Planificación y Desarrollo (MEPyD). </w:t>
      </w:r>
    </w:p>
    <w:p w14:paraId="3E6D2CA6"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7 códigos SNIP aprobados. </w:t>
      </w:r>
    </w:p>
    <w:p w14:paraId="03B02E71"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Screenings Ambiental y Social de todas las obras del proyecto. </w:t>
      </w:r>
    </w:p>
    <w:p w14:paraId="26E16632"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Conclusión y aprobación del banco de los instrumentos ambientales y sociales exigidos por el proyecto y las regulaciones del Banco Mundial (PGAS de cada obra, PCAS, MGAS, PPPI, PGMO). </w:t>
      </w:r>
    </w:p>
    <w:p w14:paraId="7DB15E16" w14:textId="75262529"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Proceso de Diseño de las obras “Reconstruccion del Camino Vecinal Los L</w:t>
      </w:r>
      <w:r w:rsidR="00056A6A" w:rsidRPr="00873E82">
        <w:rPr>
          <w:rFonts w:eastAsia="Calibri"/>
          <w:noProof/>
          <w:color w:val="4C4747"/>
        </w:rPr>
        <w:t>l</w:t>
      </w:r>
      <w:r w:rsidRPr="00873E82">
        <w:rPr>
          <w:rFonts w:eastAsia="Calibri"/>
          <w:noProof/>
          <w:color w:val="4C4747"/>
        </w:rPr>
        <w:t xml:space="preserve">anos - El Naranjo, Municipio Castillo, Provincia Duarte” y “Rehabilitación Camino Vecinal el Guanito - Guarapito - Naranjo China, Municipio Higüey, Provincia La Altagracia”, en el Lote 1, con Evaluación de Expresiones de </w:t>
      </w:r>
      <w:r w:rsidRPr="00873E82">
        <w:rPr>
          <w:rFonts w:eastAsia="Calibri"/>
          <w:noProof/>
          <w:color w:val="4C4747"/>
        </w:rPr>
        <w:lastRenderedPageBreak/>
        <w:t xml:space="preserve">Interés, Evaluación de propuesta y en espera de Adjudicación. </w:t>
      </w:r>
    </w:p>
    <w:p w14:paraId="1FC2BBFB" w14:textId="05B346D5"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Proceso de Diseño de la obra “Reconstrucción de la carretera Anam</w:t>
      </w:r>
      <w:r w:rsidR="00056A6A" w:rsidRPr="00873E82">
        <w:rPr>
          <w:rFonts w:eastAsia="Calibri"/>
          <w:noProof/>
          <w:color w:val="4C4747"/>
        </w:rPr>
        <w:t>á</w:t>
      </w:r>
      <w:r w:rsidRPr="00873E82">
        <w:rPr>
          <w:rFonts w:eastAsia="Calibri"/>
          <w:noProof/>
          <w:color w:val="4C4747"/>
        </w:rPr>
        <w:t xml:space="preserve"> - Hatillo, Provincia Hato Mayor”, en el Lote 2, con Evaluación de Interés y en espera de Presentación de propuestas. </w:t>
      </w:r>
    </w:p>
    <w:p w14:paraId="325CED39"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Realización de los TDR para el Diseño de las obras “Reconstrucción Camino vecinal Los Llanos - Quisqueya, Reconstrucción y Ampliación de la Carretera La Paloma - Los Llanos y Reconstrucción Camino Vecinal Consuelo – Montecoca, provincia San Pedro de Macorís”, en el lote 3, y enviado al Banco Mundial para su No Objeción. </w:t>
      </w:r>
    </w:p>
    <w:p w14:paraId="18520E2A"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Definición y aprobación del Banco para el Plan Operativo Anual (POA) desde 2025 hasta 2028.  </w:t>
      </w:r>
    </w:p>
    <w:p w14:paraId="60BFEAE4"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Envío de la programación del POA 2026 para el 30 de noviembre para No Objeción anual. </w:t>
      </w:r>
    </w:p>
    <w:p w14:paraId="3490E548"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Introducción de obras viales de Categoría C de nuestro proyecto en el Ministerio de Medio Ambiente y Recursos Naturales (MMARN) para la obtención de licencia ambiental. </w:t>
      </w:r>
    </w:p>
    <w:p w14:paraId="0E9F2E83"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Definición de nuestras obras como Moderadas y Sustanciales bajo los estándares del Banco Mundial para definir instrumentos a realizar a cada una (EIAS, DIA, IAS, etc.). </w:t>
      </w:r>
    </w:p>
    <w:p w14:paraId="134C4923" w14:textId="77777777" w:rsidR="005D0277" w:rsidRPr="00873E82" w:rsidRDefault="005D0277" w:rsidP="00886F32">
      <w:pPr>
        <w:pStyle w:val="ListParagraph"/>
        <w:numPr>
          <w:ilvl w:val="0"/>
          <w:numId w:val="10"/>
        </w:numPr>
        <w:spacing w:after="0" w:line="360" w:lineRule="auto"/>
        <w:ind w:left="720"/>
        <w:jc w:val="both"/>
        <w:rPr>
          <w:rFonts w:eastAsia="Calibri"/>
          <w:noProof/>
          <w:color w:val="4C4747"/>
        </w:rPr>
      </w:pPr>
      <w:r w:rsidRPr="00873E82">
        <w:rPr>
          <w:rFonts w:eastAsia="Calibri"/>
          <w:noProof/>
          <w:color w:val="4C4747"/>
        </w:rPr>
        <w:t xml:space="preserve">En 6 meses, este subcomponente tiene un avance de un 15% aproximadamente. </w:t>
      </w:r>
    </w:p>
    <w:p w14:paraId="709E7E9B" w14:textId="77777777" w:rsidR="005D0277" w:rsidRPr="00873E82" w:rsidRDefault="005D0277" w:rsidP="00886F32">
      <w:pPr>
        <w:pStyle w:val="ListParagraph"/>
        <w:spacing w:after="0" w:line="360" w:lineRule="auto"/>
        <w:jc w:val="both"/>
        <w:rPr>
          <w:rFonts w:eastAsia="Calibri"/>
          <w:noProof/>
          <w:color w:val="4C4747"/>
        </w:rPr>
      </w:pPr>
    </w:p>
    <w:p w14:paraId="48094299" w14:textId="797FBE23" w:rsidR="005D0277" w:rsidRPr="00873E82" w:rsidRDefault="005D0277" w:rsidP="00886F32">
      <w:pPr>
        <w:pStyle w:val="ListParagraph"/>
        <w:spacing w:after="0" w:line="360" w:lineRule="auto"/>
        <w:jc w:val="both"/>
        <w:rPr>
          <w:rFonts w:eastAsia="Calibri"/>
          <w:noProof/>
          <w:color w:val="4C4747"/>
        </w:rPr>
      </w:pPr>
      <w:r w:rsidRPr="00873E82">
        <w:rPr>
          <w:rFonts w:eastAsia="Calibri"/>
          <w:noProof/>
          <w:color w:val="4C4747"/>
        </w:rPr>
        <w:t>Para el subcomponente 3.2</w:t>
      </w:r>
      <w:r w:rsidR="00056A6A" w:rsidRPr="00873E82">
        <w:rPr>
          <w:rFonts w:eastAsia="Calibri"/>
          <w:noProof/>
          <w:color w:val="4C4747"/>
        </w:rPr>
        <w:t xml:space="preserve"> -</w:t>
      </w:r>
      <w:r w:rsidRPr="00873E82">
        <w:rPr>
          <w:rFonts w:eastAsia="Calibri"/>
          <w:noProof/>
          <w:color w:val="4C4747"/>
        </w:rPr>
        <w:t xml:space="preserve"> Gestión de Proyectos y Apoyo a Seguimiento y Evaluación de la UEP del MINPRE, hemos registrado los siguientes avances y logros: </w:t>
      </w:r>
    </w:p>
    <w:p w14:paraId="68C2081F"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Contratación de todos los Especialistas de la Unidad Ejecutora del Proyecto. </w:t>
      </w:r>
    </w:p>
    <w:p w14:paraId="0440A2B2"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Adquisición de 3 camionetas asignadas al proyecto con seguro vehicular. </w:t>
      </w:r>
    </w:p>
    <w:p w14:paraId="3C529040"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lastRenderedPageBreak/>
        <w:t xml:space="preserve">Contratación de servicio de flotas para todo el equipo de la UEP. </w:t>
      </w:r>
    </w:p>
    <w:p w14:paraId="0962528C"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Contrato de Alquiler de local en fase final para cierre de negociación en diciembre 2025. </w:t>
      </w:r>
    </w:p>
    <w:p w14:paraId="18A70FC3"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Contratación de 3 choferes para la UEP. </w:t>
      </w:r>
    </w:p>
    <w:p w14:paraId="169EE0D2"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Contratación de ingeniero civil para el equipo técnico. </w:t>
      </w:r>
    </w:p>
    <w:p w14:paraId="3A75C4AE"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Contratación de ingeniero hidráulico para el equipo técnico. </w:t>
      </w:r>
    </w:p>
    <w:p w14:paraId="542CBA27" w14:textId="77777777" w:rsidR="005D0277" w:rsidRPr="00873E82" w:rsidRDefault="005D0277" w:rsidP="00886F32">
      <w:pPr>
        <w:pStyle w:val="ListParagraph"/>
        <w:numPr>
          <w:ilvl w:val="0"/>
          <w:numId w:val="11"/>
        </w:numPr>
        <w:spacing w:after="0" w:line="360" w:lineRule="auto"/>
        <w:ind w:left="720"/>
        <w:jc w:val="both"/>
        <w:rPr>
          <w:rFonts w:eastAsia="Calibri"/>
          <w:noProof/>
          <w:color w:val="4C4747"/>
        </w:rPr>
      </w:pPr>
      <w:r w:rsidRPr="00873E82">
        <w:rPr>
          <w:rFonts w:eastAsia="Calibri"/>
          <w:noProof/>
          <w:color w:val="4C4747"/>
        </w:rPr>
        <w:t xml:space="preserve">Lanzamiento y pronta conclusión de procesos de equipamiento tecnológico, combustible, licencias de programas y equipos. </w:t>
      </w:r>
    </w:p>
    <w:p w14:paraId="198B9436" w14:textId="77777777" w:rsidR="005D0277" w:rsidRPr="00873E82" w:rsidRDefault="005D0277" w:rsidP="00886F32">
      <w:pPr>
        <w:pStyle w:val="ListParagraph"/>
        <w:spacing w:after="0" w:line="360" w:lineRule="auto"/>
        <w:jc w:val="both"/>
        <w:rPr>
          <w:rFonts w:eastAsia="Calibri"/>
          <w:noProof/>
          <w:color w:val="4C4747"/>
        </w:rPr>
      </w:pPr>
      <w:r w:rsidRPr="00873E82">
        <w:rPr>
          <w:rFonts w:eastAsia="Calibri"/>
          <w:noProof/>
          <w:color w:val="4C4747"/>
        </w:rPr>
        <w:t xml:space="preserve">Actividades planificadas para concluir a Diciembre 2025: </w:t>
      </w:r>
    </w:p>
    <w:p w14:paraId="116FBCCE" w14:textId="77777777" w:rsidR="005D0277" w:rsidRPr="00873E82" w:rsidRDefault="005D0277" w:rsidP="00886F32">
      <w:pPr>
        <w:pStyle w:val="ListParagraph"/>
        <w:numPr>
          <w:ilvl w:val="0"/>
          <w:numId w:val="12"/>
        </w:numPr>
        <w:tabs>
          <w:tab w:val="left" w:pos="1080"/>
        </w:tabs>
        <w:spacing w:after="0" w:line="360" w:lineRule="auto"/>
        <w:ind w:left="720"/>
        <w:jc w:val="both"/>
        <w:rPr>
          <w:rFonts w:eastAsia="Calibri"/>
          <w:noProof/>
          <w:color w:val="4C4747"/>
        </w:rPr>
      </w:pPr>
      <w:r w:rsidRPr="00873E82">
        <w:rPr>
          <w:rFonts w:eastAsia="Calibri"/>
          <w:noProof/>
          <w:color w:val="4C4747"/>
        </w:rPr>
        <w:t xml:space="preserve">Pago al 100% de los bonos de emergencias para el subcomponente 1.1.  RD$ 434,275,000.00 </w:t>
      </w:r>
    </w:p>
    <w:p w14:paraId="63A6BA2A" w14:textId="77777777" w:rsidR="005D0277" w:rsidRPr="00873E82" w:rsidRDefault="005D0277" w:rsidP="00886F32">
      <w:pPr>
        <w:pStyle w:val="ListParagraph"/>
        <w:numPr>
          <w:ilvl w:val="0"/>
          <w:numId w:val="12"/>
        </w:numPr>
        <w:tabs>
          <w:tab w:val="left" w:pos="1080"/>
        </w:tabs>
        <w:spacing w:after="0" w:line="360" w:lineRule="auto"/>
        <w:ind w:left="720"/>
        <w:jc w:val="both"/>
        <w:rPr>
          <w:rFonts w:eastAsia="Calibri"/>
          <w:noProof/>
          <w:color w:val="4C4747"/>
        </w:rPr>
      </w:pPr>
      <w:r w:rsidRPr="00873E82">
        <w:rPr>
          <w:rFonts w:eastAsia="Calibri"/>
          <w:noProof/>
          <w:color w:val="4C4747"/>
        </w:rPr>
        <w:t xml:space="preserve">Lanzamiento de proceso de contratación de 3 ingenieros para el equipo técnico concluir Enero 2026. </w:t>
      </w:r>
    </w:p>
    <w:p w14:paraId="669CEAA5" w14:textId="77777777" w:rsidR="005D0277" w:rsidRPr="00873E82" w:rsidRDefault="005D0277" w:rsidP="00886F32">
      <w:pPr>
        <w:pStyle w:val="ListParagraph"/>
        <w:numPr>
          <w:ilvl w:val="0"/>
          <w:numId w:val="12"/>
        </w:numPr>
        <w:tabs>
          <w:tab w:val="left" w:pos="1080"/>
        </w:tabs>
        <w:spacing w:after="0" w:line="360" w:lineRule="auto"/>
        <w:ind w:left="720"/>
        <w:jc w:val="both"/>
        <w:rPr>
          <w:rFonts w:eastAsia="Calibri"/>
          <w:noProof/>
          <w:color w:val="4C4747"/>
        </w:rPr>
      </w:pPr>
      <w:r w:rsidRPr="00873E82">
        <w:rPr>
          <w:rFonts w:eastAsia="Calibri"/>
          <w:noProof/>
          <w:color w:val="4C4747"/>
        </w:rPr>
        <w:t xml:space="preserve">Conclusión de proceso de contratación de 1 analista de adquisiciones. </w:t>
      </w:r>
    </w:p>
    <w:p w14:paraId="0E678B00" w14:textId="77777777" w:rsidR="005D0277" w:rsidRPr="00873E82" w:rsidRDefault="005D0277" w:rsidP="00886F32">
      <w:pPr>
        <w:pStyle w:val="ListParagraph"/>
        <w:numPr>
          <w:ilvl w:val="0"/>
          <w:numId w:val="12"/>
        </w:numPr>
        <w:tabs>
          <w:tab w:val="left" w:pos="1080"/>
        </w:tabs>
        <w:spacing w:after="0" w:line="360" w:lineRule="auto"/>
        <w:ind w:left="720"/>
        <w:jc w:val="both"/>
        <w:rPr>
          <w:rFonts w:eastAsia="Calibri"/>
          <w:noProof/>
          <w:color w:val="4C4747"/>
        </w:rPr>
      </w:pPr>
      <w:r w:rsidRPr="00873E82">
        <w:rPr>
          <w:rFonts w:eastAsia="Calibri"/>
          <w:noProof/>
          <w:color w:val="4C4747"/>
        </w:rPr>
        <w:t xml:space="preserve">Proceso de Diseño adjudicado de las obras “Reconstrucción del Camino Vecinal Los Lanos - El Naranjo, Municipio Castillo, Provincia Duarte” y “Rehabilitación Camino Vecinal el Guanito - Guarapito - Naranjo China, Municipio Higüey, Provincia La Altagracia” para el subcomponente 1.2.  </w:t>
      </w:r>
    </w:p>
    <w:p w14:paraId="354C3792" w14:textId="77777777" w:rsidR="005D0277" w:rsidRPr="00873E82" w:rsidRDefault="005D0277" w:rsidP="00886F32">
      <w:pPr>
        <w:pStyle w:val="ListParagraph"/>
        <w:spacing w:after="0" w:line="360" w:lineRule="auto"/>
        <w:jc w:val="both"/>
        <w:rPr>
          <w:rFonts w:eastAsia="Calibri"/>
          <w:noProof/>
          <w:color w:val="4C4747"/>
        </w:rPr>
      </w:pPr>
    </w:p>
    <w:p w14:paraId="6E2B5069" w14:textId="77777777" w:rsidR="005104A0" w:rsidRDefault="005D0277" w:rsidP="00886F32">
      <w:pPr>
        <w:pStyle w:val="ListParagraph"/>
        <w:spacing w:after="0" w:line="360" w:lineRule="auto"/>
        <w:jc w:val="both"/>
        <w:rPr>
          <w:rFonts w:eastAsia="Calibri"/>
          <w:noProof/>
          <w:color w:val="4C4747"/>
        </w:rPr>
      </w:pPr>
      <w:r w:rsidRPr="00873E82">
        <w:rPr>
          <w:rFonts w:eastAsia="Calibri"/>
          <w:noProof/>
          <w:color w:val="4C4747"/>
        </w:rPr>
        <w:t xml:space="preserve">En resumen, el proyecto ha mostrado un progreso significativo en las áreas claves, cumpliendo con los objetivos establecidos hasta la fecha. Se han superado algunos desafíos, y se han implementado medidas correctivas para asegurar el éxito continuo del proyecto. Se espera que, con la continuación de las actividades planificadas, se alcancen los resultados deseados.  </w:t>
      </w:r>
      <w:bookmarkStart w:id="74" w:name="_Toc184636749"/>
      <w:bookmarkStart w:id="75" w:name="_Toc184636872"/>
      <w:bookmarkStart w:id="76" w:name="_Toc215565593"/>
    </w:p>
    <w:p w14:paraId="7D6DA2D2" w14:textId="77777777" w:rsidR="00D83A98" w:rsidRPr="00873E82" w:rsidRDefault="00D83A98" w:rsidP="00886F32">
      <w:pPr>
        <w:pStyle w:val="ListParagraph"/>
        <w:spacing w:after="0" w:line="360" w:lineRule="auto"/>
        <w:jc w:val="both"/>
        <w:rPr>
          <w:rFonts w:eastAsia="Calibri"/>
          <w:noProof/>
          <w:color w:val="4C4747"/>
        </w:rPr>
      </w:pPr>
    </w:p>
    <w:p w14:paraId="6C2C20A9" w14:textId="0EB8C95A" w:rsidR="005D0277" w:rsidRPr="00C70391" w:rsidRDefault="005D0277" w:rsidP="00FB77B8">
      <w:pPr>
        <w:ind w:firstLine="720"/>
        <w:rPr>
          <w:rFonts w:eastAsia="Calibri"/>
          <w:b/>
          <w:bCs/>
          <w:noProof/>
          <w:color w:val="4C4747"/>
          <w:lang w:val="es-DO"/>
        </w:rPr>
      </w:pPr>
      <w:r w:rsidRPr="00C70391">
        <w:rPr>
          <w:rFonts w:eastAsia="Calibri"/>
          <w:b/>
          <w:bCs/>
          <w:noProof/>
          <w:color w:val="4C4747"/>
          <w:lang w:val="es-DO"/>
        </w:rPr>
        <w:lastRenderedPageBreak/>
        <w:t>Fideicomiso VBC RD</w:t>
      </w:r>
      <w:bookmarkEnd w:id="74"/>
      <w:bookmarkEnd w:id="75"/>
      <w:bookmarkEnd w:id="76"/>
    </w:p>
    <w:p w14:paraId="73EDE62F"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En consonancia con la visión estratégica de este Viceministerio de desarrollar territorios autosustentables en la República Dominicana, el Fideicomiso VBC RD ha continuado impulsando y gestionando iniciativas fundamentales que impactan directamente en la consolidación urbana y el bienestar de los ciudadanos. Los logros alcanzados reflejan un compromiso tangible con la creación de comunidades integrales, seguras y con oportunidades para todos.</w:t>
      </w:r>
    </w:p>
    <w:p w14:paraId="7540E457" w14:textId="77777777" w:rsidR="00D83A98" w:rsidRPr="00873E82" w:rsidRDefault="00D83A98" w:rsidP="00886F32">
      <w:pPr>
        <w:spacing w:after="0" w:line="360" w:lineRule="auto"/>
        <w:ind w:left="720"/>
        <w:jc w:val="both"/>
        <w:rPr>
          <w:rFonts w:eastAsia="Calibri"/>
          <w:noProof/>
          <w:color w:val="4C4747"/>
          <w:lang w:val="es-DO"/>
        </w:rPr>
      </w:pPr>
    </w:p>
    <w:p w14:paraId="08A47D68"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A continuación, se detallan los avances más significativos en los proyectos Ciudad Juan Bosch y Ciudad Presidente Antonio Guzmán de acuerdo con los 3 ejes estratégicos establecidos:</w:t>
      </w:r>
    </w:p>
    <w:p w14:paraId="296BBAA7" w14:textId="77777777" w:rsidR="005D0277" w:rsidRPr="00873E82" w:rsidRDefault="005D0277" w:rsidP="00886F32">
      <w:pPr>
        <w:pStyle w:val="ListParagraph"/>
        <w:numPr>
          <w:ilvl w:val="0"/>
          <w:numId w:val="7"/>
        </w:numPr>
        <w:spacing w:after="0" w:line="360" w:lineRule="auto"/>
        <w:jc w:val="both"/>
        <w:rPr>
          <w:rFonts w:eastAsia="Calibri"/>
          <w:noProof/>
          <w:color w:val="4C4747"/>
        </w:rPr>
      </w:pPr>
      <w:r w:rsidRPr="00873E82">
        <w:rPr>
          <w:rFonts w:eastAsia="Calibri"/>
          <w:noProof/>
          <w:color w:val="4C4747"/>
        </w:rPr>
        <w:t>Autosuficiencia Financiera</w:t>
      </w:r>
    </w:p>
    <w:p w14:paraId="24E4512A" w14:textId="77777777" w:rsidR="005D0277" w:rsidRPr="00873E82" w:rsidRDefault="005D0277" w:rsidP="00886F32">
      <w:pPr>
        <w:pStyle w:val="ListParagraph"/>
        <w:numPr>
          <w:ilvl w:val="0"/>
          <w:numId w:val="7"/>
        </w:numPr>
        <w:spacing w:after="0" w:line="360" w:lineRule="auto"/>
        <w:jc w:val="both"/>
        <w:rPr>
          <w:rFonts w:eastAsia="Calibri"/>
          <w:noProof/>
          <w:color w:val="4C4747"/>
        </w:rPr>
      </w:pPr>
      <w:r w:rsidRPr="00873E82">
        <w:rPr>
          <w:rFonts w:eastAsia="Calibri"/>
          <w:noProof/>
          <w:color w:val="4C4747"/>
        </w:rPr>
        <w:t>Desarrollo Territorial</w:t>
      </w:r>
    </w:p>
    <w:p w14:paraId="660A9072" w14:textId="77777777" w:rsidR="005D0277" w:rsidRPr="00873E82" w:rsidRDefault="005D0277" w:rsidP="00886F32">
      <w:pPr>
        <w:pStyle w:val="ListParagraph"/>
        <w:numPr>
          <w:ilvl w:val="0"/>
          <w:numId w:val="7"/>
        </w:numPr>
        <w:spacing w:after="0" w:line="360" w:lineRule="auto"/>
        <w:jc w:val="both"/>
        <w:rPr>
          <w:rFonts w:eastAsia="Calibri"/>
          <w:noProof/>
          <w:color w:val="4C4747"/>
        </w:rPr>
      </w:pPr>
      <w:r w:rsidRPr="00873E82">
        <w:rPr>
          <w:rFonts w:eastAsia="Calibri"/>
          <w:noProof/>
          <w:color w:val="4C4747"/>
        </w:rPr>
        <w:t>Desarrollo Social</w:t>
      </w:r>
    </w:p>
    <w:p w14:paraId="165D30D7" w14:textId="77777777" w:rsidR="00D83A98" w:rsidRDefault="00D83A98" w:rsidP="00886F32">
      <w:pPr>
        <w:spacing w:after="0" w:line="360" w:lineRule="auto"/>
        <w:ind w:left="720"/>
        <w:rPr>
          <w:rFonts w:eastAsia="Calibri"/>
          <w:b/>
          <w:bCs/>
          <w:noProof/>
          <w:color w:val="4C4747"/>
          <w:lang w:val="es-DO"/>
        </w:rPr>
      </w:pPr>
      <w:bookmarkStart w:id="77" w:name="_Toc215565594"/>
    </w:p>
    <w:p w14:paraId="45979DE8" w14:textId="0A3E62B3" w:rsidR="005D0277" w:rsidRPr="00873E82" w:rsidRDefault="005D0277" w:rsidP="00886F32">
      <w:pPr>
        <w:spacing w:after="0" w:line="360" w:lineRule="auto"/>
        <w:ind w:left="720"/>
        <w:rPr>
          <w:rFonts w:eastAsia="Calibri"/>
          <w:noProof/>
          <w:color w:val="4C4747"/>
          <w:lang w:val="es-DO"/>
        </w:rPr>
      </w:pPr>
      <w:r w:rsidRPr="00C70391">
        <w:rPr>
          <w:rFonts w:eastAsia="Calibri"/>
          <w:b/>
          <w:bCs/>
          <w:noProof/>
          <w:color w:val="4C4747"/>
          <w:lang w:val="es-DO"/>
        </w:rPr>
        <w:t>Avances en la Autosuficiencia Financiera</w:t>
      </w:r>
      <w:bookmarkEnd w:id="77"/>
      <w:r w:rsidR="00C70391">
        <w:rPr>
          <w:rFonts w:eastAsia="Calibri"/>
          <w:b/>
          <w:bCs/>
          <w:noProof/>
          <w:color w:val="4C4747"/>
          <w:lang w:val="es-DO"/>
        </w:rPr>
        <w:t>.</w:t>
      </w:r>
    </w:p>
    <w:p w14:paraId="458B21FD"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Durante el año 2025, el Fideicomiso VBC ha logrado consolidar su sostenibilidad financiera mediante una gestión rigurosa y eficiente de los flujos de caja, permitiendo cumplir oportunamente con todos los compromisos asumidos sin recurrir a endeudamientos ni a partidas presupuestarias. Esta estabilidad ha sido posible gracias a una planificación estratégica que priorizó la ejecución responsable del presupuesto y garantizando una adecuada cobertura de los gastos operativos y administrativos.</w:t>
      </w:r>
    </w:p>
    <w:p w14:paraId="53277B53" w14:textId="77777777" w:rsidR="00D83A98" w:rsidRPr="00873E82" w:rsidRDefault="00D83A98" w:rsidP="00886F32">
      <w:pPr>
        <w:spacing w:after="0" w:line="360" w:lineRule="auto"/>
        <w:ind w:left="720"/>
        <w:jc w:val="both"/>
        <w:rPr>
          <w:rFonts w:eastAsia="Calibri"/>
          <w:noProof/>
          <w:color w:val="4C4747"/>
          <w:lang w:val="es-DO"/>
        </w:rPr>
      </w:pPr>
    </w:p>
    <w:p w14:paraId="05A3D236"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Además, se fortaleció el equilibrio financiero del Fideicomiso al mantener una proporción saludable entre las cuentas por cobrar y por </w:t>
      </w:r>
      <w:r w:rsidRPr="00873E82">
        <w:rPr>
          <w:rFonts w:eastAsia="Calibri"/>
          <w:noProof/>
          <w:color w:val="4C4747"/>
          <w:lang w:val="es-DO"/>
        </w:rPr>
        <w:lastRenderedPageBreak/>
        <w:t>pagar, reduciendo significativamente los niveles de morosidad en las obligaciones de los adjudicatarios. Se optimizaron los procesos de recaudación y conciliación contable, mejorando la transparencia y eficiencia en el uso de los recursos.</w:t>
      </w:r>
    </w:p>
    <w:p w14:paraId="0404A685" w14:textId="77777777" w:rsidR="00D83A98" w:rsidRPr="00873E82" w:rsidRDefault="00D83A98" w:rsidP="00886F32">
      <w:pPr>
        <w:spacing w:after="0" w:line="360" w:lineRule="auto"/>
        <w:ind w:left="720"/>
        <w:jc w:val="both"/>
        <w:rPr>
          <w:rFonts w:eastAsia="Calibri"/>
          <w:noProof/>
          <w:color w:val="4C4747"/>
          <w:lang w:val="es-DO"/>
        </w:rPr>
      </w:pPr>
    </w:p>
    <w:p w14:paraId="3A0D1A82" w14:textId="77777777" w:rsidR="005D100F"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Como resultado de estas acciones, el Fideicomiso ha podido seguir impulsando el desarrollo de Ciudad Juan Bosch bajo un modelo de sostenibilidad financiera y social, asegurando los pagos a contratistas constructores, proveedores y otros actores clave, sin comprometer la salud financiera del proyecto a mediano y largo plazo.</w:t>
      </w:r>
      <w:bookmarkStart w:id="78" w:name="_Toc215565595"/>
    </w:p>
    <w:p w14:paraId="3D009D5A" w14:textId="77777777" w:rsidR="00D83A98" w:rsidRDefault="00D83A98" w:rsidP="00886F32">
      <w:pPr>
        <w:spacing w:after="0" w:line="360" w:lineRule="auto"/>
        <w:ind w:left="720"/>
        <w:jc w:val="both"/>
        <w:rPr>
          <w:rFonts w:eastAsia="Calibri"/>
          <w:b/>
          <w:bCs/>
          <w:noProof/>
          <w:color w:val="4C4747"/>
          <w:lang w:val="es-DO"/>
        </w:rPr>
      </w:pPr>
    </w:p>
    <w:p w14:paraId="06038A8F" w14:textId="4174E84D" w:rsidR="007C2CAE" w:rsidRPr="00C70391" w:rsidRDefault="005D0277"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Avances en el Desarrollo Territorial</w:t>
      </w:r>
      <w:bookmarkEnd w:id="78"/>
      <w:r w:rsidR="00C70391">
        <w:rPr>
          <w:rFonts w:eastAsia="Calibri"/>
          <w:b/>
          <w:bCs/>
          <w:noProof/>
          <w:color w:val="4C4747"/>
          <w:lang w:val="es-DO"/>
        </w:rPr>
        <w:t>.</w:t>
      </w:r>
    </w:p>
    <w:p w14:paraId="3FAAFEBF" w14:textId="52CC631F"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desarrollo territorial se presenta en 4 grandes áreas:</w:t>
      </w:r>
    </w:p>
    <w:p w14:paraId="1DFBB02B" w14:textId="77777777" w:rsidR="005D0277" w:rsidRPr="00873E82" w:rsidRDefault="005D0277" w:rsidP="00886F32">
      <w:pPr>
        <w:pStyle w:val="ListParagraph"/>
        <w:numPr>
          <w:ilvl w:val="0"/>
          <w:numId w:val="8"/>
        </w:numPr>
        <w:spacing w:after="0" w:line="360" w:lineRule="auto"/>
        <w:jc w:val="both"/>
        <w:rPr>
          <w:rFonts w:eastAsia="Calibri"/>
          <w:noProof/>
          <w:color w:val="4C4747"/>
        </w:rPr>
      </w:pPr>
      <w:r w:rsidRPr="00873E82">
        <w:rPr>
          <w:rFonts w:eastAsia="Calibri"/>
          <w:noProof/>
          <w:color w:val="4C4747"/>
        </w:rPr>
        <w:t>Infraestructura Urbana</w:t>
      </w:r>
    </w:p>
    <w:p w14:paraId="5BA21FBC" w14:textId="77777777" w:rsidR="005D0277" w:rsidRPr="00873E82" w:rsidRDefault="005D0277" w:rsidP="00886F32">
      <w:pPr>
        <w:pStyle w:val="ListParagraph"/>
        <w:numPr>
          <w:ilvl w:val="0"/>
          <w:numId w:val="8"/>
        </w:numPr>
        <w:spacing w:after="0" w:line="360" w:lineRule="auto"/>
        <w:jc w:val="both"/>
        <w:rPr>
          <w:rFonts w:eastAsia="Calibri"/>
          <w:noProof/>
          <w:color w:val="4C4747"/>
        </w:rPr>
      </w:pPr>
      <w:r w:rsidRPr="00873E82">
        <w:rPr>
          <w:rFonts w:eastAsia="Calibri"/>
          <w:noProof/>
          <w:color w:val="4C4747"/>
        </w:rPr>
        <w:t>Equipamientos Comunitarios e Institucionales</w:t>
      </w:r>
    </w:p>
    <w:p w14:paraId="75A85F63" w14:textId="77777777" w:rsidR="005D0277" w:rsidRPr="00873E82" w:rsidRDefault="005D0277" w:rsidP="00886F32">
      <w:pPr>
        <w:pStyle w:val="ListParagraph"/>
        <w:numPr>
          <w:ilvl w:val="0"/>
          <w:numId w:val="8"/>
        </w:numPr>
        <w:spacing w:after="0" w:line="360" w:lineRule="auto"/>
        <w:jc w:val="both"/>
        <w:rPr>
          <w:rFonts w:eastAsia="Calibri"/>
          <w:noProof/>
          <w:color w:val="4C4747"/>
        </w:rPr>
      </w:pPr>
      <w:r w:rsidRPr="00873E82">
        <w:rPr>
          <w:rFonts w:eastAsia="Calibri"/>
          <w:noProof/>
          <w:color w:val="4C4747"/>
        </w:rPr>
        <w:t>Desarrollo Habitacional</w:t>
      </w:r>
    </w:p>
    <w:p w14:paraId="57604EFA" w14:textId="77777777" w:rsidR="005D0277" w:rsidRPr="00873E82" w:rsidRDefault="005D0277" w:rsidP="00886F32">
      <w:pPr>
        <w:pStyle w:val="ListParagraph"/>
        <w:numPr>
          <w:ilvl w:val="0"/>
          <w:numId w:val="8"/>
        </w:numPr>
        <w:spacing w:after="0" w:line="360" w:lineRule="auto"/>
        <w:jc w:val="both"/>
        <w:rPr>
          <w:rFonts w:eastAsia="Calibri"/>
          <w:noProof/>
          <w:color w:val="4C4747"/>
        </w:rPr>
      </w:pPr>
      <w:r w:rsidRPr="00873E82">
        <w:rPr>
          <w:rFonts w:eastAsia="Calibri"/>
          <w:noProof/>
          <w:color w:val="4C4747"/>
        </w:rPr>
        <w:t>Desarrollo Comercial</w:t>
      </w:r>
    </w:p>
    <w:p w14:paraId="574E2E4A" w14:textId="77777777" w:rsidR="00D83A98" w:rsidRDefault="00D83A98" w:rsidP="00886F32">
      <w:pPr>
        <w:spacing w:after="0" w:line="360" w:lineRule="auto"/>
        <w:ind w:left="720"/>
        <w:jc w:val="both"/>
        <w:rPr>
          <w:rFonts w:eastAsia="Calibri"/>
          <w:b/>
          <w:bCs/>
          <w:noProof/>
          <w:color w:val="4C4747"/>
          <w:lang w:val="es-DO"/>
        </w:rPr>
      </w:pPr>
    </w:p>
    <w:p w14:paraId="24C2A9F5" w14:textId="5BA15531" w:rsidR="005D0277" w:rsidRPr="00C70391" w:rsidRDefault="005D0277" w:rsidP="00886F32">
      <w:pPr>
        <w:spacing w:after="0" w:line="360" w:lineRule="auto"/>
        <w:ind w:left="720"/>
        <w:jc w:val="both"/>
        <w:rPr>
          <w:rFonts w:eastAsia="Calibri"/>
          <w:b/>
          <w:bCs/>
          <w:noProof/>
          <w:color w:val="4C4747"/>
          <w:lang w:val="es-DO"/>
        </w:rPr>
      </w:pPr>
      <w:r w:rsidRPr="00C70391">
        <w:rPr>
          <w:rFonts w:eastAsia="Calibri"/>
          <w:b/>
          <w:bCs/>
          <w:noProof/>
          <w:color w:val="4C4747"/>
          <w:lang w:val="es-DO"/>
        </w:rPr>
        <w:t>Proyecto Ciudad Juan Bosch (Santo Domingo Este)</w:t>
      </w:r>
      <w:r w:rsidR="00C70391">
        <w:rPr>
          <w:rFonts w:eastAsia="Calibri"/>
          <w:b/>
          <w:bCs/>
          <w:noProof/>
          <w:color w:val="4C4747"/>
          <w:lang w:val="es-DO"/>
        </w:rPr>
        <w:t>.</w:t>
      </w:r>
    </w:p>
    <w:p w14:paraId="5AFEED60"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La consolidación de Ciudad Juan Bosch como un modelo de urbanismo planificado se evidencia en el significativo progreso de sus obras de infraestructura y desarrollo habitacional, las cuales sientan las bases para una comunidad funcional, conectada y sostenible.</w:t>
      </w:r>
    </w:p>
    <w:p w14:paraId="15BEE54C" w14:textId="77777777" w:rsidR="00D83A98" w:rsidRDefault="00D83A98" w:rsidP="00886F32">
      <w:pPr>
        <w:spacing w:after="0" w:line="360" w:lineRule="auto"/>
        <w:ind w:left="720"/>
        <w:rPr>
          <w:rFonts w:eastAsia="Calibri"/>
          <w:b/>
          <w:bCs/>
          <w:noProof/>
          <w:color w:val="4C4747"/>
          <w:lang w:val="es-DO"/>
        </w:rPr>
      </w:pPr>
    </w:p>
    <w:p w14:paraId="00E55FC2" w14:textId="6D529F87" w:rsidR="005D0277" w:rsidRPr="00C70391" w:rsidRDefault="005D0277" w:rsidP="00886F32">
      <w:pPr>
        <w:spacing w:after="0" w:line="360" w:lineRule="auto"/>
        <w:ind w:left="720"/>
        <w:rPr>
          <w:rFonts w:eastAsia="Calibri"/>
          <w:b/>
          <w:bCs/>
          <w:noProof/>
          <w:color w:val="4C4747"/>
          <w:lang w:val="es-DO"/>
        </w:rPr>
      </w:pPr>
      <w:r w:rsidRPr="00C70391">
        <w:rPr>
          <w:rFonts w:eastAsia="Calibri"/>
          <w:b/>
          <w:bCs/>
          <w:noProof/>
          <w:color w:val="4C4747"/>
          <w:lang w:val="es-DO"/>
        </w:rPr>
        <w:t>Infraestructura Urbana</w:t>
      </w:r>
    </w:p>
    <w:p w14:paraId="7A974DD2"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soporte vital del proyecto ha alcanzado una madurez casi total, con un avance general de infraestructura del 94%, 10.85% de este avance logrado durante el 2025.</w:t>
      </w:r>
    </w:p>
    <w:p w14:paraId="64EDB17D" w14:textId="77777777" w:rsidR="00D83A98" w:rsidRDefault="00D83A98" w:rsidP="00886F32">
      <w:pPr>
        <w:spacing w:after="0" w:line="360" w:lineRule="auto"/>
        <w:ind w:left="720"/>
        <w:jc w:val="both"/>
        <w:rPr>
          <w:rFonts w:eastAsia="Calibri"/>
          <w:b/>
          <w:bCs/>
          <w:noProof/>
          <w:color w:val="4C4747"/>
          <w:lang w:val="es-DO"/>
        </w:rPr>
      </w:pPr>
    </w:p>
    <w:p w14:paraId="199161E9" w14:textId="576F53C6" w:rsidR="005D0277" w:rsidRPr="00873E82"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lastRenderedPageBreak/>
        <w:t>Infraestructura Vial</w:t>
      </w:r>
      <w:r w:rsidRPr="00873E82">
        <w:rPr>
          <w:rFonts w:eastAsia="Calibri"/>
          <w:noProof/>
          <w:color w:val="4C4747"/>
          <w:lang w:val="es-DO"/>
        </w:rPr>
        <w:t xml:space="preserve"> (99.92% de avance acumulado, 0.47% durante el 2025): Se ha garantizado una movilidad interna eficiente mediante la culminación de la red de calles y avenidas. Los trabajos del año en curso se han concentrado en tramos clave como la Avenida Camino Real NE donde se ha completado aceras, contenes, ciclovías y el asfaltado y la Calle Los Amos, donde se han completado aceras y contenes, dejando estas vías esta vía preparada para su asfaltado final.</w:t>
      </w:r>
    </w:p>
    <w:p w14:paraId="7965E6F5"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Actualmente se adjudicó y está en fase de contratación licitando el Parqueo Público, una obra ubicada en el centro de Ciudad Juan Bosch y que pondrá a disposición del público más de 150 de parqueos 394 estacionamientos en una estructura vertical de 4 niveles además de la azotea.</w:t>
      </w:r>
    </w:p>
    <w:p w14:paraId="704DB3A9" w14:textId="77777777" w:rsidR="00D83A98" w:rsidRPr="00873E82" w:rsidRDefault="00D83A98" w:rsidP="00886F32">
      <w:pPr>
        <w:spacing w:after="0" w:line="360" w:lineRule="auto"/>
        <w:ind w:left="720"/>
        <w:jc w:val="both"/>
        <w:rPr>
          <w:rFonts w:eastAsia="Calibri"/>
          <w:noProof/>
          <w:color w:val="4C4747"/>
          <w:lang w:val="es-DO"/>
        </w:rPr>
      </w:pPr>
    </w:p>
    <w:p w14:paraId="2B9EEECB" w14:textId="77777777" w:rsidR="00EC4CBD" w:rsidRPr="00407B07" w:rsidRDefault="005D0277" w:rsidP="00886F32">
      <w:pPr>
        <w:spacing w:after="0" w:line="360" w:lineRule="auto"/>
        <w:ind w:left="720"/>
        <w:jc w:val="both"/>
        <w:rPr>
          <w:rFonts w:eastAsia="Calibri"/>
          <w:b/>
          <w:bCs/>
          <w:noProof/>
          <w:color w:val="4C4747"/>
          <w:lang w:val="es-DO"/>
        </w:rPr>
      </w:pPr>
      <w:r w:rsidRPr="00407B07">
        <w:rPr>
          <w:rFonts w:eastAsia="Calibri"/>
          <w:b/>
          <w:bCs/>
          <w:noProof/>
          <w:color w:val="4C4747"/>
          <w:lang w:val="es-DO"/>
        </w:rPr>
        <w:t xml:space="preserve">Infraestructura Hidrosanitaria </w:t>
      </w:r>
    </w:p>
    <w:p w14:paraId="0029D5F1" w14:textId="0B3BB119"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proyecto de infraestructura hidrosanitaria en Ciudad Juan Bosch ha alcanzado un avance acumulado del 87%, con un progreso del 31% durante el 2025. Este desarrollo se ha concentrado en la segunda etapa del desarrollo hidrosanitario, donde se busca satisfacer la necesidad en materia de almacenamiento de agua y tratamiento de aguas residuales para las 25,000 familias proyectadas para la Ciudad Juan Bosch.</w:t>
      </w:r>
    </w:p>
    <w:p w14:paraId="60013B3E" w14:textId="585B265C"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La Etapa 2, iniciada en 2024, actualmente en plena ejecución con un 56.74% de avance acumulado (</w:t>
      </w:r>
      <w:r w:rsidR="00EC4CBD" w:rsidRPr="00873E82">
        <w:rPr>
          <w:rFonts w:eastAsia="Calibri"/>
          <w:noProof/>
          <w:color w:val="4C4747"/>
          <w:lang w:val="es-DO"/>
        </w:rPr>
        <w:t xml:space="preserve">36.74% </w:t>
      </w:r>
      <w:r w:rsidRPr="00873E82">
        <w:rPr>
          <w:rFonts w:eastAsia="Calibri"/>
          <w:noProof/>
          <w:color w:val="4C4747"/>
          <w:lang w:val="es-DO"/>
        </w:rPr>
        <w:t>durante el 2025), es crucial para la expansión del sistema. Los avances en esta fase están marcando el camino hacia una cobertura más amplia y un futuro sostenible. Los elementos principales de esta etapa incluyen:</w:t>
      </w:r>
    </w:p>
    <w:p w14:paraId="2A4A9850" w14:textId="77777777" w:rsidR="005D0277" w:rsidRPr="00873E82" w:rsidRDefault="005D0277" w:rsidP="00886F32">
      <w:pPr>
        <w:pStyle w:val="ListParagraph"/>
        <w:numPr>
          <w:ilvl w:val="0"/>
          <w:numId w:val="9"/>
        </w:numPr>
        <w:spacing w:after="0" w:line="360" w:lineRule="auto"/>
        <w:jc w:val="both"/>
        <w:rPr>
          <w:rFonts w:eastAsia="Calibri"/>
          <w:noProof/>
          <w:color w:val="4C4747"/>
        </w:rPr>
      </w:pPr>
      <w:r w:rsidRPr="00873E82">
        <w:rPr>
          <w:rFonts w:eastAsia="Calibri"/>
          <w:noProof/>
          <w:color w:val="4C4747"/>
        </w:rPr>
        <w:t>La construcción de la Planta de Tratamiento Este (PTAR Este), que inicio durante el 2025 y muestra un 85% de avance de obra, se espera su entrega para finales del 2025.</w:t>
      </w:r>
    </w:p>
    <w:p w14:paraId="0AC1EE50" w14:textId="77777777" w:rsidR="005D0277" w:rsidRPr="00873E82" w:rsidRDefault="005D0277" w:rsidP="00886F32">
      <w:pPr>
        <w:pStyle w:val="ListParagraph"/>
        <w:numPr>
          <w:ilvl w:val="0"/>
          <w:numId w:val="9"/>
        </w:numPr>
        <w:spacing w:after="0" w:line="360" w:lineRule="auto"/>
        <w:jc w:val="both"/>
        <w:rPr>
          <w:rFonts w:eastAsia="Calibri"/>
          <w:noProof/>
          <w:color w:val="4C4747"/>
        </w:rPr>
      </w:pPr>
      <w:r w:rsidRPr="00873E82">
        <w:rPr>
          <w:rFonts w:eastAsia="Calibri"/>
          <w:noProof/>
          <w:color w:val="4C4747"/>
        </w:rPr>
        <w:lastRenderedPageBreak/>
        <w:t>El desarrollo de la Planta de Tratamiento PTAR II, que también inicio durante el 2025 y muestra un 37% de avance de obra, con una fecha de entrega estimada para inicios del 2026.</w:t>
      </w:r>
    </w:p>
    <w:p w14:paraId="4CE01DD9" w14:textId="77777777" w:rsidR="005D0277" w:rsidRPr="00873E82" w:rsidRDefault="005D0277" w:rsidP="00886F32">
      <w:pPr>
        <w:pStyle w:val="ListParagraph"/>
        <w:numPr>
          <w:ilvl w:val="0"/>
          <w:numId w:val="9"/>
        </w:numPr>
        <w:spacing w:after="0" w:line="360" w:lineRule="auto"/>
        <w:jc w:val="both"/>
        <w:rPr>
          <w:rFonts w:eastAsia="Calibri"/>
          <w:noProof/>
          <w:color w:val="4C4747"/>
        </w:rPr>
      </w:pPr>
      <w:r w:rsidRPr="00873E82">
        <w:rPr>
          <w:rFonts w:eastAsia="Calibri"/>
          <w:noProof/>
          <w:color w:val="4C4747"/>
        </w:rPr>
        <w:t>La instalación del Tanque Vitrificado #3, que corresponde al Depósito Regulador de Agua Potable No. 3, con un 64% de avance acumulado, del cual el 33% fue durante el 2025 y una entrega proyectada para inicios del 2026.</w:t>
      </w:r>
    </w:p>
    <w:p w14:paraId="4CE5DCCE"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Además, para mitigar las problemáticas de inundaciones en el territorio, se realizó un estudio de puntos bajos para colocar nuevos filtrantes que ayudaran a minimizar la acumulación de agua en las calles bajo fuertes lluvias.</w:t>
      </w:r>
    </w:p>
    <w:p w14:paraId="3B969EDA" w14:textId="77777777" w:rsidR="00D83A98" w:rsidRPr="00873E82" w:rsidRDefault="00D83A98" w:rsidP="00886F32">
      <w:pPr>
        <w:spacing w:after="0" w:line="360" w:lineRule="auto"/>
        <w:ind w:left="720"/>
        <w:jc w:val="both"/>
        <w:rPr>
          <w:rFonts w:eastAsia="Calibri"/>
          <w:noProof/>
          <w:color w:val="4C4747"/>
          <w:lang w:val="es-DO"/>
        </w:rPr>
      </w:pPr>
    </w:p>
    <w:p w14:paraId="31D374C7" w14:textId="03872282" w:rsidR="005D0277" w:rsidRPr="00873E82" w:rsidRDefault="005D0277" w:rsidP="00886F32">
      <w:pPr>
        <w:tabs>
          <w:tab w:val="left" w:pos="90"/>
        </w:tabs>
        <w:spacing w:after="0" w:line="360" w:lineRule="auto"/>
        <w:ind w:left="720"/>
        <w:jc w:val="both"/>
        <w:rPr>
          <w:rFonts w:eastAsia="Calibri"/>
          <w:noProof/>
          <w:color w:val="4C4747"/>
          <w:lang w:val="es-DO"/>
        </w:rPr>
      </w:pPr>
      <w:r w:rsidRPr="00407B07">
        <w:rPr>
          <w:rFonts w:eastAsia="Calibri"/>
          <w:b/>
          <w:bCs/>
          <w:noProof/>
          <w:color w:val="4C4747"/>
          <w:lang w:val="es-DO"/>
        </w:rPr>
        <w:t>Agua Potable:</w:t>
      </w:r>
      <w:r w:rsidRPr="00873E82">
        <w:rPr>
          <w:rFonts w:eastAsia="Calibri"/>
          <w:noProof/>
          <w:color w:val="4C4747"/>
          <w:lang w:val="es-DO"/>
        </w:rPr>
        <w:t xml:space="preserve"> Acorde con el avance de obra del nuevo acueducto barrera de salinidad que se encuentra en construcción de la CAASD, llegamos a un acuerdo de interconexión que debería entrar en efecto para los primeros meses del año 2026, lo cuál va a servir como un acueducto soporte a la Ciudad Juan Bosch, eliminando cualquier baja en el suministro ante situaciones de avería.</w:t>
      </w:r>
    </w:p>
    <w:p w14:paraId="1833B490" w14:textId="77777777" w:rsidR="005D0277" w:rsidRDefault="005D0277" w:rsidP="00886F32">
      <w:pPr>
        <w:tabs>
          <w:tab w:val="left" w:pos="90"/>
        </w:tabs>
        <w:spacing w:after="0" w:line="360" w:lineRule="auto"/>
        <w:ind w:left="720"/>
        <w:jc w:val="both"/>
        <w:rPr>
          <w:rFonts w:eastAsia="Calibri"/>
          <w:noProof/>
          <w:color w:val="4C4747"/>
          <w:lang w:val="es-DO"/>
        </w:rPr>
      </w:pPr>
      <w:r w:rsidRPr="00873E82">
        <w:rPr>
          <w:rFonts w:eastAsia="Calibri"/>
          <w:noProof/>
          <w:color w:val="4C4747"/>
          <w:lang w:val="es-DO"/>
        </w:rPr>
        <w:t>Se ha obtenido la aprobación del diseño y presupuesto de una nueva y exclusiva Línea de Impulsión de Agua Potable para Ciudad Juan Bosch. Esta infraestructura estratégica asegurará la autonomía, calidad y continuidad del suministro para las familias actuales y futuras, resolviendo una necesidad primordial de la comunidad.</w:t>
      </w:r>
    </w:p>
    <w:p w14:paraId="1A268AFB" w14:textId="77777777" w:rsidR="00D83A98" w:rsidRPr="00873E82" w:rsidRDefault="00D83A98" w:rsidP="00886F32">
      <w:pPr>
        <w:tabs>
          <w:tab w:val="left" w:pos="90"/>
        </w:tabs>
        <w:spacing w:after="0" w:line="360" w:lineRule="auto"/>
        <w:ind w:left="720"/>
        <w:jc w:val="both"/>
        <w:rPr>
          <w:rFonts w:eastAsia="Calibri"/>
          <w:noProof/>
          <w:color w:val="4C4747"/>
          <w:lang w:val="es-DO"/>
        </w:rPr>
      </w:pPr>
    </w:p>
    <w:p w14:paraId="12A2A99E" w14:textId="77777777" w:rsidR="005D0277" w:rsidRPr="00873E82"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Infraestructura Eléctrica</w:t>
      </w:r>
      <w:r w:rsidRPr="00873E82">
        <w:rPr>
          <w:rFonts w:eastAsia="Calibri"/>
          <w:noProof/>
          <w:color w:val="4C4747"/>
          <w:lang w:val="es-DO"/>
        </w:rPr>
        <w:t xml:space="preserve"> (99.32% de avance acumulado, 5.32% durante el 2025): Se ha garantizado la electrificación y el alumbrado público en la totalidad de las áreas desarrolladas, con instalaciones de media tensión, transformadores y luminarias en las principales avenidas del proyecto.</w:t>
      </w:r>
    </w:p>
    <w:p w14:paraId="0551D9CF"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lastRenderedPageBreak/>
        <w:t>Infraestructura de telecomunicaciones:</w:t>
      </w:r>
      <w:r w:rsidRPr="00873E82">
        <w:rPr>
          <w:rFonts w:eastAsia="Calibri"/>
          <w:noProof/>
          <w:color w:val="4C4747"/>
          <w:lang w:val="es-DO"/>
        </w:rPr>
        <w:t xml:space="preserve"> se encuentra suspendido </w:t>
      </w:r>
      <w:commentRangeStart w:id="79"/>
      <w:r w:rsidRPr="00873E82">
        <w:rPr>
          <w:rFonts w:eastAsia="Calibri"/>
          <w:noProof/>
          <w:color w:val="4C4747"/>
          <w:lang w:val="es-DO"/>
        </w:rPr>
        <w:t xml:space="preserve">el proceso de licitación </w:t>
      </w:r>
      <w:commentRangeEnd w:id="79"/>
      <w:r w:rsidRPr="00873E82">
        <w:rPr>
          <w:rFonts w:eastAsia="Calibri"/>
          <w:noProof/>
          <w:color w:val="4C4747"/>
          <w:lang w:val="es-DO"/>
        </w:rPr>
        <w:commentReference w:id="79"/>
      </w:r>
      <w:r w:rsidRPr="00873E82">
        <w:rPr>
          <w:rFonts w:eastAsia="Calibri"/>
          <w:noProof/>
          <w:color w:val="4C4747"/>
          <w:lang w:val="es-DO"/>
        </w:rPr>
        <w:t>para el proyecto de redes compartidas de telecomunicaciones que con tecnología de punta permitirá que mediante una red única se puedan conectar todos los proveedores de telecomunicaciones para proveer sus servicios a los residentes de CJB.</w:t>
      </w:r>
    </w:p>
    <w:p w14:paraId="65915927" w14:textId="77777777" w:rsidR="00D83A98" w:rsidRPr="00873E82" w:rsidRDefault="00D83A98" w:rsidP="00886F32">
      <w:pPr>
        <w:spacing w:after="0" w:line="360" w:lineRule="auto"/>
        <w:ind w:left="720"/>
        <w:jc w:val="both"/>
        <w:rPr>
          <w:rFonts w:eastAsia="Calibri"/>
          <w:noProof/>
          <w:color w:val="4C4747"/>
          <w:lang w:val="es-DO"/>
        </w:rPr>
      </w:pPr>
    </w:p>
    <w:p w14:paraId="796950A9" w14:textId="6D98EC24" w:rsidR="005D0277" w:rsidRPr="00407B07" w:rsidRDefault="005D0277" w:rsidP="00886F32">
      <w:pPr>
        <w:spacing w:after="0" w:line="360" w:lineRule="auto"/>
        <w:ind w:left="720"/>
        <w:jc w:val="both"/>
        <w:rPr>
          <w:rFonts w:eastAsia="Calibri"/>
          <w:b/>
          <w:bCs/>
          <w:noProof/>
          <w:color w:val="4C4747"/>
          <w:lang w:val="es-DO"/>
        </w:rPr>
      </w:pPr>
      <w:r w:rsidRPr="00407B07">
        <w:rPr>
          <w:rFonts w:eastAsia="Calibri"/>
          <w:b/>
          <w:bCs/>
          <w:noProof/>
          <w:color w:val="4C4747"/>
          <w:lang w:val="es-DO"/>
        </w:rPr>
        <w:t>Equipamientos Comunitarios e Institucionales</w:t>
      </w:r>
      <w:r w:rsidR="00407B07">
        <w:rPr>
          <w:rFonts w:eastAsia="Calibri"/>
          <w:b/>
          <w:bCs/>
          <w:noProof/>
          <w:color w:val="4C4747"/>
          <w:lang w:val="es-DO"/>
        </w:rPr>
        <w:t>.</w:t>
      </w:r>
    </w:p>
    <w:p w14:paraId="58486EE9"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desarrollo de espacios para la comunidad es un pilar fundamental, con importantes obras en ejecución y otras ya al servicio de los residentes.</w:t>
      </w:r>
    </w:p>
    <w:p w14:paraId="2E341116" w14:textId="77777777" w:rsidR="00D83A98" w:rsidRPr="00873E82" w:rsidRDefault="00D83A98" w:rsidP="00886F32">
      <w:pPr>
        <w:spacing w:after="0" w:line="360" w:lineRule="auto"/>
        <w:ind w:left="720"/>
        <w:jc w:val="both"/>
        <w:rPr>
          <w:rFonts w:eastAsia="Calibri"/>
          <w:noProof/>
          <w:color w:val="4C4747"/>
          <w:lang w:val="es-DO"/>
        </w:rPr>
      </w:pPr>
    </w:p>
    <w:p w14:paraId="6FE7EA3B" w14:textId="3CC6C3C8"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Plazas y Parques de Esparcimiento</w:t>
      </w:r>
      <w:r w:rsidR="00BB324F" w:rsidRPr="00407B07">
        <w:rPr>
          <w:rFonts w:eastAsia="Calibri"/>
          <w:b/>
          <w:bCs/>
          <w:noProof/>
          <w:color w:val="4C4747"/>
          <w:lang w:val="es-DO"/>
        </w:rPr>
        <w:t>:</w:t>
      </w:r>
      <w:r w:rsidR="00BB324F" w:rsidRPr="00873E82">
        <w:rPr>
          <w:rFonts w:eastAsia="Calibri"/>
          <w:noProof/>
          <w:color w:val="4C4747"/>
          <w:lang w:val="es-DO"/>
        </w:rPr>
        <w:t xml:space="preserve"> </w:t>
      </w:r>
      <w:r w:rsidRPr="00873E82">
        <w:rPr>
          <w:rFonts w:eastAsia="Calibri"/>
          <w:noProof/>
          <w:color w:val="4C4747"/>
          <w:lang w:val="es-DO"/>
        </w:rPr>
        <w:t>Se ha fortalecido la oferta de espacios públicos con la entrega de la Plaza Camino Real y el Parque Infantil, ambas completadas al 100%, 95.00% durante el 2025 para el Parque Infantil. Paralelamente, avanzan a buen ritmo proyectos emblemáticos como el Anfiteatro La Gaviota con una fecha de entrega estimada durante el 2025 (92% de avance acumulado, 31% durante el 2025), la Plaza de la Constitución 1963 (91% de avance acumulado, 46% durante el 2025).</w:t>
      </w:r>
    </w:p>
    <w:p w14:paraId="3AC5D4C3" w14:textId="77777777" w:rsidR="00D83A98" w:rsidRPr="00873E82" w:rsidRDefault="00D83A98" w:rsidP="00886F32">
      <w:pPr>
        <w:spacing w:after="0" w:line="360" w:lineRule="auto"/>
        <w:ind w:left="720"/>
        <w:jc w:val="both"/>
        <w:rPr>
          <w:rFonts w:eastAsia="Calibri"/>
          <w:noProof/>
          <w:color w:val="4C4747"/>
          <w:lang w:val="es-DO"/>
        </w:rPr>
      </w:pPr>
    </w:p>
    <w:p w14:paraId="2F11D824" w14:textId="363EAB01"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Parque Ecológico</w:t>
      </w:r>
      <w:r w:rsidR="00BB324F" w:rsidRPr="00407B07">
        <w:rPr>
          <w:rFonts w:eastAsia="Calibri"/>
          <w:b/>
          <w:bCs/>
          <w:noProof/>
          <w:color w:val="4C4747"/>
          <w:lang w:val="es-DO"/>
        </w:rPr>
        <w:t>:</w:t>
      </w:r>
      <w:r w:rsidRPr="00873E82">
        <w:rPr>
          <w:rFonts w:eastAsia="Calibri"/>
          <w:noProof/>
          <w:color w:val="4C4747"/>
          <w:lang w:val="es-DO"/>
        </w:rPr>
        <w:t xml:space="preserve"> (23% de avance acumulado, 18.00% durante el 2025) se está trabajando en una adecuación del parque acorde con la visión del Ministerio de Medio Ambiente y estamos en proceso de establecer junto a ellos el esquema de administración similar al que se utiliza actualmente en el Parque Botánico.</w:t>
      </w:r>
    </w:p>
    <w:p w14:paraId="135B0C45" w14:textId="77777777" w:rsidR="00D83A98" w:rsidRPr="00873E82" w:rsidRDefault="00D83A98" w:rsidP="00886F32">
      <w:pPr>
        <w:spacing w:after="0" w:line="360" w:lineRule="auto"/>
        <w:ind w:left="720"/>
        <w:jc w:val="both"/>
        <w:rPr>
          <w:rFonts w:eastAsia="Calibri"/>
          <w:noProof/>
          <w:color w:val="4C4747"/>
          <w:lang w:val="es-DO"/>
        </w:rPr>
      </w:pPr>
    </w:p>
    <w:p w14:paraId="5A9D968C"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 xml:space="preserve">Complejo Deportivo: </w:t>
      </w:r>
      <w:r w:rsidRPr="00873E82">
        <w:rPr>
          <w:rFonts w:eastAsia="Calibri"/>
          <w:noProof/>
          <w:color w:val="4C4747"/>
          <w:lang w:val="es-DO"/>
        </w:rPr>
        <w:t xml:space="preserve">Este importante centro para el fomento del deporte muestra un avance promedio ponderado del 95.50% </w:t>
      </w:r>
      <w:r w:rsidRPr="00873E82">
        <w:rPr>
          <w:rFonts w:eastAsia="Calibri"/>
          <w:noProof/>
          <w:color w:val="4C4747"/>
          <w:lang w:val="es-DO"/>
        </w:rPr>
        <w:lastRenderedPageBreak/>
        <w:t>de avance acumulado, 43.50% durante el 2025. Destacan el edificio multiuso (96% de avance acumulado, 38% durante el 2025), el Play de Pequeñas Ligas y canchas de futsal (90% de avance acumulado, 55% durante el 2025) y las avenidas de penetración y ejercitación (98% de avance acumulado, 34% durante el 2025).</w:t>
      </w:r>
    </w:p>
    <w:p w14:paraId="4F9FC3A0" w14:textId="77777777" w:rsidR="008C5212" w:rsidRPr="00873E82" w:rsidRDefault="008C5212" w:rsidP="00886F32">
      <w:pPr>
        <w:spacing w:after="0" w:line="360" w:lineRule="auto"/>
        <w:ind w:left="720"/>
        <w:jc w:val="both"/>
        <w:rPr>
          <w:rFonts w:eastAsia="Calibri"/>
          <w:noProof/>
          <w:color w:val="4C4747"/>
          <w:lang w:val="es-DO"/>
        </w:rPr>
      </w:pPr>
    </w:p>
    <w:p w14:paraId="6AA55EE9"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Otros Proyectos Institucionales:</w:t>
      </w:r>
      <w:r w:rsidRPr="00873E82">
        <w:rPr>
          <w:rFonts w:eastAsia="Calibri"/>
          <w:noProof/>
          <w:color w:val="4C4747"/>
          <w:lang w:val="es-DO"/>
        </w:rPr>
        <w:t xml:space="preserve"> (2 planteles de entrega) La Estancia Infantil Villa Francisca fue completada y entregada. Asimismo, la Funeraria Ciudad Juan Bosch ha iniciado su construcción con un 35% de avance acumulado, 35% durante el 2025, y las cuatro Garitas de Seguridad en los accesos principales se encuentran terminadas y en servicio.</w:t>
      </w:r>
    </w:p>
    <w:p w14:paraId="6556BFDD" w14:textId="77777777" w:rsidR="008C5212" w:rsidRDefault="008C5212" w:rsidP="00886F32">
      <w:pPr>
        <w:spacing w:after="0" w:line="360" w:lineRule="auto"/>
        <w:ind w:left="720"/>
        <w:jc w:val="both"/>
        <w:rPr>
          <w:rFonts w:eastAsia="Calibri"/>
          <w:noProof/>
          <w:color w:val="4C4747"/>
          <w:lang w:val="es-DO"/>
        </w:rPr>
      </w:pPr>
    </w:p>
    <w:p w14:paraId="6536F99E" w14:textId="54B172B1" w:rsidR="005D0277" w:rsidRPr="00407B07" w:rsidRDefault="005D0277" w:rsidP="00886F32">
      <w:pPr>
        <w:spacing w:after="0" w:line="360" w:lineRule="auto"/>
        <w:ind w:left="720"/>
        <w:rPr>
          <w:rFonts w:eastAsia="Calibri"/>
          <w:b/>
          <w:bCs/>
          <w:noProof/>
          <w:color w:val="4C4747"/>
          <w:lang w:val="es-DO"/>
        </w:rPr>
      </w:pPr>
      <w:commentRangeStart w:id="80"/>
      <w:r w:rsidRPr="00407B07">
        <w:rPr>
          <w:rFonts w:eastAsia="Calibri"/>
          <w:b/>
          <w:bCs/>
          <w:noProof/>
          <w:color w:val="4C4747"/>
          <w:lang w:val="es-DO"/>
        </w:rPr>
        <w:t>Desarrollo Habitacional</w:t>
      </w:r>
      <w:commentRangeEnd w:id="80"/>
      <w:r w:rsidRPr="00407B07">
        <w:rPr>
          <w:rFonts w:eastAsia="Calibri"/>
          <w:b/>
          <w:bCs/>
          <w:noProof/>
          <w:color w:val="4C4747"/>
          <w:lang w:val="es-DO"/>
        </w:rPr>
        <w:commentReference w:id="80"/>
      </w:r>
      <w:r w:rsidR="00407B07">
        <w:rPr>
          <w:rFonts w:eastAsia="Calibri"/>
          <w:b/>
          <w:bCs/>
          <w:noProof/>
          <w:color w:val="4C4747"/>
          <w:lang w:val="es-DO"/>
        </w:rPr>
        <w:t>.</w:t>
      </w:r>
    </w:p>
    <w:p w14:paraId="09130E99"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crecimiento de la comunidad ha mantenido un ritmo acelerado, superando las metas establecidas y proveyendo un hogar digno a miles de familias.</w:t>
      </w:r>
    </w:p>
    <w:p w14:paraId="6D378F53" w14:textId="77777777" w:rsidR="008C5212" w:rsidRPr="00873E82" w:rsidRDefault="008C5212" w:rsidP="00886F32">
      <w:pPr>
        <w:spacing w:after="0" w:line="360" w:lineRule="auto"/>
        <w:ind w:left="720"/>
        <w:jc w:val="both"/>
        <w:rPr>
          <w:rFonts w:eastAsia="Calibri"/>
          <w:noProof/>
          <w:color w:val="4C4747"/>
          <w:lang w:val="es-DO"/>
        </w:rPr>
      </w:pPr>
    </w:p>
    <w:p w14:paraId="3B23C226"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Viviendas Terminadas:</w:t>
      </w:r>
      <w:r w:rsidRPr="00873E82">
        <w:rPr>
          <w:rFonts w:eastAsia="Calibri"/>
          <w:noProof/>
          <w:color w:val="4C4747"/>
          <w:lang w:val="es-DO"/>
        </w:rPr>
        <w:t xml:space="preserve"> Durante el 2025 se han terminado cerca de 2,000 viviendas acumulando un total de 11,000 viviendas construidas y entregadas en el periodo del 2020 al 2025 para un total de 15,500 viviendas.</w:t>
      </w:r>
    </w:p>
    <w:p w14:paraId="2FBD30B9" w14:textId="77777777" w:rsidR="008C5212" w:rsidRPr="00873E82" w:rsidRDefault="008C5212" w:rsidP="00886F32">
      <w:pPr>
        <w:spacing w:after="0" w:line="360" w:lineRule="auto"/>
        <w:ind w:left="720"/>
        <w:jc w:val="both"/>
        <w:rPr>
          <w:rFonts w:eastAsia="Calibri"/>
          <w:noProof/>
          <w:color w:val="4C4747"/>
          <w:lang w:val="es-DO"/>
        </w:rPr>
      </w:pPr>
    </w:p>
    <w:p w14:paraId="65DBF8FB"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Viviendas en Construcción:</w:t>
      </w:r>
      <w:r w:rsidRPr="00873E82">
        <w:rPr>
          <w:rFonts w:eastAsia="Calibri"/>
          <w:noProof/>
          <w:color w:val="4C4747"/>
          <w:lang w:val="es-DO"/>
        </w:rPr>
        <w:t xml:space="preserve"> Actualmente, se encuentran 1,313 viviendas adicionales en diferentes fases de construcción.</w:t>
      </w:r>
    </w:p>
    <w:p w14:paraId="724BC68F" w14:textId="77777777" w:rsidR="008C5212" w:rsidRPr="00873E82" w:rsidRDefault="008C5212" w:rsidP="00886F32">
      <w:pPr>
        <w:spacing w:after="0" w:line="360" w:lineRule="auto"/>
        <w:ind w:left="720"/>
        <w:jc w:val="both"/>
        <w:rPr>
          <w:rFonts w:eastAsia="Calibri"/>
          <w:noProof/>
          <w:color w:val="4C4747"/>
          <w:lang w:val="es-DO"/>
        </w:rPr>
      </w:pPr>
    </w:p>
    <w:p w14:paraId="42EB9278"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Hogares Establecidos:</w:t>
      </w:r>
      <w:r w:rsidRPr="00873E82">
        <w:rPr>
          <w:rFonts w:eastAsia="Calibri"/>
          <w:noProof/>
          <w:color w:val="4C4747"/>
          <w:lang w:val="es-DO"/>
        </w:rPr>
        <w:t xml:space="preserve"> Ciudad Juan Bosch es hoy el hogar de 15,000 familias, que ya ocupan sus viviendas y dinamizan la vida comunitaria.</w:t>
      </w:r>
    </w:p>
    <w:p w14:paraId="625EE4E7" w14:textId="5899A9A3" w:rsidR="005D0277" w:rsidRPr="00407B07" w:rsidRDefault="005D0277" w:rsidP="00886F32">
      <w:pPr>
        <w:spacing w:after="0" w:line="360" w:lineRule="auto"/>
        <w:ind w:left="720"/>
        <w:rPr>
          <w:rFonts w:eastAsia="Calibri"/>
          <w:b/>
          <w:bCs/>
          <w:noProof/>
          <w:color w:val="4C4747"/>
          <w:lang w:val="es-DO"/>
        </w:rPr>
      </w:pPr>
      <w:r w:rsidRPr="00407B07">
        <w:rPr>
          <w:rFonts w:eastAsia="Calibri"/>
          <w:b/>
          <w:bCs/>
          <w:noProof/>
          <w:color w:val="4C4747"/>
          <w:lang w:val="es-DO"/>
        </w:rPr>
        <w:lastRenderedPageBreak/>
        <w:t>Desarrollo Comercial</w:t>
      </w:r>
      <w:r w:rsidR="00407B07">
        <w:rPr>
          <w:rFonts w:eastAsia="Calibri"/>
          <w:b/>
          <w:bCs/>
          <w:noProof/>
          <w:color w:val="4C4747"/>
          <w:lang w:val="es-DO"/>
        </w:rPr>
        <w:t>.</w:t>
      </w:r>
    </w:p>
    <w:p w14:paraId="6D804D8E"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Para asegurar que los residentes tengan acceso a bienes y servicios de primera necesidad, se ha impulsado un vibrante ecosistema comercial.</w:t>
      </w:r>
    </w:p>
    <w:p w14:paraId="7C55AD52" w14:textId="77777777" w:rsidR="008C5212" w:rsidRPr="00873E82" w:rsidRDefault="008C5212" w:rsidP="00886F32">
      <w:pPr>
        <w:spacing w:after="0" w:line="360" w:lineRule="auto"/>
        <w:ind w:left="720"/>
        <w:jc w:val="both"/>
        <w:rPr>
          <w:rFonts w:eastAsia="Calibri"/>
          <w:noProof/>
          <w:color w:val="4C4747"/>
          <w:lang w:val="es-DO"/>
        </w:rPr>
      </w:pPr>
    </w:p>
    <w:p w14:paraId="6E2C200B"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Lotes Comerciales Desarrollados:</w:t>
      </w:r>
      <w:r w:rsidRPr="00873E82">
        <w:rPr>
          <w:rFonts w:eastAsia="Calibri"/>
          <w:noProof/>
          <w:color w:val="4C4747"/>
          <w:lang w:val="es-DO"/>
        </w:rPr>
        <w:t xml:space="preserve"> A la fecha hemos alcanzado la cantidad de 5 cantidad de lotes plazas comerciales terminados y en servicio entregadas terminados y en servicio, incluyendo 1 Lote donde se construyó un templo de los testigos de Jehová; dentro de los otros 4 lotes entregados y dentro de las cuales están operando 210 comercios, todos durante el periodo 2025. De un total de 51 lotes comerciales, 41 ya han sido adjudicados, 12 de estos lotes comerciales se adjudicaron en este año 2025y están en fase de contratación, (57%) y se encuentran en distintas fases de desarrollo.</w:t>
      </w:r>
    </w:p>
    <w:p w14:paraId="281951E1" w14:textId="77777777" w:rsidR="008C5212" w:rsidRPr="00873E82" w:rsidRDefault="008C5212" w:rsidP="00886F32">
      <w:pPr>
        <w:spacing w:after="0" w:line="360" w:lineRule="auto"/>
        <w:ind w:left="720"/>
        <w:jc w:val="both"/>
        <w:rPr>
          <w:rFonts w:eastAsia="Calibri"/>
          <w:noProof/>
          <w:color w:val="4C4747"/>
          <w:lang w:val="es-DO"/>
        </w:rPr>
      </w:pPr>
    </w:p>
    <w:p w14:paraId="2DD62FB9"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Plazas en Construcción Avanzada:</w:t>
      </w:r>
      <w:r w:rsidRPr="00873E82">
        <w:rPr>
          <w:rFonts w:eastAsia="Calibri"/>
          <w:noProof/>
          <w:color w:val="4C4747"/>
          <w:lang w:val="es-DO"/>
        </w:rPr>
        <w:t xml:space="preserve"> Destaca el progreso de importantes centros comerciales como Dumas Center I (90% de avance acumulado, 33% durante el 2025) y Dumas Center II (78% 89% de avance acumulado, 44%durante el 2025) ambos con fecha de entrega estimada para finales del 2025. Estas plazas aportarán 87 locales comerciales adicionales.</w:t>
      </w:r>
    </w:p>
    <w:p w14:paraId="7F7DCE3A" w14:textId="77777777" w:rsidR="008C5212" w:rsidRPr="00873E82" w:rsidRDefault="008C5212" w:rsidP="00886F32">
      <w:pPr>
        <w:spacing w:after="0" w:line="360" w:lineRule="auto"/>
        <w:ind w:left="720"/>
        <w:jc w:val="both"/>
        <w:rPr>
          <w:rFonts w:eastAsia="Calibri"/>
          <w:noProof/>
          <w:color w:val="4C4747"/>
          <w:lang w:val="es-DO"/>
        </w:rPr>
      </w:pPr>
    </w:p>
    <w:p w14:paraId="0CF18B13" w14:textId="625C4E5C"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Nuevos Proyectos:</w:t>
      </w:r>
      <w:r w:rsidRPr="00873E82">
        <w:rPr>
          <w:rFonts w:eastAsia="Calibri"/>
          <w:noProof/>
          <w:color w:val="4C4747"/>
          <w:lang w:val="es-DO"/>
        </w:rPr>
        <w:t xml:space="preserve"> Se ha iniciado el desarrollo de nuevas plazas como Bazar Center (45% de avance acumulado, 29% durante el 2025), Plaza camino Real Center (25% de avance acumulado durante el 2025</w:t>
      </w:r>
      <w:r w:rsidR="00BB324F" w:rsidRPr="00873E82">
        <w:rPr>
          <w:rFonts w:eastAsia="Calibri"/>
          <w:noProof/>
          <w:color w:val="4C4747"/>
          <w:lang w:val="es-DO"/>
        </w:rPr>
        <w:t>), en</w:t>
      </w:r>
      <w:r w:rsidRPr="00873E82">
        <w:rPr>
          <w:rFonts w:eastAsia="Calibri"/>
          <w:noProof/>
          <w:color w:val="4C4747"/>
          <w:lang w:val="es-DO"/>
        </w:rPr>
        <w:t xml:space="preserve"> sus obras preliminares, y otros proyectos como Riu Mall, Patio de Bosch, La Mañosa Center, La Fragata Center, cuyos Master Plan ya han sido aprobados para iniciar su construcción las cuales representan más de 350 </w:t>
      </w:r>
      <w:r w:rsidRPr="00873E82">
        <w:rPr>
          <w:rFonts w:eastAsia="Calibri"/>
          <w:noProof/>
          <w:color w:val="4C4747"/>
          <w:lang w:val="es-DO"/>
        </w:rPr>
        <w:lastRenderedPageBreak/>
        <w:t>comercios adicionales que en total ascienden a más de 650 unidades comerciales.</w:t>
      </w:r>
    </w:p>
    <w:p w14:paraId="58D04685" w14:textId="77777777" w:rsidR="008C5212" w:rsidRPr="00873E82" w:rsidRDefault="008C5212" w:rsidP="00886F32">
      <w:pPr>
        <w:spacing w:after="0" w:line="360" w:lineRule="auto"/>
        <w:ind w:left="720"/>
        <w:jc w:val="both"/>
        <w:rPr>
          <w:rFonts w:eastAsia="Calibri"/>
          <w:noProof/>
          <w:color w:val="4C4747"/>
          <w:lang w:val="es-DO"/>
        </w:rPr>
      </w:pPr>
    </w:p>
    <w:p w14:paraId="29711A97" w14:textId="31C354E2" w:rsidR="005D0277" w:rsidRPr="00407B07" w:rsidRDefault="005D0277" w:rsidP="00886F32">
      <w:pPr>
        <w:spacing w:after="0" w:line="360" w:lineRule="auto"/>
        <w:ind w:left="720"/>
        <w:rPr>
          <w:rFonts w:eastAsia="Calibri"/>
          <w:b/>
          <w:bCs/>
          <w:noProof/>
          <w:color w:val="4C4747"/>
          <w:lang w:val="es-DO"/>
        </w:rPr>
      </w:pPr>
      <w:r w:rsidRPr="00407B07">
        <w:rPr>
          <w:rFonts w:eastAsia="Calibri"/>
          <w:b/>
          <w:bCs/>
          <w:noProof/>
          <w:color w:val="4C4747"/>
          <w:lang w:val="es-DO"/>
        </w:rPr>
        <w:t>Proyecto Ciudad Presidente Antonio Guzmán (Santiago, Hato del Yaque)</w:t>
      </w:r>
      <w:r w:rsidR="00407B07">
        <w:rPr>
          <w:rFonts w:eastAsia="Calibri"/>
          <w:b/>
          <w:bCs/>
          <w:noProof/>
          <w:color w:val="4C4747"/>
          <w:lang w:val="es-DO"/>
        </w:rPr>
        <w:t>.</w:t>
      </w:r>
    </w:p>
    <w:p w14:paraId="7315DFA7"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Este nuevo proyecto, diseñado para replicar el éxito de Ciudad Juan Bosch en la región del Cibao, ha sentado las bases para su futuro desarrollo con importantes avances en su infraestructura inicial.</w:t>
      </w:r>
    </w:p>
    <w:p w14:paraId="0BF798AF" w14:textId="77777777" w:rsidR="008C5212" w:rsidRPr="00873E82" w:rsidRDefault="008C5212" w:rsidP="00886F32">
      <w:pPr>
        <w:spacing w:after="0" w:line="360" w:lineRule="auto"/>
        <w:ind w:left="720"/>
        <w:jc w:val="both"/>
        <w:rPr>
          <w:rFonts w:eastAsia="Calibri"/>
          <w:noProof/>
          <w:color w:val="4C4747"/>
          <w:lang w:val="es-DO"/>
        </w:rPr>
      </w:pPr>
    </w:p>
    <w:p w14:paraId="293210D7"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Infraestructura: Se ha avanzado significativamente en la habilitación de los accesos y vías internas. Las vías perimetrales del primer lote habitacional alcanzan un (85% de avance acumulado, 45% durante el 2025). La vía de acceso principal (Tramo I) (60% de avance acumulado, 15.00% durante el 2025), mientras que el Tramo II ya fue puesto en posesión del contratista para inicio de obra y ha tenido inicio de los trabajos registrando un 12% de avance en la ejecución.</w:t>
      </w:r>
    </w:p>
    <w:p w14:paraId="00BCD5A9"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Hito Social:</w:t>
      </w:r>
      <w:r w:rsidRPr="00873E82">
        <w:rPr>
          <w:rFonts w:eastAsia="Calibri"/>
          <w:noProof/>
          <w:color w:val="4C4747"/>
          <w:lang w:val="es-DO"/>
        </w:rPr>
        <w:t xml:space="preserve"> Durante el mes de julio de 2025, se realizó con éxito la vista pública del proyecto, un paso fundamental para la socialización y validación del plan maestro con la comunidad de Santiago y futuros residentes.</w:t>
      </w:r>
    </w:p>
    <w:p w14:paraId="563629F5" w14:textId="77777777" w:rsidR="008C5212" w:rsidRPr="00873E82" w:rsidRDefault="008C5212" w:rsidP="00886F32">
      <w:pPr>
        <w:spacing w:after="0" w:line="360" w:lineRule="auto"/>
        <w:ind w:left="720"/>
        <w:jc w:val="both"/>
        <w:rPr>
          <w:rFonts w:eastAsia="Calibri"/>
          <w:noProof/>
          <w:color w:val="4C4747"/>
          <w:lang w:val="es-DO"/>
        </w:rPr>
      </w:pPr>
    </w:p>
    <w:p w14:paraId="675D67CB" w14:textId="309ECFC5" w:rsidR="005D0277" w:rsidRPr="00407B07" w:rsidRDefault="005D0277" w:rsidP="00886F32">
      <w:pPr>
        <w:spacing w:after="0" w:line="360" w:lineRule="auto"/>
        <w:ind w:left="720"/>
        <w:rPr>
          <w:rFonts w:eastAsia="Calibri"/>
          <w:b/>
          <w:bCs/>
          <w:noProof/>
          <w:color w:val="4C4747"/>
          <w:lang w:val="es-DO"/>
        </w:rPr>
      </w:pPr>
      <w:bookmarkStart w:id="81" w:name="_Toc215565596"/>
      <w:r w:rsidRPr="00407B07">
        <w:rPr>
          <w:rFonts w:eastAsia="Calibri"/>
          <w:b/>
          <w:bCs/>
          <w:noProof/>
          <w:color w:val="4C4747"/>
          <w:lang w:val="es-DO"/>
        </w:rPr>
        <w:t>Avances en el Desarrollo Social y Calidad de Vida</w:t>
      </w:r>
      <w:bookmarkEnd w:id="81"/>
      <w:r w:rsidR="00407B07">
        <w:rPr>
          <w:rFonts w:eastAsia="Calibri"/>
          <w:b/>
          <w:bCs/>
          <w:noProof/>
          <w:color w:val="4C4747"/>
          <w:lang w:val="es-DO"/>
        </w:rPr>
        <w:t>.</w:t>
      </w:r>
    </w:p>
    <w:p w14:paraId="0563C7D1" w14:textId="77777777" w:rsidR="005D0277" w:rsidRPr="00407B07" w:rsidRDefault="005D0277" w:rsidP="00886F32">
      <w:pPr>
        <w:spacing w:after="0" w:line="360" w:lineRule="auto"/>
        <w:ind w:left="720"/>
        <w:rPr>
          <w:rFonts w:eastAsia="Calibri"/>
          <w:b/>
          <w:bCs/>
          <w:noProof/>
          <w:color w:val="4C4747"/>
          <w:lang w:val="es-DO"/>
        </w:rPr>
      </w:pPr>
      <w:r w:rsidRPr="00407B07">
        <w:rPr>
          <w:rFonts w:eastAsia="Calibri"/>
          <w:b/>
          <w:bCs/>
          <w:noProof/>
          <w:color w:val="4C4747"/>
          <w:lang w:val="es-DO"/>
        </w:rPr>
        <w:t>Servicios Básicos y Movilidad: Garantizando la Sostenibilidad</w:t>
      </w:r>
    </w:p>
    <w:p w14:paraId="5FF55F89"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Durante el periodo 2025, la gestión del desarrollo social se centró en establecer una base diagnóstica robusta y en la ejecución de mantenimientos correctivos esenciales. Se completaron al 100% los levantamientos de indicadores clave de movilidad, estado de la infraestructura vial y del sistema de </w:t>
      </w:r>
      <w:r w:rsidRPr="00873E82">
        <w:rPr>
          <w:rFonts w:eastAsia="Calibri"/>
          <w:noProof/>
          <w:color w:val="4C4747"/>
          <w:lang w:val="es-DO"/>
        </w:rPr>
        <w:lastRenderedPageBreak/>
        <w:t>alumbrado público, identificando puntos críticos tanto en la red eléctrica como en la vialidad. Paralelamente, en el ámbito de los servicios básicos, se ejecutaron campañas de concientización sobre el uso eficiente de agua y energía, y se optimizó la operatividad del sistema hídrico mediante la puesta en funcionamiento de cisternas y la definición de protocolos de limpieza de líneas, sentando las bases para una gestión basada en datos precisos.</w:t>
      </w:r>
    </w:p>
    <w:p w14:paraId="1BBE4C9E" w14:textId="77777777" w:rsidR="008C5212" w:rsidRPr="00873E82" w:rsidRDefault="008C5212" w:rsidP="00886F32">
      <w:pPr>
        <w:spacing w:after="0" w:line="360" w:lineRule="auto"/>
        <w:ind w:left="720"/>
        <w:jc w:val="both"/>
        <w:rPr>
          <w:rFonts w:eastAsia="Calibri"/>
          <w:noProof/>
          <w:color w:val="4C4747"/>
          <w:lang w:val="es-DO"/>
        </w:rPr>
      </w:pPr>
    </w:p>
    <w:p w14:paraId="4D3546A9"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En materia de ejecución y mantenimiento, se priorizó la recuperación del entorno urbano y la seguridad. Se implementó un programa de reparación de baches y limpieza de áreas verdes y contenes, logrando una mejora visible en la vialidad interna. Asimismo, se articuló la coordinación para la construcción del nuevo destacamento policial, el cual alcanzó un 50% de avance físico. Estas acciones se complementaron con la creación de un sistema de reportería interno para el control de luminarias y la gestión de averías, permitiendo una respuesta más ágil ante las incidencias reportadas por la comunidad y seguridad.</w:t>
      </w:r>
    </w:p>
    <w:p w14:paraId="207707FB" w14:textId="77777777" w:rsidR="00411879" w:rsidRPr="00873E82" w:rsidRDefault="00411879" w:rsidP="00886F32">
      <w:pPr>
        <w:spacing w:after="0" w:line="360" w:lineRule="auto"/>
        <w:ind w:left="720"/>
        <w:jc w:val="both"/>
        <w:rPr>
          <w:rFonts w:eastAsia="Calibri"/>
          <w:noProof/>
          <w:color w:val="4C4747"/>
          <w:lang w:val="es-DO"/>
        </w:rPr>
      </w:pPr>
    </w:p>
    <w:p w14:paraId="4E3E5453" w14:textId="0FF04889"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Transporte:</w:t>
      </w:r>
      <w:r w:rsidR="00136635" w:rsidRPr="00873E82">
        <w:rPr>
          <w:rFonts w:eastAsia="Calibri"/>
          <w:noProof/>
          <w:color w:val="4C4747"/>
          <w:lang w:val="es-DO"/>
        </w:rPr>
        <w:t xml:space="preserve"> </w:t>
      </w:r>
      <w:r w:rsidRPr="00873E82">
        <w:rPr>
          <w:rFonts w:eastAsia="Calibri"/>
          <w:noProof/>
          <w:color w:val="4C4747"/>
          <w:lang w:val="es-DO"/>
        </w:rPr>
        <w:t>La articulación interinstitucional fue un eje central para mitigar las debilidades de los servicios externos. Se gestionó formalmente ante la OMSA la incorporación de 13 nuevas unidades de autobuses basándose en informes de demanda, y se logró la aprobación técnica por parte del INTRANT para la instalación de un semáforo en la entrada de Ciudad Juan Bosch, cuyos trabajos civiles están en proceso de cotización.</w:t>
      </w:r>
    </w:p>
    <w:p w14:paraId="0C76825A" w14:textId="77777777" w:rsidR="00411879" w:rsidRPr="00873E82" w:rsidRDefault="00411879" w:rsidP="00886F32">
      <w:pPr>
        <w:spacing w:after="0" w:line="360" w:lineRule="auto"/>
        <w:ind w:left="720"/>
        <w:jc w:val="both"/>
        <w:rPr>
          <w:rFonts w:eastAsia="Calibri"/>
          <w:noProof/>
          <w:color w:val="4C4747"/>
          <w:lang w:val="es-DO"/>
        </w:rPr>
      </w:pPr>
    </w:p>
    <w:p w14:paraId="4835D376"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lastRenderedPageBreak/>
        <w:t>Dentro de las novedades estratégicas, destaca la colaboración con la Fundación Mapfre para el programa de Educación Vial, el cual utiliza un contexto recreativo para la enseñanza de normas de seguridad ciudadana. Actualmente, se está elaborando el calendario detallado de estas actividades, con el objetivo de desplegar este programa educativo y lúdico de manera integral durante el año 2026.</w:t>
      </w:r>
    </w:p>
    <w:p w14:paraId="1D4C79AF" w14:textId="77777777" w:rsidR="00411879" w:rsidRPr="00873E82" w:rsidRDefault="00411879" w:rsidP="00886F32">
      <w:pPr>
        <w:spacing w:after="0" w:line="360" w:lineRule="auto"/>
        <w:ind w:left="720"/>
        <w:jc w:val="both"/>
        <w:rPr>
          <w:rFonts w:eastAsia="Calibri"/>
          <w:noProof/>
          <w:color w:val="4C4747"/>
          <w:lang w:val="es-DO"/>
        </w:rPr>
      </w:pPr>
    </w:p>
    <w:p w14:paraId="53FE3181"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 Del mismo modo, se establecieron canales de comunicación directa y enlaces clave con la CAASD y EDE Este, gestionando pagos pendientes y estructuras de reporte que preparan el terreno para la formalización de futuros acuerdos de nivel de servicio.</w:t>
      </w:r>
    </w:p>
    <w:p w14:paraId="7D143AA4" w14:textId="77777777" w:rsidR="00411879" w:rsidRPr="00873E82" w:rsidRDefault="00411879" w:rsidP="00886F32">
      <w:pPr>
        <w:spacing w:after="0" w:line="360" w:lineRule="auto"/>
        <w:ind w:left="720"/>
        <w:jc w:val="both"/>
        <w:rPr>
          <w:rFonts w:eastAsia="Calibri"/>
          <w:noProof/>
          <w:color w:val="4C4747"/>
          <w:lang w:val="es-DO"/>
        </w:rPr>
      </w:pPr>
    </w:p>
    <w:p w14:paraId="0BB6FF50" w14:textId="77777777" w:rsidR="00407B07" w:rsidRDefault="005D0277" w:rsidP="00886F32">
      <w:pPr>
        <w:spacing w:after="0" w:line="360" w:lineRule="auto"/>
        <w:ind w:left="720"/>
        <w:jc w:val="both"/>
        <w:rPr>
          <w:rFonts w:eastAsia="Calibri"/>
          <w:b/>
          <w:bCs/>
          <w:noProof/>
          <w:color w:val="4C4747"/>
          <w:lang w:val="es-DO"/>
        </w:rPr>
      </w:pPr>
      <w:r w:rsidRPr="00873E82">
        <w:rPr>
          <w:rFonts w:eastAsia="Calibri"/>
          <w:noProof/>
          <w:color w:val="4C4747"/>
          <w:lang w:val="es-DO"/>
        </w:rPr>
        <w:t>Finalmente, se han identificado desafíos críticos que requieren continuidad inmediata para garantizar la sostenibilidad operativa. La prioridad máxima recae en el diseño de una propuesta interinstitucional para la solución del drenaje pluvial, considerado un riesgo operativo anual, y la formalización de acuerdos (SLAs) con las entidades proveedoras de servicios para asegurar la calidad del agua y la estabilidad eléctrica. Quedan en ruta crítica la ejecución de mejoras de accesibilidad peatonal ya cotizadas, la implementación del piloto de reciclaje y la concreción de la instalación semafórica para asegurar la fluidez y seguridad en los accesos del proyecto.</w:t>
      </w:r>
      <w:r w:rsidRPr="00873E82">
        <w:rPr>
          <w:rFonts w:eastAsia="Calibri"/>
          <w:noProof/>
          <w:color w:val="4C4747"/>
          <w:lang w:val="es-DO"/>
        </w:rPr>
        <w:br/>
      </w:r>
    </w:p>
    <w:p w14:paraId="603F4552" w14:textId="71F9802C" w:rsidR="005D0277" w:rsidRPr="00873E82"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Educación:</w:t>
      </w:r>
      <w:r w:rsidRPr="00407B07">
        <w:rPr>
          <w:rFonts w:eastAsia="Calibri"/>
          <w:noProof/>
          <w:color w:val="4C4747"/>
          <w:lang w:val="es-DO"/>
        </w:rPr>
        <w:t xml:space="preserve"> Forjando el Futuro de la Comunidad</w:t>
      </w:r>
      <w:r w:rsidR="00136635" w:rsidRPr="00407B07">
        <w:rPr>
          <w:rFonts w:eastAsia="Calibri"/>
          <w:noProof/>
          <w:color w:val="4C4747"/>
          <w:lang w:val="es-DO"/>
        </w:rPr>
        <w:t xml:space="preserve">: </w:t>
      </w:r>
      <w:r w:rsidRPr="00407B07">
        <w:rPr>
          <w:rFonts w:eastAsia="Calibri"/>
          <w:noProof/>
          <w:color w:val="4C4747"/>
          <w:lang w:val="es-DO"/>
        </w:rPr>
        <w:t xml:space="preserve">La educación se ha consolidado como uno de los pilares más exitosos del proyecto, ya que, mediante una estrecha colaboración con los </w:t>
      </w:r>
      <w:r w:rsidRPr="00407B07">
        <w:rPr>
          <w:rFonts w:eastAsia="Calibri"/>
          <w:noProof/>
          <w:color w:val="4C4747"/>
          <w:lang w:val="es-DO"/>
        </w:rPr>
        <w:lastRenderedPageBreak/>
        <w:t>directores de los centros y las asociaciones de padres, el Fideicomiso ha buscado identificar y atender las necesidades.</w:t>
      </w:r>
    </w:p>
    <w:p w14:paraId="76535153"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Este esfuerzo ha permitido alcanzar los siguientes resultados:</w:t>
      </w:r>
    </w:p>
    <w:p w14:paraId="7563C4A0" w14:textId="77777777" w:rsidR="005D0277" w:rsidRPr="00407B07" w:rsidRDefault="005D0277" w:rsidP="00886F32">
      <w:pPr>
        <w:pStyle w:val="ListParagraph"/>
        <w:numPr>
          <w:ilvl w:val="0"/>
          <w:numId w:val="21"/>
        </w:numPr>
        <w:spacing w:after="0" w:line="360" w:lineRule="auto"/>
        <w:jc w:val="both"/>
        <w:rPr>
          <w:rFonts w:eastAsia="Calibri"/>
          <w:noProof/>
          <w:color w:val="4C4747"/>
        </w:rPr>
      </w:pPr>
      <w:r w:rsidRPr="00407B07">
        <w:rPr>
          <w:rFonts w:eastAsia="Calibri"/>
          <w:noProof/>
          <w:color w:val="4C4747"/>
        </w:rPr>
        <w:t>Se ha definido Ciudad Juan Bosch como piloto para el desarrollo de un territorio STEM en conjunto con la fundación UNIMINUTO de Colombia y la Red Latinoamericana de Territorios STEM</w:t>
      </w:r>
    </w:p>
    <w:p w14:paraId="0F7B287C" w14:textId="77777777" w:rsidR="005D0277" w:rsidRDefault="005D0277" w:rsidP="00886F32">
      <w:pPr>
        <w:pStyle w:val="ListParagraph"/>
        <w:numPr>
          <w:ilvl w:val="0"/>
          <w:numId w:val="21"/>
        </w:numPr>
        <w:spacing w:after="0" w:line="360" w:lineRule="auto"/>
        <w:jc w:val="both"/>
        <w:rPr>
          <w:rFonts w:eastAsia="Calibri"/>
          <w:noProof/>
          <w:color w:val="4C4747"/>
        </w:rPr>
      </w:pPr>
      <w:r w:rsidRPr="00407B07">
        <w:rPr>
          <w:rFonts w:eastAsia="Calibri"/>
          <w:noProof/>
          <w:color w:val="4C4747"/>
        </w:rPr>
        <w:t>Expansión de la Infraestructura Educativa: Para satisfacer la creciente demanda, se llevó a cabo la apertura de una nueva escuela de nivel básico, asegurando el acceso a la educación para 1,200 familias que se integran a la comunidad. Además, el Fideicomiso ha otorgado 3 terrenos adicionales al MINERD para el desarrollo de tres nuevos centros educativos (uno para cada nivel).</w:t>
      </w:r>
    </w:p>
    <w:p w14:paraId="749BE3E2" w14:textId="77777777" w:rsidR="00411879" w:rsidRPr="00407B07" w:rsidRDefault="00411879" w:rsidP="00411879">
      <w:pPr>
        <w:pStyle w:val="ListParagraph"/>
        <w:spacing w:after="0" w:line="360" w:lineRule="auto"/>
        <w:jc w:val="both"/>
        <w:rPr>
          <w:rFonts w:eastAsia="Calibri"/>
          <w:noProof/>
          <w:color w:val="4C4747"/>
        </w:rPr>
      </w:pPr>
    </w:p>
    <w:p w14:paraId="02CCE85B"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Seguridad Escolar:</w:t>
      </w:r>
      <w:r w:rsidRPr="00873E82">
        <w:rPr>
          <w:rFonts w:eastAsia="Calibri"/>
          <w:noProof/>
          <w:color w:val="4C4747"/>
          <w:lang w:val="es-DO"/>
        </w:rPr>
        <w:t xml:space="preserve"> En coordinación con la Policía Escolar, se ha asignado personal exclusivo para la vigilancia y protección permanente de los centros educativos, garantizando un entorno de aprendizaje seguro.</w:t>
      </w:r>
    </w:p>
    <w:p w14:paraId="6E3B2F41" w14:textId="77777777" w:rsidR="00411879" w:rsidRPr="00873E82" w:rsidRDefault="00411879" w:rsidP="00886F32">
      <w:pPr>
        <w:spacing w:after="0" w:line="360" w:lineRule="auto"/>
        <w:ind w:left="720"/>
        <w:jc w:val="both"/>
        <w:rPr>
          <w:rFonts w:eastAsia="Calibri"/>
          <w:noProof/>
          <w:color w:val="4C4747"/>
          <w:lang w:val="es-DO"/>
        </w:rPr>
      </w:pPr>
    </w:p>
    <w:p w14:paraId="09FA8D3B"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Rendimiento Académico Sobresaliente:</w:t>
      </w:r>
      <w:r w:rsidRPr="00873E82">
        <w:rPr>
          <w:rFonts w:eastAsia="Calibri"/>
          <w:noProof/>
          <w:color w:val="4C4747"/>
          <w:lang w:val="es-DO"/>
        </w:rPr>
        <w:t xml:space="preserve"> Los estudiantes de Ciudad Juan Bosch han demostrado un desempeño excepcional, duplicando el porcentaje de estudiantes sobresalientes en comparación con el promedio del distrito escolar de Mendoza (10-06) y la provincia de Santo Domingo.</w:t>
      </w:r>
    </w:p>
    <w:p w14:paraId="218DD4EA" w14:textId="77777777" w:rsidR="00411879" w:rsidRPr="00873E82" w:rsidRDefault="00411879" w:rsidP="00886F32">
      <w:pPr>
        <w:spacing w:after="0" w:line="360" w:lineRule="auto"/>
        <w:ind w:left="720"/>
        <w:jc w:val="both"/>
        <w:rPr>
          <w:rFonts w:eastAsia="Calibri"/>
          <w:noProof/>
          <w:color w:val="4C4747"/>
          <w:lang w:val="es-DO"/>
        </w:rPr>
      </w:pPr>
    </w:p>
    <w:p w14:paraId="6C08BD51" w14:textId="77777777" w:rsidR="005D0277" w:rsidRPr="00873E82"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Excelencia Regional:</w:t>
      </w:r>
      <w:r w:rsidRPr="00873E82">
        <w:rPr>
          <w:rFonts w:eastAsia="Calibri"/>
          <w:noProof/>
          <w:color w:val="4C4747"/>
          <w:lang w:val="es-DO"/>
        </w:rPr>
        <w:t xml:space="preserve"> Durante el presente ciclo educativo, el talento local alcanzó un nuevo nivel con la obtención del primer y segundo lugar en las Olimpíadas Regionales de Ciencias Sociales e Inglés, respectivamente, un testimonio de la alta calidad formativa.</w:t>
      </w:r>
    </w:p>
    <w:p w14:paraId="2653B5B1"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lastRenderedPageBreak/>
        <w:t>Innovación y Capacidades del Siglo XXI:</w:t>
      </w:r>
      <w:r w:rsidRPr="00873E82">
        <w:rPr>
          <w:rFonts w:eastAsia="Calibri"/>
          <w:noProof/>
          <w:color w:val="4C4747"/>
          <w:lang w:val="es-DO"/>
        </w:rPr>
        <w:t xml:space="preserve"> Se ha puesto en marcha un plan piloto de clases de Robótica, una iniciativa de vanguardia para fortalecer las competencias tecnológicas y el pensamiento crítico de los estudiantes desde temprana edad.</w:t>
      </w:r>
    </w:p>
    <w:p w14:paraId="4E487982" w14:textId="77777777" w:rsidR="00411879" w:rsidRPr="00873E82" w:rsidRDefault="00411879" w:rsidP="00886F32">
      <w:pPr>
        <w:spacing w:after="0" w:line="360" w:lineRule="auto"/>
        <w:ind w:left="720"/>
        <w:jc w:val="both"/>
        <w:rPr>
          <w:rFonts w:eastAsia="Calibri"/>
          <w:noProof/>
          <w:color w:val="4C4747"/>
          <w:lang w:val="es-DO"/>
        </w:rPr>
      </w:pPr>
    </w:p>
    <w:p w14:paraId="746E19CB"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Alianzas Estratégicas:</w:t>
      </w:r>
      <w:r w:rsidRPr="00873E82">
        <w:rPr>
          <w:rFonts w:eastAsia="Calibri"/>
          <w:noProof/>
          <w:color w:val="4C4747"/>
          <w:lang w:val="es-DO"/>
        </w:rPr>
        <w:t xml:space="preserve"> Se formalizó una alianza con el Instituto Técnico Superior Comunitario (ITSC) para robustecer y diversificar la oferta educativa y técnica disponible para los jóvenes de la comunidad.</w:t>
      </w:r>
    </w:p>
    <w:p w14:paraId="03CA6748" w14:textId="77777777" w:rsidR="00411879" w:rsidRPr="00873E82" w:rsidRDefault="00411879" w:rsidP="00886F32">
      <w:pPr>
        <w:spacing w:after="0" w:line="360" w:lineRule="auto"/>
        <w:ind w:left="720"/>
        <w:jc w:val="both"/>
        <w:rPr>
          <w:rFonts w:eastAsia="Calibri"/>
          <w:noProof/>
          <w:color w:val="4C4747"/>
          <w:lang w:val="es-DO"/>
        </w:rPr>
      </w:pPr>
    </w:p>
    <w:p w14:paraId="322D2601" w14:textId="5808C15F" w:rsidR="00136635" w:rsidRPr="00407B07" w:rsidRDefault="005D0277" w:rsidP="00886F32">
      <w:pPr>
        <w:spacing w:after="0" w:line="360" w:lineRule="auto"/>
        <w:ind w:left="720"/>
        <w:rPr>
          <w:rFonts w:eastAsia="Calibri"/>
          <w:b/>
          <w:bCs/>
          <w:noProof/>
          <w:color w:val="4C4747"/>
          <w:lang w:val="es-DO"/>
        </w:rPr>
      </w:pPr>
      <w:r w:rsidRPr="00407B07">
        <w:rPr>
          <w:rFonts w:eastAsia="Calibri"/>
          <w:b/>
          <w:bCs/>
          <w:noProof/>
          <w:color w:val="4C4747"/>
          <w:lang w:val="es-DO"/>
        </w:rPr>
        <w:t>Seguridad: Un Entorno Protegido</w:t>
      </w:r>
      <w:r w:rsidR="00407B07">
        <w:rPr>
          <w:rFonts w:eastAsia="Calibri"/>
          <w:b/>
          <w:bCs/>
          <w:noProof/>
          <w:color w:val="4C4747"/>
          <w:lang w:val="es-DO"/>
        </w:rPr>
        <w:t>.</w:t>
      </w:r>
    </w:p>
    <w:p w14:paraId="45AB9CDB" w14:textId="7B9AAAF7" w:rsidR="005D0277" w:rsidRDefault="005D0277" w:rsidP="00886F32">
      <w:pPr>
        <w:spacing w:after="0" w:line="360" w:lineRule="auto"/>
        <w:ind w:left="720"/>
        <w:jc w:val="both"/>
        <w:rPr>
          <w:rFonts w:eastAsia="Calibri"/>
          <w:noProof/>
          <w:color w:val="4C4747"/>
          <w:lang w:val="es-DO"/>
        </w:rPr>
      </w:pPr>
      <w:r w:rsidRPr="00407B07">
        <w:rPr>
          <w:rFonts w:eastAsia="Calibri"/>
          <w:noProof/>
          <w:color w:val="4C4747"/>
          <w:lang w:val="es-DO"/>
        </w:rPr>
        <w:t>La creación de un ambiente seguro y de paz social es una prioridad. Los esfuerzos coordinados han resultado en avances significativos para la protección de los residentes</w:t>
      </w:r>
      <w:r w:rsidR="00411879">
        <w:rPr>
          <w:rFonts w:eastAsia="Calibri"/>
          <w:noProof/>
          <w:color w:val="4C4747"/>
          <w:lang w:val="es-DO"/>
        </w:rPr>
        <w:t>.</w:t>
      </w:r>
    </w:p>
    <w:p w14:paraId="2DC47C76" w14:textId="77777777" w:rsidR="00411879" w:rsidRPr="00873E82" w:rsidRDefault="00411879" w:rsidP="00886F32">
      <w:pPr>
        <w:spacing w:after="0" w:line="360" w:lineRule="auto"/>
        <w:ind w:left="720"/>
        <w:jc w:val="both"/>
        <w:rPr>
          <w:rFonts w:eastAsia="Calibri"/>
          <w:noProof/>
          <w:color w:val="4C4747"/>
          <w:lang w:val="es-DO"/>
        </w:rPr>
      </w:pPr>
    </w:p>
    <w:p w14:paraId="63AD4D6E"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Vigilancia y Control de Accesos:</w:t>
      </w:r>
      <w:r w:rsidRPr="00873E82">
        <w:rPr>
          <w:rFonts w:eastAsia="Calibri"/>
          <w:noProof/>
          <w:color w:val="4C4747"/>
          <w:lang w:val="es-DO"/>
        </w:rPr>
        <w:t xml:space="preserve"> Las garitas de control en los accesos principales se encuentran 100% operativas. Se ha iniciado un proceso de modernización para transformarlas en puntos de acceso automatizados con lectores de tarjetas, lo que agilizará el ingreso de los residentes y reforzará la seguridad perimetral.</w:t>
      </w:r>
    </w:p>
    <w:p w14:paraId="77A5D743" w14:textId="77777777" w:rsidR="00411879" w:rsidRPr="00873E82" w:rsidRDefault="00411879" w:rsidP="00886F32">
      <w:pPr>
        <w:spacing w:after="0" w:line="360" w:lineRule="auto"/>
        <w:ind w:left="720"/>
        <w:jc w:val="both"/>
        <w:rPr>
          <w:rFonts w:eastAsia="Calibri"/>
          <w:noProof/>
          <w:color w:val="4C4747"/>
          <w:lang w:val="es-DO"/>
        </w:rPr>
      </w:pPr>
    </w:p>
    <w:p w14:paraId="0A8066EE"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Mesa de seguridad:</w:t>
      </w:r>
      <w:r w:rsidRPr="00873E82">
        <w:rPr>
          <w:rFonts w:eastAsia="Calibri"/>
          <w:noProof/>
          <w:color w:val="4C4747"/>
          <w:lang w:val="es-DO"/>
        </w:rPr>
        <w:t xml:space="preserve"> Se realizaron reuniones con todas las instituciones de seguridad, para fortalecer la presencia dentro de CJB y, realizar reuniones mensuales de coordinación de los esfuerzos de seguridad en el territorio.</w:t>
      </w:r>
    </w:p>
    <w:p w14:paraId="26E4A325" w14:textId="77777777" w:rsidR="00411879" w:rsidRPr="00873E82" w:rsidRDefault="00411879" w:rsidP="00886F32">
      <w:pPr>
        <w:spacing w:after="0" w:line="360" w:lineRule="auto"/>
        <w:ind w:left="720"/>
        <w:jc w:val="both"/>
        <w:rPr>
          <w:rFonts w:eastAsia="Calibri"/>
          <w:noProof/>
          <w:color w:val="4C4747"/>
          <w:lang w:val="es-DO"/>
        </w:rPr>
      </w:pPr>
    </w:p>
    <w:p w14:paraId="7AF97680" w14:textId="77777777" w:rsidR="005D0277" w:rsidRPr="00873E82"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Charlas de seguridad:</w:t>
      </w:r>
      <w:r w:rsidRPr="00873E82">
        <w:rPr>
          <w:rFonts w:eastAsia="Calibri"/>
          <w:noProof/>
          <w:color w:val="4C4747"/>
          <w:lang w:val="es-DO"/>
        </w:rPr>
        <w:t xml:space="preserve"> Se han impartido charlas sobre los temas críticos que impactan a la ciudadanía, que se han desarrollado tanto en las escuelas como con los consorcios de propietarios.</w:t>
      </w:r>
    </w:p>
    <w:p w14:paraId="4F43F5A0"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lastRenderedPageBreak/>
        <w:t>Refuerzo del Patrullaje:</w:t>
      </w:r>
      <w:r w:rsidRPr="00873E82">
        <w:rPr>
          <w:rFonts w:eastAsia="Calibri"/>
          <w:noProof/>
          <w:color w:val="4C4747"/>
          <w:lang w:val="es-DO"/>
        </w:rPr>
        <w:t xml:space="preserve"> Se conformó una unidad militar de 85 miembros dedicada exclusivamente a Ciudad Juan Bosch. Este cuerpo especializado ha intensificado las labores de patrullaje y sirve de apoyo estratégico a las fuerzas de seguridad pública presentes en el proyecto.</w:t>
      </w:r>
    </w:p>
    <w:p w14:paraId="192D268E" w14:textId="77777777" w:rsidR="00411879" w:rsidRPr="00873E82" w:rsidRDefault="00411879" w:rsidP="00886F32">
      <w:pPr>
        <w:spacing w:after="0" w:line="360" w:lineRule="auto"/>
        <w:ind w:left="720"/>
        <w:jc w:val="both"/>
        <w:rPr>
          <w:rFonts w:eastAsia="Calibri"/>
          <w:noProof/>
          <w:color w:val="4C4747"/>
          <w:lang w:val="es-DO"/>
        </w:rPr>
      </w:pPr>
    </w:p>
    <w:p w14:paraId="7D32CEF7" w14:textId="77777777" w:rsidR="005D0277" w:rsidRDefault="005D0277" w:rsidP="00886F32">
      <w:pPr>
        <w:spacing w:after="0" w:line="360" w:lineRule="auto"/>
        <w:ind w:left="720"/>
        <w:jc w:val="both"/>
        <w:rPr>
          <w:rFonts w:eastAsia="Calibri"/>
          <w:noProof/>
          <w:color w:val="4C4747"/>
          <w:lang w:val="es-DO"/>
        </w:rPr>
      </w:pPr>
      <w:r w:rsidRPr="00407B07">
        <w:rPr>
          <w:rFonts w:eastAsia="Calibri"/>
          <w:b/>
          <w:bCs/>
          <w:noProof/>
          <w:color w:val="4C4747"/>
          <w:lang w:val="es-DO"/>
        </w:rPr>
        <w:t>Percepción de seguridad:</w:t>
      </w:r>
      <w:r w:rsidRPr="00873E82">
        <w:rPr>
          <w:rFonts w:eastAsia="Calibri"/>
          <w:noProof/>
          <w:color w:val="4C4747"/>
          <w:lang w:val="es-DO"/>
        </w:rPr>
        <w:t xml:space="preserve"> Como resultado de estas medidas, la tasa de percepción de seguridad basada en una encuesta realizada en septiembre 2025 arrojó que un 86% de los residentes se sienten seguros o muy seguros.</w:t>
      </w:r>
    </w:p>
    <w:p w14:paraId="75AB96A9" w14:textId="77777777" w:rsidR="00411879" w:rsidRPr="00873E82" w:rsidRDefault="00411879" w:rsidP="00886F32">
      <w:pPr>
        <w:spacing w:after="0" w:line="360" w:lineRule="auto"/>
        <w:ind w:left="720"/>
        <w:jc w:val="both"/>
        <w:rPr>
          <w:rFonts w:eastAsia="Calibri"/>
          <w:noProof/>
          <w:color w:val="4C4747"/>
          <w:lang w:val="es-DO"/>
        </w:rPr>
      </w:pPr>
    </w:p>
    <w:p w14:paraId="4865F9BC" w14:textId="6580F3D1" w:rsidR="00136635" w:rsidRPr="00407B07" w:rsidRDefault="005D0277" w:rsidP="00886F32">
      <w:pPr>
        <w:spacing w:after="0" w:line="360" w:lineRule="auto"/>
        <w:ind w:left="720"/>
        <w:jc w:val="both"/>
        <w:rPr>
          <w:rFonts w:eastAsia="Calibri"/>
          <w:b/>
          <w:bCs/>
          <w:noProof/>
          <w:color w:val="4C4747"/>
          <w:lang w:val="es-DO"/>
        </w:rPr>
      </w:pPr>
      <w:r w:rsidRPr="00407B07">
        <w:rPr>
          <w:rFonts w:eastAsia="Calibri"/>
          <w:b/>
          <w:bCs/>
          <w:noProof/>
          <w:color w:val="4C4747"/>
          <w:lang w:val="es-DO"/>
        </w:rPr>
        <w:t>Salud: Bienestar y Acceso a Servicios Médicos</w:t>
      </w:r>
      <w:r w:rsidR="00407B07">
        <w:rPr>
          <w:rFonts w:eastAsia="Calibri"/>
          <w:b/>
          <w:bCs/>
          <w:noProof/>
          <w:color w:val="4C4747"/>
          <w:lang w:val="es-DO"/>
        </w:rPr>
        <w:t>.</w:t>
      </w:r>
    </w:p>
    <w:p w14:paraId="6B4006B4" w14:textId="0EBB7436" w:rsidR="005D0277" w:rsidRPr="00873E82" w:rsidRDefault="005D0277" w:rsidP="00886F32">
      <w:pPr>
        <w:spacing w:after="0" w:line="360" w:lineRule="auto"/>
        <w:ind w:left="720"/>
        <w:jc w:val="both"/>
        <w:rPr>
          <w:rFonts w:eastAsia="Calibri"/>
          <w:noProof/>
          <w:color w:val="4C4747"/>
          <w:lang w:val="es-DO"/>
        </w:rPr>
      </w:pPr>
      <w:r w:rsidRPr="00407B07">
        <w:rPr>
          <w:rFonts w:eastAsia="Calibri"/>
          <w:noProof/>
          <w:color w:val="4C4747"/>
          <w:lang w:val="es-DO"/>
        </w:rPr>
        <w:t>Se ha trabajado en colaboración con diversas instituciones para acercar los servicios de salud a la población, con un enfoque en la prevención y el apoyo a los más vulnerables mediante la implementación del programa Ciudad Saludable:</w:t>
      </w:r>
    </w:p>
    <w:p w14:paraId="124E0BF3"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Se coordinaron exitosas jornadas de vacunación contra la Hepatitis B junto al Ministerio de Salud Pública, enfocadas en la prevención de enfermedades.</w:t>
      </w:r>
    </w:p>
    <w:p w14:paraId="24BEA1FC" w14:textId="77777777" w:rsidR="00411879" w:rsidRPr="00873E82" w:rsidRDefault="00411879" w:rsidP="00886F32">
      <w:pPr>
        <w:spacing w:after="0" w:line="360" w:lineRule="auto"/>
        <w:ind w:left="720"/>
        <w:jc w:val="both"/>
        <w:rPr>
          <w:rFonts w:eastAsia="Calibri"/>
          <w:noProof/>
          <w:color w:val="4C4747"/>
          <w:lang w:val="es-DO"/>
        </w:rPr>
      </w:pPr>
    </w:p>
    <w:p w14:paraId="572D13C3" w14:textId="77777777"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El Programa de Protección Social (PROPEP) realizó la jornada “Cerca de Ti”, beneficiando a 300 familias en situación de vulnerabilidad con servicios y asistencia social.</w:t>
      </w:r>
    </w:p>
    <w:p w14:paraId="775BF94D"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En alianza con el Ministerio de la Juventud, se gestionó y aseguró la cobertura de seguro médico para más de 300 jóvenes residentes, garantizando su acceso al sistema de salud.</w:t>
      </w:r>
    </w:p>
    <w:p w14:paraId="32E655B4" w14:textId="77777777" w:rsidR="00411879" w:rsidRPr="00873E82" w:rsidRDefault="00411879" w:rsidP="00886F32">
      <w:pPr>
        <w:spacing w:after="0" w:line="360" w:lineRule="auto"/>
        <w:ind w:left="720"/>
        <w:jc w:val="both"/>
        <w:rPr>
          <w:rFonts w:eastAsia="Calibri"/>
          <w:noProof/>
          <w:color w:val="4C4747"/>
          <w:lang w:val="es-DO"/>
        </w:rPr>
      </w:pPr>
    </w:p>
    <w:p w14:paraId="1E77FA88" w14:textId="77777777" w:rsidR="005D0277" w:rsidRPr="00407B07" w:rsidRDefault="005D0277" w:rsidP="00886F32">
      <w:pPr>
        <w:spacing w:after="0" w:line="360" w:lineRule="auto"/>
        <w:ind w:left="720"/>
        <w:jc w:val="both"/>
        <w:rPr>
          <w:rFonts w:eastAsia="Calibri"/>
          <w:b/>
          <w:bCs/>
          <w:noProof/>
          <w:color w:val="4C4747"/>
          <w:lang w:val="es-DO"/>
        </w:rPr>
      </w:pPr>
      <w:r w:rsidRPr="00407B07">
        <w:rPr>
          <w:rFonts w:eastAsia="Calibri"/>
          <w:b/>
          <w:bCs/>
          <w:noProof/>
          <w:color w:val="4C4747"/>
          <w:lang w:val="es-DO"/>
        </w:rPr>
        <w:t>Cultura: Hacia una Identidad Propia</w:t>
      </w:r>
    </w:p>
    <w:p w14:paraId="67F85ADA"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Como parte fundamental del desarrollo integral del ser humano, se ha dado un paso decisivo para la creación de un epicentro para las artes y la identidad local con la aprobación </w:t>
      </w:r>
      <w:r w:rsidRPr="00873E82">
        <w:rPr>
          <w:rFonts w:eastAsia="Calibri"/>
          <w:noProof/>
          <w:color w:val="4C4747"/>
          <w:lang w:val="es-DO"/>
        </w:rPr>
        <w:lastRenderedPageBreak/>
        <w:t>del diseño del Centro Cultural de Ciudad Juan Bosch. Este centro que será puesto en manos del Ministerio de Cultura, cuya construcción estará completa para finales del 2025, servirá como una plataforma vital para el desarrollo de talentos locales y la promoción de una agenda cultural vibrante. En sus instalaciones, se impartirán clases de danza, música y artes plásticas, ofreciendo un espacio dedicado al aprendizaje y la expresión artística para la comunidad.</w:t>
      </w:r>
    </w:p>
    <w:p w14:paraId="17041A8F" w14:textId="77777777" w:rsidR="00411879" w:rsidRPr="00873E82" w:rsidRDefault="00411879" w:rsidP="00886F32">
      <w:pPr>
        <w:spacing w:after="0" w:line="360" w:lineRule="auto"/>
        <w:ind w:left="720"/>
        <w:jc w:val="both"/>
        <w:rPr>
          <w:rFonts w:eastAsia="Calibri"/>
          <w:noProof/>
          <w:color w:val="4C4747"/>
          <w:lang w:val="es-DO"/>
        </w:rPr>
      </w:pPr>
    </w:p>
    <w:p w14:paraId="2B5A2B0C" w14:textId="065E918D" w:rsidR="00407B0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Además, en un esfuerzo por enriquecer la oferta cultural de la ciudad, se está colaborando estrechamente con el Ministerio de Cultura para la creación de un calendario de actividades que se exhibirán en el Anfiteatro La Gaviota. Esta iniciativa busca asegurar una programación cultural continua y diversa, brindando a los residentes y visitantes la oportunidad de disfrutar de una amplia gama de eventos y manifestaciones artísticas, fortaleciendo así la identidad cultural de Ciudad Juan Bosch.</w:t>
      </w:r>
      <w:r w:rsidR="00411879">
        <w:rPr>
          <w:rFonts w:eastAsia="Calibri"/>
          <w:noProof/>
          <w:color w:val="4C4747"/>
          <w:lang w:val="es-DO"/>
        </w:rPr>
        <w:t xml:space="preserve"> </w:t>
      </w:r>
      <w:r w:rsidRPr="00873E82">
        <w:rPr>
          <w:rFonts w:eastAsia="Calibri"/>
          <w:noProof/>
          <w:color w:val="4C4747"/>
          <w:lang w:val="es-DO"/>
        </w:rPr>
        <w:t>Se realizó un concierto el 12 de agosto con motivo del día de la Restauración en el cual asistieron cerca de 5000 residentes de la CJB.</w:t>
      </w:r>
    </w:p>
    <w:p w14:paraId="14C966D5" w14:textId="77777777" w:rsidR="00411879" w:rsidRDefault="00411879" w:rsidP="00886F32">
      <w:pPr>
        <w:spacing w:after="0" w:line="360" w:lineRule="auto"/>
        <w:ind w:left="720"/>
        <w:jc w:val="both"/>
        <w:rPr>
          <w:rFonts w:eastAsia="Calibri"/>
          <w:noProof/>
          <w:color w:val="4C4747"/>
          <w:lang w:val="es-DO"/>
        </w:rPr>
      </w:pPr>
    </w:p>
    <w:p w14:paraId="24517DDB" w14:textId="77777777" w:rsidR="00407B07" w:rsidRDefault="005D0277" w:rsidP="00886F32">
      <w:pPr>
        <w:spacing w:after="0" w:line="360" w:lineRule="auto"/>
        <w:ind w:left="720"/>
        <w:jc w:val="both"/>
        <w:rPr>
          <w:rFonts w:eastAsia="Calibri"/>
          <w:b/>
          <w:bCs/>
          <w:noProof/>
          <w:color w:val="4C4747"/>
          <w:lang w:val="es-DO"/>
        </w:rPr>
      </w:pPr>
      <w:r w:rsidRPr="00407B07">
        <w:rPr>
          <w:rFonts w:eastAsia="Calibri"/>
          <w:b/>
          <w:bCs/>
          <w:noProof/>
          <w:color w:val="4C4747"/>
          <w:lang w:val="es-DO"/>
        </w:rPr>
        <w:t>Deportes y Recreación: Fomentando la Disciplina y el Alto Rendimiento</w:t>
      </w:r>
    </w:p>
    <w:p w14:paraId="7A4FDE04" w14:textId="6C917C11" w:rsidR="005D0277" w:rsidRPr="00873E82" w:rsidRDefault="005D0277" w:rsidP="00886F32">
      <w:pPr>
        <w:spacing w:after="0" w:line="360" w:lineRule="auto"/>
        <w:ind w:left="720"/>
        <w:jc w:val="both"/>
        <w:rPr>
          <w:rFonts w:eastAsia="Calibri"/>
          <w:noProof/>
          <w:color w:val="4C4747"/>
          <w:lang w:val="es-DO"/>
        </w:rPr>
      </w:pPr>
      <w:r w:rsidRPr="00407B07">
        <w:rPr>
          <w:rFonts w:eastAsia="Calibri"/>
          <w:noProof/>
          <w:color w:val="4C4747"/>
          <w:lang w:val="es-DO"/>
        </w:rPr>
        <w:t xml:space="preserve">La gestión estratégica del pilar de Deportes y Recreación en Ciudad Juan Bosch se ha fundamentado en el fortalecimiento institucional mediante una alianza clave con el Instituto Nacional de Educación Física (INEFI). Se ha socializado la creación de la Liga Deportiva Secundaria (LDS) con el objetivo de gestionar becas universitarias para jóvenes atletas, y se propuso la implementación del Centro de Iniciación Deportiva Escolar (CIDE) para el desarrollo de talentos tempranos. Estas </w:t>
      </w:r>
      <w:r w:rsidRPr="00407B07">
        <w:rPr>
          <w:rFonts w:eastAsia="Calibri"/>
          <w:noProof/>
          <w:color w:val="4C4747"/>
          <w:lang w:val="es-DO"/>
        </w:rPr>
        <w:lastRenderedPageBreak/>
        <w:t>acciones se complementan con un acercamiento formal a los docentes de educación física locales para asegurar la dotación de recursos y la inclusión de nuevas disciplinas, garantizando así la sostenibilidad del desarrollo deportivo a largo plazo.</w:t>
      </w:r>
    </w:p>
    <w:p w14:paraId="65053D2E"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En el ámbito comunitario, se ha logrado una diversificación significativa de la oferta recreativa para promover el bienestar integral. A los programas consolidados de Zumba, Ejercicios Funcionales y el Club de Caminantes, se han sumado nuevas disciplinas como Yoga, Patinaje y Kick Boxing. Este dinamismo se refleja en el apoyo constante a las ligas locales y la organización de eventos de alto impacto, destacando la exitosa bicicletada comunitaria de agosto, que movilizó a más de 200 ciclistas, fortaleciendo el tejido social y la salud física de los residentes.</w:t>
      </w:r>
    </w:p>
    <w:p w14:paraId="7A8A34F7" w14:textId="77777777" w:rsidR="00411879" w:rsidRPr="00873E82" w:rsidRDefault="00411879" w:rsidP="00886F32">
      <w:pPr>
        <w:spacing w:after="0" w:line="360" w:lineRule="auto"/>
        <w:ind w:left="720"/>
        <w:jc w:val="both"/>
        <w:rPr>
          <w:rFonts w:eastAsia="Calibri"/>
          <w:noProof/>
          <w:color w:val="4C4747"/>
          <w:lang w:val="es-DO"/>
        </w:rPr>
      </w:pPr>
    </w:p>
    <w:p w14:paraId="15090620"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Finalmente, el pilar ha integrado un componente educativo de alto valor mediante la colaboración con la Fundación Mapfre. A través de este acuerdo, se está ejecutando un programa de Educación Vial que utiliza el contexto recreativo y lúdico para la enseñanza de normas de seguridad ciudadana. Esta visión integral demuestra que la gestión deportiva en Ciudad Juan Bosch trasciende la actividad física inmediata, posicionándose como una plataforma para la educación, la seguridad y el futuro profesional de la juventud.</w:t>
      </w:r>
    </w:p>
    <w:p w14:paraId="73AECDD4" w14:textId="77777777" w:rsidR="00411879" w:rsidRPr="00873E82" w:rsidRDefault="00411879" w:rsidP="00886F32">
      <w:pPr>
        <w:spacing w:after="0" w:line="360" w:lineRule="auto"/>
        <w:ind w:left="720"/>
        <w:jc w:val="both"/>
        <w:rPr>
          <w:rFonts w:eastAsia="Calibri"/>
          <w:noProof/>
          <w:color w:val="4C4747"/>
          <w:lang w:val="es-DO"/>
        </w:rPr>
      </w:pPr>
    </w:p>
    <w:p w14:paraId="303136F9" w14:textId="100061D6" w:rsidR="005D0277" w:rsidRDefault="005D0277" w:rsidP="00886F32">
      <w:pPr>
        <w:spacing w:after="0" w:line="360" w:lineRule="auto"/>
        <w:ind w:left="720"/>
        <w:rPr>
          <w:rFonts w:eastAsia="Calibri"/>
          <w:noProof/>
          <w:color w:val="4C4747"/>
          <w:lang w:val="es-DO"/>
        </w:rPr>
      </w:pPr>
      <w:r w:rsidRPr="00407B07">
        <w:rPr>
          <w:rFonts w:eastAsia="Calibri"/>
          <w:b/>
          <w:bCs/>
          <w:noProof/>
          <w:color w:val="4C4747"/>
          <w:lang w:val="es-DO"/>
        </w:rPr>
        <w:t>Medio Ambiente</w:t>
      </w:r>
      <w:r w:rsidRPr="00407B07">
        <w:rPr>
          <w:rFonts w:eastAsia="Calibri"/>
          <w:noProof/>
          <w:color w:val="4C4747"/>
          <w:lang w:val="es-DO"/>
        </w:rPr>
        <w:br/>
        <w:t>Durante el año 2025 se han plantado cerca de 700 árboles dentro de CJB, cumpliendo el compromiso de que sea una ciudad verde y ambientalmente positiva.</w:t>
      </w:r>
    </w:p>
    <w:p w14:paraId="70A544C0" w14:textId="77777777" w:rsidR="00411879" w:rsidRDefault="00411879" w:rsidP="00886F32">
      <w:pPr>
        <w:spacing w:after="0" w:line="360" w:lineRule="auto"/>
        <w:ind w:left="720"/>
        <w:rPr>
          <w:rFonts w:eastAsia="Calibri"/>
          <w:noProof/>
          <w:color w:val="4C4747"/>
          <w:lang w:val="es-DO"/>
        </w:rPr>
      </w:pPr>
    </w:p>
    <w:p w14:paraId="26A20909" w14:textId="77777777" w:rsidR="00723259" w:rsidRPr="00873E82" w:rsidRDefault="00723259" w:rsidP="00886F32">
      <w:pPr>
        <w:spacing w:after="0" w:line="360" w:lineRule="auto"/>
        <w:ind w:left="720"/>
        <w:rPr>
          <w:rFonts w:eastAsia="Calibri"/>
          <w:noProof/>
          <w:color w:val="4C4747"/>
          <w:lang w:val="es-DO"/>
        </w:rPr>
      </w:pPr>
    </w:p>
    <w:p w14:paraId="623A525C" w14:textId="77777777" w:rsidR="005D0277" w:rsidRPr="00407B07" w:rsidRDefault="005D0277" w:rsidP="00886F32">
      <w:pPr>
        <w:spacing w:after="0" w:line="360" w:lineRule="auto"/>
        <w:ind w:left="720"/>
        <w:rPr>
          <w:rFonts w:eastAsia="Calibri"/>
          <w:b/>
          <w:bCs/>
          <w:noProof/>
          <w:color w:val="4C4747"/>
          <w:lang w:val="es-DO"/>
        </w:rPr>
      </w:pPr>
      <w:r w:rsidRPr="00407B07">
        <w:rPr>
          <w:rFonts w:eastAsia="Calibri"/>
          <w:b/>
          <w:bCs/>
          <w:noProof/>
          <w:color w:val="4C4747"/>
          <w:lang w:val="es-DO"/>
        </w:rPr>
        <w:lastRenderedPageBreak/>
        <w:t>Participación Ciudadana</w:t>
      </w:r>
    </w:p>
    <w:p w14:paraId="472A53E7" w14:textId="77777777"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Hemos realizado acompañamiento a más de 16 residenciales, con el proceso de asamblea extraordinaria, a los fines de evitar situaciones de conflictos entre los propietarios, orientándolo con el reglamento interno de copropiedad.</w:t>
      </w:r>
    </w:p>
    <w:p w14:paraId="5C9282F9" w14:textId="77777777" w:rsidR="00411879" w:rsidRPr="00873E82" w:rsidRDefault="00411879" w:rsidP="00886F32">
      <w:pPr>
        <w:spacing w:after="0" w:line="360" w:lineRule="auto"/>
        <w:ind w:left="720"/>
        <w:jc w:val="both"/>
        <w:rPr>
          <w:rFonts w:eastAsia="Calibri"/>
          <w:noProof/>
          <w:color w:val="4C4747"/>
          <w:lang w:val="es-DO"/>
        </w:rPr>
      </w:pPr>
    </w:p>
    <w:p w14:paraId="3DE1B1A4" w14:textId="536631E4" w:rsidR="005D0277" w:rsidRPr="00873E82"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Coordinación de reunión con la Fiscalía comunitaria de Ciudad Juan Bosch, departamento Legal del Fideicomiso VBC-RD, Las diferentes Fiduciarias que tiene proyecto en la ciudad, constructoras, Administración de condominio, presidentes de consorcios de propietarios y </w:t>
      </w:r>
      <w:r w:rsidR="00136635" w:rsidRPr="00873E82">
        <w:rPr>
          <w:rFonts w:eastAsia="Calibri"/>
          <w:noProof/>
          <w:color w:val="4C4747"/>
          <w:lang w:val="es-DO"/>
        </w:rPr>
        <w:t>líderes</w:t>
      </w:r>
      <w:r w:rsidRPr="00873E82">
        <w:rPr>
          <w:rFonts w:eastAsia="Calibri"/>
          <w:noProof/>
          <w:color w:val="4C4747"/>
          <w:lang w:val="es-DO"/>
        </w:rPr>
        <w:t xml:space="preserve"> comunitarios.  Con el objetivo de estos encuentros es tratar tema de interés común para todos los residentes de la Ciudad y encontrar mecanismos efectivos para canalizar las soluciones de la Ciudad.</w:t>
      </w:r>
    </w:p>
    <w:p w14:paraId="1668A990" w14:textId="764CEFF9" w:rsidR="005D0277" w:rsidRDefault="005D0277" w:rsidP="00886F32">
      <w:pPr>
        <w:spacing w:after="0" w:line="360" w:lineRule="auto"/>
        <w:ind w:left="720"/>
        <w:jc w:val="both"/>
        <w:rPr>
          <w:rFonts w:eastAsia="Calibri"/>
          <w:noProof/>
          <w:color w:val="4C4747"/>
          <w:lang w:val="es-DO"/>
        </w:rPr>
      </w:pPr>
      <w:r w:rsidRPr="00873E82">
        <w:rPr>
          <w:rFonts w:eastAsia="Calibri"/>
          <w:noProof/>
          <w:color w:val="4C4747"/>
          <w:lang w:val="es-DO"/>
        </w:rPr>
        <w:t xml:space="preserve">Reunión con los presidentes de consorcios de propietarios y </w:t>
      </w:r>
      <w:r w:rsidR="00136635" w:rsidRPr="00873E82">
        <w:rPr>
          <w:rFonts w:eastAsia="Calibri"/>
          <w:noProof/>
          <w:color w:val="4C4747"/>
          <w:lang w:val="es-DO"/>
        </w:rPr>
        <w:t>líderes</w:t>
      </w:r>
      <w:r w:rsidRPr="00873E82">
        <w:rPr>
          <w:rFonts w:eastAsia="Calibri"/>
          <w:noProof/>
          <w:color w:val="4C4747"/>
          <w:lang w:val="es-DO"/>
        </w:rPr>
        <w:t xml:space="preserve"> comunitarios a los fines de trabajar con la plataforma reporta con conciencia, fortalecer los temas y apoyos de encuestas.</w:t>
      </w:r>
    </w:p>
    <w:p w14:paraId="704C6DD5" w14:textId="77777777" w:rsidR="00F819C0" w:rsidRDefault="00F819C0" w:rsidP="00886F32">
      <w:pPr>
        <w:spacing w:after="0" w:line="360" w:lineRule="auto"/>
        <w:ind w:left="720"/>
        <w:jc w:val="both"/>
        <w:rPr>
          <w:rFonts w:eastAsia="Calibri"/>
          <w:noProof/>
          <w:color w:val="4C4747"/>
          <w:lang w:val="es-DO"/>
        </w:rPr>
      </w:pPr>
    </w:p>
    <w:p w14:paraId="5DD5FBA7" w14:textId="3AF17B63" w:rsidR="00F819C0" w:rsidRPr="004A7B4D" w:rsidRDefault="00F819C0" w:rsidP="004A7B4D">
      <w:pPr>
        <w:pStyle w:val="ListParagraph"/>
        <w:numPr>
          <w:ilvl w:val="1"/>
          <w:numId w:val="101"/>
        </w:numPr>
        <w:spacing w:after="0" w:line="360" w:lineRule="auto"/>
        <w:jc w:val="center"/>
        <w:outlineLvl w:val="1"/>
        <w:rPr>
          <w:rFonts w:eastAsia="Calibri"/>
          <w:b/>
          <w:bCs/>
          <w:noProof/>
          <w:color w:val="4C4747"/>
        </w:rPr>
      </w:pPr>
      <w:r w:rsidRPr="004A7B4D">
        <w:rPr>
          <w:rFonts w:eastAsia="Calibri"/>
          <w:b/>
          <w:bCs/>
          <w:noProof/>
          <w:color w:val="4C4747"/>
        </w:rPr>
        <w:t xml:space="preserve"> </w:t>
      </w:r>
      <w:bookmarkStart w:id="82" w:name="_Toc217382614"/>
      <w:r w:rsidRPr="004A7B4D">
        <w:rPr>
          <w:rFonts w:eastAsia="Calibri"/>
          <w:b/>
          <w:bCs/>
          <w:noProof/>
          <w:color w:val="4C4747"/>
        </w:rPr>
        <w:t>Viceministerio de Cooperación Internacional</w:t>
      </w:r>
      <w:bookmarkEnd w:id="82"/>
    </w:p>
    <w:p w14:paraId="75242FF3" w14:textId="77777777" w:rsidR="00F819C0"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 xml:space="preserve">La </w:t>
      </w:r>
      <w:r>
        <w:rPr>
          <w:rFonts w:eastAsia="Calibri"/>
          <w:noProof/>
          <w:color w:val="4C4747"/>
          <w:lang w:val="es-DO"/>
        </w:rPr>
        <w:t>C</w:t>
      </w:r>
      <w:r w:rsidRPr="000A60B9">
        <w:rPr>
          <w:rFonts w:eastAsia="Calibri"/>
          <w:noProof/>
          <w:color w:val="4C4747"/>
          <w:lang w:val="es-DO"/>
        </w:rPr>
        <w:t xml:space="preserve">ooperación </w:t>
      </w:r>
      <w:r>
        <w:rPr>
          <w:rFonts w:eastAsia="Calibri"/>
          <w:noProof/>
          <w:color w:val="4C4747"/>
          <w:lang w:val="es-DO"/>
        </w:rPr>
        <w:t>I</w:t>
      </w:r>
      <w:r w:rsidRPr="000A60B9">
        <w:rPr>
          <w:rFonts w:eastAsia="Calibri"/>
          <w:noProof/>
          <w:color w:val="4C4747"/>
          <w:lang w:val="es-DO"/>
        </w:rPr>
        <w:t>nternacional es un mecanismo de colaboración entre países, organismos y entidades que genera intercambios de recursos, conocimientos y asistencia técnica para impulsar políticas públicas y mejorar la calidad de vida de la población. En un país clasificado como Renta Media Alta (PRMA), con menor acceso a la Ayuda Oficial al Desarrollo (AOD)</w:t>
      </w:r>
      <w:r>
        <w:rPr>
          <w:rFonts w:eastAsia="Calibri"/>
          <w:noProof/>
          <w:color w:val="4C4747"/>
          <w:lang w:val="es-DO"/>
        </w:rPr>
        <w:t xml:space="preserve">, mantener una fuerte institucionalidad oriendara de los recursos de la cooperación, así como la gestión de </w:t>
      </w:r>
      <w:r w:rsidRPr="000A60B9">
        <w:rPr>
          <w:rFonts w:eastAsia="Calibri"/>
          <w:noProof/>
          <w:color w:val="4C4747"/>
          <w:lang w:val="es-DO"/>
        </w:rPr>
        <w:t>intervenciones innovadoras, estratégicas y de alto impacto</w:t>
      </w:r>
      <w:r>
        <w:rPr>
          <w:rFonts w:eastAsia="Calibri"/>
          <w:noProof/>
          <w:color w:val="4C4747"/>
          <w:lang w:val="es-DO"/>
        </w:rPr>
        <w:t xml:space="preserve"> para la sociedad es crucial, es por esto que el rol </w:t>
      </w:r>
      <w:r w:rsidRPr="000A60B9">
        <w:rPr>
          <w:rFonts w:eastAsia="Calibri"/>
          <w:noProof/>
          <w:color w:val="4C4747"/>
          <w:lang w:val="es-DO"/>
        </w:rPr>
        <w:t>del V</w:t>
      </w:r>
      <w:r>
        <w:rPr>
          <w:rFonts w:eastAsia="Calibri"/>
          <w:noProof/>
          <w:color w:val="4C4747"/>
          <w:lang w:val="es-DO"/>
        </w:rPr>
        <w:t xml:space="preserve">iceministerio </w:t>
      </w:r>
      <w:r>
        <w:rPr>
          <w:rFonts w:eastAsia="Calibri"/>
          <w:noProof/>
          <w:color w:val="4C4747"/>
          <w:lang w:val="es-DO"/>
        </w:rPr>
        <w:lastRenderedPageBreak/>
        <w:t xml:space="preserve">de Cooperación Internacional, </w:t>
      </w:r>
      <w:r w:rsidRPr="000A60B9">
        <w:rPr>
          <w:rFonts w:eastAsia="Calibri"/>
          <w:noProof/>
          <w:color w:val="4C4747"/>
          <w:lang w:val="es-DO"/>
        </w:rPr>
        <w:t xml:space="preserve">es aún más crucial para orientar los recursos </w:t>
      </w:r>
      <w:r>
        <w:rPr>
          <w:rFonts w:eastAsia="Calibri"/>
          <w:noProof/>
          <w:color w:val="4C4747"/>
          <w:lang w:val="es-DO"/>
        </w:rPr>
        <w:t>e iniciativas de la cooparación internacional.</w:t>
      </w:r>
    </w:p>
    <w:p w14:paraId="085067E7" w14:textId="77777777" w:rsidR="00F819C0"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El Viceministerio de Cooperación Internacional (VIMICI) es la entidad rectora del Sistema Nacional de Cooperación Internacional para el Desarrollo (SINACID) y tiene la responsabilidad de asegurar que los recursos de cooperación internacional —técnicos y financieros— se gestionen de forma estratégica, transparente y alineada con las prioridades nacionales.</w:t>
      </w:r>
      <w:r>
        <w:rPr>
          <w:rFonts w:eastAsia="Calibri"/>
          <w:noProof/>
          <w:color w:val="4C4747"/>
          <w:lang w:val="es-DO"/>
        </w:rPr>
        <w:t xml:space="preserve"> </w:t>
      </w:r>
    </w:p>
    <w:p w14:paraId="2D5A57D5" w14:textId="77777777" w:rsidR="00411879" w:rsidRPr="000A60B9" w:rsidRDefault="00411879" w:rsidP="00F819C0">
      <w:pPr>
        <w:spacing w:after="0" w:line="360" w:lineRule="auto"/>
        <w:ind w:left="720"/>
        <w:jc w:val="both"/>
        <w:rPr>
          <w:rFonts w:eastAsia="Calibri"/>
          <w:noProof/>
          <w:color w:val="4C4747"/>
          <w:lang w:val="es-DO"/>
        </w:rPr>
      </w:pPr>
    </w:p>
    <w:p w14:paraId="0FAECEAE" w14:textId="77777777" w:rsidR="00F819C0" w:rsidRPr="000A60B9"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El Viceministerio contribuye de manera directa al fortalecimiento de la gestión pública y al cumplimiento de las prioridades del Gobierno dominicano mediante cuatro funciones esenciales:</w:t>
      </w:r>
    </w:p>
    <w:p w14:paraId="403BA0CF" w14:textId="77777777" w:rsidR="00F819C0" w:rsidRPr="000A60B9"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 xml:space="preserve">1. </w:t>
      </w:r>
      <w:r w:rsidRPr="00247394">
        <w:rPr>
          <w:rFonts w:eastAsia="Calibri"/>
          <w:noProof/>
          <w:color w:val="4C4747"/>
          <w:lang w:val="es-DO"/>
        </w:rPr>
        <w:t>Definición de estrategias y normas:</w:t>
      </w:r>
      <w:r>
        <w:rPr>
          <w:rFonts w:eastAsia="Calibri"/>
          <w:noProof/>
          <w:color w:val="4C4747"/>
          <w:lang w:val="es-DO"/>
        </w:rPr>
        <w:t xml:space="preserve"> </w:t>
      </w:r>
      <w:r w:rsidRPr="000A60B9">
        <w:rPr>
          <w:rFonts w:eastAsia="Calibri"/>
          <w:noProof/>
          <w:color w:val="4C4747"/>
          <w:lang w:val="es-DO"/>
        </w:rPr>
        <w:t>Establece lineamientos, marcos normativos y criterios de priorización que garantizan el uso estratégico de la cooperación. Facilita espacios de diálogo con cooperantes para alinear intereses y orientar recursos hacia áreas de impacto y cierre de brechas.</w:t>
      </w:r>
    </w:p>
    <w:p w14:paraId="4A94F67F" w14:textId="77777777" w:rsidR="00F819C0" w:rsidRPr="000A60B9"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 xml:space="preserve">2. </w:t>
      </w:r>
      <w:r w:rsidRPr="00247394">
        <w:rPr>
          <w:rFonts w:eastAsia="Calibri"/>
          <w:noProof/>
          <w:color w:val="4C4747"/>
          <w:lang w:val="es-DO"/>
        </w:rPr>
        <w:t>Gestión de recursos y acuerdos</w:t>
      </w:r>
      <w:r>
        <w:rPr>
          <w:rFonts w:eastAsia="Calibri"/>
          <w:noProof/>
          <w:color w:val="4C4747"/>
          <w:lang w:val="es-DO"/>
        </w:rPr>
        <w:t xml:space="preserve">: </w:t>
      </w:r>
      <w:r w:rsidRPr="000A60B9">
        <w:rPr>
          <w:rFonts w:eastAsia="Calibri"/>
          <w:noProof/>
          <w:color w:val="4C4747"/>
          <w:lang w:val="es-DO"/>
        </w:rPr>
        <w:t>Acompaña a las instituciones públicas en la formulación, negociación y estructuración de iniciativas. Administra procesos como la No Objeción SINACID, asegurando calidad técnica, sostenibilidad e integridad de las intervenciones.</w:t>
      </w:r>
    </w:p>
    <w:p w14:paraId="4FC1430C" w14:textId="77777777" w:rsidR="00F819C0" w:rsidRPr="000A60B9"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 xml:space="preserve">3. </w:t>
      </w:r>
      <w:r w:rsidRPr="00247394">
        <w:rPr>
          <w:rFonts w:eastAsia="Calibri"/>
          <w:noProof/>
          <w:color w:val="4C4747"/>
          <w:lang w:val="es-DO"/>
        </w:rPr>
        <w:t>Representación internacional del país:</w:t>
      </w:r>
      <w:r>
        <w:rPr>
          <w:rFonts w:eastAsia="Calibri"/>
          <w:noProof/>
          <w:color w:val="4C4747"/>
          <w:lang w:val="es-DO"/>
        </w:rPr>
        <w:t xml:space="preserve"> </w:t>
      </w:r>
      <w:r w:rsidRPr="000A60B9">
        <w:rPr>
          <w:rFonts w:eastAsia="Calibri"/>
          <w:noProof/>
          <w:color w:val="4C4747"/>
          <w:lang w:val="es-DO"/>
        </w:rPr>
        <w:t>Participa en foros globales, promueve alianzas estratégicas y fortalece la presencia internacional de la República Dominicana. Identifica oportunidades y gestiona diversas fuentes de cooperación que contribuyen al desarrollo sostenible.</w:t>
      </w:r>
    </w:p>
    <w:p w14:paraId="44360631" w14:textId="77777777" w:rsidR="00F819C0"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 xml:space="preserve">4. </w:t>
      </w:r>
      <w:r w:rsidRPr="00247394">
        <w:rPr>
          <w:rFonts w:eastAsia="Calibri"/>
          <w:noProof/>
          <w:color w:val="4C4747"/>
          <w:lang w:val="es-DO"/>
        </w:rPr>
        <w:t>Evaluación, seguimiento y transparencia:</w:t>
      </w:r>
      <w:r>
        <w:rPr>
          <w:rFonts w:eastAsia="Calibri"/>
          <w:noProof/>
          <w:color w:val="4C4747"/>
          <w:lang w:val="es-DO"/>
        </w:rPr>
        <w:t xml:space="preserve"> </w:t>
      </w:r>
      <w:r w:rsidRPr="000A60B9">
        <w:rPr>
          <w:rFonts w:eastAsia="Calibri"/>
          <w:noProof/>
          <w:color w:val="4C4747"/>
          <w:lang w:val="es-DO"/>
        </w:rPr>
        <w:t xml:space="preserve">Da seguimiento a la ejecución de los proyectos y administra el SI-SINACID, que </w:t>
      </w:r>
      <w:r w:rsidRPr="000A60B9">
        <w:rPr>
          <w:rFonts w:eastAsia="Calibri"/>
          <w:noProof/>
          <w:color w:val="4C4747"/>
          <w:lang w:val="es-DO"/>
        </w:rPr>
        <w:lastRenderedPageBreak/>
        <w:t>centraliza información de la cooperación para apoyar la toma de decisiones, la rendición de cuentas y la transparencia.</w:t>
      </w:r>
    </w:p>
    <w:p w14:paraId="4694C24A" w14:textId="77777777" w:rsidR="005E2676" w:rsidRPr="000A60B9" w:rsidRDefault="005E2676" w:rsidP="00F819C0">
      <w:pPr>
        <w:spacing w:after="0" w:line="360" w:lineRule="auto"/>
        <w:ind w:left="720"/>
        <w:jc w:val="both"/>
        <w:rPr>
          <w:rFonts w:eastAsia="Calibri"/>
          <w:noProof/>
          <w:color w:val="4C4747"/>
          <w:lang w:val="es-DO"/>
        </w:rPr>
      </w:pPr>
    </w:p>
    <w:p w14:paraId="67984FAE" w14:textId="77777777" w:rsidR="00F819C0" w:rsidRPr="000A60B9" w:rsidRDefault="00F819C0" w:rsidP="00F819C0">
      <w:pPr>
        <w:spacing w:after="0" w:line="360" w:lineRule="auto"/>
        <w:ind w:left="720"/>
        <w:jc w:val="both"/>
        <w:rPr>
          <w:rFonts w:eastAsia="Calibri"/>
          <w:noProof/>
          <w:color w:val="4C4747"/>
          <w:lang w:val="es-DO"/>
        </w:rPr>
      </w:pPr>
      <w:r w:rsidRPr="000A60B9">
        <w:rPr>
          <w:rFonts w:eastAsia="Calibri"/>
          <w:noProof/>
          <w:color w:val="4C4747"/>
          <w:lang w:val="es-DO"/>
        </w:rPr>
        <w:t>El S</w:t>
      </w:r>
      <w:r>
        <w:rPr>
          <w:rFonts w:eastAsia="Calibri"/>
          <w:noProof/>
          <w:color w:val="4C4747"/>
          <w:lang w:val="es-DO"/>
        </w:rPr>
        <w:t xml:space="preserve">istema </w:t>
      </w:r>
      <w:r w:rsidRPr="000A60B9">
        <w:rPr>
          <w:rFonts w:eastAsia="Calibri"/>
          <w:noProof/>
          <w:color w:val="4C4747"/>
          <w:lang w:val="es-DO"/>
        </w:rPr>
        <w:t>N</w:t>
      </w:r>
      <w:r>
        <w:rPr>
          <w:rFonts w:eastAsia="Calibri"/>
          <w:noProof/>
          <w:color w:val="4C4747"/>
          <w:lang w:val="es-DO"/>
        </w:rPr>
        <w:t xml:space="preserve">acional de Cooperación Internacional al Desarrollo, </w:t>
      </w:r>
      <w:r w:rsidRPr="000A60B9">
        <w:rPr>
          <w:rFonts w:eastAsia="Calibri"/>
          <w:noProof/>
          <w:color w:val="4C4747"/>
          <w:lang w:val="es-DO"/>
        </w:rPr>
        <w:t>organiza, coordina y regula todos los flujos de cooperación internacional en el país. Bajo la rectoría del VIMICI, articula a instituciones públicas, gobiernos locales, cooperantes y organismos internacionales en torno a:</w:t>
      </w:r>
    </w:p>
    <w:p w14:paraId="5935A3CC" w14:textId="77777777" w:rsidR="00F819C0" w:rsidRDefault="00F819C0" w:rsidP="00F819C0">
      <w:pPr>
        <w:pStyle w:val="ListParagraph"/>
        <w:numPr>
          <w:ilvl w:val="0"/>
          <w:numId w:val="73"/>
        </w:numPr>
        <w:spacing w:after="0" w:line="360" w:lineRule="auto"/>
        <w:jc w:val="both"/>
        <w:rPr>
          <w:rFonts w:eastAsia="Calibri"/>
          <w:noProof/>
          <w:color w:val="4C4747"/>
        </w:rPr>
      </w:pPr>
      <w:r w:rsidRPr="005C3C5C">
        <w:rPr>
          <w:rFonts w:eastAsia="Calibri"/>
          <w:noProof/>
          <w:color w:val="4C4747"/>
        </w:rPr>
        <w:t>Prioridades nacionales definidas en el PNPSP y el PNPCI</w:t>
      </w:r>
    </w:p>
    <w:p w14:paraId="79D99DED" w14:textId="77777777" w:rsidR="00F819C0" w:rsidRDefault="00F819C0" w:rsidP="00F819C0">
      <w:pPr>
        <w:pStyle w:val="ListParagraph"/>
        <w:numPr>
          <w:ilvl w:val="0"/>
          <w:numId w:val="73"/>
        </w:numPr>
        <w:spacing w:after="0" w:line="360" w:lineRule="auto"/>
        <w:jc w:val="both"/>
        <w:rPr>
          <w:rFonts w:eastAsia="Calibri"/>
          <w:noProof/>
          <w:color w:val="4C4747"/>
        </w:rPr>
      </w:pPr>
      <w:r w:rsidRPr="005C3C5C">
        <w:rPr>
          <w:rFonts w:eastAsia="Calibri"/>
          <w:noProof/>
          <w:color w:val="4C4747"/>
        </w:rPr>
        <w:t>Procedimientos estandarizados para identificar, aprobar, ejecutar y evaluar iniciativas</w:t>
      </w:r>
    </w:p>
    <w:p w14:paraId="2C8C7E9E" w14:textId="53EE749D" w:rsidR="00F819C0" w:rsidRDefault="00F819C0" w:rsidP="00F819C0">
      <w:pPr>
        <w:pStyle w:val="ListParagraph"/>
        <w:numPr>
          <w:ilvl w:val="0"/>
          <w:numId w:val="73"/>
        </w:numPr>
        <w:spacing w:after="0" w:line="360" w:lineRule="auto"/>
        <w:jc w:val="both"/>
        <w:rPr>
          <w:rFonts w:eastAsia="Calibri"/>
          <w:noProof/>
          <w:color w:val="4C4747"/>
        </w:rPr>
      </w:pPr>
      <w:r w:rsidRPr="005C3C5C">
        <w:rPr>
          <w:rFonts w:eastAsia="Calibri"/>
          <w:noProof/>
          <w:color w:val="4C4747"/>
        </w:rPr>
        <w:t>Criterios de priorización que orientan la cooperación hacia fortalecimiento institucional, innovación, resiliencia climática, atención a grupos y territorios vulnerables y soluciones sostenibles</w:t>
      </w:r>
      <w:r w:rsidR="005E2676">
        <w:rPr>
          <w:rFonts w:eastAsia="Calibri"/>
          <w:noProof/>
          <w:color w:val="4C4747"/>
        </w:rPr>
        <w:t>.</w:t>
      </w:r>
    </w:p>
    <w:p w14:paraId="5A2686B2" w14:textId="77777777" w:rsidR="005E2676" w:rsidRPr="005C3C5C" w:rsidRDefault="005E2676" w:rsidP="005E2676">
      <w:pPr>
        <w:pStyle w:val="ListParagraph"/>
        <w:spacing w:after="0" w:line="360" w:lineRule="auto"/>
        <w:jc w:val="both"/>
        <w:rPr>
          <w:rFonts w:eastAsia="Calibri"/>
          <w:noProof/>
          <w:color w:val="4C4747"/>
        </w:rPr>
      </w:pPr>
    </w:p>
    <w:p w14:paraId="24E22E12" w14:textId="77777777" w:rsidR="00F819C0" w:rsidRDefault="00F819C0" w:rsidP="00F819C0">
      <w:pPr>
        <w:spacing w:after="0" w:line="360" w:lineRule="auto"/>
        <w:ind w:left="720"/>
        <w:jc w:val="both"/>
        <w:rPr>
          <w:rFonts w:eastAsia="Calibri"/>
          <w:noProof/>
          <w:color w:val="4C4747"/>
          <w:lang w:val="es-DO"/>
        </w:rPr>
      </w:pPr>
      <w:r>
        <w:rPr>
          <w:rFonts w:eastAsia="Calibri"/>
          <w:noProof/>
          <w:color w:val="4C4747"/>
          <w:lang w:val="es-DO"/>
        </w:rPr>
        <w:t>Durante el año 2025 e</w:t>
      </w:r>
      <w:r w:rsidRPr="000A60B9">
        <w:rPr>
          <w:rFonts w:eastAsia="Calibri"/>
          <w:noProof/>
          <w:color w:val="4C4747"/>
          <w:lang w:val="es-DO"/>
        </w:rPr>
        <w:t xml:space="preserve">l VIMICI </w:t>
      </w:r>
      <w:r>
        <w:rPr>
          <w:rFonts w:eastAsia="Calibri"/>
          <w:noProof/>
          <w:color w:val="4C4747"/>
          <w:lang w:val="es-DO"/>
        </w:rPr>
        <w:t xml:space="preserve">se integró </w:t>
      </w:r>
      <w:r w:rsidRPr="000A60B9">
        <w:rPr>
          <w:rFonts w:eastAsia="Calibri"/>
          <w:noProof/>
          <w:color w:val="4C4747"/>
          <w:lang w:val="es-DO"/>
        </w:rPr>
        <w:t>al Ministerio de la Presidencia (MINPRE)</w:t>
      </w:r>
      <w:r>
        <w:rPr>
          <w:rFonts w:eastAsia="Calibri"/>
          <w:noProof/>
          <w:color w:val="4C4747"/>
          <w:lang w:val="es-DO"/>
        </w:rPr>
        <w:t xml:space="preserve">, tras un proceso de </w:t>
      </w:r>
      <w:r w:rsidRPr="000A60B9">
        <w:rPr>
          <w:rFonts w:eastAsia="Calibri"/>
          <w:noProof/>
          <w:color w:val="4C4747"/>
          <w:lang w:val="es-DO"/>
        </w:rPr>
        <w:t>transición orientado a fortalecer la articulación interinstitucional y elevar el nivel político de la cooperación internacional</w:t>
      </w:r>
      <w:r>
        <w:rPr>
          <w:rFonts w:eastAsia="Calibri"/>
          <w:noProof/>
          <w:color w:val="4C4747"/>
          <w:lang w:val="es-DO"/>
        </w:rPr>
        <w:t xml:space="preserve">, </w:t>
      </w:r>
      <w:r w:rsidRPr="000A60B9">
        <w:rPr>
          <w:rFonts w:eastAsia="Calibri"/>
          <w:noProof/>
          <w:color w:val="4C4747"/>
          <w:lang w:val="es-DO"/>
        </w:rPr>
        <w:t>busca</w:t>
      </w:r>
      <w:r>
        <w:rPr>
          <w:rFonts w:eastAsia="Calibri"/>
          <w:noProof/>
          <w:color w:val="4C4747"/>
          <w:lang w:val="es-DO"/>
        </w:rPr>
        <w:t>ndo</w:t>
      </w:r>
      <w:r w:rsidRPr="000A60B9">
        <w:rPr>
          <w:rFonts w:eastAsia="Calibri"/>
          <w:noProof/>
          <w:color w:val="4C4747"/>
          <w:lang w:val="es-DO"/>
        </w:rPr>
        <w:t xml:space="preserve"> optimizar la coordinación del Estado para la captación y gestión de recursos en favor del desarrollo nacional. </w:t>
      </w:r>
      <w:r>
        <w:rPr>
          <w:rFonts w:eastAsia="Calibri"/>
          <w:noProof/>
          <w:color w:val="4C4747"/>
          <w:lang w:val="es-DO"/>
        </w:rPr>
        <w:t>Con esta nueva</w:t>
      </w:r>
      <w:r w:rsidRPr="000A60B9">
        <w:rPr>
          <w:rFonts w:eastAsia="Calibri"/>
          <w:noProof/>
          <w:color w:val="4C4747"/>
          <w:lang w:val="es-DO"/>
        </w:rPr>
        <w:t xml:space="preserve"> adscripción administrativa, el VIMICI mantiene su mandato de rectoría del SINACID, garantizando continuidad operativa y mayor capacidad de incidencia en la gestión gubernamental</w:t>
      </w:r>
      <w:r>
        <w:rPr>
          <w:rFonts w:eastAsia="Calibri"/>
          <w:noProof/>
          <w:color w:val="4C4747"/>
          <w:lang w:val="es-DO"/>
        </w:rPr>
        <w:t>.</w:t>
      </w:r>
    </w:p>
    <w:p w14:paraId="140E24A2" w14:textId="77777777" w:rsidR="00F819C0" w:rsidRDefault="00F819C0" w:rsidP="00F819C0">
      <w:pPr>
        <w:spacing w:after="0" w:line="360" w:lineRule="auto"/>
        <w:ind w:left="720"/>
        <w:jc w:val="both"/>
        <w:rPr>
          <w:rFonts w:eastAsia="Calibri"/>
          <w:noProof/>
          <w:color w:val="4C4747"/>
          <w:lang w:val="es-DO"/>
        </w:rPr>
      </w:pPr>
    </w:p>
    <w:p w14:paraId="7DA02840" w14:textId="77777777" w:rsidR="00F819C0" w:rsidRPr="004834FE" w:rsidRDefault="00F819C0" w:rsidP="00F819C0">
      <w:pPr>
        <w:spacing w:after="0" w:line="360" w:lineRule="auto"/>
        <w:ind w:left="720"/>
        <w:rPr>
          <w:rFonts w:eastAsia="Calibri"/>
          <w:b/>
          <w:bCs/>
          <w:noProof/>
          <w:color w:val="4C4747"/>
          <w:lang w:val="es-DO"/>
        </w:rPr>
      </w:pPr>
      <w:r w:rsidRPr="004834FE">
        <w:rPr>
          <w:rFonts w:eastAsia="Calibri"/>
          <w:b/>
          <w:bCs/>
          <w:noProof/>
          <w:color w:val="4C4747"/>
          <w:lang w:val="es-DO"/>
        </w:rPr>
        <w:t xml:space="preserve">Fortalecimiento de la Gestión Estratégica del SINACID </w:t>
      </w:r>
    </w:p>
    <w:p w14:paraId="04351172" w14:textId="77777777" w:rsidR="00F819C0" w:rsidRPr="00247394" w:rsidRDefault="00F819C0" w:rsidP="00F819C0">
      <w:pPr>
        <w:spacing w:after="0" w:line="360" w:lineRule="auto"/>
        <w:ind w:left="720"/>
        <w:rPr>
          <w:rFonts w:eastAsia="Calibri"/>
          <w:noProof/>
          <w:color w:val="4C4747"/>
          <w:lang w:val="es-DO"/>
        </w:rPr>
      </w:pPr>
      <w:r w:rsidRPr="00247394">
        <w:rPr>
          <w:rFonts w:eastAsia="Calibri"/>
          <w:noProof/>
          <w:color w:val="4C4747"/>
          <w:lang w:val="es-DO"/>
        </w:rPr>
        <w:t>Durante el período, se ejecutaron acciones clave para fortalecer el Sistema Nacional de Cooperación Internacional para el Desarrollo (SINACID), destacándose:</w:t>
      </w:r>
    </w:p>
    <w:p w14:paraId="02EAEF00" w14:textId="77777777" w:rsidR="00F819C0" w:rsidRPr="004834FE" w:rsidRDefault="00F819C0" w:rsidP="00F819C0">
      <w:pPr>
        <w:pStyle w:val="ListParagraph"/>
        <w:numPr>
          <w:ilvl w:val="0"/>
          <w:numId w:val="74"/>
        </w:numPr>
        <w:spacing w:after="0" w:line="360" w:lineRule="auto"/>
        <w:rPr>
          <w:rFonts w:eastAsia="Calibri"/>
          <w:b/>
          <w:bCs/>
          <w:noProof/>
          <w:color w:val="4C4747"/>
        </w:rPr>
      </w:pPr>
      <w:bookmarkStart w:id="83" w:name="_Toc172101117"/>
      <w:r w:rsidRPr="004834FE">
        <w:rPr>
          <w:rFonts w:eastAsia="Calibri"/>
          <w:b/>
          <w:bCs/>
          <w:noProof/>
          <w:color w:val="4C4747"/>
        </w:rPr>
        <w:lastRenderedPageBreak/>
        <w:t>Espacios de Coordinación y Priorización de la Cooperación Internacional</w:t>
      </w:r>
      <w:bookmarkEnd w:id="83"/>
      <w:r>
        <w:rPr>
          <w:rFonts w:eastAsia="Calibri"/>
          <w:b/>
          <w:bCs/>
          <w:noProof/>
          <w:color w:val="4C4747"/>
        </w:rPr>
        <w:t>:</w:t>
      </w:r>
    </w:p>
    <w:p w14:paraId="09DF8967"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En 2025 se llevaron a cabo tres (3) Espacios de Diálogos Temáticos, que tienen una visión técnico-operativa y que focalizan en aspectos particulares dentro de una problemática o desafío de desarrollo, los temas que se abordaron fueron Turismo Sostenible, Asociaciones Sin Fines de Lucro y la Estrategia Meta RD 2036: </w:t>
      </w:r>
    </w:p>
    <w:p w14:paraId="5FA6E2F3" w14:textId="77777777" w:rsidR="00F819C0" w:rsidRPr="004834FE" w:rsidRDefault="00F819C0" w:rsidP="00F819C0">
      <w:pPr>
        <w:pStyle w:val="ListParagraph"/>
        <w:numPr>
          <w:ilvl w:val="0"/>
          <w:numId w:val="74"/>
        </w:numPr>
        <w:spacing w:after="0" w:line="360" w:lineRule="auto"/>
        <w:jc w:val="both"/>
        <w:rPr>
          <w:rFonts w:eastAsia="Calibri"/>
          <w:noProof/>
          <w:color w:val="4C4747"/>
        </w:rPr>
      </w:pPr>
      <w:r w:rsidRPr="004834FE">
        <w:rPr>
          <w:rFonts w:eastAsia="Calibri"/>
          <w:noProof/>
          <w:color w:val="4C4747"/>
        </w:rPr>
        <w:t>En abril 2025, se llevó a cabo la mesa de coordinación con los actores de la cooperación internacional para socializar la Estrategia Meta RD 2036 y su articulación con las transformaciones previstas en el Plan de Gobierno 2024–2028, en coordinación con el Consejo Nacional de Competitividad. La sesión contó con la participación de representantes multilaterales, bilaterales y regionales, y generó un diálogo orientado a identificar sinergias, potenciar la cooperación disponible y asegurar que los recursos internacionales contribuyan efectivamente al desarrollo sostenible del país.</w:t>
      </w:r>
    </w:p>
    <w:p w14:paraId="205D6D65" w14:textId="77777777" w:rsidR="00F819C0" w:rsidRPr="004834FE" w:rsidRDefault="00F819C0" w:rsidP="00F819C0">
      <w:pPr>
        <w:pStyle w:val="ListParagraph"/>
        <w:numPr>
          <w:ilvl w:val="0"/>
          <w:numId w:val="74"/>
        </w:numPr>
        <w:spacing w:after="0" w:line="360" w:lineRule="auto"/>
        <w:jc w:val="both"/>
        <w:rPr>
          <w:rFonts w:eastAsia="Calibri"/>
          <w:noProof/>
          <w:color w:val="4C4747"/>
        </w:rPr>
      </w:pPr>
      <w:r w:rsidRPr="004834FE">
        <w:rPr>
          <w:rFonts w:eastAsia="Calibri"/>
          <w:noProof/>
          <w:color w:val="4C4747"/>
        </w:rPr>
        <w:t xml:space="preserve">En mayo, como parte de los esfuerzos del SINACID por fortalecer la articulación entre el Estado, la sociedad civil y los socios de cooperación, se realizó el Encuentro entre Cooperantes y Asociaciones sin Fines de Lucro (ASFL), organizado en coordinación con el Centro Nacional de Fomento y Promoción de las ASFL (CASFL). Este espacio buscó facilitar alianzas estratégicas, impulsar el acceso de las ASFL a recursos de cooperación internacional y fomentar su alineamiento con los ODS y con las prioridades nacionales de desarrollo. </w:t>
      </w:r>
    </w:p>
    <w:p w14:paraId="3B3A802D" w14:textId="77777777" w:rsidR="00F819C0" w:rsidRPr="004834FE" w:rsidRDefault="00F819C0" w:rsidP="00F819C0">
      <w:pPr>
        <w:pStyle w:val="ListParagraph"/>
        <w:numPr>
          <w:ilvl w:val="0"/>
          <w:numId w:val="74"/>
        </w:numPr>
        <w:spacing w:after="0" w:line="360" w:lineRule="auto"/>
        <w:jc w:val="both"/>
        <w:rPr>
          <w:rFonts w:eastAsia="Calibri"/>
          <w:noProof/>
          <w:color w:val="4C4747"/>
        </w:rPr>
      </w:pPr>
      <w:r w:rsidRPr="004834FE">
        <w:rPr>
          <w:rFonts w:eastAsia="Calibri"/>
          <w:noProof/>
          <w:color w:val="4C4747"/>
        </w:rPr>
        <w:t xml:space="preserve">En junio, se celebró un diálogo especializado con los actores de la cooperación internacional dedicado al turismo sostenible, organizado </w:t>
      </w:r>
      <w:r w:rsidRPr="004834FE">
        <w:rPr>
          <w:rFonts w:eastAsia="Calibri"/>
          <w:noProof/>
          <w:color w:val="4C4747"/>
        </w:rPr>
        <w:lastRenderedPageBreak/>
        <w:t>conjuntamente por el Ministerio de Turismo (MITUR) y el Viceministerio de Cooperación Internacional (VIMICI), con apoyo técnico de ONU Turismo. Este espacio, concebido como un mecanismo formal de coordinación, reunió a xx instituciones nacionales y a más de quince (15) organismos cooperantes para socializar la propuesta de la Estrategia y Política Nacional de Turismo Sostenible 2040, presentar sus avances y recoger insumos estratégicos para su fortalecimiento.</w:t>
      </w:r>
    </w:p>
    <w:p w14:paraId="4E5418EF" w14:textId="77777777" w:rsidR="00F819C0" w:rsidRPr="004834FE" w:rsidRDefault="00F819C0" w:rsidP="00F819C0">
      <w:pPr>
        <w:pStyle w:val="ListParagraph"/>
        <w:numPr>
          <w:ilvl w:val="0"/>
          <w:numId w:val="74"/>
        </w:numPr>
        <w:spacing w:after="0" w:line="360" w:lineRule="auto"/>
        <w:jc w:val="both"/>
        <w:rPr>
          <w:rFonts w:eastAsia="Calibri"/>
          <w:noProof/>
          <w:color w:val="4C4747"/>
        </w:rPr>
      </w:pPr>
      <w:r w:rsidRPr="004834FE">
        <w:rPr>
          <w:rFonts w:eastAsia="Calibri"/>
          <w:noProof/>
          <w:color w:val="4C4747"/>
        </w:rPr>
        <w:t>En noviembre se realizó la 4ta Mesa de Alto Nivel de Cooperación Internacional se consolidó como el principal espacio político-estratégico para la articulación entre el Gobierno dominicano y la comunidad de cooperantes, fortaleciendo la eficacia y la transparencia en la gestión de la cooperación. En esta edición, realizada en un contexto de reformas del Estado y tras la culminación del Diálogo de Acción Nacional de la 4.ª Ronda de Monitoreo de la AGCED, se presentaron los avances nacionales, se validaron los desafíos identificados y se gestionaron compromisos conjuntos hacia una hoja de ruta orientada a mejorar los procesos de planificación, coordinación y seguimiento del SINACID. Este espacio permitió alinear prioridades institucionales, promover compromisos concretos y reafirmar el rol del país en la conducción estratégica de la cooperación internacional para el desarrollo.</w:t>
      </w:r>
    </w:p>
    <w:p w14:paraId="0B4D79D2" w14:textId="77777777" w:rsidR="00F819C0" w:rsidRPr="00247394" w:rsidRDefault="00F819C0" w:rsidP="00F819C0">
      <w:pPr>
        <w:pStyle w:val="ListParagraph"/>
        <w:spacing w:after="0" w:line="360" w:lineRule="auto"/>
        <w:jc w:val="both"/>
        <w:rPr>
          <w:rFonts w:eastAsia="Calibri"/>
          <w:noProof/>
          <w:color w:val="4C4747"/>
        </w:rPr>
      </w:pPr>
    </w:p>
    <w:p w14:paraId="36471D78" w14:textId="77777777" w:rsidR="00F819C0" w:rsidRPr="007B6B04" w:rsidRDefault="00F819C0" w:rsidP="00F819C0">
      <w:pPr>
        <w:spacing w:after="0" w:line="360" w:lineRule="auto"/>
        <w:ind w:left="720"/>
        <w:rPr>
          <w:rFonts w:eastAsia="Calibri"/>
          <w:b/>
          <w:bCs/>
          <w:noProof/>
          <w:color w:val="4C4747"/>
          <w:lang w:val="es-DO"/>
        </w:rPr>
      </w:pPr>
      <w:r w:rsidRPr="007B6B04">
        <w:rPr>
          <w:rFonts w:eastAsia="Calibri"/>
          <w:b/>
          <w:bCs/>
          <w:noProof/>
          <w:color w:val="4C4747"/>
          <w:lang w:val="es-DO"/>
        </w:rPr>
        <w:t>Implementación de Instrumentos Operativos Para Una Gestión Eficaz</w:t>
      </w:r>
    </w:p>
    <w:p w14:paraId="61425690" w14:textId="1EDDF6CA"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Durante el año 2025, 19 iniciativas de cooperación internacional fueron registradas, evaluadas y avaladas mediante la emisión de la No Objeción SINACID, en </w:t>
      </w:r>
      <w:r w:rsidRPr="00247394">
        <w:rPr>
          <w:rFonts w:eastAsia="Calibri"/>
          <w:noProof/>
          <w:color w:val="4C4747"/>
          <w:lang w:val="es-DO"/>
        </w:rPr>
        <w:lastRenderedPageBreak/>
        <w:t>cumplimiento con la Resolución Núm. 17-2022, beneficiando a 16 instituciones públicas y gobiernos locales. Estas acumulan un presupuesto total de RD$561.1 millones en 11 temáticas de desarrollo, resaltando salud, empleo, agua y saneamiento, protección social y sector agropecuario.</w:t>
      </w:r>
    </w:p>
    <w:p w14:paraId="445173DB" w14:textId="77777777" w:rsidR="00303512" w:rsidRDefault="00303512" w:rsidP="00F819C0">
      <w:pPr>
        <w:spacing w:after="0" w:line="360" w:lineRule="auto"/>
        <w:ind w:left="720"/>
        <w:jc w:val="both"/>
        <w:rPr>
          <w:rFonts w:eastAsia="Calibri"/>
          <w:noProof/>
          <w:color w:val="4C4747"/>
          <w:lang w:val="es-DO"/>
        </w:rPr>
      </w:pPr>
    </w:p>
    <w:p w14:paraId="48FFC793" w14:textId="77777777" w:rsidR="00F819C0" w:rsidRPr="004834FE" w:rsidRDefault="00F819C0" w:rsidP="00F819C0">
      <w:pPr>
        <w:pStyle w:val="ListParagraph"/>
        <w:numPr>
          <w:ilvl w:val="0"/>
          <w:numId w:val="70"/>
        </w:numPr>
        <w:spacing w:after="0" w:line="360" w:lineRule="auto"/>
        <w:jc w:val="both"/>
        <w:rPr>
          <w:rFonts w:eastAsia="Calibri"/>
          <w:b/>
          <w:bCs/>
          <w:noProof/>
          <w:color w:val="4C4747"/>
        </w:rPr>
      </w:pPr>
      <w:r w:rsidRPr="004834FE">
        <w:rPr>
          <w:rFonts w:eastAsia="Calibri"/>
          <w:b/>
          <w:bCs/>
          <w:noProof/>
          <w:color w:val="4C4747"/>
        </w:rPr>
        <w:t>Ronda de Monitoreo de la Alianza Global para la Cooperación Eficaz al Desarrollo (AGCED):</w:t>
      </w:r>
    </w:p>
    <w:p w14:paraId="17983682"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La República Dominicana es uno de los ocho países en la región que participó de la 4ta. Ronda de Monitoreo de la Alianza Global para la Cooperación Eficaz al Desarrollo (AGCED). El ejercicio nacional fue de carácter multiactor, orientado a dar seguimiento a los principios de eficacia de la cooperación: apropiación nacional, enfoque en resultados, alianzas inclusivas, transparencia y rendición de cuentas. La evaluación se realizó entre noviembre de 2024 y noviembre de 2025 con una tasa de respuesta del 86%, que evidencia el compromiso institucional de las instituciones rectoras del Sistema Nacional de Cooperación Internacional para el Desarrollo (SINACID) bajo la coordinación del Viceministerio de Cooperación Internacional, además de 30 socios cooperantes, tres entidades sombrillas de la sociedad civil, cuatro del sector privado empresarial y tres del sector sindical. En la fase final de reflexión y acción se desarrolló un plan de acción para abordar los retos asociados a la eficacia de la cooperación en el país. </w:t>
      </w:r>
    </w:p>
    <w:p w14:paraId="456FE67A" w14:textId="77777777" w:rsidR="00F819C0" w:rsidRPr="00247394" w:rsidRDefault="00F819C0" w:rsidP="00F819C0">
      <w:pPr>
        <w:spacing w:after="0" w:line="360" w:lineRule="auto"/>
        <w:ind w:left="720"/>
        <w:jc w:val="both"/>
        <w:rPr>
          <w:rFonts w:eastAsia="Calibri"/>
          <w:noProof/>
          <w:color w:val="4C4747"/>
          <w:lang w:val="es-DO"/>
        </w:rPr>
      </w:pPr>
    </w:p>
    <w:p w14:paraId="70E9BA92" w14:textId="77777777" w:rsidR="00F819C0" w:rsidRPr="004834FE" w:rsidRDefault="00F819C0" w:rsidP="00F819C0">
      <w:pPr>
        <w:spacing w:after="0" w:line="360" w:lineRule="auto"/>
        <w:ind w:left="720"/>
        <w:rPr>
          <w:rFonts w:eastAsia="Calibri"/>
          <w:b/>
          <w:bCs/>
          <w:noProof/>
          <w:color w:val="4C4747"/>
          <w:lang w:val="es-DO"/>
        </w:rPr>
      </w:pPr>
      <w:r w:rsidRPr="004834FE">
        <w:rPr>
          <w:rFonts w:eastAsia="Calibri"/>
          <w:b/>
          <w:bCs/>
          <w:noProof/>
          <w:color w:val="4C4747"/>
          <w:lang w:val="es-DO"/>
        </w:rPr>
        <w:t>Impulso de una Política Nacional de Oferta de Cooperación</w:t>
      </w:r>
    </w:p>
    <w:p w14:paraId="51A77497" w14:textId="77777777" w:rsidR="00F819C0" w:rsidRPr="00782836" w:rsidRDefault="00F819C0" w:rsidP="00F819C0">
      <w:pPr>
        <w:pStyle w:val="ListParagraph"/>
        <w:numPr>
          <w:ilvl w:val="0"/>
          <w:numId w:val="75"/>
        </w:numPr>
        <w:spacing w:after="0" w:line="360" w:lineRule="auto"/>
        <w:jc w:val="both"/>
        <w:rPr>
          <w:rFonts w:eastAsia="Calibri"/>
          <w:noProof/>
          <w:color w:val="4C4747"/>
        </w:rPr>
      </w:pPr>
      <w:r w:rsidRPr="00782836">
        <w:rPr>
          <w:rFonts w:eastAsia="Calibri"/>
          <w:noProof/>
          <w:color w:val="4C4747"/>
        </w:rPr>
        <w:t xml:space="preserve">Colocación de Nuevas Iniciativas: Durante la 4° Reunión del Grupo de Trabajo de Cooperación Técnica y Científica entre la </w:t>
      </w:r>
      <w:r w:rsidRPr="00782836">
        <w:rPr>
          <w:rFonts w:eastAsia="Calibri"/>
          <w:noProof/>
          <w:color w:val="4C4747"/>
        </w:rPr>
        <w:lastRenderedPageBreak/>
        <w:t>República Dominicana y la República del Perú fue presentada y aprobada una (1) nueva iniciativa de doble vía, lo cual es un espacio propicio para transferir nuestros conocimientos y fortalecer las capacidades de dicho país, a saber:</w:t>
      </w:r>
    </w:p>
    <w:p w14:paraId="55683F4B" w14:textId="77777777" w:rsidR="00303512" w:rsidRDefault="00F819C0" w:rsidP="00F819C0">
      <w:pPr>
        <w:pStyle w:val="ListParagraph"/>
        <w:numPr>
          <w:ilvl w:val="0"/>
          <w:numId w:val="60"/>
        </w:numPr>
        <w:spacing w:after="0" w:line="360" w:lineRule="auto"/>
        <w:jc w:val="both"/>
        <w:rPr>
          <w:rFonts w:eastAsia="Calibri"/>
          <w:noProof/>
          <w:color w:val="4C4747"/>
        </w:rPr>
      </w:pPr>
      <w:r w:rsidRPr="00247394">
        <w:rPr>
          <w:rFonts w:eastAsia="Calibri"/>
          <w:noProof/>
          <w:color w:val="4C4747"/>
        </w:rPr>
        <w:t>Implementación de buenas prácticas para la gestión sostenible del agua para riego en el Perú y República Dominicana entre el Ministerio de Desarrollo Agrario y Riego (MIDAGRI) y Tecnificación Nacional de Riego (TNR)</w:t>
      </w:r>
    </w:p>
    <w:p w14:paraId="2030A0F2" w14:textId="03D6758C" w:rsidR="00F819C0" w:rsidRPr="00247394" w:rsidRDefault="00F819C0" w:rsidP="00303512">
      <w:pPr>
        <w:pStyle w:val="ListParagraph"/>
        <w:spacing w:after="0" w:line="360" w:lineRule="auto"/>
        <w:jc w:val="both"/>
        <w:rPr>
          <w:rFonts w:eastAsia="Calibri"/>
          <w:noProof/>
          <w:color w:val="4C4747"/>
        </w:rPr>
      </w:pPr>
      <w:r w:rsidRPr="00247394">
        <w:rPr>
          <w:rFonts w:eastAsia="Calibri"/>
          <w:noProof/>
          <w:color w:val="4C4747"/>
        </w:rPr>
        <w:t xml:space="preserve"> </w:t>
      </w:r>
    </w:p>
    <w:p w14:paraId="049B2076" w14:textId="77777777" w:rsidR="00F819C0" w:rsidRPr="00782836" w:rsidRDefault="00F819C0" w:rsidP="00F819C0">
      <w:pPr>
        <w:pStyle w:val="ListParagraph"/>
        <w:numPr>
          <w:ilvl w:val="0"/>
          <w:numId w:val="75"/>
        </w:numPr>
        <w:spacing w:after="0" w:line="360" w:lineRule="auto"/>
        <w:jc w:val="both"/>
        <w:rPr>
          <w:rFonts w:eastAsia="Calibri"/>
          <w:noProof/>
          <w:color w:val="4C4747"/>
        </w:rPr>
      </w:pPr>
      <w:r w:rsidRPr="00782836">
        <w:rPr>
          <w:rFonts w:eastAsia="Calibri"/>
          <w:noProof/>
          <w:color w:val="4C4747"/>
        </w:rPr>
        <w:t>Implementación de la Oferta: Durante este año continuamos contribuyendo con el desarrollo de las capacidades de nuestros países socios, con tres programas culminados con igual número de países con un total de 17 iniciativas de ofertas (10 iniciativas sólo de ofertas dominicanas) de las que destacamos tres ámbitos:</w:t>
      </w:r>
    </w:p>
    <w:p w14:paraId="4E38F95A" w14:textId="77777777" w:rsidR="00F819C0" w:rsidRPr="00782836" w:rsidRDefault="00F819C0" w:rsidP="00F819C0">
      <w:pPr>
        <w:pStyle w:val="ListParagraph"/>
        <w:numPr>
          <w:ilvl w:val="0"/>
          <w:numId w:val="60"/>
        </w:numPr>
        <w:spacing w:after="0" w:line="360" w:lineRule="auto"/>
        <w:jc w:val="both"/>
        <w:rPr>
          <w:rFonts w:eastAsia="Calibri"/>
          <w:noProof/>
          <w:color w:val="4C4747"/>
        </w:rPr>
      </w:pPr>
      <w:r w:rsidRPr="00247394">
        <w:rPr>
          <w:rFonts w:eastAsia="Calibri"/>
          <w:noProof/>
          <w:color w:val="4C4747"/>
        </w:rPr>
        <w:t>Transferencia de conocimientos agro-sostenibles:</w:t>
      </w:r>
      <w:r>
        <w:rPr>
          <w:rFonts w:eastAsia="Calibri"/>
          <w:noProof/>
          <w:color w:val="4C4747"/>
        </w:rPr>
        <w:t xml:space="preserve"> </w:t>
      </w:r>
      <w:r w:rsidRPr="00782836">
        <w:rPr>
          <w:rFonts w:eastAsia="Calibri"/>
          <w:noProof/>
          <w:color w:val="4C4747"/>
        </w:rPr>
        <w:t>La Universidad ISA compartió su experiencia en producción sostenible con Colombia, formando más de 20 técnicos de la Unidad de Restitución de Tierras que capacitaron a más de 7,400 campesinos, fortaleciendo su sostenibilidad y reactivación económica.</w:t>
      </w:r>
    </w:p>
    <w:p w14:paraId="7AC2CB28" w14:textId="77777777" w:rsidR="00F819C0" w:rsidRPr="00782836" w:rsidRDefault="00F819C0" w:rsidP="00F819C0">
      <w:pPr>
        <w:pStyle w:val="ListParagraph"/>
        <w:numPr>
          <w:ilvl w:val="0"/>
          <w:numId w:val="60"/>
        </w:numPr>
        <w:spacing w:after="0" w:line="360" w:lineRule="auto"/>
        <w:jc w:val="both"/>
        <w:rPr>
          <w:rFonts w:eastAsia="Calibri"/>
          <w:noProof/>
          <w:color w:val="4C4747"/>
        </w:rPr>
      </w:pPr>
      <w:r w:rsidRPr="00247394">
        <w:rPr>
          <w:rFonts w:eastAsia="Calibri"/>
          <w:noProof/>
          <w:color w:val="4C4747"/>
        </w:rPr>
        <w:t>Cooperación científica y ambiental:</w:t>
      </w:r>
      <w:r>
        <w:rPr>
          <w:rFonts w:eastAsia="Calibri"/>
          <w:noProof/>
          <w:color w:val="4C4747"/>
        </w:rPr>
        <w:t xml:space="preserve"> </w:t>
      </w:r>
      <w:r w:rsidRPr="00782836">
        <w:rPr>
          <w:rFonts w:eastAsia="Calibri"/>
          <w:noProof/>
          <w:color w:val="4C4747"/>
        </w:rPr>
        <w:t>Se desarrollaron investigaciones conjuntas entre ISA y más de 14 instituciones colombianas en temas como cooperativismo, bioinsumos, manejo de plagas, impacto ambiental y seguridad alimentaria, además del intercambio con el Plan Sierra para construir territorios hidrosociales sostenibles.</w:t>
      </w:r>
    </w:p>
    <w:p w14:paraId="1DF8B917" w14:textId="77777777" w:rsidR="00F819C0" w:rsidRPr="00782836" w:rsidRDefault="00F819C0" w:rsidP="00F819C0">
      <w:pPr>
        <w:pStyle w:val="ListParagraph"/>
        <w:numPr>
          <w:ilvl w:val="0"/>
          <w:numId w:val="65"/>
        </w:numPr>
        <w:spacing w:after="0" w:line="360" w:lineRule="auto"/>
        <w:jc w:val="both"/>
        <w:rPr>
          <w:rFonts w:eastAsia="Calibri"/>
          <w:noProof/>
          <w:color w:val="4C4747"/>
        </w:rPr>
      </w:pPr>
      <w:r w:rsidRPr="00247394">
        <w:rPr>
          <w:rFonts w:eastAsia="Calibri"/>
          <w:noProof/>
          <w:color w:val="4C4747"/>
        </w:rPr>
        <w:t>Fortalecimiento institucional y territorial:</w:t>
      </w:r>
      <w:r>
        <w:rPr>
          <w:rFonts w:eastAsia="Calibri"/>
          <w:noProof/>
          <w:color w:val="4C4747"/>
        </w:rPr>
        <w:t xml:space="preserve"> </w:t>
      </w:r>
      <w:r w:rsidRPr="00782836">
        <w:rPr>
          <w:rFonts w:eastAsia="Calibri"/>
          <w:noProof/>
          <w:color w:val="4C4747"/>
        </w:rPr>
        <w:t xml:space="preserve">Destacan proyectos con INAPA y el MEM en materia de agua, cambio climático y energía geoespacial, así como la alianza entre FEDOMU y FCM </w:t>
      </w:r>
      <w:r w:rsidRPr="00782836">
        <w:rPr>
          <w:rFonts w:eastAsia="Calibri"/>
          <w:noProof/>
          <w:color w:val="4C4747"/>
        </w:rPr>
        <w:lastRenderedPageBreak/>
        <w:t>para mejorar la gestión del ordenamiento territorial y promover hermanamientos entre municipios de ambos países.</w:t>
      </w:r>
    </w:p>
    <w:p w14:paraId="69E16F0F" w14:textId="77777777" w:rsidR="00F819C0" w:rsidRPr="00782836" w:rsidRDefault="00F819C0" w:rsidP="00F819C0">
      <w:pPr>
        <w:pStyle w:val="ListParagraph"/>
        <w:numPr>
          <w:ilvl w:val="0"/>
          <w:numId w:val="66"/>
        </w:numPr>
        <w:spacing w:after="0" w:line="360" w:lineRule="auto"/>
        <w:jc w:val="both"/>
        <w:rPr>
          <w:rFonts w:eastAsia="Calibri"/>
          <w:noProof/>
          <w:color w:val="4C4747"/>
        </w:rPr>
      </w:pPr>
      <w:r w:rsidRPr="00247394">
        <w:rPr>
          <w:rFonts w:eastAsia="Calibri"/>
          <w:noProof/>
          <w:color w:val="4C4747"/>
        </w:rPr>
        <w:t>Iniciativas de oferta:</w:t>
      </w:r>
      <w:r>
        <w:rPr>
          <w:rFonts w:eastAsia="Calibri"/>
          <w:noProof/>
          <w:color w:val="4C4747"/>
        </w:rPr>
        <w:t xml:space="preserve"> </w:t>
      </w:r>
      <w:r w:rsidRPr="00782836">
        <w:rPr>
          <w:rFonts w:eastAsia="Calibri"/>
          <w:noProof/>
          <w:color w:val="4C4747"/>
        </w:rPr>
        <w:t>Seguimiento a ocho iniciativas de oferta de cooperación Sur-Sur y Triangular que benefician a socios de la región como, Perú, Colombia, Guatemala, Costa Rica y Liberia en agua y saneamiento, fortalecimiento institucional, medioambiente y cambio climático, sector agropecuario y turismo.</w:t>
      </w:r>
    </w:p>
    <w:p w14:paraId="086E8C23" w14:textId="77777777" w:rsidR="00F819C0" w:rsidRDefault="00F819C0" w:rsidP="00F819C0">
      <w:pPr>
        <w:pStyle w:val="ListParagraph"/>
        <w:numPr>
          <w:ilvl w:val="0"/>
          <w:numId w:val="66"/>
        </w:numPr>
        <w:spacing w:after="0" w:line="360" w:lineRule="auto"/>
        <w:jc w:val="both"/>
        <w:rPr>
          <w:rFonts w:eastAsia="Calibri"/>
          <w:noProof/>
          <w:color w:val="4C4747"/>
        </w:rPr>
      </w:pPr>
      <w:r w:rsidRPr="00782836">
        <w:rPr>
          <w:rFonts w:eastAsia="Calibri"/>
          <w:noProof/>
          <w:color w:val="4C4747"/>
        </w:rPr>
        <w:t>Valorización de la oferta y gestión de datos: Participación del país en el Marco de Medición de la Cooperación Sur-Sur, liderado por la UNCTAD y la CEPAL. Adicional a esto, el Viceministerio realizó su primera reportería a este marco y reportó por tercera vez al marco TOSSD. Este proceso ha contribuido a robustecer los registros nacionales de oferta en el país en aras a fortalecer el rol dual de República Dominicana.</w:t>
      </w:r>
    </w:p>
    <w:p w14:paraId="1402CD98" w14:textId="77777777" w:rsidR="00F819C0" w:rsidRDefault="00F819C0" w:rsidP="00F819C0">
      <w:pPr>
        <w:spacing w:after="0" w:line="360" w:lineRule="auto"/>
        <w:ind w:left="720"/>
        <w:rPr>
          <w:rFonts w:eastAsia="Calibri"/>
          <w:b/>
          <w:bCs/>
          <w:noProof/>
          <w:color w:val="4C4747"/>
          <w:lang w:val="es-DO"/>
        </w:rPr>
      </w:pPr>
    </w:p>
    <w:p w14:paraId="4A960082" w14:textId="77777777" w:rsidR="00F819C0" w:rsidRPr="00782836" w:rsidRDefault="00F819C0" w:rsidP="00F819C0">
      <w:pPr>
        <w:spacing w:after="0" w:line="360" w:lineRule="auto"/>
        <w:ind w:left="720"/>
        <w:rPr>
          <w:rFonts w:eastAsia="Calibri"/>
          <w:b/>
          <w:bCs/>
          <w:noProof/>
          <w:color w:val="4C4747"/>
          <w:lang w:val="es-DO"/>
        </w:rPr>
      </w:pPr>
      <w:r w:rsidRPr="00782836">
        <w:rPr>
          <w:rFonts w:eastAsia="Calibri"/>
          <w:b/>
          <w:bCs/>
          <w:noProof/>
          <w:color w:val="4C4747"/>
          <w:lang w:val="es-DO"/>
        </w:rPr>
        <w:t xml:space="preserve">Fortalecimiento de la Gestión Financiera de proyectos de </w:t>
      </w:r>
      <w:r>
        <w:rPr>
          <w:rFonts w:eastAsia="Calibri"/>
          <w:b/>
          <w:bCs/>
          <w:noProof/>
          <w:color w:val="4C4747"/>
          <w:lang w:val="es-DO"/>
        </w:rPr>
        <w:t>C</w:t>
      </w:r>
      <w:r w:rsidRPr="00782836">
        <w:rPr>
          <w:rFonts w:eastAsia="Calibri"/>
          <w:b/>
          <w:bCs/>
          <w:noProof/>
          <w:color w:val="4C4747"/>
          <w:lang w:val="es-DO"/>
        </w:rPr>
        <w:t>ooperación Internacional fortalecida</w:t>
      </w:r>
    </w:p>
    <w:p w14:paraId="779E4F38"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El Departamento de Seguimiento Financiero desempeña un rol técnico clave dentro de la arquitectura institucional del Viceministerio de Cooperación Internacional, al garantizar una administración eficiente, transparente y alineada con los estándares internacionales de los recursos provenientes de la cooperación no reembolsable. Su labor contribuye directamente al fortalecimiento de la gobernanza de la cooperación y al cumplimiento de los lineamientos del Sistema Nacional de Cooperación Internacional para el Desarrollo (SINACID).</w:t>
      </w:r>
    </w:p>
    <w:p w14:paraId="097BCB51" w14:textId="77777777" w:rsidR="005E2676" w:rsidRPr="00247394" w:rsidRDefault="005E2676" w:rsidP="00F819C0">
      <w:pPr>
        <w:spacing w:after="0" w:line="360" w:lineRule="auto"/>
        <w:ind w:left="720"/>
        <w:jc w:val="both"/>
        <w:rPr>
          <w:rFonts w:eastAsia="Calibri"/>
          <w:noProof/>
          <w:color w:val="4C4747"/>
          <w:lang w:val="es-DO"/>
        </w:rPr>
      </w:pPr>
    </w:p>
    <w:p w14:paraId="0F5208F0"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lastRenderedPageBreak/>
        <w:t>Durante 2025, el Departamento brindó acompañamiento técnico continuo a las instituciones ejecutoras, mediante la revisión de procesos financieros, validación de informes y apoyo directo en la ejecución, promoviendo la armonización de procedimientos conforme a estándares nacionales e internacionales. Paralelamente, mantuvo una coordinación activa con los organismos cooperantes, asegurando la alineación entre normativas y procedimientos, lo que fortaleció la transparencia, la eficiencia y la capacidad institucional en la gestión de los recursos de cooperación.</w:t>
      </w:r>
    </w:p>
    <w:p w14:paraId="6CEE28E7" w14:textId="77777777" w:rsidR="005E2676" w:rsidRPr="00247394" w:rsidRDefault="005E2676" w:rsidP="00F819C0">
      <w:pPr>
        <w:spacing w:after="0" w:line="360" w:lineRule="auto"/>
        <w:ind w:left="720"/>
        <w:jc w:val="both"/>
        <w:rPr>
          <w:rFonts w:eastAsia="Calibri"/>
          <w:noProof/>
          <w:color w:val="4C4747"/>
          <w:lang w:val="es-DO"/>
        </w:rPr>
      </w:pPr>
    </w:p>
    <w:p w14:paraId="592DA0C0"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El Departamento brindó acompañamiento técnico financiero integral a más de 50 proyectos ejecutados con financiamiento de cooperación internacional no reembolsable, abarcando sectores estratégicos para el desarrollo sostenible del país. La cartera incluyó iniciativas financiadas por organismos multilaterales, agencias de cooperación y gobiernos, entre los que se destacan la Agencia Española de Cooperación Internacional para el Desarrollo (AECID), la Unión Europea, la Agencia Francesa de Desarrollo (AFD), la Agencia Andaluza de Cooperación Internacional para el Desarrollo (AACID), el Banco de Desarrollo de América Latina y el Caribe (CAF), el Banco Centroamericano de Integración Económica (BCIE), la Agencia de Cooperación Internacional del Japón (JICA), el Japan International Cooperation System (JICS), la Agencia de Cooperación Internacional de Corea (KOICA), el Programa de las Naciones Unidas para el Desarrollo (PNUD), el Programa de las Naciones Unidas para el Medio Ambiente (PNUMA), el Fondo Internacional de Desarrollo Agrícola (FIDA), el Banco Mundial y el Banco Europeo de Inversiones (BEI), así como los gobiernos de Francia, Japón, República de Corea, Arabia </w:t>
      </w:r>
      <w:r w:rsidRPr="00247394">
        <w:rPr>
          <w:rFonts w:eastAsia="Calibri"/>
          <w:noProof/>
          <w:color w:val="4C4747"/>
          <w:lang w:val="es-DO"/>
        </w:rPr>
        <w:lastRenderedPageBreak/>
        <w:t>Saudita, los Emiratos Árabes Unidos y el Reino Unido / Gran Bretaña, entre otros.</w:t>
      </w:r>
    </w:p>
    <w:p w14:paraId="467CBD1E"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Durante el año 2025, el Departamento fortaleció de manera significativa las capacidades de las instituciones ejecutoras mediante la realización de 17 talleres de formación técnica. Estas capacitaciones tuvieron como propósito armonizar y estandarizar los criterios de gestión financiera, asegurando que los equipos responsables dominen tanto las normativas nacionales aplicables como los lineamientos y requerimientos específicos de cada cooperante.</w:t>
      </w:r>
    </w:p>
    <w:p w14:paraId="3AAB7ACF" w14:textId="77777777" w:rsidR="005E2676" w:rsidRPr="00247394" w:rsidRDefault="005E2676" w:rsidP="00F819C0">
      <w:pPr>
        <w:spacing w:after="0" w:line="360" w:lineRule="auto"/>
        <w:ind w:left="720"/>
        <w:jc w:val="both"/>
        <w:rPr>
          <w:rFonts w:eastAsia="Calibri"/>
          <w:noProof/>
          <w:color w:val="4C4747"/>
          <w:lang w:val="es-DO"/>
        </w:rPr>
      </w:pPr>
    </w:p>
    <w:p w14:paraId="3A6FF9CC"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Los talleres abordaron temas esenciales para una ejecución eficiente y conforme a los estándares internacionales, incluyendo requisitos de justificación financiera, procesos administrativos y presupuestarios, normativas de cooperación y buenas prácticas en gestión y control financiero. </w:t>
      </w:r>
    </w:p>
    <w:p w14:paraId="2BFB47BF" w14:textId="77777777" w:rsidR="005E2676" w:rsidRPr="00247394" w:rsidRDefault="005E2676" w:rsidP="00F819C0">
      <w:pPr>
        <w:spacing w:after="0" w:line="360" w:lineRule="auto"/>
        <w:ind w:left="720"/>
        <w:jc w:val="both"/>
        <w:rPr>
          <w:rFonts w:eastAsia="Calibri"/>
          <w:noProof/>
          <w:color w:val="4C4747"/>
          <w:lang w:val="es-DO"/>
        </w:rPr>
      </w:pPr>
    </w:p>
    <w:p w14:paraId="74CECF0A"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Como resultado, se fortaleció la calidad técnica de los procesos, se redujeron inconsistencias en la presentación de informes y se incrementó la capacidad institucional para administrar los recursos de cooperación de manera transparente, oportuna y alineada con las exigencias nacionales y de los organismos cooperantes.</w:t>
      </w:r>
    </w:p>
    <w:p w14:paraId="3CE99ADC" w14:textId="77777777" w:rsidR="00F819C0" w:rsidRPr="007B6B04" w:rsidRDefault="00F819C0" w:rsidP="00F819C0">
      <w:pPr>
        <w:spacing w:after="0" w:line="360" w:lineRule="auto"/>
        <w:ind w:left="720"/>
        <w:rPr>
          <w:rFonts w:eastAsia="Calibri"/>
          <w:b/>
          <w:bCs/>
          <w:noProof/>
          <w:color w:val="4C4747"/>
          <w:lang w:val="es-DO"/>
        </w:rPr>
      </w:pPr>
      <w:bookmarkStart w:id="84" w:name="_Toc172101122"/>
    </w:p>
    <w:p w14:paraId="68E6B6DF" w14:textId="77777777" w:rsidR="00F819C0" w:rsidRPr="002B32EE" w:rsidRDefault="00F819C0" w:rsidP="00F819C0">
      <w:pPr>
        <w:spacing w:after="0" w:line="360" w:lineRule="auto"/>
        <w:ind w:left="720"/>
        <w:rPr>
          <w:rFonts w:eastAsia="Calibri"/>
          <w:b/>
          <w:bCs/>
          <w:noProof/>
          <w:color w:val="4C4747"/>
          <w:lang w:val="es-DO"/>
        </w:rPr>
      </w:pPr>
      <w:r w:rsidRPr="002B32EE">
        <w:rPr>
          <w:rFonts w:eastAsia="Calibri"/>
          <w:b/>
          <w:bCs/>
          <w:noProof/>
          <w:color w:val="4C4747"/>
          <w:lang w:val="es-DO"/>
        </w:rPr>
        <w:t>Posicionamiento Proactivo de la Agenda de Cooperación para el Desarrollo en Espacios Internacionales</w:t>
      </w:r>
      <w:bookmarkEnd w:id="84"/>
    </w:p>
    <w:p w14:paraId="760277C1" w14:textId="77777777" w:rsidR="00F819C0" w:rsidRPr="002B32EE" w:rsidRDefault="00F819C0" w:rsidP="00F819C0">
      <w:pPr>
        <w:pStyle w:val="ListParagraph"/>
        <w:numPr>
          <w:ilvl w:val="0"/>
          <w:numId w:val="67"/>
        </w:numPr>
        <w:spacing w:after="0" w:line="360" w:lineRule="auto"/>
        <w:jc w:val="both"/>
        <w:textAlignment w:val="baseline"/>
        <w:rPr>
          <w:rFonts w:eastAsia="Calibri"/>
          <w:noProof/>
          <w:color w:val="4C4747"/>
        </w:rPr>
      </w:pPr>
      <w:r w:rsidRPr="00247394">
        <w:rPr>
          <w:rFonts w:eastAsia="Calibri"/>
          <w:noProof/>
          <w:color w:val="4C4747"/>
        </w:rPr>
        <w:t xml:space="preserve">Durante el mes de mayo, República Dominicana se adhirió, a través del Viceministerio de Cooperación Internacional, a tres iniciativas presentadas por el Programa de Naciones Unidas para el Desarrollo (PNUD) el gobierno de España y/o la Organización para la Cooperación y el Desarrollo </w:t>
      </w:r>
      <w:r w:rsidRPr="00247394">
        <w:rPr>
          <w:rFonts w:eastAsia="Calibri"/>
          <w:noProof/>
          <w:color w:val="4C4747"/>
        </w:rPr>
        <w:lastRenderedPageBreak/>
        <w:t>Económicos (OCDE), según el caso. Todas en el marco de la IV Conferencia Internacional sobre Financiación para el Desarrollo (FfD4). A saber: </w:t>
      </w:r>
    </w:p>
    <w:p w14:paraId="57B912C9" w14:textId="77777777" w:rsidR="00F819C0" w:rsidRPr="00247394" w:rsidRDefault="00F819C0" w:rsidP="00F819C0">
      <w:pPr>
        <w:numPr>
          <w:ilvl w:val="0"/>
          <w:numId w:val="64"/>
        </w:numPr>
        <w:spacing w:after="0" w:line="360" w:lineRule="auto"/>
        <w:ind w:firstLine="0"/>
        <w:jc w:val="both"/>
        <w:textAlignment w:val="baseline"/>
        <w:rPr>
          <w:rFonts w:eastAsia="Calibri"/>
          <w:noProof/>
          <w:color w:val="4C4747"/>
          <w:lang w:val="es-DO"/>
        </w:rPr>
      </w:pPr>
      <w:r w:rsidRPr="00247394">
        <w:rPr>
          <w:rFonts w:eastAsia="Calibri"/>
          <w:noProof/>
          <w:color w:val="4C4747"/>
          <w:lang w:val="es-DO"/>
        </w:rPr>
        <w:t>Plataforma de Financiación para la Recuperación y la Resiliencia, Propuesta por España y el PNUD en el marco de Iniciativa de la Plataforma de Acción de Sevilla. </w:t>
      </w:r>
    </w:p>
    <w:p w14:paraId="7212839B" w14:textId="77777777" w:rsidR="00F819C0" w:rsidRPr="007B6B04" w:rsidRDefault="00F819C0" w:rsidP="00F819C0">
      <w:pPr>
        <w:numPr>
          <w:ilvl w:val="0"/>
          <w:numId w:val="64"/>
        </w:numPr>
        <w:spacing w:after="0" w:line="360" w:lineRule="auto"/>
        <w:ind w:firstLine="0"/>
        <w:jc w:val="both"/>
        <w:textAlignment w:val="baseline"/>
        <w:rPr>
          <w:rFonts w:eastAsia="Calibri"/>
          <w:noProof/>
          <w:color w:val="4C4747"/>
        </w:rPr>
      </w:pPr>
      <w:r w:rsidRPr="007B6B04">
        <w:rPr>
          <w:rFonts w:eastAsia="Calibri"/>
          <w:noProof/>
          <w:color w:val="4C4747"/>
        </w:rPr>
        <w:t>Iniciativa “Call to action: Beyond GDP Global Alliance”. </w:t>
      </w:r>
    </w:p>
    <w:p w14:paraId="4B4FC24D" w14:textId="77777777" w:rsidR="00F819C0" w:rsidRPr="00247394" w:rsidRDefault="00F819C0" w:rsidP="00F819C0">
      <w:pPr>
        <w:numPr>
          <w:ilvl w:val="0"/>
          <w:numId w:val="64"/>
        </w:numPr>
        <w:spacing w:after="0" w:line="360" w:lineRule="auto"/>
        <w:ind w:firstLine="0"/>
        <w:jc w:val="both"/>
        <w:textAlignment w:val="baseline"/>
        <w:rPr>
          <w:rFonts w:eastAsia="Calibri"/>
          <w:noProof/>
          <w:color w:val="4C4747"/>
          <w:lang w:val="es-DO"/>
        </w:rPr>
      </w:pPr>
      <w:r w:rsidRPr="00247394">
        <w:rPr>
          <w:rFonts w:eastAsia="Calibri"/>
          <w:noProof/>
          <w:color w:val="4C4747"/>
          <w:lang w:val="es-DO"/>
        </w:rPr>
        <w:t>Iniciativa "Pacto por una Cooperación Eficaz al 2030” (Global Partnership for Effective Development Cooperati</w:t>
      </w:r>
      <w:r>
        <w:rPr>
          <w:rFonts w:eastAsia="Calibri"/>
          <w:noProof/>
          <w:color w:val="4C4747"/>
          <w:lang w:val="es-DO"/>
        </w:rPr>
        <w:t>o</w:t>
      </w:r>
      <w:r w:rsidRPr="00247394">
        <w:rPr>
          <w:rFonts w:eastAsia="Calibri"/>
          <w:noProof/>
          <w:color w:val="4C4747"/>
          <w:lang w:val="es-DO"/>
        </w:rPr>
        <w:t>n (GPEDC) </w:t>
      </w:r>
    </w:p>
    <w:p w14:paraId="4DDDDA84" w14:textId="77777777" w:rsidR="00F819C0" w:rsidRPr="00247394" w:rsidRDefault="00F819C0" w:rsidP="00F819C0">
      <w:pPr>
        <w:pStyle w:val="ListParagraph"/>
        <w:numPr>
          <w:ilvl w:val="0"/>
          <w:numId w:val="68"/>
        </w:numPr>
        <w:spacing w:after="0" w:line="360" w:lineRule="auto"/>
        <w:ind w:left="720"/>
        <w:jc w:val="both"/>
        <w:rPr>
          <w:rFonts w:eastAsia="Calibri"/>
          <w:noProof/>
          <w:color w:val="4C4747"/>
        </w:rPr>
      </w:pPr>
      <w:r w:rsidRPr="00247394">
        <w:rPr>
          <w:rFonts w:eastAsia="Calibri"/>
          <w:noProof/>
          <w:color w:val="4C4747"/>
        </w:rPr>
        <w:t>Participación oficial en la celebración del Día de la Cooperación Sur-Sur 2025: "Nuevo Sur, nuevos retos: La innovación en la Cooperación Sur-Sur y Triangular" /Armenia, Quindío, Colombia.</w:t>
      </w:r>
    </w:p>
    <w:p w14:paraId="5314CBED" w14:textId="77777777" w:rsidR="00F819C0" w:rsidRDefault="00F819C0" w:rsidP="00F819C0">
      <w:pPr>
        <w:spacing w:after="0" w:line="360" w:lineRule="auto"/>
        <w:ind w:left="720"/>
        <w:contextualSpacing/>
        <w:jc w:val="both"/>
        <w:rPr>
          <w:rFonts w:eastAsia="Calibri"/>
          <w:noProof/>
          <w:color w:val="4C4747"/>
          <w:lang w:val="es-DO"/>
        </w:rPr>
      </w:pPr>
    </w:p>
    <w:p w14:paraId="5FE011FF" w14:textId="77777777" w:rsidR="00F819C0"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t>En septiembre, El Viceministerio de Cooperación Internacional, a través de su viceministra Dotel Caraballo, participó en diálogo sobre cooperación Sur-Sur y Triangular en el marco de la celebración del Día de la Cooperación Sur-Sur 2025, donde los socios al desarrollo analizaron los desafíos del contexto internacional, marcado por la desaceleración del multilateralismo, la confianza, el diálogo y la cooperación como principio universal.</w:t>
      </w:r>
    </w:p>
    <w:p w14:paraId="24D821FF" w14:textId="77777777" w:rsidR="005E2676" w:rsidRPr="00247394" w:rsidRDefault="005E2676" w:rsidP="00F819C0">
      <w:pPr>
        <w:spacing w:after="0" w:line="360" w:lineRule="auto"/>
        <w:ind w:left="720"/>
        <w:contextualSpacing/>
        <w:jc w:val="both"/>
        <w:rPr>
          <w:rFonts w:eastAsia="Calibri"/>
          <w:noProof/>
          <w:color w:val="4C4747"/>
          <w:lang w:val="es-DO"/>
        </w:rPr>
      </w:pPr>
    </w:p>
    <w:p w14:paraId="321F47BE" w14:textId="77777777" w:rsidR="00F819C0" w:rsidRPr="00247394"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t>Con el objetivo de afrontar los nuevos retos desde la perspectiva del Sur Global, la delegación dominicana participó en dos grupos de trabajo clave: “Asegurar la sostenibilidad de los resultados en la Cooperación Sur-Sur y Triangular” y la mesa de Datos bajo el lema “Midiendo lo que importa”.</w:t>
      </w:r>
    </w:p>
    <w:p w14:paraId="75101146" w14:textId="77777777" w:rsidR="00F819C0"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lastRenderedPageBreak/>
        <w:t>El foro tuvo como propósito central identificar prácticas innovadoras, retos y soluciones derivados de la gestión e implementación diaria de la Cooperación Sur-Sur y Triangular, con miras a adoptar, escalar y replicar acciones que fortalezcan los procesos y resultados del desarrollo del Sur Global.</w:t>
      </w:r>
    </w:p>
    <w:p w14:paraId="2A469F18" w14:textId="77777777" w:rsidR="005E2676" w:rsidRPr="00247394" w:rsidRDefault="005E2676" w:rsidP="00F819C0">
      <w:pPr>
        <w:spacing w:after="0" w:line="360" w:lineRule="auto"/>
        <w:ind w:left="720"/>
        <w:contextualSpacing/>
        <w:jc w:val="both"/>
        <w:rPr>
          <w:rFonts w:eastAsia="Calibri"/>
          <w:noProof/>
          <w:color w:val="4C4747"/>
          <w:lang w:val="es-DO"/>
        </w:rPr>
      </w:pPr>
    </w:p>
    <w:p w14:paraId="04738EB0" w14:textId="77777777" w:rsidR="00F819C0" w:rsidRPr="007B6B04" w:rsidRDefault="00F819C0" w:rsidP="00F819C0">
      <w:pPr>
        <w:spacing w:after="0" w:line="360" w:lineRule="auto"/>
        <w:ind w:left="720"/>
        <w:jc w:val="both"/>
        <w:rPr>
          <w:rFonts w:eastAsia="Calibri"/>
          <w:b/>
          <w:bCs/>
          <w:noProof/>
          <w:color w:val="4C4747"/>
          <w:lang w:val="es-DO"/>
        </w:rPr>
      </w:pPr>
      <w:r w:rsidRPr="007B6B04">
        <w:rPr>
          <w:rFonts w:eastAsia="Calibri"/>
          <w:b/>
          <w:bCs/>
          <w:noProof/>
          <w:color w:val="4C4747"/>
          <w:lang w:val="es-DO"/>
        </w:rPr>
        <w:t>44º período de sesiones de la Conferencia de la Organización de las Naciones Unidas para la Alimentación y la Agricultura (FAO)</w:t>
      </w:r>
    </w:p>
    <w:p w14:paraId="6035AAE9"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El Ministerio de la Presidencia, representado por la Dirección de Cooperación Multilateral coordinó la participación de la delegación dominicana en el 44º período de sesiones de la Conferencia de la Organización de las Naciones Unidas para la Alimentación y la Agricultura (FAO), celebrada en Roma, Italia, del 28 de junio al 4 de julio. En representación del Ministerio, la directora de Cooperación Multilateral, Sandra Lara, asistió para abordar los avances y desafíos del país en materia de seguridad alimentaria, sostenibilidad ambiental y resiliencia climática. Su participación se enmarcó en la implementación del Marco de Programación País (MPP) 2023–2027, el seguimiento a la cartera de proyectos ejecutados con la FAO, y la negociación de nuevas iniciativas de cooperación internacional, alineadas con la Estrategia Nacional de Desarrollo 2030 y los Objetivos de Desarrollo Sostenible (ODS). Actualmente la FAO ejecuta en el país, proyectos por un monto estimado de unos US$21 millones.</w:t>
      </w:r>
    </w:p>
    <w:p w14:paraId="54ACF9D7" w14:textId="77777777" w:rsidR="005E2676" w:rsidRPr="00247394" w:rsidRDefault="005E2676" w:rsidP="00F819C0">
      <w:pPr>
        <w:spacing w:after="0" w:line="360" w:lineRule="auto"/>
        <w:ind w:left="720"/>
        <w:jc w:val="both"/>
        <w:rPr>
          <w:rFonts w:eastAsia="Calibri"/>
          <w:noProof/>
          <w:color w:val="4C4747"/>
          <w:lang w:val="es-DO"/>
        </w:rPr>
      </w:pPr>
    </w:p>
    <w:p w14:paraId="05EA9699" w14:textId="77777777" w:rsidR="00F819C0" w:rsidRPr="007B6B04" w:rsidRDefault="00F819C0" w:rsidP="00F819C0">
      <w:pPr>
        <w:spacing w:after="0" w:line="360" w:lineRule="auto"/>
        <w:ind w:left="720"/>
        <w:jc w:val="both"/>
        <w:rPr>
          <w:rFonts w:eastAsia="Calibri"/>
          <w:b/>
          <w:bCs/>
          <w:noProof/>
          <w:color w:val="4C4747"/>
          <w:lang w:val="es-DO"/>
        </w:rPr>
      </w:pPr>
      <w:r w:rsidRPr="007B6B04">
        <w:rPr>
          <w:rFonts w:eastAsia="Calibri"/>
          <w:b/>
          <w:bCs/>
          <w:noProof/>
          <w:color w:val="4C4747"/>
          <w:lang w:val="es-DO"/>
        </w:rPr>
        <w:t>Cuarta Conferencia Internacional sobre Financiación para el Desarrollo (FfD4)</w:t>
      </w:r>
    </w:p>
    <w:p w14:paraId="13A018EB"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Durante la Cuarta Conferencia Internacional sobre Financiación para el Desarrollo (FfD4), realizada en Sevilla, </w:t>
      </w:r>
      <w:r w:rsidRPr="00247394">
        <w:rPr>
          <w:rFonts w:eastAsia="Calibri"/>
          <w:noProof/>
          <w:color w:val="4C4747"/>
          <w:lang w:val="es-DO"/>
        </w:rPr>
        <w:lastRenderedPageBreak/>
        <w:t>España, la viceministra de Cooperación Internacional, Olaya Dotel Caraballo participó en diversos eventos, reuniones y encuentros bilaterales como parte de la delegación de la República Dominicana. Entre los referidos eventos se encuentra el evento paralelo “Cooperación Sur-Sur en Iberoamérica y más allá: experiencias compartidas para un futuro compartido y sostenible”, coorganizado por la SEGIB, ONU Mujeres y los gobiernos de Chile, Uruguay y República Dominicana, y donde se destacó el compromiso del país con una cooperación basada en la solidaridad, horizontalidad e innovación, subrayando el valor estratégico de la Cooperación Sur-Sur y Triangular (CSS-T) para enfrentar los desafíos globales y acelerar el cumplimiento de la Agenda 2030; el evento “Los primeros cinco años de TOSSD: ayudando a monitorear la cooperación internacional para el desarrollo en todas sus formas”, compartiendo los avances de la República Dominicana en el fortalecimiento del Sistema Nacional de Cooperación Internacional para el Desarrollo (SINACID) y su participación activa en plataformas como SEGIB, el Marco de Medición de la CSS de Naciones Unidas y el propio TOSSD; entre otros.</w:t>
      </w:r>
    </w:p>
    <w:p w14:paraId="215EC7BA" w14:textId="77777777" w:rsidR="005E2676" w:rsidRPr="00247394" w:rsidRDefault="005E2676" w:rsidP="00F819C0">
      <w:pPr>
        <w:spacing w:after="0" w:line="360" w:lineRule="auto"/>
        <w:ind w:left="720"/>
        <w:jc w:val="both"/>
        <w:rPr>
          <w:rFonts w:eastAsia="Calibri"/>
          <w:noProof/>
          <w:color w:val="4C4747"/>
          <w:lang w:val="es-DO"/>
        </w:rPr>
      </w:pPr>
    </w:p>
    <w:p w14:paraId="7FE89EB9" w14:textId="77777777" w:rsidR="00F819C0" w:rsidRPr="007B6B04" w:rsidRDefault="00F819C0" w:rsidP="00F819C0">
      <w:pPr>
        <w:spacing w:after="0" w:line="360" w:lineRule="auto"/>
        <w:ind w:left="720"/>
        <w:rPr>
          <w:rFonts w:eastAsia="Calibri"/>
          <w:b/>
          <w:bCs/>
          <w:noProof/>
          <w:color w:val="4C4747"/>
          <w:lang w:val="es-DO"/>
        </w:rPr>
      </w:pPr>
      <w:r w:rsidRPr="007B6B04">
        <w:rPr>
          <w:rFonts w:eastAsia="Calibri"/>
          <w:b/>
          <w:bCs/>
          <w:noProof/>
          <w:color w:val="4C4747"/>
          <w:lang w:val="es-DO"/>
        </w:rPr>
        <w:t>Iniciativas de Cooperación Enfocadas en Mejorar la Calidad de Vida de la Gente</w:t>
      </w:r>
    </w:p>
    <w:p w14:paraId="1A1E179F" w14:textId="77777777" w:rsidR="00F819C0" w:rsidRDefault="00F819C0" w:rsidP="00F819C0">
      <w:pPr>
        <w:pStyle w:val="Caption"/>
        <w:spacing w:after="0" w:line="360" w:lineRule="auto"/>
        <w:ind w:left="720"/>
        <w:rPr>
          <w:rFonts w:eastAsia="Calibri"/>
          <w:b w:val="0"/>
          <w:bCs w:val="0"/>
          <w:noProof/>
          <w:color w:val="4C4747"/>
          <w:spacing w:val="20"/>
          <w:sz w:val="24"/>
          <w:szCs w:val="24"/>
          <w:lang w:eastAsia="en-US"/>
        </w:rPr>
      </w:pPr>
      <w:r w:rsidRPr="0095785E">
        <w:rPr>
          <w:rFonts w:eastAsia="Calibri"/>
          <w:noProof/>
          <w:color w:val="4C4747"/>
          <w:spacing w:val="20"/>
          <w:sz w:val="24"/>
          <w:szCs w:val="24"/>
          <w:lang w:eastAsia="en-US"/>
        </w:rPr>
        <w:t>Negociación de programas, proyectos y acciones de cooperación internacional</w:t>
      </w:r>
      <w:r>
        <w:rPr>
          <w:rFonts w:eastAsia="Calibri"/>
          <w:noProof/>
          <w:color w:val="4C4747"/>
          <w:spacing w:val="20"/>
          <w:sz w:val="24"/>
          <w:szCs w:val="24"/>
          <w:lang w:eastAsia="en-US"/>
        </w:rPr>
        <w:t xml:space="preserve">: </w:t>
      </w:r>
      <w:r w:rsidRPr="0095785E">
        <w:rPr>
          <w:rFonts w:eastAsia="Calibri"/>
          <w:b w:val="0"/>
          <w:bCs w:val="0"/>
          <w:noProof/>
          <w:color w:val="4C4747"/>
          <w:spacing w:val="20"/>
          <w:sz w:val="24"/>
          <w:szCs w:val="24"/>
          <w:lang w:eastAsia="en-US"/>
        </w:rPr>
        <w:t xml:space="preserve">El Viceministerio de Cooperación Internacional, como instancia responsable de conducir los procesos de negociación de la cooperación internacional no reembolsable El Gobierno dominicano reafirma su liderazgo en cooperación internacional con la gestión activa de 122 iniciativas estratégicas (57 iniciados en 2025 y el resto de </w:t>
      </w:r>
      <w:r w:rsidRPr="0095785E">
        <w:rPr>
          <w:rFonts w:eastAsia="Calibri"/>
          <w:b w:val="0"/>
          <w:bCs w:val="0"/>
          <w:noProof/>
          <w:color w:val="4C4747"/>
          <w:spacing w:val="20"/>
          <w:sz w:val="24"/>
          <w:szCs w:val="24"/>
          <w:lang w:eastAsia="en-US"/>
        </w:rPr>
        <w:lastRenderedPageBreak/>
        <w:t>arrastre), dirigidas a fortalecer sectores clave como Fortalecimiento institucional, Ciencia, tecnología, comunicación e innovación, Género, Migración, Arte y cultura y otras 20 temáticas. Estas negociaciones representan un presupuesto estimado en RD$20,511.6 millones, reflejando el compromiso del país con el desarrollo sostenible y la solidaridad regional.</w:t>
      </w:r>
    </w:p>
    <w:p w14:paraId="1A174FB9" w14:textId="77777777" w:rsidR="005E2676" w:rsidRPr="005E2676" w:rsidRDefault="005E2676" w:rsidP="005E2676">
      <w:pPr>
        <w:rPr>
          <w:lang w:val="es-DO"/>
        </w:rPr>
      </w:pPr>
    </w:p>
    <w:p w14:paraId="0F7CDE58"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Gracias a un diálogo activo con los socios y organismos internacionales, se aprobaron 26 intervenciones valoradas en RD$640.4 millones, en 14 temáticas diferentes, resaltando Comercio, Sector agropecuario, Agua y saneamiento, Medioambiente y cambio climático y Fortalecimiento institucional.</w:t>
      </w:r>
    </w:p>
    <w:p w14:paraId="1A8159A1" w14:textId="77777777" w:rsidR="005E2676" w:rsidRPr="00247394" w:rsidRDefault="005E2676" w:rsidP="00F819C0">
      <w:pPr>
        <w:spacing w:after="0" w:line="360" w:lineRule="auto"/>
        <w:ind w:left="720"/>
        <w:jc w:val="both"/>
        <w:rPr>
          <w:rFonts w:eastAsia="Calibri"/>
          <w:noProof/>
          <w:color w:val="4C4747"/>
          <w:lang w:val="es-DO"/>
        </w:rPr>
      </w:pPr>
    </w:p>
    <w:p w14:paraId="446A968F"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En este 2025 se realizaron negociaciones en el marco del fortalecimiento de las relaciones de cooperación entre la República Dominicana y la República Popular China, este año se firmó, a través del Ministerio de Relaciones Exteriores, un nuevo Convenio de Cooperación Económica y Técnica, mediante el cual el Gobierno chino otorgó 300 millones de yuanes adicionales en asistencia no reembolsable. Este aporte contribuirá a la exploración e implementación de proyectos estratégicos para el desarrollo nacional, orientados a impulsar sectores prioritarios y mejorar las capacidades institucionales del país. La firma de este convenio reafirma el compromiso de ambas naciones de continuar ampliando la colaboración bilateral y promoviendo iniciativas que generen impactos sostenibles y de largo alcance.</w:t>
      </w:r>
    </w:p>
    <w:p w14:paraId="26B2002D" w14:textId="77777777" w:rsidR="005E2676" w:rsidRPr="00247394" w:rsidRDefault="005E2676" w:rsidP="00F819C0">
      <w:pPr>
        <w:spacing w:after="0" w:line="360" w:lineRule="auto"/>
        <w:ind w:left="720"/>
        <w:jc w:val="both"/>
        <w:rPr>
          <w:rFonts w:eastAsia="Calibri"/>
          <w:noProof/>
          <w:color w:val="4C4747"/>
          <w:lang w:val="es-DO"/>
        </w:rPr>
      </w:pPr>
    </w:p>
    <w:p w14:paraId="481EB574"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lastRenderedPageBreak/>
        <w:t>Asimismo, fue aprobado el proyecto “Una fiscalidad más justa y eficaz en la República Dominicana”, una iniciativa de Cooperación Técnica entre la AECID y la Agencia Estatal de Administración Tributaria (AEAT) en apoyo a la Dirección General de Impuestos Internos (DGII). Con un financiamiento de 200,000 euros de la Cooperación Española, el proyecto tiene como objetivo fortalecer el sistema tributario nacional mediante la elaboración de principios y directrices que promuevan una fiscalidad más equitativa, eficiente y orientada al bienestar de la población. Como parte de su puesta en marcha, en octubre de 2025 se inició el proceso de formulación con la llegada al país de una misión técnica de la AEAT, lo que marcó el comienzo formal de los trabajos.</w:t>
      </w:r>
    </w:p>
    <w:p w14:paraId="5D24043F" w14:textId="77777777" w:rsidR="00F819C0" w:rsidRPr="00247394" w:rsidRDefault="00F819C0" w:rsidP="00F819C0">
      <w:pPr>
        <w:spacing w:after="0" w:line="360" w:lineRule="auto"/>
        <w:ind w:left="720"/>
        <w:jc w:val="both"/>
        <w:rPr>
          <w:rFonts w:eastAsia="Calibri"/>
          <w:noProof/>
          <w:color w:val="4C4747"/>
          <w:lang w:val="es-DO"/>
        </w:rPr>
      </w:pPr>
    </w:p>
    <w:p w14:paraId="49C3CE50" w14:textId="77777777" w:rsidR="00F819C0" w:rsidRPr="0095785E" w:rsidRDefault="00F819C0" w:rsidP="00F819C0">
      <w:pPr>
        <w:spacing w:after="0" w:line="360" w:lineRule="auto"/>
        <w:ind w:left="720"/>
        <w:rPr>
          <w:rFonts w:eastAsia="Calibri"/>
          <w:b/>
          <w:bCs/>
          <w:noProof/>
          <w:color w:val="4C4747"/>
          <w:lang w:val="es-DO"/>
        </w:rPr>
      </w:pPr>
      <w:r w:rsidRPr="0095785E">
        <w:rPr>
          <w:rFonts w:eastAsia="Calibri"/>
          <w:b/>
          <w:bCs/>
          <w:noProof/>
          <w:color w:val="4C4747"/>
          <w:lang w:val="es-DO"/>
        </w:rPr>
        <w:t>Seguimiento a la Implementación de Programas, Proyectos y sus Aportes al Desarrollo</w:t>
      </w:r>
    </w:p>
    <w:p w14:paraId="21F8C21E" w14:textId="6FB16C71" w:rsidR="005E2676" w:rsidRDefault="00F819C0" w:rsidP="00AE550E">
      <w:pPr>
        <w:spacing w:after="0" w:line="360" w:lineRule="auto"/>
        <w:ind w:left="720"/>
        <w:jc w:val="both"/>
        <w:rPr>
          <w:rFonts w:eastAsia="Calibri"/>
          <w:noProof/>
          <w:color w:val="4C4747"/>
          <w:lang w:val="es-DO"/>
        </w:rPr>
      </w:pPr>
      <w:r w:rsidRPr="00247394">
        <w:rPr>
          <w:rFonts w:eastAsia="Calibri"/>
          <w:noProof/>
          <w:color w:val="4C4747"/>
          <w:lang w:val="es-DO"/>
        </w:rPr>
        <w:t>En el ámbito de la implementación de programas y proyectos para el desarrollo, el VIMICI dio seguimiento a 177 iniciativas en 2025, de las cuales 132 se mantienen en proceso de ejecución, 35 aprobadas pendientes de inicio, siete (7) en cierre y el resto finalizadas o canceladas en ese año.</w:t>
      </w:r>
      <w:r w:rsidR="00AB23A7">
        <w:rPr>
          <w:rFonts w:eastAsia="Calibri"/>
          <w:noProof/>
          <w:color w:val="4C4747"/>
          <w:lang w:val="es-DO"/>
        </w:rPr>
        <w:t xml:space="preserve"> </w:t>
      </w:r>
      <w:r w:rsidRPr="00247394">
        <w:rPr>
          <w:rFonts w:eastAsia="Calibri"/>
          <w:noProof/>
          <w:color w:val="4C4747"/>
          <w:lang w:val="es-DO"/>
        </w:rPr>
        <w:t>Con respecto a lo antes planteado para un promedio de 4 años, estas iniciativas tienen un presupuesto total ascendente a RD$46,300.10 millones, de los cuales RD$27,598.00 millones son aportes no reembolsables, RD$13,813.40 millones corresponden a aportes reembolsables, RD$4,751.5 millones son de contrapartida de las instituciones públicas involucradas y RD$44.40 millones son de contrapartida privada. Esta cartera de iniciativas agrupa 26 temáticas</w:t>
      </w:r>
      <w:r w:rsidR="00AE550E">
        <w:rPr>
          <w:rFonts w:eastAsia="Calibri"/>
          <w:noProof/>
          <w:color w:val="4C4747"/>
          <w:lang w:val="es-DO"/>
        </w:rPr>
        <w:t xml:space="preserve"> de</w:t>
      </w:r>
      <w:r w:rsidRPr="00247394">
        <w:rPr>
          <w:rFonts w:eastAsia="Calibri"/>
          <w:noProof/>
          <w:color w:val="4C4747"/>
          <w:lang w:val="es-DO"/>
        </w:rPr>
        <w:t xml:space="preserve"> medioambiente y cambio climático, fortalecimiento institucional, sector agropecuario, salud y seguridad social, género y gestión de riesgo</w:t>
      </w:r>
      <w:r w:rsidR="005E2676">
        <w:rPr>
          <w:rFonts w:eastAsia="Calibri"/>
          <w:noProof/>
          <w:color w:val="4C4747"/>
          <w:lang w:val="es-DO"/>
        </w:rPr>
        <w:t>.</w:t>
      </w:r>
    </w:p>
    <w:p w14:paraId="1750BB94" w14:textId="77777777" w:rsidR="005E2676" w:rsidRDefault="005E2676" w:rsidP="005E2676">
      <w:pPr>
        <w:spacing w:after="0" w:line="360" w:lineRule="auto"/>
        <w:ind w:left="720"/>
        <w:jc w:val="both"/>
        <w:rPr>
          <w:rFonts w:eastAsia="Calibri"/>
          <w:noProof/>
          <w:color w:val="4C4747"/>
          <w:lang w:val="es-DO"/>
        </w:rPr>
        <w:sectPr w:rsidR="005E2676" w:rsidSect="005E2676">
          <w:headerReference w:type="default" r:id="rId26"/>
          <w:footerReference w:type="default" r:id="rId27"/>
          <w:pgSz w:w="12240" w:h="15840"/>
          <w:pgMar w:top="1440" w:right="2160" w:bottom="1440" w:left="2160" w:header="720" w:footer="720" w:gutter="0"/>
          <w:cols w:space="720"/>
          <w:docGrid w:linePitch="360"/>
        </w:sectPr>
      </w:pPr>
    </w:p>
    <w:p w14:paraId="4D506F7C" w14:textId="133C9C9C" w:rsidR="00F819C0" w:rsidRPr="005E2676" w:rsidRDefault="00F819C0" w:rsidP="005E2676">
      <w:pPr>
        <w:spacing w:after="0" w:line="360" w:lineRule="auto"/>
        <w:ind w:left="720"/>
        <w:jc w:val="both"/>
        <w:rPr>
          <w:rFonts w:eastAsia="Calibri"/>
          <w:b/>
          <w:bCs/>
          <w:noProof/>
          <w:color w:val="4C4747"/>
          <w:lang w:val="es-DO"/>
        </w:rPr>
      </w:pPr>
      <w:r w:rsidRPr="005E2676">
        <w:rPr>
          <w:rFonts w:eastAsia="Calibri"/>
          <w:noProof/>
          <w:color w:val="4C4747"/>
          <w:lang w:val="es-DO"/>
        </w:rPr>
        <w:lastRenderedPageBreak/>
        <w:t xml:space="preserve">Tabla </w:t>
      </w:r>
      <w:r w:rsidRPr="00247394">
        <w:rPr>
          <w:rFonts w:eastAsia="Calibri"/>
          <w:b/>
          <w:bCs/>
          <w:noProof/>
          <w:color w:val="4C4747"/>
        </w:rPr>
        <w:fldChar w:fldCharType="begin"/>
      </w:r>
      <w:r w:rsidRPr="005E2676">
        <w:rPr>
          <w:rFonts w:eastAsia="Calibri"/>
          <w:noProof/>
          <w:color w:val="4C4747"/>
          <w:lang w:val="es-DO"/>
        </w:rPr>
        <w:instrText xml:space="preserve"> SEQ Table \* ARABIC </w:instrText>
      </w:r>
      <w:r w:rsidRPr="00247394">
        <w:rPr>
          <w:rFonts w:eastAsia="Calibri"/>
          <w:b/>
          <w:bCs/>
          <w:noProof/>
          <w:color w:val="4C4747"/>
        </w:rPr>
        <w:fldChar w:fldCharType="separate"/>
      </w:r>
      <w:r w:rsidRPr="005E2676">
        <w:rPr>
          <w:rFonts w:eastAsia="Calibri"/>
          <w:noProof/>
          <w:color w:val="4C4747"/>
          <w:lang w:val="es-DO"/>
        </w:rPr>
        <w:t>1</w:t>
      </w:r>
      <w:r w:rsidRPr="00247394">
        <w:rPr>
          <w:rFonts w:eastAsia="Calibri"/>
          <w:b/>
          <w:bCs/>
          <w:noProof/>
          <w:color w:val="4C4747"/>
        </w:rPr>
        <w:fldChar w:fldCharType="end"/>
      </w:r>
      <w:r w:rsidRPr="005E2676">
        <w:rPr>
          <w:rFonts w:eastAsia="Calibri"/>
          <w:noProof/>
          <w:color w:val="4C4747"/>
          <w:lang w:val="es-DO"/>
        </w:rPr>
        <w:t>: Iniciativas en seguimiento por las direcciones del VIMICI en 2024 en millones de RD$</w:t>
      </w:r>
    </w:p>
    <w:tbl>
      <w:tblPr>
        <w:tblStyle w:val="GridTable1Light-Accent3"/>
        <w:tblW w:w="11788" w:type="dxa"/>
        <w:tblInd w:w="843" w:type="dxa"/>
        <w:tblLook w:val="04A0" w:firstRow="1" w:lastRow="0" w:firstColumn="1" w:lastColumn="0" w:noHBand="0" w:noVBand="1"/>
      </w:tblPr>
      <w:tblGrid>
        <w:gridCol w:w="1734"/>
        <w:gridCol w:w="1413"/>
        <w:gridCol w:w="1579"/>
        <w:gridCol w:w="1695"/>
        <w:gridCol w:w="1695"/>
        <w:gridCol w:w="1836"/>
        <w:gridCol w:w="1836"/>
      </w:tblGrid>
      <w:tr w:rsidR="0011349F" w:rsidRPr="00E8768B" w14:paraId="39B88A06" w14:textId="77777777" w:rsidTr="0011349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34" w:type="dxa"/>
            <w:shd w:val="clear" w:color="auto" w:fill="1F3864" w:themeFill="accent1" w:themeFillShade="80"/>
            <w:noWrap/>
            <w:hideMark/>
          </w:tcPr>
          <w:p w14:paraId="21D1B72C" w14:textId="77777777" w:rsidR="00F819C0" w:rsidRPr="00E8768B" w:rsidRDefault="00F819C0" w:rsidP="005E2676">
            <w:pPr>
              <w:spacing w:line="360" w:lineRule="auto"/>
              <w:rPr>
                <w:rFonts w:eastAsia="Calibri"/>
                <w:noProof/>
                <w:color w:val="FFFFFF" w:themeColor="background1"/>
                <w:sz w:val="20"/>
                <w:szCs w:val="20"/>
              </w:rPr>
            </w:pPr>
            <w:r w:rsidRPr="00E8768B">
              <w:rPr>
                <w:rFonts w:eastAsia="Calibri"/>
                <w:noProof/>
                <w:color w:val="FFFFFF" w:themeColor="background1"/>
                <w:sz w:val="20"/>
                <w:szCs w:val="20"/>
              </w:rPr>
              <w:t>Dirección encargada</w:t>
            </w:r>
          </w:p>
        </w:tc>
        <w:tc>
          <w:tcPr>
            <w:tcW w:w="1413" w:type="dxa"/>
            <w:shd w:val="clear" w:color="auto" w:fill="1F3864" w:themeFill="accent1" w:themeFillShade="80"/>
            <w:noWrap/>
            <w:hideMark/>
          </w:tcPr>
          <w:p w14:paraId="056CE5A2" w14:textId="77777777" w:rsidR="00F819C0" w:rsidRPr="00E8768B" w:rsidRDefault="00F819C0" w:rsidP="005E2676">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sz w:val="20"/>
                <w:szCs w:val="20"/>
              </w:rPr>
            </w:pPr>
            <w:r w:rsidRPr="00E8768B">
              <w:rPr>
                <w:rFonts w:eastAsia="Calibri"/>
                <w:noProof/>
                <w:color w:val="FFFFFF" w:themeColor="background1"/>
                <w:sz w:val="20"/>
                <w:szCs w:val="20"/>
              </w:rPr>
              <w:t>Iniciativas</w:t>
            </w:r>
          </w:p>
        </w:tc>
        <w:tc>
          <w:tcPr>
            <w:tcW w:w="1579" w:type="dxa"/>
            <w:shd w:val="clear" w:color="auto" w:fill="1F3864" w:themeFill="accent1" w:themeFillShade="80"/>
            <w:noWrap/>
            <w:hideMark/>
          </w:tcPr>
          <w:p w14:paraId="3DB238BD" w14:textId="77777777" w:rsidR="00F819C0" w:rsidRPr="00E8768B" w:rsidRDefault="00F819C0" w:rsidP="005E2676">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sz w:val="20"/>
                <w:szCs w:val="20"/>
              </w:rPr>
            </w:pPr>
            <w:r w:rsidRPr="00E8768B">
              <w:rPr>
                <w:rFonts w:eastAsia="Calibri"/>
                <w:noProof/>
                <w:color w:val="FFFFFF" w:themeColor="background1"/>
                <w:sz w:val="20"/>
                <w:szCs w:val="20"/>
              </w:rPr>
              <w:t>Presupuesto total</w:t>
            </w:r>
          </w:p>
        </w:tc>
        <w:tc>
          <w:tcPr>
            <w:tcW w:w="1695" w:type="dxa"/>
            <w:shd w:val="clear" w:color="auto" w:fill="1F3864" w:themeFill="accent1" w:themeFillShade="80"/>
            <w:noWrap/>
            <w:hideMark/>
          </w:tcPr>
          <w:p w14:paraId="79379009" w14:textId="77777777" w:rsidR="00F819C0" w:rsidRPr="00E8768B" w:rsidRDefault="00F819C0" w:rsidP="005E2676">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sz w:val="20"/>
                <w:szCs w:val="20"/>
              </w:rPr>
            </w:pPr>
            <w:r w:rsidRPr="00E8768B">
              <w:rPr>
                <w:rFonts w:eastAsia="Calibri"/>
                <w:noProof/>
                <w:color w:val="FFFFFF" w:themeColor="background1"/>
                <w:sz w:val="20"/>
                <w:szCs w:val="20"/>
              </w:rPr>
              <w:t>Monto total no reembolsable</w:t>
            </w:r>
          </w:p>
        </w:tc>
        <w:tc>
          <w:tcPr>
            <w:tcW w:w="1695" w:type="dxa"/>
            <w:shd w:val="clear" w:color="auto" w:fill="1F3864" w:themeFill="accent1" w:themeFillShade="80"/>
            <w:noWrap/>
            <w:hideMark/>
          </w:tcPr>
          <w:p w14:paraId="639DA041" w14:textId="77777777" w:rsidR="00F819C0" w:rsidRPr="00E8768B" w:rsidRDefault="00F819C0" w:rsidP="005E2676">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sz w:val="20"/>
                <w:szCs w:val="20"/>
              </w:rPr>
            </w:pPr>
            <w:r w:rsidRPr="00E8768B">
              <w:rPr>
                <w:rFonts w:eastAsia="Calibri"/>
                <w:noProof/>
                <w:color w:val="FFFFFF" w:themeColor="background1"/>
                <w:sz w:val="20"/>
                <w:szCs w:val="20"/>
              </w:rPr>
              <w:t>Monto total reembolsable</w:t>
            </w:r>
          </w:p>
        </w:tc>
        <w:tc>
          <w:tcPr>
            <w:tcW w:w="1836" w:type="dxa"/>
            <w:shd w:val="clear" w:color="auto" w:fill="1F3864" w:themeFill="accent1" w:themeFillShade="80"/>
            <w:noWrap/>
            <w:hideMark/>
          </w:tcPr>
          <w:p w14:paraId="3119C88A" w14:textId="77777777" w:rsidR="00F819C0" w:rsidRPr="00E8768B" w:rsidRDefault="00F819C0" w:rsidP="005E2676">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sz w:val="20"/>
                <w:szCs w:val="20"/>
              </w:rPr>
            </w:pPr>
            <w:r w:rsidRPr="00E8768B">
              <w:rPr>
                <w:rFonts w:eastAsia="Calibri"/>
                <w:noProof/>
                <w:color w:val="FFFFFF" w:themeColor="background1"/>
                <w:sz w:val="20"/>
                <w:szCs w:val="20"/>
              </w:rPr>
              <w:t>Contrapartida gobierno</w:t>
            </w:r>
          </w:p>
        </w:tc>
        <w:tc>
          <w:tcPr>
            <w:tcW w:w="1836" w:type="dxa"/>
            <w:shd w:val="clear" w:color="auto" w:fill="1F3864" w:themeFill="accent1" w:themeFillShade="80"/>
          </w:tcPr>
          <w:p w14:paraId="452F1154" w14:textId="77777777" w:rsidR="00F819C0" w:rsidRPr="00E8768B" w:rsidRDefault="00F819C0" w:rsidP="005E2676">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sz w:val="20"/>
                <w:szCs w:val="20"/>
              </w:rPr>
            </w:pPr>
            <w:r w:rsidRPr="00E8768B">
              <w:rPr>
                <w:rFonts w:eastAsia="Calibri"/>
                <w:noProof/>
                <w:color w:val="FFFFFF" w:themeColor="background1"/>
                <w:sz w:val="20"/>
                <w:szCs w:val="20"/>
              </w:rPr>
              <w:t>Contrapartida privada</w:t>
            </w:r>
          </w:p>
        </w:tc>
      </w:tr>
      <w:tr w:rsidR="005E2676" w:rsidRPr="00E8768B" w14:paraId="7AF50516" w14:textId="77777777" w:rsidTr="0011349F">
        <w:trPr>
          <w:trHeight w:val="340"/>
        </w:trPr>
        <w:tc>
          <w:tcPr>
            <w:cnfStyle w:val="001000000000" w:firstRow="0" w:lastRow="0" w:firstColumn="1" w:lastColumn="0" w:oddVBand="0" w:evenVBand="0" w:oddHBand="0" w:evenHBand="0" w:firstRowFirstColumn="0" w:firstRowLastColumn="0" w:lastRowFirstColumn="0" w:lastRowLastColumn="0"/>
            <w:tcW w:w="1734" w:type="dxa"/>
            <w:noWrap/>
            <w:hideMark/>
          </w:tcPr>
          <w:p w14:paraId="7793DF18" w14:textId="77777777" w:rsidR="00F819C0" w:rsidRPr="00E8768B" w:rsidRDefault="00F819C0" w:rsidP="005E2676">
            <w:pPr>
              <w:spacing w:line="360" w:lineRule="auto"/>
              <w:rPr>
                <w:rFonts w:eastAsia="Calibri"/>
                <w:b w:val="0"/>
                <w:bCs w:val="0"/>
                <w:noProof/>
                <w:color w:val="4C4747"/>
                <w:sz w:val="20"/>
                <w:szCs w:val="20"/>
                <w:lang w:val="es-DO"/>
              </w:rPr>
            </w:pPr>
            <w:r w:rsidRPr="00E8768B">
              <w:rPr>
                <w:rFonts w:eastAsia="Calibri"/>
                <w:b w:val="0"/>
                <w:bCs w:val="0"/>
                <w:noProof/>
                <w:color w:val="4C4747"/>
                <w:sz w:val="20"/>
                <w:szCs w:val="20"/>
                <w:lang w:val="es-DO"/>
              </w:rPr>
              <w:t>Dirección General de Cooperación Bilateral (DIGECOOB)</w:t>
            </w:r>
          </w:p>
        </w:tc>
        <w:tc>
          <w:tcPr>
            <w:tcW w:w="1413" w:type="dxa"/>
            <w:noWrap/>
            <w:hideMark/>
          </w:tcPr>
          <w:p w14:paraId="7EE29087"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75</w:t>
            </w:r>
          </w:p>
        </w:tc>
        <w:tc>
          <w:tcPr>
            <w:tcW w:w="1579" w:type="dxa"/>
            <w:noWrap/>
            <w:hideMark/>
          </w:tcPr>
          <w:p w14:paraId="54CF9223"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5,970.6</w:t>
            </w:r>
          </w:p>
        </w:tc>
        <w:tc>
          <w:tcPr>
            <w:tcW w:w="1695" w:type="dxa"/>
            <w:noWrap/>
            <w:hideMark/>
          </w:tcPr>
          <w:p w14:paraId="3A2635BC"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5,746.3</w:t>
            </w:r>
          </w:p>
        </w:tc>
        <w:tc>
          <w:tcPr>
            <w:tcW w:w="1695" w:type="dxa"/>
            <w:noWrap/>
            <w:hideMark/>
          </w:tcPr>
          <w:p w14:paraId="66E85226"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w:t>
            </w:r>
          </w:p>
        </w:tc>
        <w:tc>
          <w:tcPr>
            <w:tcW w:w="1836" w:type="dxa"/>
            <w:noWrap/>
            <w:hideMark/>
          </w:tcPr>
          <w:p w14:paraId="79A4685F"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139.5</w:t>
            </w:r>
          </w:p>
        </w:tc>
        <w:tc>
          <w:tcPr>
            <w:tcW w:w="1836" w:type="dxa"/>
          </w:tcPr>
          <w:p w14:paraId="33450C48"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w:t>
            </w:r>
          </w:p>
        </w:tc>
      </w:tr>
      <w:tr w:rsidR="005E2676" w:rsidRPr="00E8768B" w14:paraId="4CE8C68F" w14:textId="77777777" w:rsidTr="0011349F">
        <w:trPr>
          <w:trHeight w:val="340"/>
        </w:trPr>
        <w:tc>
          <w:tcPr>
            <w:cnfStyle w:val="001000000000" w:firstRow="0" w:lastRow="0" w:firstColumn="1" w:lastColumn="0" w:oddVBand="0" w:evenVBand="0" w:oddHBand="0" w:evenHBand="0" w:firstRowFirstColumn="0" w:firstRowLastColumn="0" w:lastRowFirstColumn="0" w:lastRowLastColumn="0"/>
            <w:tcW w:w="1734" w:type="dxa"/>
            <w:noWrap/>
            <w:hideMark/>
          </w:tcPr>
          <w:p w14:paraId="24D12284" w14:textId="77777777" w:rsidR="00F819C0" w:rsidRPr="00E8768B" w:rsidRDefault="00F819C0" w:rsidP="005E2676">
            <w:pPr>
              <w:spacing w:line="360" w:lineRule="auto"/>
              <w:rPr>
                <w:rFonts w:eastAsia="Calibri"/>
                <w:b w:val="0"/>
                <w:bCs w:val="0"/>
                <w:noProof/>
                <w:color w:val="4C4747"/>
                <w:sz w:val="20"/>
                <w:szCs w:val="20"/>
                <w:lang w:val="es-DO"/>
              </w:rPr>
            </w:pPr>
            <w:r w:rsidRPr="00E8768B">
              <w:rPr>
                <w:rFonts w:eastAsia="Calibri"/>
                <w:b w:val="0"/>
                <w:bCs w:val="0"/>
                <w:noProof/>
                <w:color w:val="4C4747"/>
                <w:sz w:val="20"/>
                <w:szCs w:val="20"/>
                <w:lang w:val="es-DO"/>
              </w:rPr>
              <w:t>Dirección General de Cooperación Multilateral (DIGECOOM)</w:t>
            </w:r>
          </w:p>
        </w:tc>
        <w:tc>
          <w:tcPr>
            <w:tcW w:w="1413" w:type="dxa"/>
            <w:noWrap/>
            <w:hideMark/>
          </w:tcPr>
          <w:p w14:paraId="0625EFCF"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102</w:t>
            </w:r>
          </w:p>
        </w:tc>
        <w:tc>
          <w:tcPr>
            <w:tcW w:w="1579" w:type="dxa"/>
            <w:noWrap/>
            <w:hideMark/>
          </w:tcPr>
          <w:p w14:paraId="786D811B"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40,329.5</w:t>
            </w:r>
          </w:p>
        </w:tc>
        <w:tc>
          <w:tcPr>
            <w:tcW w:w="1695" w:type="dxa"/>
            <w:noWrap/>
            <w:hideMark/>
          </w:tcPr>
          <w:p w14:paraId="1BFEEFC2"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21,851.7</w:t>
            </w:r>
          </w:p>
        </w:tc>
        <w:tc>
          <w:tcPr>
            <w:tcW w:w="1695" w:type="dxa"/>
            <w:noWrap/>
            <w:hideMark/>
          </w:tcPr>
          <w:p w14:paraId="1E409E33"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13,813.4</w:t>
            </w:r>
          </w:p>
        </w:tc>
        <w:tc>
          <w:tcPr>
            <w:tcW w:w="1836" w:type="dxa"/>
            <w:noWrap/>
            <w:hideMark/>
          </w:tcPr>
          <w:p w14:paraId="3001D143"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4,612.1</w:t>
            </w:r>
          </w:p>
        </w:tc>
        <w:tc>
          <w:tcPr>
            <w:tcW w:w="1836" w:type="dxa"/>
          </w:tcPr>
          <w:p w14:paraId="50C5BCCC"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sz w:val="20"/>
                <w:szCs w:val="20"/>
              </w:rPr>
            </w:pPr>
            <w:r w:rsidRPr="00E8768B">
              <w:rPr>
                <w:rFonts w:eastAsia="Calibri"/>
                <w:noProof/>
                <w:color w:val="4C4747"/>
                <w:sz w:val="20"/>
                <w:szCs w:val="20"/>
              </w:rPr>
              <w:t>44.4</w:t>
            </w:r>
          </w:p>
        </w:tc>
      </w:tr>
      <w:tr w:rsidR="005E2676" w:rsidRPr="00E8768B" w14:paraId="16D986D4" w14:textId="77777777" w:rsidTr="0011349F">
        <w:trPr>
          <w:trHeight w:val="340"/>
        </w:trPr>
        <w:tc>
          <w:tcPr>
            <w:cnfStyle w:val="001000000000" w:firstRow="0" w:lastRow="0" w:firstColumn="1" w:lastColumn="0" w:oddVBand="0" w:evenVBand="0" w:oddHBand="0" w:evenHBand="0" w:firstRowFirstColumn="0" w:firstRowLastColumn="0" w:lastRowFirstColumn="0" w:lastRowLastColumn="0"/>
            <w:tcW w:w="1734" w:type="dxa"/>
            <w:noWrap/>
            <w:hideMark/>
          </w:tcPr>
          <w:p w14:paraId="19163DBC" w14:textId="77777777" w:rsidR="00F819C0" w:rsidRPr="00E8768B" w:rsidRDefault="00F819C0" w:rsidP="005E2676">
            <w:pPr>
              <w:spacing w:line="360" w:lineRule="auto"/>
              <w:rPr>
                <w:rFonts w:eastAsia="Calibri"/>
                <w:noProof/>
                <w:color w:val="4C4747"/>
                <w:sz w:val="20"/>
                <w:szCs w:val="20"/>
              </w:rPr>
            </w:pPr>
            <w:r w:rsidRPr="00E8768B">
              <w:rPr>
                <w:rFonts w:eastAsia="Calibri"/>
                <w:noProof/>
                <w:color w:val="4C4747"/>
                <w:sz w:val="20"/>
                <w:szCs w:val="20"/>
              </w:rPr>
              <w:t>TOTAL</w:t>
            </w:r>
          </w:p>
        </w:tc>
        <w:tc>
          <w:tcPr>
            <w:tcW w:w="1413" w:type="dxa"/>
            <w:noWrap/>
            <w:hideMark/>
          </w:tcPr>
          <w:p w14:paraId="054B0A5A"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0"/>
                <w:szCs w:val="20"/>
              </w:rPr>
            </w:pPr>
            <w:r w:rsidRPr="00E8768B">
              <w:rPr>
                <w:rFonts w:eastAsia="Calibri"/>
                <w:b/>
                <w:bCs/>
                <w:noProof/>
                <w:color w:val="4C4747"/>
                <w:sz w:val="20"/>
                <w:szCs w:val="20"/>
              </w:rPr>
              <w:t>177</w:t>
            </w:r>
          </w:p>
        </w:tc>
        <w:tc>
          <w:tcPr>
            <w:tcW w:w="1579" w:type="dxa"/>
            <w:noWrap/>
            <w:hideMark/>
          </w:tcPr>
          <w:p w14:paraId="2AD8C2E3"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0"/>
                <w:szCs w:val="20"/>
              </w:rPr>
            </w:pPr>
            <w:r w:rsidRPr="00E8768B">
              <w:rPr>
                <w:rFonts w:eastAsia="Calibri"/>
                <w:b/>
                <w:bCs/>
                <w:noProof/>
                <w:color w:val="4C4747"/>
                <w:sz w:val="20"/>
                <w:szCs w:val="20"/>
              </w:rPr>
              <w:t>46,300.1</w:t>
            </w:r>
          </w:p>
        </w:tc>
        <w:tc>
          <w:tcPr>
            <w:tcW w:w="1695" w:type="dxa"/>
            <w:noWrap/>
            <w:hideMark/>
          </w:tcPr>
          <w:p w14:paraId="58B94E0A"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0"/>
                <w:szCs w:val="20"/>
              </w:rPr>
            </w:pPr>
            <w:r w:rsidRPr="00E8768B">
              <w:rPr>
                <w:rFonts w:eastAsia="Calibri"/>
                <w:b/>
                <w:bCs/>
                <w:noProof/>
                <w:color w:val="4C4747"/>
                <w:sz w:val="20"/>
                <w:szCs w:val="20"/>
              </w:rPr>
              <w:t>27,598.0</w:t>
            </w:r>
          </w:p>
        </w:tc>
        <w:tc>
          <w:tcPr>
            <w:tcW w:w="1695" w:type="dxa"/>
            <w:noWrap/>
            <w:hideMark/>
          </w:tcPr>
          <w:p w14:paraId="57F3ABB9"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0"/>
                <w:szCs w:val="20"/>
              </w:rPr>
            </w:pPr>
            <w:r w:rsidRPr="00E8768B">
              <w:rPr>
                <w:rFonts w:eastAsia="Calibri"/>
                <w:b/>
                <w:bCs/>
                <w:noProof/>
                <w:color w:val="4C4747"/>
                <w:sz w:val="20"/>
                <w:szCs w:val="20"/>
              </w:rPr>
              <w:t>13,813.4</w:t>
            </w:r>
          </w:p>
        </w:tc>
        <w:tc>
          <w:tcPr>
            <w:tcW w:w="1836" w:type="dxa"/>
            <w:noWrap/>
            <w:hideMark/>
          </w:tcPr>
          <w:p w14:paraId="3A0FCD19"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0"/>
                <w:szCs w:val="20"/>
              </w:rPr>
            </w:pPr>
            <w:r w:rsidRPr="00E8768B">
              <w:rPr>
                <w:rFonts w:eastAsia="Calibri"/>
                <w:b/>
                <w:bCs/>
                <w:noProof/>
                <w:color w:val="4C4747"/>
                <w:sz w:val="20"/>
                <w:szCs w:val="20"/>
              </w:rPr>
              <w:t>4,751.5</w:t>
            </w:r>
          </w:p>
        </w:tc>
        <w:tc>
          <w:tcPr>
            <w:tcW w:w="1836" w:type="dxa"/>
          </w:tcPr>
          <w:p w14:paraId="0B3BF959" w14:textId="77777777" w:rsidR="00F819C0" w:rsidRPr="00E8768B" w:rsidRDefault="00F819C0" w:rsidP="005E267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0"/>
                <w:szCs w:val="20"/>
              </w:rPr>
            </w:pPr>
            <w:r w:rsidRPr="00E8768B">
              <w:rPr>
                <w:rFonts w:eastAsia="Calibri"/>
                <w:b/>
                <w:bCs/>
                <w:noProof/>
                <w:color w:val="4C4747"/>
                <w:sz w:val="20"/>
                <w:szCs w:val="20"/>
              </w:rPr>
              <w:t>44.4</w:t>
            </w:r>
          </w:p>
        </w:tc>
      </w:tr>
    </w:tbl>
    <w:p w14:paraId="32162F09" w14:textId="77777777" w:rsidR="00F819C0" w:rsidRPr="00247394" w:rsidRDefault="00F819C0" w:rsidP="00F819C0">
      <w:pPr>
        <w:spacing w:after="0" w:line="360" w:lineRule="auto"/>
        <w:ind w:left="720"/>
        <w:jc w:val="center"/>
        <w:rPr>
          <w:rFonts w:eastAsia="Calibri"/>
          <w:noProof/>
          <w:color w:val="4C4747"/>
          <w:lang w:val="es-DO"/>
        </w:rPr>
      </w:pPr>
      <w:r w:rsidRPr="00247394">
        <w:rPr>
          <w:rFonts w:eastAsia="Calibri"/>
          <w:noProof/>
          <w:color w:val="4C4747"/>
          <w:lang w:val="es-DO"/>
        </w:rPr>
        <w:t xml:space="preserve">Fuente: elaborado por el Ministerio de Economía, Planificación y Desarrollo con datos del Sistema de Información del SINACID </w:t>
      </w:r>
    </w:p>
    <w:p w14:paraId="4D00F357" w14:textId="1E92580C" w:rsidR="00F819C0" w:rsidRPr="0095785E" w:rsidRDefault="00F819C0" w:rsidP="005E2676">
      <w:pPr>
        <w:pStyle w:val="Caption"/>
        <w:spacing w:after="0" w:line="360" w:lineRule="auto"/>
        <w:ind w:left="0" w:firstLine="720"/>
        <w:rPr>
          <w:rFonts w:eastAsia="Calibri"/>
          <w:noProof/>
          <w:color w:val="4C4747"/>
          <w:spacing w:val="20"/>
          <w:sz w:val="24"/>
          <w:szCs w:val="24"/>
          <w:lang w:eastAsia="en-US"/>
        </w:rPr>
      </w:pPr>
      <w:bookmarkStart w:id="85" w:name="_Toc172101121"/>
      <w:bookmarkStart w:id="86" w:name="_Toc213931926"/>
      <w:r w:rsidRPr="0095785E">
        <w:rPr>
          <w:rFonts w:eastAsia="Calibri"/>
          <w:noProof/>
          <w:color w:val="4C4747"/>
          <w:spacing w:val="20"/>
          <w:sz w:val="24"/>
          <w:szCs w:val="24"/>
          <w:lang w:eastAsia="en-US"/>
        </w:rPr>
        <w:t>Unidades Gestoras de Proyectos</w:t>
      </w:r>
      <w:bookmarkEnd w:id="85"/>
      <w:bookmarkEnd w:id="86"/>
    </w:p>
    <w:p w14:paraId="3884232D"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El MEPyD cuenta con cuatro Unidades Gestoras de Proyectos </w:t>
      </w:r>
      <w:r>
        <w:rPr>
          <w:rFonts w:eastAsia="Calibri"/>
          <w:noProof/>
          <w:color w:val="4C4747"/>
          <w:lang w:val="es-DO"/>
        </w:rPr>
        <w:t>(</w:t>
      </w:r>
      <w:r w:rsidRPr="00247394">
        <w:rPr>
          <w:rFonts w:eastAsia="Calibri"/>
          <w:noProof/>
          <w:color w:val="4C4747"/>
          <w:lang w:val="es-DO"/>
        </w:rPr>
        <w:t xml:space="preserve">UGP) en funcionamiento, de las cuales cabe destacar los siguientes logros: </w:t>
      </w:r>
    </w:p>
    <w:p w14:paraId="404655A1" w14:textId="77777777" w:rsidR="00F819C0" w:rsidRDefault="00F819C0" w:rsidP="00F819C0">
      <w:pPr>
        <w:spacing w:after="0" w:line="360" w:lineRule="auto"/>
        <w:ind w:left="720"/>
        <w:jc w:val="both"/>
        <w:rPr>
          <w:rFonts w:eastAsia="Calibri"/>
          <w:noProof/>
          <w:color w:val="4C4747"/>
          <w:lang w:val="es-DO"/>
        </w:rPr>
      </w:pPr>
    </w:p>
    <w:p w14:paraId="654FEAFC" w14:textId="77777777" w:rsidR="00F819C0" w:rsidRDefault="00F819C0" w:rsidP="00F819C0">
      <w:pPr>
        <w:pStyle w:val="paragraph"/>
        <w:numPr>
          <w:ilvl w:val="0"/>
          <w:numId w:val="63"/>
        </w:numPr>
        <w:spacing w:line="360" w:lineRule="auto"/>
        <w:jc w:val="both"/>
        <w:textAlignment w:val="baseline"/>
        <w:rPr>
          <w:rFonts w:eastAsia="Calibri"/>
          <w:noProof/>
          <w:color w:val="4C4747"/>
          <w:spacing w:val="20"/>
          <w:lang w:val="es-DO"/>
        </w:rPr>
      </w:pPr>
      <w:r w:rsidRPr="00236ED6">
        <w:rPr>
          <w:rFonts w:eastAsia="Calibri"/>
          <w:noProof/>
          <w:color w:val="4C4747"/>
          <w:spacing w:val="20"/>
          <w:lang w:val="es-DO"/>
        </w:rPr>
        <w:t xml:space="preserve">Proyecto de Inclusión Productiva y Resiliencia de las Familias Rurales Pobres – PRORURAL Inclusivo y Resiliente: Durante el período de ejecución del proyecto, se formularon y </w:t>
      </w:r>
      <w:r w:rsidRPr="00236ED6">
        <w:rPr>
          <w:rFonts w:eastAsia="Calibri"/>
          <w:noProof/>
          <w:color w:val="4C4747"/>
          <w:spacing w:val="20"/>
          <w:lang w:val="es-DO"/>
        </w:rPr>
        <w:lastRenderedPageBreak/>
        <w:t>aprobaron 76 Planes de Inclusión y Resiliencia (PIRs), alcanzando un total de 7,400 productores beneficiarios.</w:t>
      </w:r>
    </w:p>
    <w:p w14:paraId="78CA4D74" w14:textId="77777777" w:rsidR="000C6D06" w:rsidRDefault="000C6D06" w:rsidP="000C6D06">
      <w:pPr>
        <w:pStyle w:val="paragraph"/>
        <w:spacing w:line="360" w:lineRule="auto"/>
        <w:ind w:left="720"/>
        <w:jc w:val="both"/>
        <w:textAlignment w:val="baseline"/>
        <w:rPr>
          <w:rFonts w:eastAsia="Calibri"/>
          <w:noProof/>
          <w:color w:val="4C4747"/>
          <w:spacing w:val="20"/>
          <w:lang w:val="es-DO"/>
        </w:rPr>
      </w:pPr>
    </w:p>
    <w:p w14:paraId="1B9F9E9F" w14:textId="77777777" w:rsidR="00F819C0" w:rsidRPr="00247394" w:rsidRDefault="00F819C0" w:rsidP="00F819C0">
      <w:pPr>
        <w:pStyle w:val="Caption"/>
        <w:keepNext/>
        <w:spacing w:after="0" w:line="360" w:lineRule="auto"/>
        <w:ind w:left="720"/>
        <w:jc w:val="center"/>
        <w:rPr>
          <w:rFonts w:eastAsia="Calibri"/>
          <w:b w:val="0"/>
          <w:bCs w:val="0"/>
          <w:noProof/>
          <w:color w:val="4C4747"/>
          <w:spacing w:val="20"/>
          <w:sz w:val="24"/>
          <w:szCs w:val="24"/>
          <w:lang w:eastAsia="en-US"/>
        </w:rPr>
      </w:pPr>
      <w:r w:rsidRPr="00247394">
        <w:rPr>
          <w:rFonts w:eastAsia="Calibri"/>
          <w:b w:val="0"/>
          <w:bCs w:val="0"/>
          <w:noProof/>
          <w:color w:val="4C4747"/>
          <w:spacing w:val="20"/>
          <w:sz w:val="24"/>
          <w:szCs w:val="24"/>
          <w:lang w:eastAsia="en-US"/>
        </w:rPr>
        <w:t xml:space="preserve">Tabla </w:t>
      </w:r>
      <w:r w:rsidRPr="00247394">
        <w:rPr>
          <w:rFonts w:eastAsia="Calibri"/>
          <w:b w:val="0"/>
          <w:bCs w:val="0"/>
          <w:noProof/>
          <w:color w:val="4C4747"/>
          <w:spacing w:val="20"/>
          <w:sz w:val="24"/>
          <w:szCs w:val="24"/>
          <w:lang w:eastAsia="en-US"/>
        </w:rPr>
        <w:fldChar w:fldCharType="begin"/>
      </w:r>
      <w:r w:rsidRPr="00247394">
        <w:rPr>
          <w:rFonts w:eastAsia="Calibri"/>
          <w:b w:val="0"/>
          <w:bCs w:val="0"/>
          <w:noProof/>
          <w:color w:val="4C4747"/>
          <w:spacing w:val="20"/>
          <w:sz w:val="24"/>
          <w:szCs w:val="24"/>
          <w:lang w:eastAsia="en-US"/>
        </w:rPr>
        <w:instrText xml:space="preserve"> SEQ Table \* ARABIC </w:instrText>
      </w:r>
      <w:r w:rsidRPr="00247394">
        <w:rPr>
          <w:rFonts w:eastAsia="Calibri"/>
          <w:b w:val="0"/>
          <w:bCs w:val="0"/>
          <w:noProof/>
          <w:color w:val="4C4747"/>
          <w:spacing w:val="20"/>
          <w:sz w:val="24"/>
          <w:szCs w:val="24"/>
          <w:lang w:eastAsia="en-US"/>
        </w:rPr>
        <w:fldChar w:fldCharType="separate"/>
      </w:r>
      <w:r w:rsidRPr="00247394">
        <w:rPr>
          <w:rFonts w:eastAsia="Calibri"/>
          <w:b w:val="0"/>
          <w:bCs w:val="0"/>
          <w:noProof/>
          <w:color w:val="4C4747"/>
          <w:spacing w:val="20"/>
          <w:sz w:val="24"/>
          <w:szCs w:val="24"/>
          <w:lang w:eastAsia="en-US"/>
        </w:rPr>
        <w:t>2</w:t>
      </w:r>
      <w:r w:rsidRPr="00247394">
        <w:rPr>
          <w:rFonts w:eastAsia="Calibri"/>
          <w:b w:val="0"/>
          <w:bCs w:val="0"/>
          <w:noProof/>
          <w:color w:val="4C4747"/>
          <w:spacing w:val="20"/>
          <w:sz w:val="24"/>
          <w:szCs w:val="24"/>
          <w:lang w:eastAsia="en-US"/>
        </w:rPr>
        <w:fldChar w:fldCharType="end"/>
      </w:r>
      <w:r w:rsidRPr="00247394">
        <w:rPr>
          <w:rFonts w:eastAsia="Calibri"/>
          <w:b w:val="0"/>
          <w:bCs w:val="0"/>
          <w:noProof/>
          <w:color w:val="4C4747"/>
          <w:spacing w:val="20"/>
          <w:sz w:val="24"/>
          <w:szCs w:val="24"/>
          <w:lang w:eastAsia="en-US"/>
        </w:rPr>
        <w:t>: Alcance de los Planes de Inclusión y Resiliencia de PRORURAL I+R</w:t>
      </w:r>
    </w:p>
    <w:tbl>
      <w:tblPr>
        <w:tblStyle w:val="GridTable1Light-Accent3"/>
        <w:tblW w:w="5117" w:type="pct"/>
        <w:tblInd w:w="835" w:type="dxa"/>
        <w:tblLook w:val="04A0" w:firstRow="1" w:lastRow="0" w:firstColumn="1" w:lastColumn="0" w:noHBand="0" w:noVBand="1"/>
      </w:tblPr>
      <w:tblGrid>
        <w:gridCol w:w="2860"/>
        <w:gridCol w:w="2603"/>
        <w:gridCol w:w="1875"/>
        <w:gridCol w:w="1741"/>
        <w:gridCol w:w="2700"/>
      </w:tblGrid>
      <w:tr w:rsidR="00F819C0" w:rsidRPr="00247394" w14:paraId="4FF05137" w14:textId="77777777" w:rsidTr="006C1F51">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F3864" w:themeFill="accent1" w:themeFillShade="80"/>
          </w:tcPr>
          <w:p w14:paraId="5594FE65" w14:textId="77777777" w:rsidR="00F819C0" w:rsidRPr="007C0683" w:rsidRDefault="00F819C0" w:rsidP="0011349F">
            <w:pPr>
              <w:spacing w:line="360" w:lineRule="auto"/>
              <w:jc w:val="center"/>
              <w:rPr>
                <w:rFonts w:eastAsia="Calibri"/>
                <w:noProof/>
                <w:color w:val="4C4747"/>
                <w:lang w:val="es-DO"/>
              </w:rPr>
            </w:pPr>
            <w:r w:rsidRPr="007C0683">
              <w:rPr>
                <w:rFonts w:eastAsia="Calibri"/>
                <w:noProof/>
                <w:color w:val="FFFFFF" w:themeColor="background1"/>
                <w:lang w:val="es-DO"/>
              </w:rPr>
              <w:t>Alcance PIRs</w:t>
            </w:r>
          </w:p>
        </w:tc>
      </w:tr>
      <w:tr w:rsidR="000C6D06" w:rsidRPr="007B6BCF" w14:paraId="5CE325F3" w14:textId="77777777" w:rsidTr="006C1F51">
        <w:trPr>
          <w:trHeight w:val="696"/>
        </w:trPr>
        <w:tc>
          <w:tcPr>
            <w:cnfStyle w:val="001000000000" w:firstRow="0" w:lastRow="0" w:firstColumn="1" w:lastColumn="0" w:oddVBand="0" w:evenVBand="0" w:oddHBand="0" w:evenHBand="0" w:firstRowFirstColumn="0" w:firstRowLastColumn="0" w:lastRowFirstColumn="0" w:lastRowLastColumn="0"/>
            <w:tcW w:w="1214" w:type="pct"/>
          </w:tcPr>
          <w:p w14:paraId="516893BB" w14:textId="77777777" w:rsidR="00F819C0" w:rsidRPr="007C0683" w:rsidRDefault="00F819C0" w:rsidP="0011349F">
            <w:pPr>
              <w:spacing w:line="360" w:lineRule="auto"/>
              <w:rPr>
                <w:rFonts w:eastAsia="Calibri"/>
                <w:noProof/>
                <w:color w:val="4C4747"/>
                <w:lang w:val="es-DO"/>
              </w:rPr>
            </w:pPr>
            <w:r w:rsidRPr="007C0683">
              <w:rPr>
                <w:rFonts w:eastAsia="Calibri"/>
                <w:noProof/>
                <w:color w:val="4C4747"/>
                <w:lang w:val="es-DO"/>
              </w:rPr>
              <w:t>Planes de Inclusión y Resiliencia (PIRs)</w:t>
            </w:r>
          </w:p>
        </w:tc>
        <w:tc>
          <w:tcPr>
            <w:tcW w:w="1105" w:type="pct"/>
          </w:tcPr>
          <w:p w14:paraId="33F8443A" w14:textId="77777777" w:rsidR="00F819C0" w:rsidRPr="007C0683"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DO"/>
              </w:rPr>
            </w:pPr>
            <w:r w:rsidRPr="007C0683">
              <w:rPr>
                <w:rFonts w:eastAsia="Calibri"/>
                <w:b/>
                <w:bCs/>
                <w:noProof/>
                <w:color w:val="4C4747"/>
                <w:lang w:val="es-DO"/>
              </w:rPr>
              <w:t>Total de Productores Beneficiarios</w:t>
            </w:r>
          </w:p>
        </w:tc>
        <w:tc>
          <w:tcPr>
            <w:tcW w:w="796" w:type="pct"/>
          </w:tcPr>
          <w:p w14:paraId="565E2FFF" w14:textId="77777777" w:rsidR="00F819C0" w:rsidRPr="007C0683"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DO"/>
              </w:rPr>
            </w:pPr>
            <w:r w:rsidRPr="007C0683">
              <w:rPr>
                <w:rFonts w:eastAsia="Calibri"/>
                <w:b/>
                <w:bCs/>
                <w:noProof/>
                <w:color w:val="4C4747"/>
                <w:lang w:val="es-DO"/>
              </w:rPr>
              <w:t>Hombres</w:t>
            </w:r>
          </w:p>
        </w:tc>
        <w:tc>
          <w:tcPr>
            <w:tcW w:w="739" w:type="pct"/>
          </w:tcPr>
          <w:p w14:paraId="76643C0D" w14:textId="77777777" w:rsidR="00F819C0" w:rsidRPr="007C0683"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DO"/>
              </w:rPr>
            </w:pPr>
            <w:r w:rsidRPr="007C0683">
              <w:rPr>
                <w:rFonts w:eastAsia="Calibri"/>
                <w:b/>
                <w:bCs/>
                <w:noProof/>
                <w:color w:val="4C4747"/>
                <w:lang w:val="es-DO"/>
              </w:rPr>
              <w:t>Mujeres</w:t>
            </w:r>
          </w:p>
        </w:tc>
        <w:tc>
          <w:tcPr>
            <w:tcW w:w="1146" w:type="pct"/>
          </w:tcPr>
          <w:p w14:paraId="7E60A692" w14:textId="77777777" w:rsidR="00F819C0" w:rsidRPr="007B6B04"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DO"/>
              </w:rPr>
            </w:pPr>
            <w:r w:rsidRPr="007B6B04">
              <w:rPr>
                <w:rFonts w:eastAsia="Calibri"/>
                <w:b/>
                <w:bCs/>
                <w:noProof/>
                <w:color w:val="4C4747"/>
                <w:lang w:val="es-DO"/>
              </w:rPr>
              <w:t>Productores Jóvenes (hombres y mujeres) menores de 35 años</w:t>
            </w:r>
          </w:p>
        </w:tc>
      </w:tr>
      <w:tr w:rsidR="00F819C0" w:rsidRPr="00247394" w14:paraId="71F4350E" w14:textId="77777777" w:rsidTr="006C1F51">
        <w:trPr>
          <w:trHeight w:val="268"/>
        </w:trPr>
        <w:tc>
          <w:tcPr>
            <w:cnfStyle w:val="001000000000" w:firstRow="0" w:lastRow="0" w:firstColumn="1" w:lastColumn="0" w:oddVBand="0" w:evenVBand="0" w:oddHBand="0" w:evenHBand="0" w:firstRowFirstColumn="0" w:firstRowLastColumn="0" w:lastRowFirstColumn="0" w:lastRowLastColumn="0"/>
            <w:tcW w:w="1214" w:type="pct"/>
          </w:tcPr>
          <w:p w14:paraId="1133BF4F" w14:textId="77777777" w:rsidR="00F819C0" w:rsidRPr="00247394" w:rsidRDefault="00F819C0" w:rsidP="0011349F">
            <w:pPr>
              <w:spacing w:line="360" w:lineRule="auto"/>
              <w:rPr>
                <w:rFonts w:eastAsia="Calibri"/>
                <w:b w:val="0"/>
                <w:bCs w:val="0"/>
                <w:noProof/>
                <w:color w:val="4C4747"/>
                <w:lang w:val="es-DO"/>
              </w:rPr>
            </w:pPr>
            <w:r w:rsidRPr="00247394">
              <w:rPr>
                <w:rFonts w:eastAsia="Calibri"/>
                <w:b w:val="0"/>
                <w:bCs w:val="0"/>
                <w:noProof/>
                <w:color w:val="4C4747"/>
                <w:lang w:val="es-DO"/>
              </w:rPr>
              <w:t>57 Organizaciones Económicas Rurales, OER (asociaciones y cooperativas)</w:t>
            </w:r>
          </w:p>
        </w:tc>
        <w:tc>
          <w:tcPr>
            <w:tcW w:w="1105" w:type="pct"/>
          </w:tcPr>
          <w:p w14:paraId="093EFFFC"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6,431</w:t>
            </w:r>
          </w:p>
        </w:tc>
        <w:tc>
          <w:tcPr>
            <w:tcW w:w="796" w:type="pct"/>
          </w:tcPr>
          <w:p w14:paraId="50EF288F"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4,265</w:t>
            </w:r>
          </w:p>
        </w:tc>
        <w:tc>
          <w:tcPr>
            <w:tcW w:w="739" w:type="pct"/>
          </w:tcPr>
          <w:p w14:paraId="01F3D0C4"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2,166</w:t>
            </w:r>
          </w:p>
        </w:tc>
        <w:tc>
          <w:tcPr>
            <w:tcW w:w="1146" w:type="pct"/>
          </w:tcPr>
          <w:p w14:paraId="019CA861"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1,017</w:t>
            </w:r>
          </w:p>
        </w:tc>
      </w:tr>
      <w:tr w:rsidR="00F819C0" w:rsidRPr="00247394" w14:paraId="4D025D76" w14:textId="77777777" w:rsidTr="006C1F51">
        <w:trPr>
          <w:trHeight w:val="362"/>
        </w:trPr>
        <w:tc>
          <w:tcPr>
            <w:cnfStyle w:val="001000000000" w:firstRow="0" w:lastRow="0" w:firstColumn="1" w:lastColumn="0" w:oddVBand="0" w:evenVBand="0" w:oddHBand="0" w:evenHBand="0" w:firstRowFirstColumn="0" w:firstRowLastColumn="0" w:lastRowFirstColumn="0" w:lastRowLastColumn="0"/>
            <w:tcW w:w="1214" w:type="pct"/>
          </w:tcPr>
          <w:p w14:paraId="40A4442E" w14:textId="77777777" w:rsidR="00F819C0" w:rsidRPr="00247394" w:rsidRDefault="00F819C0" w:rsidP="0011349F">
            <w:pPr>
              <w:spacing w:line="360" w:lineRule="auto"/>
              <w:rPr>
                <w:rFonts w:eastAsia="Calibri"/>
                <w:b w:val="0"/>
                <w:bCs w:val="0"/>
                <w:noProof/>
                <w:color w:val="4C4747"/>
                <w:lang w:val="es-DO"/>
              </w:rPr>
            </w:pPr>
            <w:r w:rsidRPr="00247394">
              <w:rPr>
                <w:rFonts w:eastAsia="Calibri"/>
                <w:b w:val="0"/>
                <w:bCs w:val="0"/>
                <w:noProof/>
                <w:color w:val="4C4747"/>
                <w:lang w:val="es-DO"/>
              </w:rPr>
              <w:t>15 Grupos de Familia</w:t>
            </w:r>
          </w:p>
        </w:tc>
        <w:tc>
          <w:tcPr>
            <w:tcW w:w="1105" w:type="pct"/>
          </w:tcPr>
          <w:p w14:paraId="78D8674F"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699</w:t>
            </w:r>
          </w:p>
        </w:tc>
        <w:tc>
          <w:tcPr>
            <w:tcW w:w="796" w:type="pct"/>
          </w:tcPr>
          <w:p w14:paraId="2100304C"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296</w:t>
            </w:r>
          </w:p>
        </w:tc>
        <w:tc>
          <w:tcPr>
            <w:tcW w:w="739" w:type="pct"/>
          </w:tcPr>
          <w:p w14:paraId="1F498AFC"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247394">
              <w:rPr>
                <w:rFonts w:eastAsia="Calibri"/>
                <w:noProof/>
                <w:color w:val="4C4747"/>
              </w:rPr>
              <w:t>403</w:t>
            </w:r>
          </w:p>
        </w:tc>
        <w:tc>
          <w:tcPr>
            <w:tcW w:w="1146" w:type="pct"/>
          </w:tcPr>
          <w:p w14:paraId="6365A1F0"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247394">
              <w:rPr>
                <w:rFonts w:eastAsia="Calibri"/>
                <w:noProof/>
                <w:color w:val="4C4747"/>
              </w:rPr>
              <w:t>134</w:t>
            </w:r>
          </w:p>
        </w:tc>
      </w:tr>
      <w:tr w:rsidR="00F819C0" w:rsidRPr="00247394" w14:paraId="3C1A06B1" w14:textId="77777777" w:rsidTr="006C1F51">
        <w:trPr>
          <w:trHeight w:val="328"/>
        </w:trPr>
        <w:tc>
          <w:tcPr>
            <w:cnfStyle w:val="001000000000" w:firstRow="0" w:lastRow="0" w:firstColumn="1" w:lastColumn="0" w:oddVBand="0" w:evenVBand="0" w:oddHBand="0" w:evenHBand="0" w:firstRowFirstColumn="0" w:firstRowLastColumn="0" w:lastRowFirstColumn="0" w:lastRowLastColumn="0"/>
            <w:tcW w:w="1214" w:type="pct"/>
          </w:tcPr>
          <w:p w14:paraId="6EC85992" w14:textId="77777777" w:rsidR="00F819C0" w:rsidRPr="00247394" w:rsidRDefault="00F819C0" w:rsidP="0011349F">
            <w:pPr>
              <w:spacing w:line="360" w:lineRule="auto"/>
              <w:rPr>
                <w:rFonts w:eastAsia="Calibri"/>
                <w:b w:val="0"/>
                <w:bCs w:val="0"/>
                <w:noProof/>
                <w:color w:val="4C4747"/>
                <w:lang w:val="es-DO"/>
              </w:rPr>
            </w:pPr>
            <w:r w:rsidRPr="00247394">
              <w:rPr>
                <w:rFonts w:eastAsia="Calibri"/>
                <w:b w:val="0"/>
                <w:bCs w:val="0"/>
                <w:noProof/>
                <w:color w:val="4C4747"/>
                <w:lang w:val="es-DO"/>
              </w:rPr>
              <w:t>3 Jóvenes</w:t>
            </w:r>
          </w:p>
        </w:tc>
        <w:tc>
          <w:tcPr>
            <w:tcW w:w="1105" w:type="pct"/>
          </w:tcPr>
          <w:p w14:paraId="172130D9"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117</w:t>
            </w:r>
          </w:p>
        </w:tc>
        <w:tc>
          <w:tcPr>
            <w:tcW w:w="796" w:type="pct"/>
          </w:tcPr>
          <w:p w14:paraId="6F5BC394"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42</w:t>
            </w:r>
          </w:p>
        </w:tc>
        <w:tc>
          <w:tcPr>
            <w:tcW w:w="739" w:type="pct"/>
          </w:tcPr>
          <w:p w14:paraId="2E6B014C"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75</w:t>
            </w:r>
          </w:p>
        </w:tc>
        <w:tc>
          <w:tcPr>
            <w:tcW w:w="1146" w:type="pct"/>
          </w:tcPr>
          <w:p w14:paraId="5A1D9640"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117</w:t>
            </w:r>
          </w:p>
        </w:tc>
      </w:tr>
      <w:tr w:rsidR="00F819C0" w:rsidRPr="00247394" w14:paraId="1A1F41E4" w14:textId="77777777" w:rsidTr="006C1F51">
        <w:trPr>
          <w:trHeight w:val="300"/>
        </w:trPr>
        <w:tc>
          <w:tcPr>
            <w:cnfStyle w:val="001000000000" w:firstRow="0" w:lastRow="0" w:firstColumn="1" w:lastColumn="0" w:oddVBand="0" w:evenVBand="0" w:oddHBand="0" w:evenHBand="0" w:firstRowFirstColumn="0" w:firstRowLastColumn="0" w:lastRowFirstColumn="0" w:lastRowLastColumn="0"/>
            <w:tcW w:w="1214" w:type="pct"/>
          </w:tcPr>
          <w:p w14:paraId="4D7F8E4A" w14:textId="77777777" w:rsidR="00F819C0" w:rsidRPr="00247394" w:rsidRDefault="00F819C0" w:rsidP="0011349F">
            <w:pPr>
              <w:spacing w:line="360" w:lineRule="auto"/>
              <w:rPr>
                <w:rFonts w:eastAsia="Calibri"/>
                <w:b w:val="0"/>
                <w:bCs w:val="0"/>
                <w:noProof/>
                <w:color w:val="4C4747"/>
                <w:lang w:val="es-DO"/>
              </w:rPr>
            </w:pPr>
            <w:r w:rsidRPr="00247394">
              <w:rPr>
                <w:rFonts w:eastAsia="Calibri"/>
                <w:b w:val="0"/>
                <w:bCs w:val="0"/>
                <w:noProof/>
                <w:color w:val="4C4747"/>
                <w:lang w:val="es-DO"/>
              </w:rPr>
              <w:t>76 PIRs</w:t>
            </w:r>
          </w:p>
        </w:tc>
        <w:tc>
          <w:tcPr>
            <w:tcW w:w="1105" w:type="pct"/>
          </w:tcPr>
          <w:p w14:paraId="31828C7E"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7,247</w:t>
            </w:r>
          </w:p>
        </w:tc>
        <w:tc>
          <w:tcPr>
            <w:tcW w:w="796" w:type="pct"/>
          </w:tcPr>
          <w:p w14:paraId="78548EEB"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4,603</w:t>
            </w:r>
          </w:p>
        </w:tc>
        <w:tc>
          <w:tcPr>
            <w:tcW w:w="739" w:type="pct"/>
          </w:tcPr>
          <w:p w14:paraId="5EFBC2B5" w14:textId="77777777" w:rsidR="00F819C0" w:rsidRPr="0011349F"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11349F">
              <w:rPr>
                <w:rFonts w:eastAsia="Calibri"/>
                <w:noProof/>
                <w:color w:val="4C4747"/>
                <w:lang w:val="es-DO"/>
              </w:rPr>
              <w:t>2,644</w:t>
            </w:r>
          </w:p>
        </w:tc>
        <w:tc>
          <w:tcPr>
            <w:tcW w:w="1146" w:type="pct"/>
          </w:tcPr>
          <w:p w14:paraId="7B6984F9" w14:textId="77777777" w:rsidR="00F819C0" w:rsidRPr="0011349F"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11349F">
              <w:rPr>
                <w:rFonts w:eastAsia="Calibri"/>
                <w:noProof/>
                <w:color w:val="4C4747"/>
                <w:lang w:val="es-DO"/>
              </w:rPr>
              <w:t>1,268</w:t>
            </w:r>
          </w:p>
        </w:tc>
      </w:tr>
      <w:tr w:rsidR="00F819C0" w:rsidRPr="00247394" w14:paraId="3F43CCD9" w14:textId="77777777" w:rsidTr="006C1F51">
        <w:trPr>
          <w:trHeight w:val="258"/>
        </w:trPr>
        <w:tc>
          <w:tcPr>
            <w:cnfStyle w:val="001000000000" w:firstRow="0" w:lastRow="0" w:firstColumn="1" w:lastColumn="0" w:oddVBand="0" w:evenVBand="0" w:oddHBand="0" w:evenHBand="0" w:firstRowFirstColumn="0" w:firstRowLastColumn="0" w:lastRowFirstColumn="0" w:lastRowLastColumn="0"/>
            <w:tcW w:w="1214" w:type="pct"/>
          </w:tcPr>
          <w:p w14:paraId="3C2F7E00" w14:textId="77777777" w:rsidR="00F819C0" w:rsidRPr="00247394" w:rsidRDefault="00F819C0" w:rsidP="0011349F">
            <w:pPr>
              <w:spacing w:line="360" w:lineRule="auto"/>
              <w:rPr>
                <w:rFonts w:eastAsia="Calibri"/>
                <w:b w:val="0"/>
                <w:bCs w:val="0"/>
                <w:noProof/>
                <w:color w:val="4C4747"/>
                <w:lang w:val="es-DO"/>
              </w:rPr>
            </w:pPr>
            <w:r w:rsidRPr="00247394">
              <w:rPr>
                <w:rFonts w:eastAsia="Calibri"/>
                <w:b w:val="0"/>
                <w:bCs w:val="0"/>
                <w:noProof/>
                <w:color w:val="4C4747"/>
                <w:lang w:val="es-DO"/>
              </w:rPr>
              <w:t xml:space="preserve">Porcentajes </w:t>
            </w:r>
          </w:p>
        </w:tc>
        <w:tc>
          <w:tcPr>
            <w:tcW w:w="1105" w:type="pct"/>
          </w:tcPr>
          <w:p w14:paraId="0501AC5B"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w:t>
            </w:r>
          </w:p>
        </w:tc>
        <w:tc>
          <w:tcPr>
            <w:tcW w:w="796" w:type="pct"/>
          </w:tcPr>
          <w:p w14:paraId="2C3DD72E" w14:textId="77777777" w:rsidR="00F819C0" w:rsidRPr="00247394"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247394">
              <w:rPr>
                <w:rFonts w:eastAsia="Calibri"/>
                <w:noProof/>
                <w:color w:val="4C4747"/>
                <w:lang w:val="es-DO"/>
              </w:rPr>
              <w:t>64%</w:t>
            </w:r>
          </w:p>
        </w:tc>
        <w:tc>
          <w:tcPr>
            <w:tcW w:w="739" w:type="pct"/>
          </w:tcPr>
          <w:p w14:paraId="5B74DB6C" w14:textId="77777777" w:rsidR="00F819C0" w:rsidRPr="0011349F"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11349F">
              <w:rPr>
                <w:rFonts w:eastAsia="Calibri"/>
                <w:noProof/>
                <w:color w:val="4C4747"/>
                <w:lang w:val="es-DO"/>
              </w:rPr>
              <w:t>36%</w:t>
            </w:r>
          </w:p>
        </w:tc>
        <w:tc>
          <w:tcPr>
            <w:tcW w:w="1146" w:type="pct"/>
          </w:tcPr>
          <w:p w14:paraId="2D12A4AA" w14:textId="77777777" w:rsidR="00F819C0" w:rsidRPr="0011349F" w:rsidRDefault="00F819C0" w:rsidP="0011349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DO"/>
              </w:rPr>
            </w:pPr>
            <w:r w:rsidRPr="0011349F">
              <w:rPr>
                <w:rFonts w:eastAsia="Calibri"/>
                <w:noProof/>
                <w:color w:val="4C4747"/>
                <w:lang w:val="es-DO"/>
              </w:rPr>
              <w:t>17%</w:t>
            </w:r>
          </w:p>
        </w:tc>
      </w:tr>
    </w:tbl>
    <w:p w14:paraId="2416AE0A" w14:textId="027A435F"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De las Organizaciones Económicas Rurales (OERs) con PIRs formulados, se tienen 17 con el total de desembolso y 48 con un primer desembolso. De Grupos de Familias, 15 PIRs cuentan con segundo desembolso, y de Grupos de Jóvenes, 3 PIRs registran segundo desembolso. </w:t>
      </w:r>
    </w:p>
    <w:p w14:paraId="436D2795" w14:textId="77777777" w:rsidR="000C6D06" w:rsidRDefault="000C6D06" w:rsidP="00F819C0">
      <w:pPr>
        <w:spacing w:after="0" w:line="360" w:lineRule="auto"/>
        <w:ind w:left="720"/>
        <w:jc w:val="both"/>
        <w:rPr>
          <w:rFonts w:eastAsia="Calibri"/>
          <w:noProof/>
          <w:color w:val="4C4747"/>
          <w:lang w:val="es-DO"/>
        </w:rPr>
      </w:pPr>
    </w:p>
    <w:p w14:paraId="151F7134" w14:textId="6C3B8BC0"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lastRenderedPageBreak/>
        <w:t>De los 76 PIRs formulados, 67 se encuentran en implementación plena en 11 provincias priorizadas, con un monto total de inversión estimado en RD$ 767,023,452.61; de los cuales, el Proyecto PRORURAL aporta RD$ 402,291,738.83 y las Organizaciones aportan, tanto en efectivo como en especie, la suma de RD$ 364,731,713.78. El cuadro, a continuación, establece los montos, por fuente de financiamiento y tipología de los PIR:</w:t>
      </w:r>
    </w:p>
    <w:p w14:paraId="4CC48F2F" w14:textId="77777777" w:rsidR="000C6D06" w:rsidRDefault="000C6D06" w:rsidP="00F819C0">
      <w:pPr>
        <w:pStyle w:val="Caption"/>
        <w:keepNext/>
        <w:spacing w:after="0" w:line="360" w:lineRule="auto"/>
        <w:ind w:left="720"/>
        <w:jc w:val="center"/>
        <w:rPr>
          <w:rFonts w:eastAsia="Calibri"/>
          <w:b w:val="0"/>
          <w:bCs w:val="0"/>
          <w:noProof/>
          <w:color w:val="4C4747"/>
          <w:spacing w:val="20"/>
          <w:sz w:val="24"/>
          <w:szCs w:val="24"/>
          <w:lang w:eastAsia="en-US"/>
        </w:rPr>
      </w:pPr>
    </w:p>
    <w:p w14:paraId="72469AE0" w14:textId="4D944915" w:rsidR="00F819C0" w:rsidRPr="00247394" w:rsidRDefault="00F819C0" w:rsidP="00F819C0">
      <w:pPr>
        <w:pStyle w:val="Caption"/>
        <w:keepNext/>
        <w:spacing w:after="0" w:line="360" w:lineRule="auto"/>
        <w:ind w:left="720"/>
        <w:jc w:val="center"/>
        <w:rPr>
          <w:rFonts w:eastAsia="Calibri"/>
          <w:b w:val="0"/>
          <w:bCs w:val="0"/>
          <w:noProof/>
          <w:color w:val="4C4747"/>
          <w:spacing w:val="20"/>
          <w:sz w:val="24"/>
          <w:szCs w:val="24"/>
          <w:lang w:eastAsia="en-US"/>
        </w:rPr>
      </w:pPr>
      <w:r w:rsidRPr="00247394">
        <w:rPr>
          <w:rFonts w:eastAsia="Calibri"/>
          <w:b w:val="0"/>
          <w:bCs w:val="0"/>
          <w:noProof/>
          <w:color w:val="4C4747"/>
          <w:spacing w:val="20"/>
          <w:sz w:val="24"/>
          <w:szCs w:val="24"/>
          <w:lang w:eastAsia="en-US"/>
        </w:rPr>
        <w:t xml:space="preserve">Tabla </w:t>
      </w:r>
      <w:r w:rsidRPr="00247394">
        <w:rPr>
          <w:rFonts w:eastAsia="Calibri"/>
          <w:b w:val="0"/>
          <w:bCs w:val="0"/>
          <w:noProof/>
          <w:color w:val="4C4747"/>
          <w:spacing w:val="20"/>
          <w:sz w:val="24"/>
          <w:szCs w:val="24"/>
          <w:lang w:eastAsia="en-US"/>
        </w:rPr>
        <w:fldChar w:fldCharType="begin"/>
      </w:r>
      <w:r w:rsidRPr="00247394">
        <w:rPr>
          <w:rFonts w:eastAsia="Calibri"/>
          <w:b w:val="0"/>
          <w:bCs w:val="0"/>
          <w:noProof/>
          <w:color w:val="4C4747"/>
          <w:spacing w:val="20"/>
          <w:sz w:val="24"/>
          <w:szCs w:val="24"/>
          <w:lang w:eastAsia="en-US"/>
        </w:rPr>
        <w:instrText xml:space="preserve"> SEQ Table \* ARABIC </w:instrText>
      </w:r>
      <w:r w:rsidRPr="00247394">
        <w:rPr>
          <w:rFonts w:eastAsia="Calibri"/>
          <w:b w:val="0"/>
          <w:bCs w:val="0"/>
          <w:noProof/>
          <w:color w:val="4C4747"/>
          <w:spacing w:val="20"/>
          <w:sz w:val="24"/>
          <w:szCs w:val="24"/>
          <w:lang w:eastAsia="en-US"/>
        </w:rPr>
        <w:fldChar w:fldCharType="separate"/>
      </w:r>
      <w:r w:rsidRPr="00247394">
        <w:rPr>
          <w:rFonts w:eastAsia="Calibri"/>
          <w:b w:val="0"/>
          <w:bCs w:val="0"/>
          <w:noProof/>
          <w:color w:val="4C4747"/>
          <w:spacing w:val="20"/>
          <w:sz w:val="24"/>
          <w:szCs w:val="24"/>
          <w:lang w:eastAsia="en-US"/>
        </w:rPr>
        <w:t>3</w:t>
      </w:r>
      <w:r w:rsidRPr="00247394">
        <w:rPr>
          <w:rFonts w:eastAsia="Calibri"/>
          <w:b w:val="0"/>
          <w:bCs w:val="0"/>
          <w:noProof/>
          <w:color w:val="4C4747"/>
          <w:spacing w:val="20"/>
          <w:sz w:val="24"/>
          <w:szCs w:val="24"/>
          <w:lang w:eastAsia="en-US"/>
        </w:rPr>
        <w:fldChar w:fldCharType="end"/>
      </w:r>
      <w:r w:rsidRPr="00247394">
        <w:rPr>
          <w:rFonts w:eastAsia="Calibri"/>
          <w:b w:val="0"/>
          <w:bCs w:val="0"/>
          <w:noProof/>
          <w:color w:val="4C4747"/>
          <w:spacing w:val="20"/>
          <w:sz w:val="24"/>
          <w:szCs w:val="24"/>
          <w:lang w:eastAsia="en-US"/>
        </w:rPr>
        <w:t>: Monto de Inversiones por PIR en RD$</w:t>
      </w:r>
    </w:p>
    <w:tbl>
      <w:tblPr>
        <w:tblStyle w:val="GridTable1Light-Accent3"/>
        <w:tblW w:w="10343" w:type="dxa"/>
        <w:tblInd w:w="640" w:type="dxa"/>
        <w:tblLook w:val="04A0" w:firstRow="1" w:lastRow="0" w:firstColumn="1" w:lastColumn="0" w:noHBand="0" w:noVBand="1"/>
      </w:tblPr>
      <w:tblGrid>
        <w:gridCol w:w="1910"/>
        <w:gridCol w:w="1916"/>
        <w:gridCol w:w="1662"/>
        <w:gridCol w:w="1916"/>
        <w:gridCol w:w="1020"/>
        <w:gridCol w:w="1919"/>
      </w:tblGrid>
      <w:tr w:rsidR="00F819C0" w:rsidRPr="007B6BCF" w14:paraId="202DFF1F" w14:textId="77777777" w:rsidTr="000C6D06">
        <w:trPr>
          <w:cnfStyle w:val="100000000000" w:firstRow="1" w:lastRow="0" w:firstColumn="0" w:lastColumn="0" w:oddVBand="0" w:evenVBand="0" w:oddHBand="0"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10343" w:type="dxa"/>
            <w:gridSpan w:val="6"/>
            <w:shd w:val="clear" w:color="auto" w:fill="1F3864" w:themeFill="accent1" w:themeFillShade="80"/>
          </w:tcPr>
          <w:p w14:paraId="19B06C0D" w14:textId="77777777" w:rsidR="00F819C0" w:rsidRPr="00F4415B" w:rsidRDefault="00F819C0" w:rsidP="006C1F51">
            <w:pPr>
              <w:spacing w:line="360" w:lineRule="auto"/>
              <w:ind w:left="720"/>
              <w:jc w:val="center"/>
              <w:rPr>
                <w:rFonts w:eastAsia="Calibri"/>
                <w:noProof/>
                <w:color w:val="4C4747"/>
                <w:sz w:val="22"/>
                <w:szCs w:val="22"/>
                <w:lang w:val="es-DO"/>
              </w:rPr>
            </w:pPr>
            <w:r w:rsidRPr="00F4415B">
              <w:rPr>
                <w:rFonts w:eastAsia="Calibri"/>
                <w:noProof/>
                <w:color w:val="FFFFFF" w:themeColor="background1"/>
                <w:sz w:val="22"/>
                <w:szCs w:val="22"/>
                <w:lang w:val="es-DO"/>
              </w:rPr>
              <w:t>Monto de Inversiones en los PIRs (RD$)</w:t>
            </w:r>
          </w:p>
        </w:tc>
      </w:tr>
      <w:tr w:rsidR="0011349F" w:rsidRPr="00F4415B" w14:paraId="57154858" w14:textId="77777777" w:rsidTr="000C6D06">
        <w:trPr>
          <w:trHeight w:val="142"/>
        </w:trPr>
        <w:tc>
          <w:tcPr>
            <w:cnfStyle w:val="001000000000" w:firstRow="0" w:lastRow="0" w:firstColumn="1" w:lastColumn="0" w:oddVBand="0" w:evenVBand="0" w:oddHBand="0" w:evenHBand="0" w:firstRowFirstColumn="0" w:firstRowLastColumn="0" w:lastRowFirstColumn="0" w:lastRowLastColumn="0"/>
            <w:tcW w:w="1910" w:type="dxa"/>
          </w:tcPr>
          <w:p w14:paraId="1FA11E48" w14:textId="77777777" w:rsidR="00F819C0" w:rsidRPr="00F4415B" w:rsidRDefault="00F819C0" w:rsidP="0011349F">
            <w:pPr>
              <w:spacing w:line="360" w:lineRule="auto"/>
              <w:rPr>
                <w:rFonts w:eastAsia="Calibri"/>
                <w:noProof/>
                <w:color w:val="4C4747"/>
                <w:sz w:val="22"/>
                <w:szCs w:val="22"/>
                <w:lang w:val="es-DO"/>
              </w:rPr>
            </w:pPr>
            <w:r w:rsidRPr="00F4415B">
              <w:rPr>
                <w:rFonts w:eastAsia="Calibri"/>
                <w:noProof/>
                <w:color w:val="4C4747"/>
                <w:sz w:val="22"/>
                <w:szCs w:val="22"/>
                <w:lang w:val="es-DO"/>
              </w:rPr>
              <w:t>Planes de Inclusión y Resiliencia PIRs</w:t>
            </w:r>
          </w:p>
        </w:tc>
        <w:tc>
          <w:tcPr>
            <w:tcW w:w="1916" w:type="dxa"/>
          </w:tcPr>
          <w:p w14:paraId="031377B8"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2"/>
                <w:szCs w:val="22"/>
                <w:lang w:val="es-DO"/>
              </w:rPr>
            </w:pPr>
            <w:r w:rsidRPr="00F4415B">
              <w:rPr>
                <w:rFonts w:eastAsia="Calibri"/>
                <w:b/>
                <w:bCs/>
                <w:noProof/>
                <w:color w:val="4C4747"/>
                <w:sz w:val="22"/>
                <w:szCs w:val="22"/>
                <w:lang w:val="es-DO"/>
              </w:rPr>
              <w:t>Aporte PRORURAL</w:t>
            </w:r>
          </w:p>
        </w:tc>
        <w:tc>
          <w:tcPr>
            <w:tcW w:w="1662" w:type="dxa"/>
          </w:tcPr>
          <w:p w14:paraId="1CE46CDE"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2"/>
                <w:szCs w:val="22"/>
                <w:lang w:val="es-DO"/>
              </w:rPr>
            </w:pPr>
            <w:r w:rsidRPr="00F4415B">
              <w:rPr>
                <w:rFonts w:eastAsia="Calibri"/>
                <w:b/>
                <w:bCs/>
                <w:noProof/>
                <w:color w:val="4C4747"/>
                <w:sz w:val="22"/>
                <w:szCs w:val="22"/>
                <w:lang w:val="es-DO"/>
              </w:rPr>
              <w:t>% aporte PRORURAL</w:t>
            </w:r>
          </w:p>
        </w:tc>
        <w:tc>
          <w:tcPr>
            <w:tcW w:w="1916" w:type="dxa"/>
          </w:tcPr>
          <w:p w14:paraId="02313BC6"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2"/>
                <w:szCs w:val="22"/>
                <w:lang w:val="es-DO"/>
              </w:rPr>
            </w:pPr>
            <w:r w:rsidRPr="00F4415B">
              <w:rPr>
                <w:rFonts w:eastAsia="Calibri"/>
                <w:b/>
                <w:bCs/>
                <w:noProof/>
                <w:color w:val="4C4747"/>
                <w:sz w:val="22"/>
                <w:szCs w:val="22"/>
                <w:lang w:val="es-DO"/>
              </w:rPr>
              <w:t>Aporte OER</w:t>
            </w:r>
          </w:p>
        </w:tc>
        <w:tc>
          <w:tcPr>
            <w:tcW w:w="1020" w:type="dxa"/>
          </w:tcPr>
          <w:p w14:paraId="35CECB1C"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2"/>
                <w:szCs w:val="22"/>
                <w:lang w:val="es-DO"/>
              </w:rPr>
            </w:pPr>
            <w:r w:rsidRPr="00F4415B">
              <w:rPr>
                <w:rFonts w:eastAsia="Calibri"/>
                <w:b/>
                <w:bCs/>
                <w:noProof/>
                <w:color w:val="4C4747"/>
                <w:sz w:val="22"/>
                <w:szCs w:val="22"/>
                <w:lang w:val="es-DO"/>
              </w:rPr>
              <w:t>Aporte OER</w:t>
            </w:r>
          </w:p>
        </w:tc>
        <w:tc>
          <w:tcPr>
            <w:tcW w:w="1916" w:type="dxa"/>
          </w:tcPr>
          <w:p w14:paraId="5952C325"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sz w:val="22"/>
                <w:szCs w:val="22"/>
                <w:lang w:val="es-DO"/>
              </w:rPr>
            </w:pPr>
            <w:r w:rsidRPr="00F4415B">
              <w:rPr>
                <w:rFonts w:eastAsia="Calibri"/>
                <w:b/>
                <w:bCs/>
                <w:noProof/>
                <w:color w:val="4C4747"/>
                <w:sz w:val="22"/>
                <w:szCs w:val="22"/>
                <w:lang w:val="es-DO"/>
              </w:rPr>
              <w:t>Total general</w:t>
            </w:r>
          </w:p>
        </w:tc>
      </w:tr>
      <w:tr w:rsidR="0011349F" w:rsidRPr="00F4415B" w14:paraId="6D2417EE" w14:textId="77777777" w:rsidTr="000C6D06">
        <w:trPr>
          <w:trHeight w:val="93"/>
        </w:trPr>
        <w:tc>
          <w:tcPr>
            <w:cnfStyle w:val="001000000000" w:firstRow="0" w:lastRow="0" w:firstColumn="1" w:lastColumn="0" w:oddVBand="0" w:evenVBand="0" w:oddHBand="0" w:evenHBand="0" w:firstRowFirstColumn="0" w:firstRowLastColumn="0" w:lastRowFirstColumn="0" w:lastRowLastColumn="0"/>
            <w:tcW w:w="1910" w:type="dxa"/>
          </w:tcPr>
          <w:p w14:paraId="66853301" w14:textId="77777777" w:rsidR="00F819C0" w:rsidRPr="00F4415B" w:rsidRDefault="00F819C0" w:rsidP="0011349F">
            <w:pPr>
              <w:spacing w:line="360" w:lineRule="auto"/>
              <w:rPr>
                <w:rFonts w:eastAsia="Calibri"/>
                <w:b w:val="0"/>
                <w:bCs w:val="0"/>
                <w:noProof/>
                <w:color w:val="4C4747"/>
                <w:sz w:val="22"/>
                <w:szCs w:val="22"/>
                <w:lang w:val="es-DO"/>
              </w:rPr>
            </w:pPr>
            <w:r w:rsidRPr="00F4415B">
              <w:rPr>
                <w:rFonts w:eastAsia="Calibri"/>
                <w:b w:val="0"/>
                <w:bCs w:val="0"/>
                <w:noProof/>
                <w:color w:val="4C4747"/>
                <w:sz w:val="22"/>
                <w:szCs w:val="22"/>
                <w:lang w:val="es-DO"/>
              </w:rPr>
              <w:t>57 Organizaciones Económicas Rurales, OER (asociaciones y cooperativas)</w:t>
            </w:r>
          </w:p>
        </w:tc>
        <w:tc>
          <w:tcPr>
            <w:tcW w:w="1916" w:type="dxa"/>
          </w:tcPr>
          <w:p w14:paraId="1F02A1CE"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368,716,756.89</w:t>
            </w:r>
          </w:p>
        </w:tc>
        <w:tc>
          <w:tcPr>
            <w:tcW w:w="1662" w:type="dxa"/>
          </w:tcPr>
          <w:p w14:paraId="430619A7"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52%</w:t>
            </w:r>
          </w:p>
        </w:tc>
        <w:tc>
          <w:tcPr>
            <w:tcW w:w="1916" w:type="dxa"/>
          </w:tcPr>
          <w:p w14:paraId="5C12EFE3"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337,738,347.21</w:t>
            </w:r>
          </w:p>
        </w:tc>
        <w:tc>
          <w:tcPr>
            <w:tcW w:w="1020" w:type="dxa"/>
          </w:tcPr>
          <w:p w14:paraId="5D89B799"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4%</w:t>
            </w:r>
          </w:p>
        </w:tc>
        <w:tc>
          <w:tcPr>
            <w:tcW w:w="1916" w:type="dxa"/>
          </w:tcPr>
          <w:p w14:paraId="07554426"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706,455,104.10</w:t>
            </w:r>
          </w:p>
        </w:tc>
      </w:tr>
      <w:tr w:rsidR="0011349F" w:rsidRPr="00F4415B" w14:paraId="56994FB2" w14:textId="77777777" w:rsidTr="000C6D06">
        <w:trPr>
          <w:trHeight w:val="131"/>
        </w:trPr>
        <w:tc>
          <w:tcPr>
            <w:cnfStyle w:val="001000000000" w:firstRow="0" w:lastRow="0" w:firstColumn="1" w:lastColumn="0" w:oddVBand="0" w:evenVBand="0" w:oddHBand="0" w:evenHBand="0" w:firstRowFirstColumn="0" w:firstRowLastColumn="0" w:lastRowFirstColumn="0" w:lastRowLastColumn="0"/>
            <w:tcW w:w="1910" w:type="dxa"/>
          </w:tcPr>
          <w:p w14:paraId="1CB6F329" w14:textId="77777777" w:rsidR="00F819C0" w:rsidRPr="00F4415B" w:rsidRDefault="00F819C0" w:rsidP="0011349F">
            <w:pPr>
              <w:spacing w:line="360" w:lineRule="auto"/>
              <w:rPr>
                <w:rFonts w:eastAsia="Calibri"/>
                <w:b w:val="0"/>
                <w:bCs w:val="0"/>
                <w:noProof/>
                <w:color w:val="4C4747"/>
                <w:sz w:val="22"/>
                <w:szCs w:val="22"/>
                <w:lang w:val="es-DO"/>
              </w:rPr>
            </w:pPr>
            <w:r w:rsidRPr="00F4415B">
              <w:rPr>
                <w:rFonts w:eastAsia="Calibri"/>
                <w:b w:val="0"/>
                <w:bCs w:val="0"/>
                <w:noProof/>
                <w:color w:val="4C4747"/>
                <w:sz w:val="22"/>
                <w:szCs w:val="22"/>
                <w:lang w:val="es-DO"/>
              </w:rPr>
              <w:t>16 Grupos de Familia</w:t>
            </w:r>
          </w:p>
        </w:tc>
        <w:tc>
          <w:tcPr>
            <w:tcW w:w="1916" w:type="dxa"/>
          </w:tcPr>
          <w:p w14:paraId="319B1C60"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23,330,539.11</w:t>
            </w:r>
          </w:p>
        </w:tc>
        <w:tc>
          <w:tcPr>
            <w:tcW w:w="1662" w:type="dxa"/>
          </w:tcPr>
          <w:p w14:paraId="269C565C"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47%</w:t>
            </w:r>
          </w:p>
        </w:tc>
        <w:tc>
          <w:tcPr>
            <w:tcW w:w="1916" w:type="dxa"/>
          </w:tcPr>
          <w:p w14:paraId="56A9C5D6"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26,803,230.85</w:t>
            </w:r>
          </w:p>
        </w:tc>
        <w:tc>
          <w:tcPr>
            <w:tcW w:w="1020" w:type="dxa"/>
          </w:tcPr>
          <w:p w14:paraId="4A178858"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53%</w:t>
            </w:r>
          </w:p>
        </w:tc>
        <w:tc>
          <w:tcPr>
            <w:tcW w:w="1916" w:type="dxa"/>
          </w:tcPr>
          <w:p w14:paraId="03D67D80"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50,133,769.96</w:t>
            </w:r>
          </w:p>
        </w:tc>
      </w:tr>
      <w:tr w:rsidR="0011349F" w:rsidRPr="00F4415B" w14:paraId="45D41803" w14:textId="77777777" w:rsidTr="000C6D06">
        <w:trPr>
          <w:trHeight w:val="81"/>
        </w:trPr>
        <w:tc>
          <w:tcPr>
            <w:cnfStyle w:val="001000000000" w:firstRow="0" w:lastRow="0" w:firstColumn="1" w:lastColumn="0" w:oddVBand="0" w:evenVBand="0" w:oddHBand="0" w:evenHBand="0" w:firstRowFirstColumn="0" w:firstRowLastColumn="0" w:lastRowFirstColumn="0" w:lastRowLastColumn="0"/>
            <w:tcW w:w="1910" w:type="dxa"/>
          </w:tcPr>
          <w:p w14:paraId="52934258" w14:textId="77777777" w:rsidR="00F819C0" w:rsidRPr="00F4415B" w:rsidRDefault="00F819C0" w:rsidP="0011349F">
            <w:pPr>
              <w:spacing w:line="360" w:lineRule="auto"/>
              <w:rPr>
                <w:rFonts w:eastAsia="Calibri"/>
                <w:b w:val="0"/>
                <w:bCs w:val="0"/>
                <w:noProof/>
                <w:color w:val="4C4747"/>
                <w:sz w:val="22"/>
                <w:szCs w:val="22"/>
                <w:lang w:val="es-DO"/>
              </w:rPr>
            </w:pPr>
            <w:r w:rsidRPr="00F4415B">
              <w:rPr>
                <w:rFonts w:eastAsia="Calibri"/>
                <w:b w:val="0"/>
                <w:bCs w:val="0"/>
                <w:noProof/>
                <w:color w:val="4C4747"/>
                <w:sz w:val="22"/>
                <w:szCs w:val="22"/>
                <w:lang w:val="es-DO"/>
              </w:rPr>
              <w:t>3 Jóvenes</w:t>
            </w:r>
          </w:p>
        </w:tc>
        <w:tc>
          <w:tcPr>
            <w:tcW w:w="1916" w:type="dxa"/>
          </w:tcPr>
          <w:p w14:paraId="76650C46"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10,244,442.83</w:t>
            </w:r>
          </w:p>
        </w:tc>
        <w:tc>
          <w:tcPr>
            <w:tcW w:w="1662" w:type="dxa"/>
          </w:tcPr>
          <w:p w14:paraId="1D94BF42"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98%</w:t>
            </w:r>
          </w:p>
        </w:tc>
        <w:tc>
          <w:tcPr>
            <w:tcW w:w="1916" w:type="dxa"/>
          </w:tcPr>
          <w:p w14:paraId="6E7A1B1E"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190,135.72</w:t>
            </w:r>
          </w:p>
        </w:tc>
        <w:tc>
          <w:tcPr>
            <w:tcW w:w="1020" w:type="dxa"/>
          </w:tcPr>
          <w:p w14:paraId="5D6F4D6D"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2%</w:t>
            </w:r>
          </w:p>
        </w:tc>
        <w:tc>
          <w:tcPr>
            <w:tcW w:w="1916" w:type="dxa"/>
          </w:tcPr>
          <w:p w14:paraId="11FA2E6F"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10,434,578.55</w:t>
            </w:r>
          </w:p>
        </w:tc>
      </w:tr>
      <w:tr w:rsidR="0011349F" w:rsidRPr="00F4415B" w14:paraId="0A7482B1" w14:textId="77777777" w:rsidTr="000C6D06">
        <w:trPr>
          <w:trHeight w:val="135"/>
        </w:trPr>
        <w:tc>
          <w:tcPr>
            <w:cnfStyle w:val="001000000000" w:firstRow="0" w:lastRow="0" w:firstColumn="1" w:lastColumn="0" w:oddVBand="0" w:evenVBand="0" w:oddHBand="0" w:evenHBand="0" w:firstRowFirstColumn="0" w:firstRowLastColumn="0" w:lastRowFirstColumn="0" w:lastRowLastColumn="0"/>
            <w:tcW w:w="1910" w:type="dxa"/>
          </w:tcPr>
          <w:p w14:paraId="74AA1410" w14:textId="77777777" w:rsidR="00F819C0" w:rsidRPr="00F4415B" w:rsidRDefault="00F819C0" w:rsidP="0011349F">
            <w:pPr>
              <w:spacing w:line="360" w:lineRule="auto"/>
              <w:rPr>
                <w:rFonts w:eastAsia="Calibri"/>
                <w:b w:val="0"/>
                <w:bCs w:val="0"/>
                <w:noProof/>
                <w:color w:val="4C4747"/>
                <w:sz w:val="22"/>
                <w:szCs w:val="22"/>
                <w:lang w:val="es-DO"/>
              </w:rPr>
            </w:pPr>
            <w:r w:rsidRPr="00F4415B">
              <w:rPr>
                <w:rFonts w:eastAsia="Calibri"/>
                <w:b w:val="0"/>
                <w:bCs w:val="0"/>
                <w:noProof/>
                <w:color w:val="4C4747"/>
                <w:sz w:val="22"/>
                <w:szCs w:val="22"/>
                <w:lang w:val="es-DO"/>
              </w:rPr>
              <w:t>Total de PIRs</w:t>
            </w:r>
          </w:p>
        </w:tc>
        <w:tc>
          <w:tcPr>
            <w:tcW w:w="1916" w:type="dxa"/>
          </w:tcPr>
          <w:p w14:paraId="3BD09602"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402,291,738.83</w:t>
            </w:r>
          </w:p>
        </w:tc>
        <w:tc>
          <w:tcPr>
            <w:tcW w:w="1662" w:type="dxa"/>
          </w:tcPr>
          <w:p w14:paraId="4C17AFA8"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52%</w:t>
            </w:r>
          </w:p>
        </w:tc>
        <w:tc>
          <w:tcPr>
            <w:tcW w:w="1916" w:type="dxa"/>
          </w:tcPr>
          <w:p w14:paraId="43BA8D35"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364,731,713.78</w:t>
            </w:r>
          </w:p>
        </w:tc>
        <w:tc>
          <w:tcPr>
            <w:tcW w:w="1020" w:type="dxa"/>
          </w:tcPr>
          <w:p w14:paraId="66C8078A"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48%</w:t>
            </w:r>
          </w:p>
        </w:tc>
        <w:tc>
          <w:tcPr>
            <w:tcW w:w="1916" w:type="dxa"/>
          </w:tcPr>
          <w:p w14:paraId="22D61872" w14:textId="77777777" w:rsidR="00F819C0" w:rsidRPr="00F4415B" w:rsidRDefault="00F819C0" w:rsidP="0011349F">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sz w:val="22"/>
                <w:szCs w:val="22"/>
                <w:lang w:val="es-DO"/>
              </w:rPr>
            </w:pPr>
            <w:r w:rsidRPr="00F4415B">
              <w:rPr>
                <w:rFonts w:eastAsia="Calibri"/>
                <w:noProof/>
                <w:color w:val="4C4747"/>
                <w:sz w:val="22"/>
                <w:szCs w:val="22"/>
                <w:lang w:val="es-DO"/>
              </w:rPr>
              <w:t>767,023,452.61</w:t>
            </w:r>
          </w:p>
        </w:tc>
      </w:tr>
    </w:tbl>
    <w:p w14:paraId="0155BD5F" w14:textId="4642540A" w:rsidR="005E2676" w:rsidRDefault="005E2676" w:rsidP="000C6D06">
      <w:pPr>
        <w:spacing w:after="0" w:line="360" w:lineRule="auto"/>
        <w:jc w:val="both"/>
        <w:rPr>
          <w:rFonts w:eastAsia="Calibri"/>
          <w:noProof/>
          <w:color w:val="4C4747"/>
          <w:lang w:val="es-DO"/>
        </w:rPr>
        <w:sectPr w:rsidR="005E2676" w:rsidSect="000C6D06">
          <w:pgSz w:w="15840" w:h="12240" w:orient="landscape"/>
          <w:pgMar w:top="1440" w:right="2160" w:bottom="1440" w:left="2160" w:header="720" w:footer="720" w:gutter="0"/>
          <w:cols w:space="720"/>
          <w:docGrid w:linePitch="360"/>
        </w:sectPr>
      </w:pPr>
    </w:p>
    <w:p w14:paraId="032C0145" w14:textId="12882D93" w:rsidR="00F819C0" w:rsidRDefault="00F819C0" w:rsidP="000C6D06">
      <w:pPr>
        <w:spacing w:after="0" w:line="360" w:lineRule="auto"/>
        <w:ind w:left="720"/>
        <w:jc w:val="both"/>
        <w:rPr>
          <w:rFonts w:eastAsia="Calibri"/>
          <w:noProof/>
          <w:color w:val="4C4747"/>
          <w:lang w:val="es-DO"/>
        </w:rPr>
      </w:pPr>
      <w:r w:rsidRPr="00247394">
        <w:rPr>
          <w:rFonts w:eastAsia="Calibri"/>
          <w:noProof/>
          <w:color w:val="4C4747"/>
          <w:lang w:val="es-DO"/>
        </w:rPr>
        <w:lastRenderedPageBreak/>
        <w:t>Las acciones de fortalecimiento y sensibilización a beneficiarios, dirigidas a Organizaciones Económicas Rurales (OER), Grupos de Familias y Jóvenes, con énfasis en inclusión, género y resiliencia, incluyeron talleres sobre género, masculinidad positiva, políticas de cuidado y corresponsabilidad, que alcanzaron a 200 personas en Azua y Monte Plata, así como jornadas de formación comunitaria en seguridad alimentaria y resiliencia, en coordinación con el Programa Mundial de Alimentos (PMA), que capacitaron a 131 líderes comunitarios (54 hombres y 77 mujeres) y permitieron estructurar once redes para el seguimiento a hogares rurales. Adicionalmente, se impartieron Talleres de Cocina Saludable en siete provincias, beneficiando a 417 personas, de las cuales 336 fueron mujeres y 81 hombres, incluyendo además 27 mujeres embarazadas, 3 personas con discapacidad y 10 menores de edad, lo que evidencia un enfoque participativo e inclusivo centrado en el bienestar familiar y comunitario.</w:t>
      </w:r>
    </w:p>
    <w:p w14:paraId="1CE90A83" w14:textId="77777777" w:rsidR="000C6D06" w:rsidRPr="00247394" w:rsidRDefault="000C6D06" w:rsidP="000C6D06">
      <w:pPr>
        <w:spacing w:after="0" w:line="360" w:lineRule="auto"/>
        <w:ind w:left="720"/>
        <w:jc w:val="both"/>
        <w:rPr>
          <w:rFonts w:eastAsia="Calibri"/>
          <w:noProof/>
          <w:color w:val="4C4747"/>
          <w:lang w:val="es-DO"/>
        </w:rPr>
      </w:pPr>
    </w:p>
    <w:p w14:paraId="4A3964EB"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En materia de fortalecimiento organizacional y formación técnica, el proyecto brindó acompañamiento a las OER en gestión contable, adquisiciones, trámites legales y levantamientos productivos, además de apoyar la realización de asambleas y el avance de adendas interinstitucionales. Se fortaleció la ejecución de los PIRs mediante la contratación de coordinadores técnicos y el apoyo directo a cooperativas en San Juan, Azua y Elías Piña. Asimismo, se consolidó la vinculación académica e institucional con las universidades ISA, PUCMM y UNPHU, y con entidades como el Ministerio de la Juventud, UNFPA, INFOTEP y Supérate, para impulsar acciones de empleabilidad, emprendimiento juvenil e innovación. De igual modo, se acompañó a mujeres rurales en </w:t>
      </w:r>
      <w:r w:rsidRPr="00247394">
        <w:rPr>
          <w:rFonts w:eastAsia="Calibri"/>
          <w:noProof/>
          <w:color w:val="4C4747"/>
          <w:lang w:val="es-DO"/>
        </w:rPr>
        <w:lastRenderedPageBreak/>
        <w:t>procesos legales para la conformación del Capítulo nacional de la REDLAC y se avanzó en la certificación del SELLO IGUALANDO RD, en coordinación con el Ministerio de la Mujer y la Comisión de Género del MEPyD.</w:t>
      </w:r>
    </w:p>
    <w:p w14:paraId="16E175B3" w14:textId="77777777" w:rsidR="00F819C0" w:rsidRPr="007B6B04" w:rsidRDefault="00F819C0" w:rsidP="00F819C0">
      <w:pPr>
        <w:spacing w:after="0" w:line="360" w:lineRule="auto"/>
        <w:ind w:left="720"/>
        <w:jc w:val="both"/>
        <w:rPr>
          <w:rFonts w:eastAsia="Calibri"/>
          <w:b/>
          <w:bCs/>
          <w:noProof/>
          <w:color w:val="4C4747"/>
          <w:lang w:val="es-DO"/>
        </w:rPr>
      </w:pPr>
    </w:p>
    <w:p w14:paraId="626D14D7" w14:textId="77777777" w:rsidR="00F819C0" w:rsidRPr="007C0683" w:rsidRDefault="00F819C0" w:rsidP="00F819C0">
      <w:pPr>
        <w:spacing w:after="0" w:line="360" w:lineRule="auto"/>
        <w:ind w:left="720"/>
        <w:jc w:val="both"/>
        <w:rPr>
          <w:rFonts w:eastAsia="Calibri"/>
          <w:b/>
          <w:bCs/>
          <w:noProof/>
          <w:color w:val="4C4747"/>
          <w:lang w:val="es-DO"/>
        </w:rPr>
      </w:pPr>
      <w:r w:rsidRPr="007C0683">
        <w:rPr>
          <w:rFonts w:eastAsia="Calibri"/>
          <w:b/>
          <w:bCs/>
          <w:noProof/>
          <w:color w:val="4C4747"/>
          <w:lang w:val="es-DO"/>
        </w:rPr>
        <w:t xml:space="preserve">Proyecto de Inclusión Productiva y Resiliencia de los Jóvenes Rurales Pobres- PRORURAL Joven: </w:t>
      </w:r>
      <w:r w:rsidRPr="00247394">
        <w:rPr>
          <w:rFonts w:eastAsia="Calibri"/>
          <w:noProof/>
          <w:color w:val="4C4747"/>
          <w:lang w:val="es-DO"/>
        </w:rPr>
        <w:t>Enfocado en capitalizar el potencial de los jóvenes como impulsores del cambio, generando un impacto positivo en la movilidad económica de la juventud rural y en la mejora de la calidad de vida de sus familias, durante el año, PRORURAL Joven fortaleció su posición institucional al ser reconocido en el Premio Nacional de la Juventud 2025, y avanzó en la activación del convenio con el Ministerio de la Juventud, mediante encuentros regionales que marcaron el inicio operativo del acuerdo. También se formalizó el Convenio PRORURAL Joven – UNFPA – Ministerio de la Juventud, orientado a la identificación y sensibilización de jóvenes rurales, actualmente en fase de inicio. Asimismo, se desarrollaron acciones iniciales en emprendimiento e innovación —incluyendo la participación en el hackathon CREA RD y diagnósticos para pilotos de planes de negocios, y se participó activamente en el diseño del Plan Nacional de Juventudes 2025–2030, garantizando la inclusión del enfoque rural en las políticas públicas juveniles.</w:t>
      </w:r>
    </w:p>
    <w:p w14:paraId="0DC55A85" w14:textId="77777777" w:rsidR="00F819C0" w:rsidRPr="00247394" w:rsidRDefault="00F819C0" w:rsidP="00F819C0">
      <w:pPr>
        <w:pStyle w:val="ListParagraph"/>
        <w:spacing w:after="0" w:line="360" w:lineRule="auto"/>
        <w:jc w:val="both"/>
        <w:rPr>
          <w:rFonts w:eastAsia="Calibri"/>
          <w:noProof/>
          <w:color w:val="4C4747"/>
        </w:rPr>
      </w:pPr>
    </w:p>
    <w:p w14:paraId="672E4EB2" w14:textId="77777777" w:rsidR="00F819C0" w:rsidRDefault="00F819C0" w:rsidP="00F819C0">
      <w:pPr>
        <w:spacing w:after="0" w:line="360" w:lineRule="auto"/>
        <w:ind w:left="720"/>
        <w:jc w:val="both"/>
        <w:rPr>
          <w:rFonts w:eastAsia="Calibri"/>
          <w:noProof/>
          <w:color w:val="4C4747"/>
          <w:lang w:val="es-DO"/>
        </w:rPr>
      </w:pPr>
      <w:r w:rsidRPr="007C0683">
        <w:rPr>
          <w:rFonts w:eastAsia="Calibri"/>
          <w:b/>
          <w:bCs/>
          <w:noProof/>
          <w:color w:val="4C4747"/>
          <w:lang w:val="es-DO"/>
        </w:rPr>
        <w:t xml:space="preserve">Proyecto Mejoramiento de Obras Públicas para Reducir el Riesgo de Desastres (PRORESILIENCIA): </w:t>
      </w:r>
      <w:r w:rsidRPr="00247394">
        <w:rPr>
          <w:rFonts w:eastAsia="Calibri"/>
          <w:noProof/>
          <w:color w:val="4C4747"/>
          <w:lang w:val="es-DO"/>
        </w:rPr>
        <w:t xml:space="preserve">En el marco de este Proyecto, se llevaron a cabo dos misiones de monitoreo y evaluación del Banco Europeo de Inversiones, con el objetivo de evaluar el progreso del proyecto en los componentes de </w:t>
      </w:r>
      <w:r w:rsidRPr="00247394">
        <w:rPr>
          <w:rFonts w:eastAsia="Calibri"/>
          <w:noProof/>
          <w:color w:val="4C4747"/>
          <w:lang w:val="es-DO"/>
        </w:rPr>
        <w:lastRenderedPageBreak/>
        <w:t xml:space="preserve">carreteras, puentes, obras de mitigación, y viviendas e infraestructura urbana. El contrato de Financiación del Proyecto se extendió hasta el 30/12/2025, el acuerdo de subvención hasta el 11/06/2026 y el contrato de la asistencia técnica al proyecto hasta mayo de 2026. </w:t>
      </w:r>
    </w:p>
    <w:p w14:paraId="3DA4885A" w14:textId="77777777" w:rsidR="000C6D06" w:rsidRPr="007B6B04" w:rsidRDefault="000C6D06" w:rsidP="00F819C0">
      <w:pPr>
        <w:spacing w:after="0" w:line="360" w:lineRule="auto"/>
        <w:ind w:left="720"/>
        <w:jc w:val="both"/>
        <w:rPr>
          <w:rFonts w:eastAsia="Calibri"/>
          <w:b/>
          <w:bCs/>
          <w:noProof/>
          <w:color w:val="4C4747"/>
          <w:lang w:val="es-DO"/>
        </w:rPr>
      </w:pPr>
    </w:p>
    <w:p w14:paraId="768DED36" w14:textId="77777777" w:rsidR="00F819C0" w:rsidRDefault="00F819C0" w:rsidP="00F819C0">
      <w:pPr>
        <w:pStyle w:val="ListParagraph"/>
        <w:spacing w:after="0" w:line="360" w:lineRule="auto"/>
        <w:jc w:val="both"/>
        <w:rPr>
          <w:rFonts w:eastAsia="Calibri"/>
          <w:noProof/>
          <w:color w:val="4C4747"/>
        </w:rPr>
      </w:pPr>
      <w:r w:rsidRPr="00247394">
        <w:rPr>
          <w:rFonts w:eastAsia="Calibri"/>
          <w:noProof/>
          <w:color w:val="4C4747"/>
        </w:rPr>
        <w:t xml:space="preserve">Asimismo, se logró un desembolso por un monto de US$5,926,000.00 para iniciar los trabajos de los 5 contratos de obras de la primera priorización del Proyecto, a cargo de la Unidad Ejecutora del Proyecto del Ministerio de Obras Públicas y Comunicaciones (UEP-MOPC). También se realizó la evaluación técnica de la licitación de la Supervisión de la Construcción del Nuevo Hábitat en Barrio Azul SFM a cargo del Ministerio de Viviendas Hábitat y Edificaciones (UEP-MIVHED). </w:t>
      </w:r>
    </w:p>
    <w:p w14:paraId="32FF0017" w14:textId="77777777" w:rsidR="000C6D06" w:rsidRPr="00247394" w:rsidRDefault="000C6D06" w:rsidP="00F819C0">
      <w:pPr>
        <w:pStyle w:val="ListParagraph"/>
        <w:spacing w:after="0" w:line="360" w:lineRule="auto"/>
        <w:jc w:val="both"/>
        <w:rPr>
          <w:rFonts w:eastAsia="Calibri"/>
          <w:noProof/>
          <w:color w:val="4C4747"/>
        </w:rPr>
      </w:pPr>
    </w:p>
    <w:p w14:paraId="3DD215B2" w14:textId="77777777" w:rsidR="00F819C0" w:rsidRDefault="00F819C0" w:rsidP="00F819C0">
      <w:pPr>
        <w:spacing w:after="0" w:line="360" w:lineRule="auto"/>
        <w:ind w:left="720"/>
        <w:jc w:val="both"/>
        <w:rPr>
          <w:rFonts w:eastAsia="Calibri"/>
          <w:noProof/>
          <w:color w:val="4C4747"/>
          <w:lang w:val="es-DO"/>
        </w:rPr>
      </w:pPr>
      <w:r w:rsidRPr="007C0683">
        <w:rPr>
          <w:rFonts w:eastAsia="Calibri"/>
          <w:b/>
          <w:bCs/>
          <w:noProof/>
          <w:color w:val="4C4747"/>
          <w:lang w:val="es-DO"/>
        </w:rPr>
        <w:t xml:space="preserve">Programa Facilidad de Cooperación Técnica II (TCF II):  </w:t>
      </w:r>
      <w:r w:rsidRPr="00247394">
        <w:rPr>
          <w:rFonts w:eastAsia="Calibri"/>
          <w:noProof/>
          <w:color w:val="4C4747"/>
          <w:lang w:val="es-DO"/>
        </w:rPr>
        <w:t>El Programa Facilidad de Cooperación Técnica II (TCF II) avanzó hacia la fase final de cierre del Presupuesto-Programa Operativo Plurianual. Como parte de este proceso, se recibió el informe de auditoría y verificación correspondiente al período implementado, lo que permitió evaluar el desempeño financiero y administrativo del programa y consolidar la información requerida para su cierre contractual con la Unión Europea. El Memorándum de Cierre confirma una ejecución técnica sólida y alineada con los objetivos de cooperación entre la Unión Europea y la República Dominicana.</w:t>
      </w:r>
    </w:p>
    <w:p w14:paraId="25C74B22" w14:textId="77777777" w:rsidR="000C6D06" w:rsidRPr="007C0683" w:rsidRDefault="000C6D06" w:rsidP="00F819C0">
      <w:pPr>
        <w:spacing w:after="0" w:line="360" w:lineRule="auto"/>
        <w:ind w:left="720"/>
        <w:jc w:val="both"/>
        <w:rPr>
          <w:rFonts w:eastAsia="Calibri"/>
          <w:b/>
          <w:bCs/>
          <w:noProof/>
          <w:color w:val="4C4747"/>
          <w:lang w:val="es-DO"/>
        </w:rPr>
      </w:pPr>
    </w:p>
    <w:p w14:paraId="3F9728DA"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En términos de logros generales, el programa contribuyó significativamente al fortalecimiento institucional del Estado dominicano, apoyando la implementación de la Estrategia </w:t>
      </w:r>
      <w:r w:rsidRPr="00247394">
        <w:rPr>
          <w:rFonts w:eastAsia="Calibri"/>
          <w:noProof/>
          <w:color w:val="4C4747"/>
          <w:lang w:val="es-DO"/>
        </w:rPr>
        <w:lastRenderedPageBreak/>
        <w:t xml:space="preserve">Nacional de Desarrollo 2030, la vinculación con los Objetivos de Desarrollo Sostenible y la mejora de los mecanismos de articulación entre la República Dominicana y la Unión Europea. Asimismo, se reforzaron las capacidades técnicas del Ordenador Nacional del Fondo Europeo de Desarrollo (FED) y de diversas instituciones sectoriales, se impulsó el diálogo de políticas públicas en áreas prioritarias y se promovió la participación del país en foros regionales e iniciativas de cooperación europeas, consolidando la eficacia y visibilidad de la cooperación internacional en los ámbitos nacional y regional.  </w:t>
      </w:r>
    </w:p>
    <w:p w14:paraId="25070F36" w14:textId="77777777" w:rsidR="00F819C0" w:rsidRDefault="00F819C0" w:rsidP="00F819C0">
      <w:pPr>
        <w:spacing w:after="0" w:line="360" w:lineRule="auto"/>
        <w:ind w:left="720"/>
        <w:rPr>
          <w:rFonts w:eastAsia="Calibri"/>
          <w:b/>
          <w:bCs/>
          <w:noProof/>
          <w:color w:val="4C4747"/>
          <w:lang w:val="es-DO"/>
        </w:rPr>
      </w:pPr>
      <w:bookmarkStart w:id="87" w:name="_Toc172101123"/>
      <w:bookmarkStart w:id="88" w:name="_Toc213931928"/>
    </w:p>
    <w:p w14:paraId="1ADF4032" w14:textId="77777777" w:rsidR="00F819C0" w:rsidRPr="007C0683" w:rsidRDefault="00F819C0" w:rsidP="00F819C0">
      <w:pPr>
        <w:spacing w:after="0" w:line="360" w:lineRule="auto"/>
        <w:ind w:left="720"/>
        <w:rPr>
          <w:rFonts w:eastAsia="Calibri"/>
          <w:b/>
          <w:bCs/>
          <w:noProof/>
          <w:color w:val="4C4747"/>
          <w:lang w:val="es-DO"/>
        </w:rPr>
      </w:pPr>
      <w:r w:rsidRPr="007C0683">
        <w:rPr>
          <w:rFonts w:eastAsia="Calibri"/>
          <w:b/>
          <w:bCs/>
          <w:noProof/>
          <w:color w:val="4C4747"/>
          <w:lang w:val="es-DO"/>
        </w:rPr>
        <w:t>Marcos Estratégicos y Consolidación de Nuevas Alianzas de Intercambio</w:t>
      </w:r>
      <w:bookmarkEnd w:id="87"/>
      <w:bookmarkEnd w:id="88"/>
    </w:p>
    <w:p w14:paraId="01AE6CC6" w14:textId="7E6A23A1"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El Viceministerio de Cooperación Internacional ha llevado a cabo una continua labor de revisión y aprobación de marcos de cooperación país, estrategias, planes y otros instrumentos generales de cooperación internacional. Estos procesos permiten mejorar la alineación de los recursos y acciones que se desprenden de las relaciones de cooperación a las prioridades de desarrollo.</w:t>
      </w:r>
    </w:p>
    <w:p w14:paraId="48E5C050" w14:textId="77777777" w:rsidR="00AE550E" w:rsidRPr="00247394" w:rsidRDefault="00AE550E" w:rsidP="00F819C0">
      <w:pPr>
        <w:spacing w:after="0" w:line="360" w:lineRule="auto"/>
        <w:ind w:left="720"/>
        <w:jc w:val="both"/>
        <w:rPr>
          <w:rFonts w:eastAsia="Calibri"/>
          <w:noProof/>
          <w:color w:val="4C4747"/>
          <w:lang w:val="es-DO"/>
        </w:rPr>
      </w:pPr>
    </w:p>
    <w:p w14:paraId="1B8F9AA9"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A continuación, se exponen las principales acciones desarrolladas:</w:t>
      </w:r>
    </w:p>
    <w:p w14:paraId="6F2CF7BF" w14:textId="77777777" w:rsidR="00F819C0" w:rsidRPr="007C0683" w:rsidRDefault="00F819C0" w:rsidP="00F819C0">
      <w:pPr>
        <w:pStyle w:val="ListParagraph"/>
        <w:numPr>
          <w:ilvl w:val="0"/>
          <w:numId w:val="63"/>
        </w:numPr>
        <w:spacing w:after="0" w:line="360" w:lineRule="auto"/>
        <w:rPr>
          <w:rFonts w:eastAsia="Calibri"/>
          <w:b/>
          <w:bCs/>
          <w:noProof/>
          <w:color w:val="4C4747"/>
        </w:rPr>
      </w:pPr>
      <w:r w:rsidRPr="007C0683">
        <w:rPr>
          <w:rFonts w:eastAsia="Calibri"/>
          <w:b/>
          <w:bCs/>
          <w:noProof/>
          <w:color w:val="4C4747"/>
        </w:rPr>
        <w:t>COSOP FIDA 2026–2031</w:t>
      </w:r>
    </w:p>
    <w:p w14:paraId="2B294DA1"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El Marco de Oportunidades Estratégicas de País (COSOP) 2026–2031 es el instrumento que orienta la cooperación del Fondo Internacional de Desarrollo Agrícola (FIDA) con la República Dominicana. Define prioridades y resultados en desarrollo rural inclusivo, resiliencia climática, seguridad alimentaria y mayor participación de jóvenes y mujeres en el </w:t>
      </w:r>
      <w:r w:rsidRPr="00247394">
        <w:rPr>
          <w:rFonts w:eastAsia="Calibri"/>
          <w:noProof/>
          <w:color w:val="4C4747"/>
          <w:lang w:val="es-DO"/>
        </w:rPr>
        <w:lastRenderedPageBreak/>
        <w:t>sector agropecuario, en coherencia con la Estrategia Nacional de Desarrollo 2030 y los planes plurianuales nacionales.</w:t>
      </w:r>
    </w:p>
    <w:p w14:paraId="6A93DB0C"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Su formulación se desarrolló entre febrero y septiembre de 2025, bajo la coordinación del Viceministerio de Cooperación Internacional, a partir de una misión oficial de lanzamiento y sucesivas jornadas técnicas de alto nivel y consultas interinstitucionales, que articularon de forma estrecha más de 20 instituciones, entre ellas el Ministerio de Agricultura, el Ministerio de Hacienda, así como al Banco Agrícola, el Ministerio de Industria, Comercio y MIPYMES, la Comisión de Fomento a la Tecnificación del Sistema Nacional de Riego, el programa Supérate, organismos internacionales, organizaciones de productores rurales, embajadas. </w:t>
      </w:r>
    </w:p>
    <w:p w14:paraId="5D319940" w14:textId="2E8DBE64" w:rsidR="00F819C0" w:rsidRDefault="00F819C0" w:rsidP="000C6D06">
      <w:pPr>
        <w:spacing w:after="0" w:line="360" w:lineRule="auto"/>
        <w:ind w:left="720"/>
        <w:jc w:val="both"/>
        <w:rPr>
          <w:rFonts w:eastAsia="Calibri"/>
          <w:noProof/>
          <w:color w:val="4C4747"/>
          <w:lang w:val="es-DO"/>
        </w:rPr>
      </w:pPr>
      <w:r w:rsidRPr="00247394">
        <w:rPr>
          <w:rFonts w:eastAsia="Calibri"/>
          <w:noProof/>
          <w:color w:val="4C4747"/>
          <w:lang w:val="es-DO"/>
        </w:rPr>
        <w:t>Con este instrumento, la República Dominicana fortalece su posición frente al FIDA para movilizar recursos financieros y cooperación técnica orientados a transformar los territorios rurales, cerrar brechas históricas de desarrollo y contribuir directamente a la seguridad alimentaria y al bienestar de las familias rurales del país.</w:t>
      </w:r>
    </w:p>
    <w:p w14:paraId="0ECDCADD" w14:textId="77777777" w:rsidR="00E96CAF" w:rsidRPr="00247394" w:rsidRDefault="00E96CAF" w:rsidP="000C6D06">
      <w:pPr>
        <w:spacing w:after="0" w:line="360" w:lineRule="auto"/>
        <w:ind w:left="720"/>
        <w:jc w:val="both"/>
        <w:rPr>
          <w:rFonts w:eastAsia="Calibri"/>
          <w:noProof/>
          <w:color w:val="4C4747"/>
          <w:lang w:val="es-DO"/>
        </w:rPr>
      </w:pPr>
    </w:p>
    <w:p w14:paraId="52D11A8B" w14:textId="77777777" w:rsidR="00F819C0" w:rsidRPr="007C0683" w:rsidRDefault="00F819C0" w:rsidP="00F819C0">
      <w:pPr>
        <w:pStyle w:val="ListParagraph"/>
        <w:numPr>
          <w:ilvl w:val="0"/>
          <w:numId w:val="63"/>
        </w:numPr>
        <w:spacing w:after="0" w:line="360" w:lineRule="auto"/>
        <w:jc w:val="both"/>
        <w:rPr>
          <w:rFonts w:eastAsia="Calibri"/>
          <w:b/>
          <w:bCs/>
          <w:noProof/>
          <w:color w:val="4C4747"/>
        </w:rPr>
      </w:pPr>
      <w:r w:rsidRPr="007C0683">
        <w:rPr>
          <w:rFonts w:eastAsia="Calibri"/>
          <w:b/>
          <w:bCs/>
          <w:noProof/>
          <w:color w:val="4C4747"/>
        </w:rPr>
        <w:t>Estrategia de Cooperación País OPS/OMS</w:t>
      </w:r>
    </w:p>
    <w:p w14:paraId="3AF42EB9"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La Estrategia de Cooperación con el País (ECP) 2025–2030 entre la Organización Panamericana de la Salud/Organización Mundial de la Salud (OPS/OMS) y la República Dominicana es el marco que orienta la cooperación en salud, alineado con la Estrategia Nacional de Desarrollo 2030 y los principales instrumentos de planificación del sector.</w:t>
      </w:r>
    </w:p>
    <w:p w14:paraId="44B13C15" w14:textId="07EC2D2C"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En 2025, el Viceministerio de Cooperación Internacional del Ministerio de la Presidencia (VICIMI), junto al Ministerio de Salud Pública y la OPS/OMS, lideró la revisión técnica final de la ECP, incorporando observaciones sobre equidad, enfoque </w:t>
      </w:r>
      <w:r w:rsidRPr="00247394">
        <w:rPr>
          <w:rFonts w:eastAsia="Calibri"/>
          <w:noProof/>
          <w:color w:val="4C4747"/>
          <w:lang w:val="es-DO"/>
        </w:rPr>
        <w:lastRenderedPageBreak/>
        <w:t>territorial y atención a poblaciones vulnerables, dejando el documento en fase final de validación. La ECP 2025–2030 se firmó en diciembre de 2025, durante la visita oficial a la República Dominicana del Director de la OPS, Dr. Jarbas Barbosa, máxima autoridad de ese organismo en la región, marcando el inicio formal de su implementación.</w:t>
      </w:r>
    </w:p>
    <w:p w14:paraId="0A8D9CE5" w14:textId="77777777" w:rsidR="00E96CAF" w:rsidRDefault="00E96CAF" w:rsidP="00F819C0">
      <w:pPr>
        <w:spacing w:after="0" w:line="360" w:lineRule="auto"/>
        <w:ind w:left="720"/>
        <w:jc w:val="both"/>
        <w:rPr>
          <w:rFonts w:eastAsia="Calibri"/>
          <w:noProof/>
          <w:color w:val="4C4747"/>
          <w:lang w:val="es-DO"/>
        </w:rPr>
      </w:pPr>
    </w:p>
    <w:p w14:paraId="5E5AD967" w14:textId="77777777" w:rsidR="00F819C0" w:rsidRPr="007C0683" w:rsidRDefault="00F819C0" w:rsidP="00F819C0">
      <w:pPr>
        <w:pStyle w:val="ListParagraph"/>
        <w:numPr>
          <w:ilvl w:val="0"/>
          <w:numId w:val="63"/>
        </w:numPr>
        <w:spacing w:after="0" w:line="360" w:lineRule="auto"/>
        <w:jc w:val="both"/>
        <w:rPr>
          <w:rFonts w:eastAsia="Calibri"/>
          <w:b/>
          <w:bCs/>
          <w:noProof/>
          <w:color w:val="4C4747"/>
        </w:rPr>
      </w:pPr>
      <w:r w:rsidRPr="007C0683">
        <w:rPr>
          <w:rFonts w:eastAsia="Calibri"/>
          <w:b/>
          <w:bCs/>
          <w:noProof/>
          <w:color w:val="4C4747"/>
        </w:rPr>
        <w:t>Marcos Cooperación Bilateral</w:t>
      </w:r>
    </w:p>
    <w:p w14:paraId="5E533436" w14:textId="77777777" w:rsidR="00F819C0" w:rsidRPr="00247394"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t>La Dirección General de Cooperación Bilateral ha llevado a cabo una continua labor de revisión y aprobación de marcos de cooperación país, estrategias, planes y otros instrumentos generales de cooperación internacional. Estos procesos permiten mejorar la alineación de los recursos y acciones que se desprenden de las relaciones de cooperación a las prioridades de desarrollo.</w:t>
      </w:r>
    </w:p>
    <w:p w14:paraId="3906D5C2" w14:textId="77777777" w:rsidR="00F819C0" w:rsidRPr="00247394"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t>A continuación, se exponen las principales acciones desarrolladas:</w:t>
      </w:r>
    </w:p>
    <w:p w14:paraId="56433AA8" w14:textId="77777777" w:rsidR="00F819C0" w:rsidRPr="00247394" w:rsidRDefault="00F819C0" w:rsidP="00F819C0">
      <w:pPr>
        <w:spacing w:after="0" w:line="360" w:lineRule="auto"/>
        <w:ind w:left="720"/>
        <w:contextualSpacing/>
        <w:jc w:val="both"/>
        <w:rPr>
          <w:rFonts w:eastAsia="Calibri"/>
          <w:noProof/>
          <w:color w:val="4C4747"/>
          <w:lang w:val="es-DO"/>
        </w:rPr>
      </w:pPr>
    </w:p>
    <w:p w14:paraId="6C2E2E4C" w14:textId="77777777" w:rsidR="00F819C0" w:rsidRPr="00247394" w:rsidRDefault="00F819C0" w:rsidP="00F819C0">
      <w:pPr>
        <w:spacing w:after="0" w:line="360" w:lineRule="auto"/>
        <w:ind w:left="720"/>
        <w:contextualSpacing/>
        <w:jc w:val="both"/>
        <w:rPr>
          <w:rFonts w:eastAsia="Calibri"/>
          <w:noProof/>
          <w:color w:val="4C4747"/>
          <w:lang w:val="es-DO"/>
        </w:rPr>
      </w:pPr>
      <w:r w:rsidRPr="007C0683">
        <w:rPr>
          <w:rFonts w:eastAsia="Calibri"/>
          <w:b/>
          <w:bCs/>
          <w:noProof/>
          <w:color w:val="4C4747"/>
          <w:lang w:val="es-DO"/>
        </w:rPr>
        <w:t>Nueva Hoja de Ruta con Francia.</w:t>
      </w:r>
      <w:r w:rsidRPr="00247394">
        <w:rPr>
          <w:rFonts w:eastAsia="Calibri"/>
          <w:noProof/>
          <w:color w:val="4C4747"/>
          <w:lang w:val="es-DO"/>
        </w:rPr>
        <w:t xml:space="preserve"> En marzo el gobierno dominicano reafirmó el compromiso con un modelo de desarrollo sostenible e inclusivo, a través de la firma de la Hoja de Ruta de Cooperación de Francia-República Dominicana 2025-2027.</w:t>
      </w:r>
    </w:p>
    <w:p w14:paraId="42B30FB2" w14:textId="77777777" w:rsidR="00F819C0"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t xml:space="preserve">La Hoja de Ruta 2025 – 2027 constituye un marco estratégico común que fortalece la colaboración entre la Agencia Francesa de Desarrollo y República Dominicana, con el propósito de facilitar la negociación de instrumentos que impulsen el diseño y la implementación de iniciativas prioritarias para un desarrollo sostenible y resiliente. Esta modalidad de instrumento son la que han permitido que ambos socios puedan evidenciar una cartera de acciones con un monto global de </w:t>
      </w:r>
      <w:r w:rsidRPr="00247394">
        <w:rPr>
          <w:rFonts w:eastAsia="Calibri"/>
          <w:noProof/>
          <w:color w:val="4C4747"/>
          <w:lang w:val="es-DO"/>
        </w:rPr>
        <w:lastRenderedPageBreak/>
        <w:t>financiamiento de mil cuatrocientos millones de euros (EUR 1,400,000,000.00), así como montos no reembolsables de más de treinta y cinco millones de euros (EUR 35,000,000.00).</w:t>
      </w:r>
    </w:p>
    <w:p w14:paraId="199089F3" w14:textId="77777777" w:rsidR="00F819C0" w:rsidRPr="00247394" w:rsidRDefault="00F819C0" w:rsidP="00F819C0">
      <w:pPr>
        <w:spacing w:after="0" w:line="360" w:lineRule="auto"/>
        <w:ind w:left="720"/>
        <w:contextualSpacing/>
        <w:jc w:val="both"/>
        <w:rPr>
          <w:rFonts w:eastAsia="Calibri"/>
          <w:noProof/>
          <w:color w:val="4C4747"/>
          <w:lang w:val="es-DO"/>
        </w:rPr>
      </w:pPr>
    </w:p>
    <w:p w14:paraId="5908F14A" w14:textId="77777777" w:rsidR="00F819C0" w:rsidRPr="00247394" w:rsidRDefault="00F819C0" w:rsidP="00F819C0">
      <w:pPr>
        <w:spacing w:after="0" w:line="360" w:lineRule="auto"/>
        <w:ind w:left="720"/>
        <w:contextualSpacing/>
        <w:jc w:val="both"/>
        <w:rPr>
          <w:rFonts w:eastAsia="Calibri"/>
          <w:noProof/>
          <w:color w:val="4C4747"/>
          <w:lang w:val="es-DO"/>
        </w:rPr>
      </w:pPr>
      <w:r w:rsidRPr="007C0683">
        <w:rPr>
          <w:rFonts w:eastAsia="Calibri"/>
          <w:b/>
          <w:bCs/>
          <w:noProof/>
          <w:color w:val="4C4747"/>
          <w:lang w:val="es-DO"/>
        </w:rPr>
        <w:t>X Comisión Mixta con el Reino de España.</w:t>
      </w:r>
      <w:r w:rsidRPr="00247394">
        <w:rPr>
          <w:rFonts w:eastAsia="Calibri"/>
          <w:noProof/>
          <w:color w:val="4C4747"/>
          <w:lang w:val="es-DO"/>
        </w:rPr>
        <w:t xml:space="preserve"> En mayo República Dominicana y España firmaron el Acta de la X Reunión de la Comisión Mixta Hispano-Dominicana de Cooperación que incluye el Marco de Asociación para el Desarrollo Sostenible entre ambos países 2025-2029, instrumento de referencia de la cooperación en áreas de interés común entre las ambas naciones durante este período.</w:t>
      </w:r>
    </w:p>
    <w:p w14:paraId="471D7EB2" w14:textId="77777777" w:rsidR="00F819C0" w:rsidRPr="00247394" w:rsidRDefault="00F819C0" w:rsidP="00F819C0">
      <w:pPr>
        <w:spacing w:after="0" w:line="360" w:lineRule="auto"/>
        <w:ind w:left="720"/>
        <w:contextualSpacing/>
        <w:jc w:val="both"/>
        <w:rPr>
          <w:rFonts w:eastAsia="Calibri"/>
          <w:noProof/>
          <w:color w:val="4C4747"/>
          <w:lang w:val="es-DO"/>
        </w:rPr>
      </w:pPr>
      <w:r w:rsidRPr="00247394">
        <w:rPr>
          <w:rFonts w:eastAsia="Calibri"/>
          <w:noProof/>
          <w:color w:val="4C4747"/>
          <w:lang w:val="es-DO"/>
        </w:rPr>
        <w:t>El instrumento estima que la Ayuda Oficial al Desarrollo (AOD) española en el período 2025-2029 asciende a aproximadamente 110 millones de euros, de los cuales 70 millones corresponderán a financiación reembolsable a través del FONPRODE/FEDES, centrada en proyectos de saneamiento y residuos sólidos, y 40 millones a financiación no reembolsable.</w:t>
      </w:r>
    </w:p>
    <w:p w14:paraId="51925232" w14:textId="77777777" w:rsidR="00F819C0" w:rsidRPr="00247394" w:rsidRDefault="00F819C0" w:rsidP="00F819C0">
      <w:pPr>
        <w:spacing w:after="0" w:line="360" w:lineRule="auto"/>
        <w:ind w:left="720"/>
        <w:contextualSpacing/>
        <w:jc w:val="both"/>
        <w:rPr>
          <w:rFonts w:eastAsia="Calibri"/>
          <w:noProof/>
          <w:color w:val="4C4747"/>
          <w:lang w:val="es-DO"/>
        </w:rPr>
      </w:pPr>
    </w:p>
    <w:p w14:paraId="756838B4" w14:textId="77777777" w:rsidR="00F819C0" w:rsidRPr="00247394" w:rsidRDefault="00F819C0" w:rsidP="00F819C0">
      <w:pPr>
        <w:spacing w:after="0" w:line="360" w:lineRule="auto"/>
        <w:ind w:left="720"/>
        <w:contextualSpacing/>
        <w:jc w:val="both"/>
        <w:rPr>
          <w:rFonts w:eastAsia="Calibri"/>
          <w:noProof/>
          <w:color w:val="4C4747"/>
          <w:lang w:val="es-DO"/>
        </w:rPr>
      </w:pPr>
      <w:r w:rsidRPr="007C0683">
        <w:rPr>
          <w:rFonts w:eastAsia="Calibri"/>
          <w:b/>
          <w:bCs/>
          <w:noProof/>
          <w:color w:val="4C4747"/>
          <w:lang w:val="es-DO"/>
        </w:rPr>
        <w:t>Renovación Anual del Acuerdo de Cooperación Bilateral con el Gobierno de Japón.</w:t>
      </w:r>
      <w:r w:rsidRPr="00247394">
        <w:rPr>
          <w:rFonts w:eastAsia="Calibri"/>
          <w:noProof/>
          <w:color w:val="4C4747"/>
          <w:lang w:val="es-DO"/>
        </w:rPr>
        <w:t xml:space="preserve"> Fue realizada la renovación anual del acuerdo de cooperación con el Gobierno de Japón que establece el nuevo Programas Específicos de Cooperación Técnica que se llevara a cabo de manera conjunta a través de la Agencia de Cooperación Internacional del Japón (JICA) el año fiscal japonés 2025.</w:t>
      </w:r>
    </w:p>
    <w:p w14:paraId="3A544ADA" w14:textId="77777777" w:rsidR="00F819C0" w:rsidRPr="00247394" w:rsidRDefault="00F819C0" w:rsidP="00F819C0">
      <w:pPr>
        <w:spacing w:after="0" w:line="360" w:lineRule="auto"/>
        <w:ind w:left="720"/>
        <w:contextualSpacing/>
        <w:jc w:val="both"/>
        <w:rPr>
          <w:rFonts w:eastAsia="Calibri"/>
          <w:noProof/>
          <w:color w:val="4C4747"/>
          <w:lang w:val="es-DO"/>
        </w:rPr>
      </w:pPr>
    </w:p>
    <w:p w14:paraId="4EC8519B" w14:textId="77777777" w:rsidR="00F819C0" w:rsidRPr="00247394" w:rsidRDefault="00F819C0" w:rsidP="00F819C0">
      <w:pPr>
        <w:spacing w:after="0" w:line="360" w:lineRule="auto"/>
        <w:ind w:left="720"/>
        <w:contextualSpacing/>
        <w:jc w:val="both"/>
        <w:rPr>
          <w:rFonts w:eastAsia="Calibri"/>
          <w:noProof/>
          <w:color w:val="4C4747"/>
          <w:lang w:val="es-DO"/>
        </w:rPr>
      </w:pPr>
      <w:r w:rsidRPr="007C0683">
        <w:rPr>
          <w:rFonts w:eastAsia="Calibri"/>
          <w:b/>
          <w:bCs/>
          <w:noProof/>
          <w:color w:val="4C4747"/>
          <w:lang w:val="es-DO"/>
        </w:rPr>
        <w:t>En el marco del Convenio Básico de Cooperación Técnica y Científica entre el Gobierno de la República del Perú y el Gobierno de la República Dominicana</w:t>
      </w:r>
      <w:r w:rsidRPr="00247394">
        <w:rPr>
          <w:rFonts w:eastAsia="Calibri"/>
          <w:noProof/>
          <w:color w:val="4C4747"/>
          <w:lang w:val="es-DO"/>
        </w:rPr>
        <w:t xml:space="preserve">, se aprobó el nuevo Programa de Cooperación Técnica y Científica 2025 – 2027 </w:t>
      </w:r>
      <w:r w:rsidRPr="00247394">
        <w:rPr>
          <w:rFonts w:eastAsia="Calibri"/>
          <w:noProof/>
          <w:color w:val="4C4747"/>
          <w:lang w:val="es-DO"/>
        </w:rPr>
        <w:lastRenderedPageBreak/>
        <w:t>durante la IV Reunión del Grupo de Trabajo de Cooperación Técnica y Científica (Comisión Mixta). Este nuevo Programa está conformado por cinco (5) proyectos. Estas iniciativas se ejecutarán en áreas clave y de interés para ambos países como son turismo y gastronomía; medio ambiente, desarrollo agrario y riego; justicia y derechos humanos; gestión patrimonio cultural.</w:t>
      </w:r>
    </w:p>
    <w:p w14:paraId="75EF7AED" w14:textId="77777777" w:rsidR="00F819C0" w:rsidRPr="00247394" w:rsidRDefault="00F819C0" w:rsidP="00F819C0">
      <w:pPr>
        <w:spacing w:after="0" w:line="360" w:lineRule="auto"/>
        <w:ind w:left="720"/>
        <w:contextualSpacing/>
        <w:jc w:val="both"/>
        <w:rPr>
          <w:rFonts w:eastAsia="Calibri"/>
          <w:noProof/>
          <w:color w:val="4C4747"/>
          <w:lang w:val="es-DO"/>
        </w:rPr>
      </w:pPr>
    </w:p>
    <w:p w14:paraId="7F4BCB35" w14:textId="77777777" w:rsidR="00F819C0" w:rsidRPr="007C0683" w:rsidRDefault="00F819C0" w:rsidP="00F819C0">
      <w:pPr>
        <w:pStyle w:val="ListParagraph"/>
        <w:numPr>
          <w:ilvl w:val="0"/>
          <w:numId w:val="63"/>
        </w:numPr>
        <w:spacing w:after="0" w:line="360" w:lineRule="auto"/>
        <w:rPr>
          <w:rFonts w:eastAsia="Calibri"/>
          <w:b/>
          <w:bCs/>
          <w:noProof/>
          <w:color w:val="4C4747"/>
        </w:rPr>
      </w:pPr>
      <w:r w:rsidRPr="007C0683">
        <w:rPr>
          <w:rFonts w:eastAsia="Calibri"/>
          <w:b/>
          <w:bCs/>
          <w:noProof/>
          <w:color w:val="4C4747"/>
        </w:rPr>
        <w:t>Seguimiento a la Cooperación Multilateral</w:t>
      </w:r>
    </w:p>
    <w:p w14:paraId="19BFACDD"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El Viceministerio de Cooperación Internacional consolidó durante el año 2025 un posicionamiento estratégico del país ante organismos multilaterales, fortaleciendo su capacidad para acceder a financiamiento no reembolsable orientado a prioridades nacionales de desarrollo. Como resultado de estas gestiones, la República Dominicana aseguró USD 2.56 millones en cooperación multilateral, equivalentes a aproximadamente RD$153.6 millones, destinados a impulsar agendas nacionales en agua y riego, transformación de sistemas alimentarios, acción climática basada en evidencia e innovación digital pública.</w:t>
      </w:r>
    </w:p>
    <w:p w14:paraId="69575075"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Tres iniciativas estructurales lograron financiamiento directo:</w:t>
      </w:r>
    </w:p>
    <w:p w14:paraId="55B67EDB" w14:textId="77777777" w:rsidR="00F819C0" w:rsidRPr="00247394" w:rsidRDefault="00F819C0" w:rsidP="00F819C0">
      <w:pPr>
        <w:pStyle w:val="ListParagraph"/>
        <w:numPr>
          <w:ilvl w:val="0"/>
          <w:numId w:val="62"/>
        </w:numPr>
        <w:spacing w:after="0" w:line="360" w:lineRule="auto"/>
        <w:ind w:left="720"/>
        <w:jc w:val="both"/>
        <w:rPr>
          <w:rFonts w:eastAsia="Calibri"/>
          <w:noProof/>
          <w:color w:val="4C4747"/>
        </w:rPr>
      </w:pPr>
      <w:r w:rsidRPr="00247394">
        <w:rPr>
          <w:rFonts w:eastAsia="Calibri"/>
          <w:noProof/>
          <w:color w:val="4C4747"/>
        </w:rPr>
        <w:t>Programa de Transición Hídrica y Agroalimentaria del Yaque del Sur (Banco Mundial – GFPP): USD 1,000,000, para estudios técnicos, modernización de riego y fortalecimiento institucional en San Juan, Azua y Barahona.</w:t>
      </w:r>
    </w:p>
    <w:p w14:paraId="552D760B" w14:textId="77777777" w:rsidR="00F819C0" w:rsidRPr="00247394" w:rsidRDefault="00F819C0" w:rsidP="00F819C0">
      <w:pPr>
        <w:pStyle w:val="ListParagraph"/>
        <w:numPr>
          <w:ilvl w:val="0"/>
          <w:numId w:val="62"/>
        </w:numPr>
        <w:spacing w:after="0" w:line="360" w:lineRule="auto"/>
        <w:ind w:left="720"/>
        <w:jc w:val="both"/>
        <w:rPr>
          <w:rFonts w:eastAsia="Calibri"/>
          <w:noProof/>
          <w:color w:val="4C4747"/>
        </w:rPr>
      </w:pPr>
      <w:r w:rsidRPr="00247394">
        <w:rPr>
          <w:rFonts w:eastAsia="Calibri"/>
          <w:noProof/>
          <w:color w:val="4C4747"/>
        </w:rPr>
        <w:t>Programa de Transformación de Sistemas Alimentarios (Joint SDG Fund): USD 1,000,000, con intervención priorizada en la provincia San Juan, centrado en resiliencia climática, protección social y sostenibilidad productiva.</w:t>
      </w:r>
    </w:p>
    <w:p w14:paraId="4C165FB5" w14:textId="77777777" w:rsidR="00F819C0" w:rsidRDefault="00F819C0" w:rsidP="00F819C0">
      <w:pPr>
        <w:pStyle w:val="ListParagraph"/>
        <w:numPr>
          <w:ilvl w:val="0"/>
          <w:numId w:val="62"/>
        </w:numPr>
        <w:spacing w:after="0" w:line="360" w:lineRule="auto"/>
        <w:ind w:left="720"/>
        <w:jc w:val="both"/>
        <w:rPr>
          <w:rFonts w:eastAsia="Calibri"/>
          <w:noProof/>
          <w:color w:val="4C4747"/>
        </w:rPr>
      </w:pPr>
      <w:r w:rsidRPr="00247394">
        <w:rPr>
          <w:rFonts w:eastAsia="Calibri"/>
          <w:noProof/>
          <w:color w:val="4C4747"/>
        </w:rPr>
        <w:t xml:space="preserve">Proyecto Regional “Acción Climática Basada en Evidencia mediante </w:t>
      </w:r>
      <w:r w:rsidRPr="00247394">
        <w:rPr>
          <w:rFonts w:eastAsia="Calibri"/>
          <w:noProof/>
          <w:color w:val="4C4747"/>
        </w:rPr>
        <w:lastRenderedPageBreak/>
        <w:t>Inteligencia Artificial e Innovación en Datos para los PEID del Caribe (DA17)”, liderado por DESA, con una asignación estimada para el país de USD 275,000, dirigida a fortalecer capacidades de la ONE, el Ministerio de Medio Ambiente y el Banco Central en estadística ambiental, datos oceánicos e inteligencia artificial aplicada a políticas climáticas.</w:t>
      </w:r>
    </w:p>
    <w:p w14:paraId="3F4BC90D" w14:textId="77777777" w:rsidR="000464F3" w:rsidRPr="00247394" w:rsidRDefault="000464F3" w:rsidP="000464F3">
      <w:pPr>
        <w:pStyle w:val="ListParagraph"/>
        <w:spacing w:after="0" w:line="360" w:lineRule="auto"/>
        <w:jc w:val="both"/>
        <w:rPr>
          <w:rFonts w:eastAsia="Calibri"/>
          <w:noProof/>
          <w:color w:val="4C4747"/>
        </w:rPr>
      </w:pPr>
    </w:p>
    <w:p w14:paraId="1162892F"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Paralelamente, se difundieron oportunidades de cooperación multilateral provenientes de organismos como UNESCO, ONU Mujeres, el Fondo Fiduciario de la ONU para Eliminar la Violencia contra la Mujer, y el programa Erasmus+. Estas acciones garantizaron acceso equitativo a información internacional relevante para instituciones públicas, organizaciones comunitarias, universidades y actores territoriales, fortaleciendo su capacidad para participar en mecanismos globales de financiamiento.</w:t>
      </w:r>
    </w:p>
    <w:p w14:paraId="406DDEF0" w14:textId="77777777" w:rsidR="000464F3" w:rsidRPr="00247394" w:rsidRDefault="000464F3" w:rsidP="00F819C0">
      <w:pPr>
        <w:spacing w:after="0" w:line="360" w:lineRule="auto"/>
        <w:ind w:left="720"/>
        <w:jc w:val="both"/>
        <w:rPr>
          <w:rFonts w:eastAsia="Calibri"/>
          <w:noProof/>
          <w:color w:val="4C4747"/>
          <w:lang w:val="es-DO"/>
        </w:rPr>
      </w:pPr>
    </w:p>
    <w:p w14:paraId="0C358F2B"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En coordinación con la Unión Europea, se apoyó además la articulación técnica del mecanismo TAIEX, incluyendo el Seminario sobre Transformación Digital en la Administración Tributaria, que permitió acercar al país a estándares europeos en auditoría electrónica, gobernanza de datos e innovación fiscal.</w:t>
      </w:r>
    </w:p>
    <w:p w14:paraId="11EA62D8" w14:textId="77777777" w:rsidR="000464F3" w:rsidRPr="00247394" w:rsidRDefault="000464F3" w:rsidP="00F819C0">
      <w:pPr>
        <w:spacing w:after="0" w:line="360" w:lineRule="auto"/>
        <w:ind w:left="720"/>
        <w:jc w:val="both"/>
        <w:rPr>
          <w:rFonts w:eastAsia="Calibri"/>
          <w:noProof/>
          <w:color w:val="4C4747"/>
          <w:lang w:val="es-DO"/>
        </w:rPr>
      </w:pPr>
    </w:p>
    <w:p w14:paraId="7DC215D8"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Se desarrollaron 7 asistencias técnicas centradas en formular iniciativas con potencial de financiamiento multilateral, y aumentar la cartera de oportunidades de cooperación no reembolsable para el país. Entre estas se destacan:</w:t>
      </w:r>
    </w:p>
    <w:p w14:paraId="19CD0CA3"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t>Propuesta de Patrimonio Cultural Vivo ante UNESCO (USD 100,000) junto a la Cofradía de los Congos de Villa Mella.</w:t>
      </w:r>
    </w:p>
    <w:p w14:paraId="6A6A84C8"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lastRenderedPageBreak/>
        <w:t>Acompañamiento territorial en la Provincia Independencia para el diseño del “Portal de Transparencia y Democracia Interactiva”.</w:t>
      </w:r>
    </w:p>
    <w:p w14:paraId="1374D602"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t>Propuesta técnica para caracterización económica de MiPymes (ProCompetencia) con potencial financiamiento de la Unión Europea.</w:t>
      </w:r>
    </w:p>
    <w:p w14:paraId="0442CD0B"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t>Diseño del estudio sobre juventud vulnerable con el Ministerio de Interior y Policía.</w:t>
      </w:r>
    </w:p>
    <w:p w14:paraId="11C0C8F6"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t>Acompañamiento al MESCyT, UNESCO y Banco Mundial en el rediseño de las Pruebas POMA.</w:t>
      </w:r>
    </w:p>
    <w:p w14:paraId="2BEA2E0E"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t>Fortalecimiento de la gobernanza nacional del programa Erasmus+.</w:t>
      </w:r>
    </w:p>
    <w:p w14:paraId="51F59AC3" w14:textId="77777777" w:rsidR="00F819C0" w:rsidRPr="00247394" w:rsidRDefault="00F819C0" w:rsidP="00F819C0">
      <w:pPr>
        <w:pStyle w:val="ListParagraph"/>
        <w:numPr>
          <w:ilvl w:val="0"/>
          <w:numId w:val="61"/>
        </w:numPr>
        <w:spacing w:after="0" w:line="360" w:lineRule="auto"/>
        <w:ind w:left="720"/>
        <w:jc w:val="both"/>
        <w:rPr>
          <w:rFonts w:eastAsia="Calibri"/>
          <w:noProof/>
          <w:color w:val="4C4747"/>
        </w:rPr>
      </w:pPr>
      <w:r w:rsidRPr="00247394">
        <w:rPr>
          <w:rFonts w:eastAsia="Calibri"/>
          <w:noProof/>
          <w:color w:val="4C4747"/>
        </w:rPr>
        <w:t>Trabajo técnico con el MAP para la Hoja de Ruta de Transformación Digital del Estado, insumo preparatorio para futuras negociaciones con la Unión Europea.</w:t>
      </w:r>
    </w:p>
    <w:p w14:paraId="563F1636" w14:textId="77777777" w:rsidR="00F819C0" w:rsidRPr="00247394" w:rsidRDefault="00F819C0" w:rsidP="00F819C0">
      <w:pPr>
        <w:pStyle w:val="ListParagraph"/>
        <w:spacing w:after="0" w:line="360" w:lineRule="auto"/>
        <w:jc w:val="both"/>
        <w:rPr>
          <w:rFonts w:eastAsia="Calibri"/>
          <w:noProof/>
          <w:color w:val="4C4747"/>
        </w:rPr>
      </w:pPr>
    </w:p>
    <w:p w14:paraId="4D43FA9F"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 xml:space="preserve">Por otro lado, en cumplimiento del Decreto núm. 231-07 y del mandato del Viceministerio de Cooperación Internacional en la articulación con organismos multilaterales, durante el año 2025 se ejecutaron contribuciones financieras internacionales por un monto global de USD 395,474.87, garantizando la participación del país en instancias estratégicas de desarrollo global. Estos aportes fortalecieron la presencia de la República Dominicana en mecanismos vinculados con población y desarrollo (UNFPA), planificación económica y políticas públicas (ILPES), cooperación iberoamericana, acción climática y desarrollo sostenible (FIDIA3, OCDE), movilidad humana y asentamientos urbanos (ONU-HÁBITAT), comercio y competitividad regional (SELA, Caribbean Export), y sistemas estadísticos y de desarrollo humano (PNUD y OEA). </w:t>
      </w:r>
    </w:p>
    <w:p w14:paraId="43F279E8" w14:textId="77777777" w:rsidR="00F819C0" w:rsidRDefault="00F819C0" w:rsidP="00F819C0">
      <w:pPr>
        <w:pStyle w:val="ListParagraph"/>
        <w:spacing w:after="0" w:line="360" w:lineRule="auto"/>
        <w:jc w:val="both"/>
        <w:rPr>
          <w:rFonts w:eastAsia="Calibri"/>
          <w:noProof/>
          <w:color w:val="4C4747"/>
        </w:rPr>
      </w:pPr>
      <w:r w:rsidRPr="00247394">
        <w:rPr>
          <w:rFonts w:eastAsia="Calibri"/>
          <w:noProof/>
          <w:color w:val="4C4747"/>
        </w:rPr>
        <w:lastRenderedPageBreak/>
        <w:t>Tras estos avances en la movilización de cooperación multilateral y el fortalecimiento de capacidades nacionales para la formulación de proyectos, el Viceministerio de Cooperación Internacional continuó dando seguimiento estratégico a iniciativas de alto impacto ya en ejecución. A continuación, se destacan los principales proyectos en seguimiento que han avanzado durante el período y que, en conjunto, refuerzan la capacidad del país para traducir la cooperación internacional en resultados tangibles para la población dominicana.</w:t>
      </w:r>
    </w:p>
    <w:p w14:paraId="66CA39D0" w14:textId="77777777" w:rsidR="000464F3" w:rsidRPr="00247394" w:rsidRDefault="000464F3" w:rsidP="00F819C0">
      <w:pPr>
        <w:pStyle w:val="ListParagraph"/>
        <w:spacing w:after="0" w:line="360" w:lineRule="auto"/>
        <w:jc w:val="both"/>
        <w:rPr>
          <w:rFonts w:eastAsia="Calibri"/>
          <w:noProof/>
          <w:color w:val="4C4747"/>
        </w:rPr>
      </w:pPr>
    </w:p>
    <w:p w14:paraId="483B9272"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 xml:space="preserve">Proyecto de Fortalecimiento de la Capacidad Institucional y Estadística para una Respuesta Multisectorial a la Movilidad Humana en República Dominicana. </w:t>
      </w:r>
    </w:p>
    <w:p w14:paraId="306DFF19" w14:textId="77777777" w:rsidR="00F819C0" w:rsidRPr="00247394" w:rsidRDefault="00F819C0" w:rsidP="00F819C0">
      <w:pPr>
        <w:pStyle w:val="ListParagraph"/>
        <w:spacing w:after="0" w:line="360" w:lineRule="auto"/>
        <w:jc w:val="both"/>
        <w:rPr>
          <w:rFonts w:eastAsia="Calibri"/>
          <w:noProof/>
          <w:color w:val="4C4747"/>
        </w:rPr>
      </w:pPr>
    </w:p>
    <w:p w14:paraId="06E03A34" w14:textId="77777777" w:rsidR="00F819C0" w:rsidRDefault="00F819C0" w:rsidP="00F819C0">
      <w:pPr>
        <w:pStyle w:val="ListParagraph"/>
        <w:spacing w:after="0" w:line="360" w:lineRule="auto"/>
        <w:jc w:val="both"/>
        <w:rPr>
          <w:rFonts w:eastAsia="Calibri"/>
          <w:noProof/>
          <w:color w:val="4C4747"/>
        </w:rPr>
      </w:pPr>
      <w:r w:rsidRPr="00247394">
        <w:rPr>
          <w:rFonts w:eastAsia="Calibri"/>
          <w:noProof/>
          <w:color w:val="4C4747"/>
        </w:rPr>
        <w:t>El proyecto cuenta con un financiamiento total de US$4.6 millones, de los cuales se ha ejecutado el 46.8 % (US$2.15 millones), con el resto del monto comprometido casi en su totalidad y apenas US$185,724 disponibles. Tras la misión técnica de enero de 2025 se acordó una reestructuración que eliminó la ENI III y el subcomponente Supérate Mujer, reasignando recursos para fortalecer al INM, la coordinación interinstitucional con DIECOM y la atención a mujeres migrantes vulnerables desde el Ministerio de la Mujer. Como parte del proceso, el cierre del proyecto fue extendido del 30 de julio de 2025 al 30 de julio de 2026.</w:t>
      </w:r>
    </w:p>
    <w:p w14:paraId="0F06814D" w14:textId="77777777" w:rsidR="000464F3" w:rsidRPr="00247394" w:rsidRDefault="000464F3" w:rsidP="00F819C0">
      <w:pPr>
        <w:pStyle w:val="ListParagraph"/>
        <w:spacing w:after="0" w:line="360" w:lineRule="auto"/>
        <w:jc w:val="both"/>
        <w:rPr>
          <w:rFonts w:eastAsia="Calibri"/>
          <w:noProof/>
          <w:color w:val="4C4747"/>
        </w:rPr>
      </w:pPr>
    </w:p>
    <w:p w14:paraId="63258161"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 xml:space="preserve">En términos de resultados directos, el proyecto atendió a 1,126 mujeres migrantes: 221 en refugios especializados junto a sus hijos/as y 905 con asistencia legal, psicosocial e informativa. En paralelo, se avanzó en sostenibilidad técnica mediante la </w:t>
      </w:r>
      <w:r w:rsidRPr="00247394">
        <w:rPr>
          <w:rFonts w:eastAsia="Calibri"/>
          <w:noProof/>
          <w:color w:val="4C4747"/>
        </w:rPr>
        <w:lastRenderedPageBreak/>
        <w:t>Maestría en Migración y Desarrollo, con 70 participantes de ocho países de la región. El Laboratorio de Cohesión Social monitoreó 98,018 menciones en redes y medios sobre migración, mientras que la campaña nacional del Ministerio de la Mujer alcanzó a más de 1,107,000 personas mediante el envío de 13 millones de mensajes de texto, posicionando la violencia basada en género como prioridad pública vinculada a la movilidad humana.</w:t>
      </w:r>
    </w:p>
    <w:p w14:paraId="30E151B0" w14:textId="77777777" w:rsidR="00F819C0" w:rsidRPr="00247394" w:rsidRDefault="00F819C0" w:rsidP="00F819C0">
      <w:pPr>
        <w:pStyle w:val="ListParagraph"/>
        <w:spacing w:after="0" w:line="360" w:lineRule="auto"/>
        <w:jc w:val="both"/>
        <w:rPr>
          <w:rFonts w:eastAsia="Calibri"/>
          <w:noProof/>
          <w:color w:val="4C4747"/>
        </w:rPr>
      </w:pPr>
    </w:p>
    <w:p w14:paraId="4F07928C" w14:textId="77777777" w:rsidR="00F819C0" w:rsidRPr="007C0683" w:rsidRDefault="00F819C0" w:rsidP="00F819C0">
      <w:pPr>
        <w:pStyle w:val="ListParagraph"/>
        <w:spacing w:after="0" w:line="360" w:lineRule="auto"/>
        <w:jc w:val="both"/>
        <w:rPr>
          <w:rFonts w:eastAsia="Calibri"/>
          <w:b/>
          <w:bCs/>
          <w:noProof/>
          <w:color w:val="4C4747"/>
        </w:rPr>
      </w:pPr>
      <w:r w:rsidRPr="007C0683">
        <w:rPr>
          <w:rFonts w:eastAsia="Calibri"/>
          <w:b/>
          <w:bCs/>
          <w:noProof/>
          <w:color w:val="4C4747"/>
        </w:rPr>
        <w:t>Manejo Integrado del Paisaje en las Cuencas Hidrográficas de República Dominicana GEF-7</w:t>
      </w:r>
    </w:p>
    <w:p w14:paraId="708DD4E1"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 xml:space="preserve">En este periodo, se fortaleció la operación del Proyecto GEF-7 con la constitución de la Unidad Implementadora del Proyecto (UIP), la instalación del primer Comité de Microcuenca y la actualización del diseño técnico (marco de resultados, plantilla de actividades y presupuesto plurianual 2025–2028). Se completaron estudios clave para la ejecución (línea base de biodiversidad, caracterización ambiental del arroz sostenible, valoración de servicios ecosistémicos e IDSU) y se desarrolló un proceso participativo con 6 talleres generales, 16 encuentros temáticos y 12 reuniones de comités de microcuenca. El Comité Asesor validó los criterios técnicos y se preseleccionaron cinco microcuencas estratégicas para subproyectos de restauración y agroforestería. Se aprobó la extensión del proyecto con nueva fecha de cierre al 31 de agosto de 2028 mediante enmienda al acuerdo de donación TF0B7197 y en lo financiero, se mantuvo el monto total de la donación en USD 4,063,927. Para el ejercicio fiscal 2025 se programó una asignación de US$ 1,118,312.7, compuesta por US$ 920,596 de la donación y US$ 197,917 de contrapartida </w:t>
      </w:r>
      <w:r w:rsidRPr="00247394">
        <w:rPr>
          <w:rFonts w:eastAsia="Calibri"/>
          <w:noProof/>
          <w:color w:val="4C4747"/>
        </w:rPr>
        <w:lastRenderedPageBreak/>
        <w:t xml:space="preserve">nacional, de los cuales al cierre del primer trimestre se había ejecutado     US$ 124,895.81 de la donación.                                                                                                         </w:t>
      </w:r>
    </w:p>
    <w:p w14:paraId="0C2CBBA5" w14:textId="77777777" w:rsidR="00F819C0" w:rsidRPr="00247394" w:rsidRDefault="00F819C0" w:rsidP="00F819C0">
      <w:pPr>
        <w:pStyle w:val="ListParagraph"/>
        <w:spacing w:after="0" w:line="360" w:lineRule="auto"/>
        <w:jc w:val="both"/>
        <w:rPr>
          <w:rFonts w:eastAsia="Calibri"/>
          <w:noProof/>
          <w:color w:val="4C4747"/>
        </w:rPr>
      </w:pPr>
    </w:p>
    <w:p w14:paraId="2B275ED1" w14:textId="77777777" w:rsidR="00F819C0" w:rsidRDefault="00F819C0" w:rsidP="00F819C0">
      <w:pPr>
        <w:pStyle w:val="ListParagraph"/>
        <w:spacing w:after="0" w:line="360" w:lineRule="auto"/>
        <w:jc w:val="both"/>
        <w:rPr>
          <w:rFonts w:eastAsia="Calibri"/>
          <w:noProof/>
          <w:color w:val="4C4747"/>
        </w:rPr>
      </w:pPr>
      <w:r w:rsidRPr="007C0683">
        <w:rPr>
          <w:rFonts w:eastAsia="Calibri"/>
          <w:b/>
          <w:bCs/>
          <w:noProof/>
          <w:color w:val="4C4747"/>
        </w:rPr>
        <w:t>Acuerdo de Compra para la Reducción de Emisiones (ERPA).</w:t>
      </w:r>
      <w:r w:rsidRPr="00247394">
        <w:rPr>
          <w:rFonts w:eastAsia="Calibri"/>
          <w:noProof/>
          <w:color w:val="4C4747"/>
        </w:rPr>
        <w:t xml:space="preserve"> En octubre de 2025, la República Dominicana alcanzó un hito en la implementación del Programa REDD+, al recibir su primer pago por resultados en el marco del Acuerdo de Compra de Reducciones de Emisiones (ERPA) con el Fondo Cooperativo para el Carbono de los Bosques (FCPF), por un monto aproximado de USD 4,180,000 correspondiente a reducciones de emisiones verificadas entre marzo y diciembre de 2021. De este total, el 80% se destinará a productores de café y cacao, ganaderos, </w:t>
      </w:r>
      <w:bookmarkStart w:id="89" w:name="_Int_feIlpBYF"/>
      <w:r w:rsidRPr="00247394">
        <w:rPr>
          <w:rFonts w:eastAsia="Calibri"/>
          <w:noProof/>
          <w:color w:val="4C4747"/>
        </w:rPr>
        <w:t>reforestadores</w:t>
      </w:r>
      <w:bookmarkEnd w:id="89"/>
      <w:r w:rsidRPr="00247394">
        <w:rPr>
          <w:rFonts w:eastAsia="Calibri"/>
          <w:noProof/>
          <w:color w:val="4C4747"/>
        </w:rPr>
        <w:t xml:space="preserve"> y otros actores que realizan manejo sostenible de los bosques, así como a un plan de inversión en el Sistema Nacional de Áreas Protegidas (SINAP), mientras que el 20 % restante se orientará a gastos operativos y a un fondo de contingencias del programa. Este logro supone un reconocimiento internacional a los esfuerzos nacionales en conservación forestal, mitigación del cambio climático y salvaguardas ambientales y sociales, y fortalece el posicionamiento del país como referente regional en políticas climáticas y gestión sostenible.</w:t>
      </w:r>
    </w:p>
    <w:p w14:paraId="206D4268" w14:textId="77777777" w:rsidR="00F819C0" w:rsidRPr="00247394" w:rsidRDefault="00F819C0" w:rsidP="00F819C0">
      <w:pPr>
        <w:pStyle w:val="ListParagraph"/>
        <w:spacing w:after="0" w:line="360" w:lineRule="auto"/>
        <w:jc w:val="both"/>
        <w:rPr>
          <w:rFonts w:eastAsia="Calibri"/>
          <w:noProof/>
          <w:color w:val="4C4747"/>
        </w:rPr>
      </w:pPr>
    </w:p>
    <w:p w14:paraId="07E0A82F" w14:textId="77777777" w:rsidR="00F819C0" w:rsidRPr="007C0683" w:rsidRDefault="00F819C0" w:rsidP="00F819C0">
      <w:pPr>
        <w:pStyle w:val="ListParagraph"/>
        <w:spacing w:after="0" w:line="360" w:lineRule="auto"/>
        <w:jc w:val="both"/>
        <w:rPr>
          <w:rFonts w:eastAsia="Calibri"/>
          <w:b/>
          <w:bCs/>
          <w:noProof/>
          <w:color w:val="4C4747"/>
        </w:rPr>
      </w:pPr>
      <w:r w:rsidRPr="007C0683">
        <w:rPr>
          <w:rFonts w:eastAsia="Calibri"/>
          <w:b/>
          <w:bCs/>
          <w:noProof/>
          <w:color w:val="4C4747"/>
        </w:rPr>
        <w:t>Programa "Medidas de Acompañamiento del Banano para la República Dominicana (BAM)"</w:t>
      </w:r>
    </w:p>
    <w:p w14:paraId="50A0BADC"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Entre noviembre de 2022 y septiembre de 2025, se otorgaron 208 préstamos a micro, pequeñas y medianas empresas (MIPYMES), por un total de RD$290,035,155.62, alcanzando un 93.70% de los fondos asignados. Respecto al monto total asignado por provincia, Monte Cristi concentra la mayor participación (49.78% del total), seguida por Valverde —</w:t>
      </w:r>
      <w:r w:rsidRPr="00247394">
        <w:rPr>
          <w:rFonts w:eastAsia="Calibri"/>
          <w:noProof/>
          <w:color w:val="4C4747"/>
        </w:rPr>
        <w:lastRenderedPageBreak/>
        <w:t>Mao— (44.49%). Santiago y Azua aportan un 2.64% aproximadamente, y San José de las Matas contribuye con un 0.44%. Estos fondos están destinados al mantenimiento, rehabilitación y fomento de plantaciones, así como a la adquisición de paneles solares para la generación de energía limpia y sistemas de Riego.</w:t>
      </w:r>
    </w:p>
    <w:p w14:paraId="412D7512" w14:textId="77777777" w:rsidR="00F819C0" w:rsidRPr="00247394" w:rsidRDefault="00F819C0" w:rsidP="00F819C0">
      <w:pPr>
        <w:pStyle w:val="ListParagraph"/>
        <w:spacing w:after="0" w:line="360" w:lineRule="auto"/>
        <w:jc w:val="both"/>
        <w:rPr>
          <w:rFonts w:eastAsia="Calibri"/>
          <w:noProof/>
          <w:color w:val="4C4747"/>
        </w:rPr>
      </w:pPr>
    </w:p>
    <w:p w14:paraId="07F103A4" w14:textId="77777777" w:rsidR="00F819C0" w:rsidRDefault="00F819C0" w:rsidP="00F819C0">
      <w:pPr>
        <w:pStyle w:val="ListParagraph"/>
        <w:spacing w:after="0" w:line="360" w:lineRule="auto"/>
        <w:jc w:val="both"/>
        <w:rPr>
          <w:rFonts w:eastAsia="Calibri"/>
          <w:noProof/>
          <w:color w:val="4C4747"/>
        </w:rPr>
      </w:pPr>
      <w:r w:rsidRPr="00247394">
        <w:rPr>
          <w:rFonts w:eastAsia="Calibri"/>
          <w:noProof/>
          <w:color w:val="4C4747"/>
        </w:rPr>
        <w:t>Se destinaron RD$4,000,000 para establecer una Unidad de Apoyo Técnico en ADOBANANO, dirigida a fortalecer la productividad y competitividad de los pequeños y medianos productores bananeros. Además, se propone aprobar una línea de crédito de RD$25,000,000 bajo la modalidad de Compras Conjuntas, a fin de mejorar la capacidad de negociación y ofrecer precios más competitivos a más de 1,800 productores.</w:t>
      </w:r>
    </w:p>
    <w:p w14:paraId="442564B9" w14:textId="77777777" w:rsidR="00F819C0" w:rsidRPr="00247394" w:rsidRDefault="00F819C0" w:rsidP="00F819C0">
      <w:pPr>
        <w:pStyle w:val="ListParagraph"/>
        <w:spacing w:after="0" w:line="360" w:lineRule="auto"/>
        <w:jc w:val="both"/>
        <w:rPr>
          <w:rFonts w:eastAsia="Calibri"/>
          <w:noProof/>
          <w:color w:val="4C4747"/>
        </w:rPr>
      </w:pPr>
    </w:p>
    <w:p w14:paraId="6995E53F" w14:textId="77777777" w:rsidR="00F819C0" w:rsidRPr="007C0683" w:rsidRDefault="00F819C0" w:rsidP="00F819C0">
      <w:pPr>
        <w:spacing w:after="0" w:line="360" w:lineRule="auto"/>
        <w:ind w:left="720"/>
        <w:jc w:val="both"/>
        <w:rPr>
          <w:rFonts w:eastAsia="Calibri"/>
          <w:b/>
          <w:bCs/>
          <w:noProof/>
          <w:color w:val="4C4747"/>
          <w:lang w:val="es-DO"/>
        </w:rPr>
      </w:pPr>
      <w:r w:rsidRPr="007C0683">
        <w:rPr>
          <w:rFonts w:eastAsia="Calibri"/>
          <w:b/>
          <w:bCs/>
          <w:noProof/>
          <w:color w:val="4C4747"/>
          <w:lang w:val="es-DO"/>
        </w:rPr>
        <w:t>Programa Aumento de la Eficiencia en la Gestión del Agua y Saneamiento CIF–INAPA</w:t>
      </w:r>
    </w:p>
    <w:p w14:paraId="36888C23"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 xml:space="preserve">Durante el periodo reportado, el proyecto avanzó significativamente en su coordinación técnica y operativa junto a SEURECA-MCG, destacándose la preparación de listas de bienes y obras para los procesos de licitación, la recepción y aprobación de los informes trimestrales 11 y 12, y la realización del Taller de Modelación Hidráulica dirigido al personal de Operaciones. Asimismo, se gestionó ante el Ministerio de la Presidencia (antiguo MEPYD) la solicitud de extensión del proyecto y los ajustes presupuestarios correspondientes, lo cual representó un avance sustancial al aprobarse la ampliación del plazo de ejecución por veinticuatro (24) meses adicionales y la realización de las modificaciones presupuestarias indicadas en el Apéndice No. 2, sin variación del monto total del proyecto. En materia de adquisiciones, se </w:t>
      </w:r>
      <w:r w:rsidRPr="00247394">
        <w:rPr>
          <w:rFonts w:eastAsia="Calibri"/>
          <w:noProof/>
          <w:color w:val="4C4747"/>
        </w:rPr>
        <w:lastRenderedPageBreak/>
        <w:t>registraron progresos en seis procesos contemplados en el plan —equivalentes al 50% del total— con tres ya contratados, uno ejecutado (incluyendo la adquisición de cinco vehículos tipo van) y dos en fase de evaluación.</w:t>
      </w:r>
    </w:p>
    <w:p w14:paraId="325899F8" w14:textId="77777777" w:rsidR="00F819C0" w:rsidRPr="00247394" w:rsidRDefault="00F819C0" w:rsidP="00F819C0">
      <w:pPr>
        <w:pStyle w:val="ListParagraph"/>
        <w:spacing w:after="0" w:line="360" w:lineRule="auto"/>
        <w:jc w:val="both"/>
        <w:rPr>
          <w:rFonts w:eastAsia="Calibri"/>
          <w:noProof/>
          <w:color w:val="4C4747"/>
        </w:rPr>
      </w:pPr>
    </w:p>
    <w:p w14:paraId="0C1792A4" w14:textId="77777777" w:rsidR="00F819C0" w:rsidRPr="007C0683" w:rsidRDefault="00F819C0" w:rsidP="00F819C0">
      <w:pPr>
        <w:pStyle w:val="ListParagraph"/>
        <w:spacing w:after="0" w:line="360" w:lineRule="auto"/>
        <w:jc w:val="both"/>
        <w:rPr>
          <w:rFonts w:eastAsia="Calibri"/>
          <w:b/>
          <w:bCs/>
          <w:noProof/>
          <w:color w:val="4C4747"/>
        </w:rPr>
      </w:pPr>
      <w:r w:rsidRPr="007C0683">
        <w:rPr>
          <w:rFonts w:eastAsia="Calibri"/>
          <w:b/>
          <w:bCs/>
          <w:noProof/>
          <w:color w:val="4C4747"/>
        </w:rPr>
        <w:t>Remozamiento y equipamiento del Centro de Atención Primaria "Mujeres en Acción Madre Cándida"</w:t>
      </w:r>
    </w:p>
    <w:p w14:paraId="7F61655B" w14:textId="77777777" w:rsidR="00F819C0" w:rsidRDefault="00F819C0" w:rsidP="00F819C0">
      <w:pPr>
        <w:pStyle w:val="ListParagraph"/>
        <w:spacing w:after="0" w:line="360" w:lineRule="auto"/>
        <w:jc w:val="both"/>
        <w:rPr>
          <w:rFonts w:eastAsia="Calibri"/>
          <w:noProof/>
          <w:color w:val="4C4747"/>
        </w:rPr>
      </w:pPr>
      <w:r w:rsidRPr="00247394">
        <w:rPr>
          <w:rFonts w:eastAsia="Calibri"/>
          <w:noProof/>
          <w:color w:val="4C4747"/>
        </w:rPr>
        <w:t>Durante el año 2025, se completó exitosamente el remozamiento y equipamiento del Centro de Atención Primaria "Mujeres en Acción Madre Cándida", un proyecto ejecutado en colaboración estratégica con el Alto Comisionado de las Naciones Unidas para los Refugiados (ACNUR). Esta intervención de RD$1.6 millones de pesos, incluyó la ampliación de consultorios y la dotación integral de equipos médicos e informáticos. El objetivo primordial fue fortalecer la capacidad de atención y garantizar un servicio médico integral y de calidad para miles de personas en situación de vulnerabilidad residentes en el barrio Las Enfermeras (La Isla) de Santo Domingo Este.</w:t>
      </w:r>
    </w:p>
    <w:p w14:paraId="0EFD2ED5" w14:textId="77777777" w:rsidR="0064179B" w:rsidRPr="00247394" w:rsidRDefault="0064179B" w:rsidP="00F819C0">
      <w:pPr>
        <w:pStyle w:val="ListParagraph"/>
        <w:spacing w:after="0" w:line="360" w:lineRule="auto"/>
        <w:jc w:val="both"/>
        <w:rPr>
          <w:rFonts w:eastAsia="Calibri"/>
          <w:noProof/>
          <w:color w:val="4C4747"/>
        </w:rPr>
      </w:pPr>
    </w:p>
    <w:p w14:paraId="567A54B6"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Proyecto estratégico “Cambiando las Normas de Género para la Prevención de la Violencia y las Uniones Tempranas”</w:t>
      </w:r>
    </w:p>
    <w:p w14:paraId="2E109F50"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Financiado por la Agencia de Cooperación Internacional de Corea (KOICA, por sus siglas en inglés) y coordinado por Fondo de las Naciones Unidas para la Infancia (UNICEF, por sus siglas en inglés), se implementa desde 2022 y actualmente cuenta con una extensión aprobada hasta marzo de 2026. En el año 2025, consolidó avances sustantivos en alineación con las prioridades de política pública del Gobierno dominicano, particularmente con la Política de Prevención y Atención a las Uniones Tempranas y el Embarazo en Adolescentes. Entre los </w:t>
      </w:r>
      <w:r w:rsidRPr="00247394">
        <w:rPr>
          <w:rFonts w:eastAsia="Calibri"/>
          <w:noProof/>
          <w:color w:val="4C4747"/>
          <w:lang w:val="es-DO"/>
        </w:rPr>
        <w:lastRenderedPageBreak/>
        <w:t>principales resultados alcanzados destacan: el empoderamiento directo de más de 2,284 adolescentes de 12 a 17 años a través del programa educativo de Clubes de Chicas y la graduación de 2,372 adolescentes; la matriculación de 844 adolescentes en 25 cursos de formación técnico-vocacional; y la participación de 32,974 estudiantes de secundaria en sesiones educativas para la prevención de uniones tempranas.</w:t>
      </w:r>
    </w:p>
    <w:p w14:paraId="1F141F03" w14:textId="77777777" w:rsidR="0064179B" w:rsidRPr="00247394" w:rsidRDefault="0064179B" w:rsidP="00F819C0">
      <w:pPr>
        <w:spacing w:after="0" w:line="360" w:lineRule="auto"/>
        <w:ind w:left="720"/>
        <w:jc w:val="both"/>
        <w:rPr>
          <w:rFonts w:eastAsia="Calibri"/>
          <w:noProof/>
          <w:color w:val="4C4747"/>
          <w:lang w:val="es-DO"/>
        </w:rPr>
      </w:pPr>
    </w:p>
    <w:p w14:paraId="4EBC87B2"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Por otro lado, y bajo la coordinación del Consejo Nacional para la Niñez y la Adolescencia (CONANI), en julio de 2025 se realizó el Seminario Internacional de Buenas Prácticas para la Prevención de Uniones Tempranas y Embarazo Adolescente, un espacio que reunió a más de 200 actores de gobierno, cooperación, sociedad civil, academia, sector privado y voces adolescente. Este encuentro se consolidó como un hito estratégico del proyecto, fortaleciendo la implementación de la Política Nacional de Prevención de Uniones Tempranas (PPA) mediante la gestión de conocimiento, el intercambio técnico con referentes regionales y la ampliación de alianzas clave.</w:t>
      </w:r>
    </w:p>
    <w:p w14:paraId="48926AF0" w14:textId="77777777" w:rsidR="0064179B" w:rsidRPr="00247394" w:rsidRDefault="0064179B" w:rsidP="00F819C0">
      <w:pPr>
        <w:spacing w:after="0" w:line="360" w:lineRule="auto"/>
        <w:ind w:left="720"/>
        <w:jc w:val="both"/>
        <w:rPr>
          <w:rFonts w:eastAsia="Calibri"/>
          <w:noProof/>
          <w:color w:val="4C4747"/>
          <w:lang w:val="es-DO"/>
        </w:rPr>
      </w:pPr>
    </w:p>
    <w:p w14:paraId="31AE8404" w14:textId="341D5640"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El programa de Apoyo Presupuestario: Coordinación en la Prevención de la Violencia de Género en línea con los Objetivos de Desarrollo Sostenible (ODS) avanzó durante este periodo hacia la fase final de ejecución. A los fines, se inauguró la Escuela de Igualdad Magaly Pineda, con el propósito de diseñar políticas públicas de igualdad, para la transversalización del enfoque de género, y garantizar construir relaciones equitativas entre mujeres y hombres. Al cierre del programa, la Escuela ha formado a 16,452 personas, 11,430 mujeres y 5,022 hombres, mediante la ampliación de la oferta formativa del Ministerio de la Mujer. Asimismo, se </w:t>
      </w:r>
      <w:r w:rsidRPr="00247394">
        <w:rPr>
          <w:rFonts w:eastAsia="Calibri"/>
          <w:noProof/>
          <w:color w:val="4C4747"/>
          <w:lang w:val="es-DO"/>
        </w:rPr>
        <w:lastRenderedPageBreak/>
        <w:t>inició el Proyecto “Nuevas narrativas para la prevención de la violencia de género”, el cual desarrolló una campaña de sensibilización a personas y hogares, la creación de redes locales de apoyo contra la violencia, y la implementación de campañas de concienciación como "Vivir sin Violencia es Posible"</w:t>
      </w:r>
      <w:r w:rsidR="0064179B">
        <w:rPr>
          <w:rFonts w:eastAsia="Calibri"/>
          <w:noProof/>
          <w:color w:val="4C4747"/>
          <w:lang w:val="es-DO"/>
        </w:rPr>
        <w:t>.</w:t>
      </w:r>
    </w:p>
    <w:p w14:paraId="0233B1AC" w14:textId="77777777" w:rsidR="0064179B" w:rsidRPr="00247394" w:rsidRDefault="0064179B" w:rsidP="00F819C0">
      <w:pPr>
        <w:spacing w:after="0" w:line="360" w:lineRule="auto"/>
        <w:ind w:left="720"/>
        <w:jc w:val="both"/>
        <w:rPr>
          <w:rFonts w:eastAsia="Calibri"/>
          <w:noProof/>
          <w:color w:val="4C4747"/>
          <w:lang w:val="es-DO"/>
        </w:rPr>
      </w:pPr>
    </w:p>
    <w:p w14:paraId="0F0B6AD1"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Además, el pasado mes de octubre, se realizó el evento de cierre del programa, el cual cumplió al 100% con las metas establecidas, habiendo recibido los tres desembolsos previstos por parte de la Unión Europea.</w:t>
      </w:r>
    </w:p>
    <w:p w14:paraId="22111549" w14:textId="77777777" w:rsidR="0064179B" w:rsidRPr="00247394" w:rsidRDefault="0064179B" w:rsidP="00F819C0">
      <w:pPr>
        <w:spacing w:after="0" w:line="360" w:lineRule="auto"/>
        <w:ind w:left="720"/>
        <w:jc w:val="both"/>
        <w:rPr>
          <w:rFonts w:eastAsia="Calibri"/>
          <w:noProof/>
          <w:color w:val="4C4747"/>
          <w:lang w:val="es-DO"/>
        </w:rPr>
      </w:pPr>
    </w:p>
    <w:p w14:paraId="440D93D7" w14:textId="77777777" w:rsidR="00F819C0" w:rsidRPr="007C0683" w:rsidRDefault="00F819C0" w:rsidP="00F819C0">
      <w:pPr>
        <w:spacing w:after="0" w:line="360" w:lineRule="auto"/>
        <w:ind w:left="720"/>
        <w:jc w:val="both"/>
        <w:rPr>
          <w:rFonts w:eastAsia="Calibri"/>
          <w:b/>
          <w:bCs/>
          <w:noProof/>
          <w:color w:val="4C4747"/>
          <w:lang w:val="es-DO"/>
        </w:rPr>
      </w:pPr>
      <w:r w:rsidRPr="007C0683">
        <w:rPr>
          <w:rFonts w:eastAsia="Calibri"/>
          <w:b/>
          <w:bCs/>
          <w:noProof/>
          <w:color w:val="4C4747"/>
          <w:lang w:val="es-DO"/>
        </w:rPr>
        <w:t>Programa de Apoyo Presupuestario: Transición Hacia una Economía más Verde e Inclusiva" (PROTEVI):</w:t>
      </w:r>
    </w:p>
    <w:p w14:paraId="57ED769F"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Durante el presente año, se celebró la reunión del Comité Interinstitucional para el Seguimiento a los Apoyos Presupuestarios de la Cooperación de la Unión Europea, en la cual se presentaron los informes de cumplimiento de los indicadores establecidos en las condiciones generales y específicas, y se validó la solicitud de desembolso programado para el año 2025. Asimismo, se propició un espacio de diálogo político sobre el avance de las políticas públicas en el país. Además, se realizó la reunión de Comité Directivo de programa con los actores involucrados, a fin evaluar el avance cumplimiento de las metas de los indicadores consignadas en el Convenio de Financiación como requerimiento para recibir desembolso programado para cada institución beneficiaria durante el primer semestre del 2025. Se realizó el lanzamiento de la iniciativa La Vuelta al Lago, como un modelo de política pública que conecta la productividad con la sostenibilidad, asegurando que las comunidades fronterizas reciban un </w:t>
      </w:r>
      <w:r w:rsidRPr="00247394">
        <w:rPr>
          <w:rFonts w:eastAsia="Calibri"/>
          <w:noProof/>
          <w:color w:val="4C4747"/>
          <w:lang w:val="es-DO"/>
        </w:rPr>
        <w:lastRenderedPageBreak/>
        <w:t>impulso directo y duradero en su desarrollo económico y social. La iniciativa beneficiará a 50 mipymes locales, promoviendo la articulación económica y abriendo nuevas oportunidades de negocio en ocho municipios: Neiba, Los Ríos y Villa Jaragua en Bahoruco; así como Postrer Río, La Descubierta, Jimaní, Duvergé y Mella en Independencia.</w:t>
      </w:r>
    </w:p>
    <w:p w14:paraId="7CB792DD" w14:textId="77777777" w:rsidR="0064179B" w:rsidRPr="00247394" w:rsidRDefault="0064179B" w:rsidP="00F819C0">
      <w:pPr>
        <w:spacing w:after="0" w:line="360" w:lineRule="auto"/>
        <w:ind w:left="720"/>
        <w:jc w:val="both"/>
        <w:rPr>
          <w:rFonts w:eastAsia="Calibri"/>
          <w:noProof/>
          <w:color w:val="4C4747"/>
          <w:lang w:val="es-DO"/>
        </w:rPr>
      </w:pPr>
    </w:p>
    <w:p w14:paraId="4BEC9198"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Por último, se remitió el dossier de solicitud de desembolso a la Delegación de la Unión </w:t>
      </w:r>
      <w:bookmarkStart w:id="90" w:name="_Int_IMNaG6sJ"/>
      <w:r w:rsidRPr="00247394">
        <w:rPr>
          <w:rFonts w:eastAsia="Calibri"/>
          <w:noProof/>
          <w:color w:val="4C4747"/>
          <w:lang w:val="es-DO"/>
        </w:rPr>
        <w:t>Europea</w:t>
      </w:r>
      <w:bookmarkEnd w:id="90"/>
      <w:r w:rsidRPr="00247394">
        <w:rPr>
          <w:rFonts w:eastAsia="Calibri"/>
          <w:noProof/>
          <w:color w:val="4C4747"/>
          <w:lang w:val="es-DO"/>
        </w:rPr>
        <w:t>, correspondiente al año 2025, conforme a lo establecido en calendario de desembolso indicativo, que tiene previsto realizar el segundo desembolso del tramo fijo por un monto de €500,000 y el primer tramo variable por un monto de €2,000,000.00 (Dos millones de euros), ascendiendo a un monto total de €2,500,000.00, 00 (Dos millones quinientos mil euros).</w:t>
      </w:r>
    </w:p>
    <w:p w14:paraId="3517AB89" w14:textId="77777777" w:rsidR="0064179B" w:rsidRPr="00247394" w:rsidRDefault="0064179B" w:rsidP="00F819C0">
      <w:pPr>
        <w:spacing w:after="0" w:line="360" w:lineRule="auto"/>
        <w:ind w:left="720"/>
        <w:jc w:val="both"/>
        <w:rPr>
          <w:rFonts w:eastAsia="Calibri"/>
          <w:noProof/>
          <w:color w:val="4C4747"/>
          <w:lang w:val="es-DO"/>
        </w:rPr>
      </w:pPr>
    </w:p>
    <w:p w14:paraId="4D9A5A45" w14:textId="77777777" w:rsidR="00F819C0" w:rsidRPr="007C0683" w:rsidRDefault="00F819C0" w:rsidP="00F819C0">
      <w:pPr>
        <w:pStyle w:val="ListParagraph"/>
        <w:numPr>
          <w:ilvl w:val="0"/>
          <w:numId w:val="63"/>
        </w:numPr>
        <w:spacing w:after="0" w:line="360" w:lineRule="auto"/>
        <w:rPr>
          <w:rFonts w:eastAsia="Calibri"/>
          <w:b/>
          <w:bCs/>
          <w:noProof/>
          <w:color w:val="4C4747"/>
        </w:rPr>
      </w:pPr>
      <w:r w:rsidRPr="007C0683">
        <w:rPr>
          <w:rFonts w:eastAsia="Calibri"/>
          <w:b/>
          <w:bCs/>
          <w:noProof/>
          <w:color w:val="4C4747"/>
        </w:rPr>
        <w:t>Seguimiento a la Cooperación Regional</w:t>
      </w:r>
    </w:p>
    <w:p w14:paraId="3585F20B"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Durante el año 2025, la Dirección de Cooperación Regional consolidó avances significativos en materia de gestión, articulación y movilización de la cooperación internacional. Este período estuvo marcado por un fortalecimiento institucional sostenido, una mayor presencia de República Dominicana en plataformas regionales, y una gestión más estratégica orientada a resultados, impacto y alineación con las prioridades nacionales de desarrollo.</w:t>
      </w:r>
    </w:p>
    <w:p w14:paraId="0ED5B98A" w14:textId="77777777" w:rsidR="0064179B" w:rsidRPr="00247394" w:rsidRDefault="0064179B" w:rsidP="00F819C0">
      <w:pPr>
        <w:spacing w:after="0" w:line="360" w:lineRule="auto"/>
        <w:ind w:left="720"/>
        <w:jc w:val="both"/>
        <w:rPr>
          <w:rFonts w:eastAsia="Calibri"/>
          <w:noProof/>
          <w:color w:val="4C4747"/>
          <w:lang w:val="es-DO"/>
        </w:rPr>
      </w:pPr>
    </w:p>
    <w:p w14:paraId="6EA355D4" w14:textId="77777777" w:rsidR="00F819C0" w:rsidRPr="007C0683" w:rsidRDefault="00F819C0" w:rsidP="00F819C0">
      <w:pPr>
        <w:pStyle w:val="ListParagraph"/>
        <w:numPr>
          <w:ilvl w:val="0"/>
          <w:numId w:val="63"/>
        </w:numPr>
        <w:spacing w:after="0" w:line="360" w:lineRule="auto"/>
        <w:jc w:val="both"/>
        <w:rPr>
          <w:rFonts w:eastAsia="Calibri"/>
          <w:b/>
          <w:bCs/>
          <w:noProof/>
          <w:color w:val="4C4747"/>
        </w:rPr>
      </w:pPr>
      <w:r w:rsidRPr="007C0683">
        <w:rPr>
          <w:rFonts w:eastAsia="Calibri"/>
          <w:b/>
          <w:bCs/>
          <w:noProof/>
          <w:color w:val="4C4747"/>
        </w:rPr>
        <w:t>Gestión y movilización de cooperación internacional</w:t>
      </w:r>
    </w:p>
    <w:p w14:paraId="0B208AF3"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A lo largo de 2025, se fortaleció la gestión integral del portafolio de cooperación, mediante el seguimiento técnico y operativo de operaciones   con organismos como el Banco Interamericano de Desarrollo (BID), Banco Centroamericano </w:t>
      </w:r>
      <w:r w:rsidRPr="00247394">
        <w:rPr>
          <w:rFonts w:eastAsia="Calibri"/>
          <w:noProof/>
          <w:color w:val="4C4747"/>
          <w:lang w:val="es-DO"/>
        </w:rPr>
        <w:lastRenderedPageBreak/>
        <w:t>de Integración Económica (BCIE), Banco de Desarrollo de América Latina (CAF), Unión Europea y el Banco de Desarrollo del Caribe, impactando sectores como infraestructura, salud gestión ambiental, innovación y política social. Este trabajo permitió consolidar procesos de toma de decisiones, mejorar la articulación interinstitucional y garantizar la coherencia entre las prioridades nacionales y las fuentes de financiamiento disponibles.</w:t>
      </w:r>
    </w:p>
    <w:p w14:paraId="7A7F3329"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Gracias a este esfuerzo, se gestionaron recursos superiores a los veinte millones de dólares ejecutados en más de veinte cooperaciones técnicas del BID y más de treinta millones de euros en financiamiento no reembolsable de la Unión Europea. La Dirección de Cooperación Regional, acompañó a veintisiete instituciones nacionales en la implementación de proyectos, fortaleciendo capacidades y garantizando el cumplimiento de los compromisos asociados a cada convenio.</w:t>
      </w:r>
    </w:p>
    <w:p w14:paraId="63103931" w14:textId="77777777" w:rsidR="0064179B" w:rsidRPr="00247394" w:rsidRDefault="0064179B" w:rsidP="00F819C0">
      <w:pPr>
        <w:spacing w:after="0" w:line="360" w:lineRule="auto"/>
        <w:ind w:left="720"/>
        <w:jc w:val="both"/>
        <w:rPr>
          <w:rFonts w:eastAsia="Calibri"/>
          <w:noProof/>
          <w:color w:val="4C4747"/>
          <w:lang w:val="es-DO"/>
        </w:rPr>
      </w:pPr>
    </w:p>
    <w:p w14:paraId="7CDAB682" w14:textId="77777777" w:rsidR="00F819C0" w:rsidRPr="00236ED6" w:rsidRDefault="00F819C0" w:rsidP="00F819C0">
      <w:pPr>
        <w:pStyle w:val="ListParagraph"/>
        <w:numPr>
          <w:ilvl w:val="0"/>
          <w:numId w:val="63"/>
        </w:numPr>
        <w:spacing w:after="0" w:line="360" w:lineRule="auto"/>
        <w:jc w:val="both"/>
        <w:rPr>
          <w:rFonts w:eastAsia="Calibri"/>
          <w:noProof/>
          <w:color w:val="4C4747"/>
        </w:rPr>
      </w:pPr>
      <w:r w:rsidRPr="00236ED6">
        <w:rPr>
          <w:rFonts w:eastAsia="Calibri"/>
          <w:b/>
          <w:bCs/>
          <w:noProof/>
          <w:color w:val="4C4747"/>
        </w:rPr>
        <w:t>Avances en proyectos estratégicos de infraestructura y movilidad</w:t>
      </w:r>
    </w:p>
    <w:p w14:paraId="6D989AED" w14:textId="77777777" w:rsidR="00F819C0" w:rsidRPr="00236ED6" w:rsidRDefault="00F819C0" w:rsidP="00F819C0">
      <w:pPr>
        <w:pStyle w:val="ListParagraph"/>
        <w:spacing w:after="0" w:line="360" w:lineRule="auto"/>
        <w:jc w:val="both"/>
        <w:rPr>
          <w:rFonts w:eastAsia="Calibri"/>
          <w:noProof/>
          <w:color w:val="4C4747"/>
        </w:rPr>
      </w:pPr>
      <w:r w:rsidRPr="00236ED6">
        <w:rPr>
          <w:rFonts w:eastAsia="Calibri"/>
          <w:noProof/>
          <w:color w:val="4C4747"/>
        </w:rPr>
        <w:t>La Dirección de Cooperación Regional apoyó de manera activa el impulso de proyectos clave para el desarrollo económico y territorial del país, dentro de los cuales se pueden destacar:</w:t>
      </w:r>
    </w:p>
    <w:p w14:paraId="127C6020" w14:textId="77777777" w:rsidR="00F819C0" w:rsidRPr="007C0683" w:rsidRDefault="00F819C0" w:rsidP="00F819C0">
      <w:pPr>
        <w:pStyle w:val="ListParagraph"/>
        <w:numPr>
          <w:ilvl w:val="0"/>
          <w:numId w:val="63"/>
        </w:numPr>
        <w:spacing w:after="0" w:line="360" w:lineRule="auto"/>
        <w:jc w:val="both"/>
        <w:rPr>
          <w:rFonts w:eastAsia="Calibri"/>
          <w:noProof/>
          <w:color w:val="4C4747"/>
        </w:rPr>
      </w:pPr>
      <w:r w:rsidRPr="007C0683">
        <w:rPr>
          <w:rFonts w:eastAsia="Calibri"/>
          <w:noProof/>
          <w:color w:val="4C4747"/>
        </w:rPr>
        <w:t>El caso de la Presa de Monte grande, financiada por el BCIE, se impulsaron avances significativos mediante la actualización de los estudios técnicos de las obras complementarias, la revisión y validación de entregables especializados y la gestión de pagos que superan los US$3 millones, lo que ha permitido asegurar el cumplimiento del cronograma técnico y la continuidad de un proyecto estratégico para la seguridad hídrica y el desarrollo productivo de la región suroeste.</w:t>
      </w:r>
    </w:p>
    <w:p w14:paraId="48806000" w14:textId="77777777" w:rsidR="00F819C0" w:rsidRPr="007C0683" w:rsidRDefault="00F819C0" w:rsidP="00F819C0">
      <w:pPr>
        <w:pStyle w:val="ListParagraph"/>
        <w:numPr>
          <w:ilvl w:val="0"/>
          <w:numId w:val="63"/>
        </w:numPr>
        <w:spacing w:after="0" w:line="360" w:lineRule="auto"/>
        <w:jc w:val="both"/>
        <w:rPr>
          <w:rFonts w:eastAsia="Calibri"/>
          <w:noProof/>
          <w:color w:val="4C4747"/>
        </w:rPr>
      </w:pPr>
      <w:r w:rsidRPr="007C0683">
        <w:rPr>
          <w:rFonts w:eastAsia="Calibri"/>
          <w:noProof/>
          <w:color w:val="4C4747"/>
        </w:rPr>
        <w:lastRenderedPageBreak/>
        <w:t>Asimismo, el proyecto PLANACOVIAL evidenció un progreso significativo, al lograrse la validación técnica del diseño preliminar por parte del MOPC y el MEPyD. Dichos avances permitieron gestionar la segmentación de entregables bajo una adenda y solicitar el pago correspondiente al 55% del valor total del contrato, fortaleciendo así la planificación y el desarrollo de infraestructura vial estratégica.</w:t>
      </w:r>
    </w:p>
    <w:p w14:paraId="7FEFB890" w14:textId="77777777" w:rsidR="00F819C0" w:rsidRPr="007C0683" w:rsidRDefault="00F819C0" w:rsidP="00F819C0">
      <w:pPr>
        <w:pStyle w:val="ListParagraph"/>
        <w:numPr>
          <w:ilvl w:val="0"/>
          <w:numId w:val="63"/>
        </w:numPr>
        <w:spacing w:after="0" w:line="360" w:lineRule="auto"/>
        <w:jc w:val="both"/>
        <w:rPr>
          <w:rFonts w:eastAsia="Calibri"/>
          <w:noProof/>
          <w:color w:val="4C4747"/>
        </w:rPr>
      </w:pPr>
      <w:r w:rsidRPr="007C0683">
        <w:rPr>
          <w:rFonts w:eastAsia="Calibri"/>
          <w:noProof/>
          <w:color w:val="4C4747"/>
        </w:rPr>
        <w:t>El “Sistema de Información Integrado de Seguridad Vial y Revisión del Plan Estratégico Nacional de Seguridad Vial de Motociclistas 2019 – 2022, acciones de impacto”. Tiene el objetivo de diseñar y elaborar un sistema único Nacional de. Registros de accidentes y siniestros de tránsito para la República Dominicana, así como identificar y priorizar las medidas de alto impacto para construir una hoja de ruta conducente a lograr reducciones en las fatalidades y lesiones graves en las provincias con mayores índices de siniestralidad, donde el Instituto Nacional de Tránsito y Transporte Terrestre (INTRANT), funge como organismo ejecutor, con un monto destinado de US$162,500. </w:t>
      </w:r>
    </w:p>
    <w:p w14:paraId="2A8860FA" w14:textId="77777777" w:rsidR="00F819C0" w:rsidRPr="007C0683" w:rsidRDefault="00F819C0" w:rsidP="00F819C0">
      <w:pPr>
        <w:pStyle w:val="ListParagraph"/>
        <w:numPr>
          <w:ilvl w:val="0"/>
          <w:numId w:val="63"/>
        </w:numPr>
        <w:spacing w:after="0" w:line="360" w:lineRule="auto"/>
        <w:jc w:val="both"/>
        <w:textAlignment w:val="baseline"/>
        <w:rPr>
          <w:rFonts w:eastAsia="Calibri"/>
          <w:noProof/>
          <w:color w:val="4C4747"/>
        </w:rPr>
      </w:pPr>
      <w:r w:rsidRPr="007C0683">
        <w:rPr>
          <w:rFonts w:eastAsia="Calibri"/>
          <w:noProof/>
          <w:color w:val="4C4747"/>
        </w:rPr>
        <w:t>Tecnologías Emergentes para la Gestión de Infraestructuras de Puentes en la República Dominicana. Con esta ejecución, se espera contribuir a la accesibilidad, seguridad y disminución en el tiempo de viaje, mejorando la infraestructura vial. Mediante el pilotaje y prueba de tecnologías emergentes conectadas para el control del peso de vehículos y la gestión de infraestructuras en puentes en la República Dominicana. Esta iniciativa complementaría aspectos tecnológicos del programa “Resiliencia climática de la infraestructura de puentes” (DR-L1166). </w:t>
      </w:r>
    </w:p>
    <w:p w14:paraId="4CFD299E"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w:t>
      </w:r>
    </w:p>
    <w:p w14:paraId="2732613A"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lastRenderedPageBreak/>
        <w:t>El monto de esta iniciativa es de cuatrocientos mil dólares estadounidenses (US$400,000.00), para los cuales MEPyD ha otorgado el visto bueno para el BID sea ejecutor de los mismo, en un periodo estipulado de 24 meses. </w:t>
      </w:r>
    </w:p>
    <w:p w14:paraId="52C8A4D8" w14:textId="77777777" w:rsidR="00F819C0" w:rsidRPr="00247394" w:rsidRDefault="00F819C0" w:rsidP="00F819C0">
      <w:pPr>
        <w:spacing w:after="0" w:line="360" w:lineRule="auto"/>
        <w:ind w:left="720"/>
        <w:jc w:val="both"/>
        <w:rPr>
          <w:rFonts w:eastAsia="Calibri"/>
          <w:noProof/>
          <w:color w:val="4C4747"/>
          <w:lang w:val="es-DO"/>
        </w:rPr>
      </w:pPr>
    </w:p>
    <w:p w14:paraId="7668C3D6" w14:textId="77777777" w:rsidR="00F819C0" w:rsidRPr="007C0683" w:rsidRDefault="00F819C0" w:rsidP="00F819C0">
      <w:pPr>
        <w:pStyle w:val="ListParagraph"/>
        <w:numPr>
          <w:ilvl w:val="0"/>
          <w:numId w:val="76"/>
        </w:numPr>
        <w:tabs>
          <w:tab w:val="left" w:pos="360"/>
        </w:tabs>
        <w:spacing w:after="0" w:line="360" w:lineRule="auto"/>
        <w:jc w:val="both"/>
        <w:rPr>
          <w:rFonts w:eastAsia="Calibri"/>
          <w:b/>
          <w:bCs/>
          <w:noProof/>
          <w:color w:val="4C4747"/>
        </w:rPr>
      </w:pPr>
      <w:r w:rsidRPr="007C0683">
        <w:rPr>
          <w:rFonts w:eastAsia="Calibri"/>
          <w:b/>
          <w:bCs/>
          <w:noProof/>
          <w:color w:val="4C4747"/>
        </w:rPr>
        <w:t>Transformación urbana de la Ciudad Colonial de Santo Domingo</w:t>
      </w:r>
    </w:p>
    <w:p w14:paraId="2C2DF2FD"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El Programa Integral de Desarrollo Turístico y Urbano de la Ciudad Colonial, ejecutado con financiamiento del BID, avanzó ampliamente en su componente social y de movilidad sostenible. Se completó el diagnóstico estructural y social de 140 viviendas, priorizando 64 para intervención directa. Estas intervenciones iniciaron en julio de 2025 y su culminación está prevista para septiembre de 2026.</w:t>
      </w:r>
    </w:p>
    <w:p w14:paraId="2A476A1A"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De forma complementaria, se adquirieron cinco autobuses eléctricos y cuatro cargadores, que fortalecerán la movilidad en el casco histórico, posicionando a la Ciudad Colonial como un modelo de gestión turística y urbana sostenible. </w:t>
      </w:r>
    </w:p>
    <w:p w14:paraId="10BE3D64"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6D45E5EA"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Consolidación de iniciativas de salud pública y gestión del riesgo</w:t>
      </w:r>
    </w:p>
    <w:p w14:paraId="2D9231E1"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El país logró avances relevantes en materia de salud pública y resiliencia climática a través de iniciativas gestionadas con el BID y el PNUD. La Iniciativa Regional para la Eliminación de la Malaria (IREM) obtuvo una ampliación de veinte meses y la movilización de 1.05 millones de dólares adicionales. Esta extensión permitirá completar verificaciones de metas y fortalecer acciones de vigilancia, diagnóstico oportuno y control epidemiológico en zonas priorizadas.</w:t>
      </w:r>
    </w:p>
    <w:p w14:paraId="5C903F8E"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Adicionalmente, el proyecto financiado por el Fondo Acelerado de Resiliencia de Infraestructura (IRAF) avanzó en </w:t>
      </w:r>
      <w:r w:rsidRPr="00247394">
        <w:rPr>
          <w:rFonts w:eastAsia="Calibri"/>
          <w:noProof/>
          <w:color w:val="4C4747"/>
          <w:lang w:val="es-DO"/>
        </w:rPr>
        <w:lastRenderedPageBreak/>
        <w:t>la evaluación de acueductos clave en República Dominicana y en la elaboración de estándares regionales para mejorar los sistemas de alerta temprana en RD, Cuba y Haití. Estos esfuerzos consolidan un enfoque trinacional para atender emergencias climáticas y fortalecer la resiliencia de infraestructuras críticas.</w:t>
      </w:r>
    </w:p>
    <w:p w14:paraId="24E31AFB"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378ED458"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 xml:space="preserve">Transformación de los sistemas agroalimentarios </w:t>
      </w:r>
    </w:p>
    <w:p w14:paraId="7D75008B"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El país avanza en la transformación de los sistemas agroalimentarios mediante un proyecto ejecutado por el Ministerio de Hacienda y Economía, con apoyo de cooperación técnica del CAF por USD 120,000. Esta iniciativa busca fortalecer la seguridad alimentaria, impulsar la integración de pequeños productores en cadenas de valor y ampliar su acceso a mercados en la Región Enriquillo.</w:t>
      </w:r>
    </w:p>
    <w:p w14:paraId="0CA2C6C4"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5BB000D4"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En septiembre se inició el proceso para extender el plazo del convenio hasta el 15 de diciembre de 2025, asegurando la culminación de los estudios técnicos previstos. </w:t>
      </w:r>
    </w:p>
    <w:p w14:paraId="0A1CA4A1"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Así mismo, el Ministerio aprobó los primeros entregables de la consultora IDEA Food Safety Innovation, que incluyen:</w:t>
      </w:r>
    </w:p>
    <w:p w14:paraId="07E45F47"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5F27CF67" w14:textId="77777777" w:rsidR="00F819C0" w:rsidRPr="007C0683" w:rsidRDefault="00F819C0" w:rsidP="00F819C0">
      <w:pPr>
        <w:spacing w:after="0" w:line="360" w:lineRule="auto"/>
        <w:ind w:left="720"/>
        <w:jc w:val="both"/>
        <w:textAlignment w:val="baseline"/>
        <w:rPr>
          <w:rFonts w:eastAsia="Calibri"/>
          <w:noProof/>
          <w:color w:val="4C4747"/>
          <w:lang w:val="es-DO"/>
        </w:rPr>
      </w:pPr>
      <w:r w:rsidRPr="007C0683">
        <w:rPr>
          <w:rFonts w:eastAsia="Calibri"/>
          <w:noProof/>
          <w:color w:val="4C4747"/>
          <w:lang w:val="es-DO"/>
        </w:rPr>
        <w:t>Informe 1: Análisis de las cadenas de valor identificadas, sus mercados meta y políticas públicas para la vinculación de pequeños productores.</w:t>
      </w:r>
    </w:p>
    <w:p w14:paraId="154C8D7E" w14:textId="77777777" w:rsidR="00F819C0" w:rsidRPr="007B6B04" w:rsidRDefault="00F819C0" w:rsidP="00F819C0">
      <w:pPr>
        <w:spacing w:after="0" w:line="360" w:lineRule="auto"/>
        <w:ind w:left="720"/>
        <w:jc w:val="both"/>
        <w:textAlignment w:val="baseline"/>
        <w:rPr>
          <w:rFonts w:eastAsia="Calibri"/>
          <w:noProof/>
          <w:color w:val="4C4747"/>
          <w:lang w:val="es-DO"/>
        </w:rPr>
      </w:pPr>
      <w:r w:rsidRPr="007B6B04">
        <w:rPr>
          <w:rFonts w:eastAsia="Calibri"/>
          <w:noProof/>
          <w:color w:val="4C4747"/>
          <w:lang w:val="es-DO"/>
        </w:rPr>
        <w:t>Informe 2: Diseño de ingeniería básica de la infraestructura requerida.</w:t>
      </w:r>
    </w:p>
    <w:p w14:paraId="34DCE3E8"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191FF98D"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Estos avances consolidan la base técnica para la transformación agroalimentaria y la generación de oportunidades económicas en zonas estratégicas del país.</w:t>
      </w:r>
    </w:p>
    <w:p w14:paraId="1785CD74"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lastRenderedPageBreak/>
        <w:t>Fortalecimiento de la cooperación iberoamericana y regional</w:t>
      </w:r>
    </w:p>
    <w:p w14:paraId="032792AB"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En 2025, República Dominicana incrementó su liderazgo y participación en los Programas, Iniciativas y Proyectos Adscritos de la Cooperación Iberoamericana (PIPAs), alcanzando un total de dieciséis programas activos en ámbitos como conocimiento, cultura, cohesión social y cooperación Sur-Sur. Este fortalecimiento institucional se reflejó en la coordinación efectiva con los países miembros, la celebración en Santo Domingo de reuniones del Consejo Intergubernamental y el acompañamiento técnico a iniciativas estratégicas.</w:t>
      </w:r>
    </w:p>
    <w:p w14:paraId="0858DEB7" w14:textId="77777777" w:rsidR="0064179B" w:rsidRPr="00247394" w:rsidRDefault="0064179B" w:rsidP="00F819C0">
      <w:pPr>
        <w:spacing w:after="0" w:line="360" w:lineRule="auto"/>
        <w:ind w:left="720"/>
        <w:jc w:val="both"/>
        <w:textAlignment w:val="baseline"/>
        <w:rPr>
          <w:rFonts w:eastAsia="Calibri"/>
          <w:noProof/>
          <w:color w:val="4C4747"/>
          <w:lang w:val="es-DO"/>
        </w:rPr>
      </w:pPr>
    </w:p>
    <w:p w14:paraId="20324E17"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Uno de los hitos más relevantes fue la construcción del Plan de Acción Nacional de Educación para el Desarrollo Sostenible, que contó con visitas técnicas de Portugal y España, así como la conformación de un grupo de trabajo multisectorial nacional integrado por ocho instituciones clave, incluyendo representantes de instituciones públicas, privadas y ONGs.</w:t>
      </w:r>
    </w:p>
    <w:p w14:paraId="44EA8307"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73B176A3"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Para América Latina y el Caribe, fueron ejecutadas importantes acciones dentro de las cuales se puede destacar el “Apoyo a los Estados del CARIFORUM en el mejoramiento de la aplicación de sus compromisos en materia del Acuerdo de Asociación Económica (EPA) para la mejor obtención de los beneficios”. El referido programa busca contribuir a la reducción de la pobreza y al desarrollo social y sostenible de la región del Caribe mediante el apoyo a actividades que abordan las vulnerabilidades y condiciones sociales precarias, promoviendo los principales objetivos de desarrollo social y económico de la región con la participación de la sociedad civil </w:t>
      </w:r>
      <w:r w:rsidRPr="00247394">
        <w:rPr>
          <w:rFonts w:eastAsia="Calibri"/>
          <w:noProof/>
          <w:color w:val="4C4747"/>
          <w:lang w:val="es-DO"/>
        </w:rPr>
        <w:lastRenderedPageBreak/>
        <w:t>regional en los procesos de desarrollo, integración y cooperación. </w:t>
      </w:r>
    </w:p>
    <w:p w14:paraId="7A2135E9"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671E1EA8"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El convenio de Financiación fue firmado el 30/04/2019 por un monto de 21,480,000 euros (Fondos FED: 21,000,000 euros y de la Oficina de la Propiedad Intelectual de la UE (EUIPO) por EUR 480,000.</w:t>
      </w:r>
    </w:p>
    <w:p w14:paraId="37282F67" w14:textId="77777777" w:rsidR="0064179B" w:rsidRPr="00247394" w:rsidRDefault="0064179B" w:rsidP="00F819C0">
      <w:pPr>
        <w:spacing w:after="0" w:line="360" w:lineRule="auto"/>
        <w:ind w:left="720"/>
        <w:jc w:val="both"/>
        <w:rPr>
          <w:rFonts w:eastAsia="Calibri"/>
          <w:noProof/>
          <w:color w:val="4C4747"/>
          <w:lang w:val="es-DO"/>
        </w:rPr>
      </w:pPr>
    </w:p>
    <w:p w14:paraId="098B0C58"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Las acciones ejecutadas para el desarrollo del “Programa Regional de Apoyo al Sector Privado III”, buscan contribuir al crecimiento económico sostenible e inclusivo y la creación de empleo en la Región del Caribe, La misma cuenta con un monto de 12 millones de euros, de los cuales el importe total de la contribución del presupuesto de la UE son 8.000.000 EUR. Esta acción está cofinanciada por la Agencia de Desarrollo de Exportaciones del Caribe por un importe de 4.000.000 EUR.</w:t>
      </w:r>
    </w:p>
    <w:p w14:paraId="3665425E"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Presentación de la Estrategia de Cooperación de República Dominicana con Latinoamérica y el Caribe. En cumplimiento con el su mandato de coordinar y orientar la agenda de cooperación regional, la Dirección elaboró y presentó la Estrategia de Cooperación de República Dominicana con Latinoamérica y el Caribe, un instrumento que define las prioridades de vinculación del país con los mecanismos regionales, programas iberoamericanos, organismos multilaterales y actores privados.</w:t>
      </w:r>
    </w:p>
    <w:p w14:paraId="65AFE50A" w14:textId="77777777" w:rsidR="00F819C0" w:rsidRPr="00247394" w:rsidRDefault="00F819C0" w:rsidP="00F819C0">
      <w:pPr>
        <w:spacing w:after="0" w:line="360" w:lineRule="auto"/>
        <w:ind w:left="720"/>
        <w:jc w:val="both"/>
        <w:rPr>
          <w:rFonts w:eastAsia="Calibri"/>
          <w:noProof/>
          <w:color w:val="4C4747"/>
          <w:lang w:val="es-DO"/>
        </w:rPr>
      </w:pPr>
    </w:p>
    <w:p w14:paraId="27F2A91F"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Apoyo en la realización de la Conferencia Latinoamericana de Saneamiento (LATINOSAN 2025). </w:t>
      </w:r>
    </w:p>
    <w:p w14:paraId="234EC0BD"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Surge en el marco de la realización de LATINOSAN 2025, en el país, bajo la coordinación del Ministerio de Salud y el Instituto de Nacional de Aguas Potables y Alcantarillados </w:t>
      </w:r>
      <w:r w:rsidRPr="00247394">
        <w:rPr>
          <w:rFonts w:eastAsia="Calibri"/>
          <w:noProof/>
          <w:color w:val="4C4747"/>
          <w:lang w:val="es-DO"/>
        </w:rPr>
        <w:lastRenderedPageBreak/>
        <w:t>(INAPA), con la finalidad de fortalecer el diálogo regional sobre agua y saneamiento. por un monto de hasta doscientos mil dólares estadounidenses (USD 500,000.00), los cuales serán ejecutados por el BID. </w:t>
      </w:r>
    </w:p>
    <w:p w14:paraId="1F44C829" w14:textId="77777777" w:rsidR="00F819C0" w:rsidRPr="00247394" w:rsidRDefault="00F819C0" w:rsidP="00F819C0">
      <w:pPr>
        <w:spacing w:after="0" w:line="360" w:lineRule="auto"/>
        <w:ind w:left="720"/>
        <w:jc w:val="both"/>
        <w:rPr>
          <w:rFonts w:eastAsia="Calibri"/>
          <w:noProof/>
          <w:color w:val="4C4747"/>
          <w:lang w:val="es-DO"/>
        </w:rPr>
      </w:pPr>
    </w:p>
    <w:p w14:paraId="2CBF9AE5"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Impulso a la innovación, transformación digital y competitividad</w:t>
      </w:r>
    </w:p>
    <w:p w14:paraId="4DA62067"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La Dirección también impulsó iniciativas orientadas a la modernización tecnológica y el fortalecimiento del ecosistema digital. Destacó la participación dominicana en el Acelerador Digital UE–LAC, donde la UNPHU y Human AI Tech fueron seleccionados para una alianza internacional enfocada en desarrollar soluciones basadas en inteligencia artificial y tecnologías emergentes. Este logro posiciona al país como un nodo relevante de innovación en la región.</w:t>
      </w:r>
    </w:p>
    <w:p w14:paraId="7935E7C1"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Paralelamente, se promovió el acceso a instrumentos de apoyo financiero como el programa BRIDGE, que facilita a las MIPYMES caribeñas el acceso a subvenciones de hasta cien mil euros para proyectos de digitalización y transición verde, beneficiando al sector privado y promoviendo un entorno empresarial más competitivo y sostenible.</w:t>
      </w:r>
    </w:p>
    <w:p w14:paraId="2408DD3D" w14:textId="77777777" w:rsidR="00F819C0" w:rsidRPr="00247394" w:rsidRDefault="00F819C0" w:rsidP="00F819C0">
      <w:pPr>
        <w:spacing w:after="0" w:line="360" w:lineRule="auto"/>
        <w:ind w:left="720"/>
        <w:jc w:val="both"/>
        <w:rPr>
          <w:rFonts w:eastAsia="Calibri"/>
          <w:noProof/>
          <w:color w:val="4C4747"/>
          <w:lang w:val="es-DO"/>
        </w:rPr>
      </w:pPr>
    </w:p>
    <w:p w14:paraId="031C2609"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Respuesta Ayuda de emergencia</w:t>
      </w:r>
    </w:p>
    <w:p w14:paraId="69EBD593"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Con el respaldo del CAF, en medio de necesidades causadas por condiciones medioambientales, el Servicio Nacional de Salud ejecutó el proyecto de “Apoyo a los hospitales de República Dominicana para hacer frente a la situación generada por el huracán Fiona”, y de esta forma contrarrestar los efectos ocasionados por el evento atmosférico, priorizando los hospitales de mayor vulnerabilidad. </w:t>
      </w:r>
    </w:p>
    <w:p w14:paraId="176D4BFD"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lastRenderedPageBreak/>
        <w:t>Esta iniciativa contó con un monto de doscientos cincuenta mil dólares estadounidenses USD250,000.00.</w:t>
      </w:r>
    </w:p>
    <w:p w14:paraId="5708DC63" w14:textId="77777777" w:rsidR="00F819C0" w:rsidRPr="00247394" w:rsidRDefault="00F819C0" w:rsidP="00F819C0">
      <w:pPr>
        <w:spacing w:after="0" w:line="360" w:lineRule="auto"/>
        <w:ind w:left="720"/>
        <w:jc w:val="both"/>
        <w:rPr>
          <w:rFonts w:eastAsia="Calibri"/>
          <w:noProof/>
          <w:color w:val="4C4747"/>
          <w:lang w:val="es-DO"/>
        </w:rPr>
      </w:pPr>
    </w:p>
    <w:p w14:paraId="09FB93A4"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Cooperación descentralizada y fortalecimiento del desarrollo territorial</w:t>
      </w:r>
    </w:p>
    <w:p w14:paraId="135BAD9B"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Durante el año, se fortaleció la cooperación con gobiernos locales mediante intervenciones orientadas a la planificación, la gestión de proyectos y la capacitación en acceso a fondos internacionales. Se consolidó un modelo de acompañamiento territorial que fomenta la descentralización y permite que los municipios participen activamente en procesos de cooperación Sur-Sur e intermunicipal. Esto se tradujo en una mayor capacidad local para desarrollar políticas públicas, identificar oportunidades de inversión y ejecutar proyectos con impacto directo en las comunidades.</w:t>
      </w:r>
    </w:p>
    <w:p w14:paraId="60FFFFF7" w14:textId="77777777" w:rsidR="00827793" w:rsidRPr="00247394" w:rsidRDefault="00827793" w:rsidP="00F819C0">
      <w:pPr>
        <w:spacing w:after="0" w:line="360" w:lineRule="auto"/>
        <w:ind w:left="720"/>
        <w:jc w:val="both"/>
        <w:textAlignment w:val="baseline"/>
        <w:rPr>
          <w:rFonts w:eastAsia="Calibri"/>
          <w:noProof/>
          <w:color w:val="4C4747"/>
          <w:lang w:val="es-DO"/>
        </w:rPr>
      </w:pPr>
    </w:p>
    <w:p w14:paraId="3F1FE189"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Bajo esa tesitura, el Viceministerio de Cooperación Internacional ha estado implementando desde el mes de mayo la iniciativa de “Fortalecimiento de la Gestión de la Cooperación Internacional Descentralizada en la República Dominicana” con México a través del Mecanismo Estructurado para la Cooperación Sur-Sur del Programa Iberoamericano para el Fortalecimiento de la Cooperación Sur-Sur, Con esta iniciativa se persigue la diversificación de la cooperación internacional, facilitando el diseño de proyectos más pertinentes y adaptados a las realidades locales.</w:t>
      </w:r>
    </w:p>
    <w:p w14:paraId="451C1086"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60B2B0A8"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xml:space="preserve">Esta acción, tiene un enfoque de intercambio de conocimientos en modalidad semipresencial, entre funcionarios de los entes rectores de la cooperación de México y República Dominicana </w:t>
      </w:r>
      <w:r w:rsidRPr="00247394">
        <w:rPr>
          <w:rFonts w:eastAsia="Calibri"/>
          <w:noProof/>
          <w:color w:val="4C4747"/>
          <w:lang w:val="es-DO"/>
        </w:rPr>
        <w:lastRenderedPageBreak/>
        <w:t>e incluye la participación actores locales clave de ambos países.</w:t>
      </w:r>
    </w:p>
    <w:p w14:paraId="422FFDEA"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462CCE87"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Seguridad, justicia y lucha contra el crimen transnacional</w:t>
      </w:r>
    </w:p>
    <w:p w14:paraId="3FFBE6B0"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La participación dominicana en el Programa EL PACCTO 2.0 permitió avanzar en la modernización de políticas y capacidades institucionales en materia de justicia y seguridad. Durante el 2025 se participó en reuniones regionales, diagnósticos especializados y capacitaciones orientadas a fortalecer la protección de la juventud, enfrentar delitos ambientales, mejorar la cooperación judicial y combatir el tráfico ilícito, entre otros desafíos. Este trabajo contribuyó a fortalecer la articulación entre instituciones nacionales y organismos internacionales, garantizando una respuesta más eficaz frente al crimen transnacional organizado.</w:t>
      </w:r>
    </w:p>
    <w:p w14:paraId="3DCDB904" w14:textId="77777777" w:rsidR="00F819C0" w:rsidRPr="00247394" w:rsidRDefault="00F819C0" w:rsidP="00F819C0">
      <w:pPr>
        <w:spacing w:after="0" w:line="360" w:lineRule="auto"/>
        <w:ind w:left="720"/>
        <w:jc w:val="both"/>
        <w:textAlignment w:val="baseline"/>
        <w:rPr>
          <w:rFonts w:eastAsia="Calibri"/>
          <w:noProof/>
          <w:color w:val="4C4747"/>
          <w:lang w:val="es-DO"/>
        </w:rPr>
      </w:pPr>
    </w:p>
    <w:p w14:paraId="183FA872"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Fortalecimiento de la Ciberseguridad Sectorial en América Latina y el Caribe (ALC). </w:t>
      </w:r>
    </w:p>
    <w:p w14:paraId="5D2DD6A8" w14:textId="77777777" w:rsidR="00F819C0" w:rsidRPr="00247394"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El Departamento Nacional de Investigación DNI, mediante el Centro Nacional de Ciberseguridad presentaron la solicitud de No Objeción para participar de esta iniciativa, de la Cooperación Técnica Regional para el fortalecimiento de la ciberseguridad sectorial en América Latina y el Caribe (RG-T4577), en la cual estarán participando Brasil, Colombia, Paraguay, Chile y Perú. El monto de la iniciativa es de un millón quinientos mil dólares estadounidenses (USD 1,500,000.00). </w:t>
      </w:r>
    </w:p>
    <w:p w14:paraId="4290E28B" w14:textId="77777777" w:rsidR="00F819C0" w:rsidRDefault="00F819C0" w:rsidP="00F819C0">
      <w:pPr>
        <w:spacing w:after="0" w:line="360" w:lineRule="auto"/>
        <w:ind w:left="720"/>
        <w:jc w:val="both"/>
        <w:textAlignment w:val="baseline"/>
        <w:rPr>
          <w:rFonts w:eastAsia="Calibri"/>
          <w:noProof/>
          <w:color w:val="4C4747"/>
          <w:lang w:val="es-DO"/>
        </w:rPr>
      </w:pPr>
      <w:r w:rsidRPr="00247394">
        <w:rPr>
          <w:rFonts w:eastAsia="Calibri"/>
          <w:noProof/>
          <w:color w:val="4C4747"/>
          <w:lang w:val="es-DO"/>
        </w:rPr>
        <w:t> </w:t>
      </w:r>
    </w:p>
    <w:p w14:paraId="4B4FBD78" w14:textId="77777777" w:rsidR="00F819C0" w:rsidRPr="007C0683" w:rsidRDefault="00F819C0" w:rsidP="00F819C0">
      <w:pPr>
        <w:pStyle w:val="ListParagraph"/>
        <w:numPr>
          <w:ilvl w:val="0"/>
          <w:numId w:val="76"/>
        </w:numPr>
        <w:spacing w:after="0" w:line="360" w:lineRule="auto"/>
        <w:jc w:val="both"/>
        <w:rPr>
          <w:rFonts w:eastAsia="Calibri"/>
          <w:b/>
          <w:bCs/>
          <w:noProof/>
          <w:color w:val="4C4747"/>
        </w:rPr>
      </w:pPr>
      <w:r w:rsidRPr="007C0683">
        <w:rPr>
          <w:rFonts w:eastAsia="Calibri"/>
          <w:b/>
          <w:bCs/>
          <w:noProof/>
          <w:color w:val="4C4747"/>
        </w:rPr>
        <w:t xml:space="preserve">Fortalecimiento Institucional </w:t>
      </w:r>
    </w:p>
    <w:p w14:paraId="4D248FAA" w14:textId="77777777" w:rsidR="00F819C0" w:rsidRPr="00247394" w:rsidRDefault="00F819C0" w:rsidP="00F819C0">
      <w:pPr>
        <w:pStyle w:val="ListParagraph"/>
        <w:numPr>
          <w:ilvl w:val="0"/>
          <w:numId w:val="68"/>
        </w:numPr>
        <w:spacing w:after="0" w:line="360" w:lineRule="auto"/>
        <w:ind w:left="720"/>
        <w:jc w:val="both"/>
        <w:rPr>
          <w:rFonts w:eastAsia="Calibri"/>
          <w:noProof/>
          <w:color w:val="4C4747"/>
        </w:rPr>
      </w:pPr>
      <w:r w:rsidRPr="00247394">
        <w:rPr>
          <w:rFonts w:eastAsia="Calibri"/>
          <w:noProof/>
          <w:color w:val="4C4747"/>
        </w:rPr>
        <w:t>Proyecto de Ley de Concesiones</w:t>
      </w:r>
    </w:p>
    <w:p w14:paraId="0EA85C41"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lastRenderedPageBreak/>
        <w:t>Otro hito relevante del 2025 fue el avance logrado en la Cooperación Técnica No Reembolsable “Consulta y Elaboración del Proyecto de Ley de Concesiones, Reglamento y Normas Complementarias”, financiada por el Banco Centroamericano de Integración Económica (BCIE) por un monto de US$99,750.00.</w:t>
      </w:r>
    </w:p>
    <w:p w14:paraId="6BE7E7E0"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br/>
        <w:t>El objetivo de esta cooperación es financiar servicios de consultoría especializados para:</w:t>
      </w:r>
    </w:p>
    <w:p w14:paraId="3AB77A68" w14:textId="77777777" w:rsidR="00F819C0" w:rsidRPr="00247394" w:rsidRDefault="00F819C0" w:rsidP="00F819C0">
      <w:pPr>
        <w:pStyle w:val="ListParagraph"/>
        <w:numPr>
          <w:ilvl w:val="0"/>
          <w:numId w:val="69"/>
        </w:numPr>
        <w:spacing w:after="0" w:line="360" w:lineRule="auto"/>
        <w:jc w:val="both"/>
        <w:rPr>
          <w:rFonts w:eastAsia="Calibri"/>
          <w:noProof/>
          <w:color w:val="4C4747"/>
        </w:rPr>
      </w:pPr>
      <w:r w:rsidRPr="00247394">
        <w:rPr>
          <w:rFonts w:eastAsia="Calibri"/>
          <w:noProof/>
          <w:color w:val="4C4747"/>
        </w:rPr>
        <w:t>Realizar un proceso de consulta técnica y jurídica.</w:t>
      </w:r>
    </w:p>
    <w:p w14:paraId="2BDFAF57" w14:textId="77777777" w:rsidR="00F819C0" w:rsidRPr="00247394" w:rsidRDefault="00F819C0" w:rsidP="00F819C0">
      <w:pPr>
        <w:pStyle w:val="ListParagraph"/>
        <w:numPr>
          <w:ilvl w:val="0"/>
          <w:numId w:val="69"/>
        </w:numPr>
        <w:spacing w:after="0" w:line="360" w:lineRule="auto"/>
        <w:jc w:val="both"/>
        <w:rPr>
          <w:rFonts w:eastAsia="Calibri"/>
          <w:noProof/>
          <w:color w:val="4C4747"/>
        </w:rPr>
      </w:pPr>
      <w:r w:rsidRPr="00247394">
        <w:rPr>
          <w:rFonts w:eastAsia="Calibri"/>
          <w:noProof/>
          <w:color w:val="4C4747"/>
        </w:rPr>
        <w:t>Elaborar el Proyecto de Ley de Concesiones.</w:t>
      </w:r>
    </w:p>
    <w:p w14:paraId="3F5661FD" w14:textId="77777777" w:rsidR="00F819C0" w:rsidRPr="00247394" w:rsidRDefault="00F819C0" w:rsidP="00F819C0">
      <w:pPr>
        <w:pStyle w:val="ListParagraph"/>
        <w:numPr>
          <w:ilvl w:val="0"/>
          <w:numId w:val="69"/>
        </w:numPr>
        <w:spacing w:after="0" w:line="360" w:lineRule="auto"/>
        <w:jc w:val="both"/>
        <w:rPr>
          <w:rFonts w:eastAsia="Calibri"/>
          <w:noProof/>
          <w:color w:val="4C4747"/>
        </w:rPr>
      </w:pPr>
      <w:r w:rsidRPr="00247394">
        <w:rPr>
          <w:rFonts w:eastAsia="Calibri"/>
          <w:noProof/>
          <w:color w:val="4C4747"/>
        </w:rPr>
        <w:t>Diseñar su reglamento y normas complementarias.</w:t>
      </w:r>
    </w:p>
    <w:p w14:paraId="6FFA0864" w14:textId="77777777" w:rsidR="00F819C0" w:rsidRPr="00247394" w:rsidRDefault="00F819C0" w:rsidP="00F819C0">
      <w:pPr>
        <w:spacing w:after="0" w:line="360" w:lineRule="auto"/>
        <w:ind w:left="720"/>
        <w:jc w:val="both"/>
        <w:rPr>
          <w:rFonts w:eastAsia="Calibri"/>
          <w:noProof/>
          <w:color w:val="4C4747"/>
          <w:lang w:val="es-DO"/>
        </w:rPr>
      </w:pPr>
    </w:p>
    <w:p w14:paraId="6620CA3B"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Esta iniciativa constituye un paso clave para fortalecer el marco normativo nacional en materia de asociaciones público-privadas y concesiones, promoviendo mayor seguridad jurídica, transparencia y atracción de inversión.</w:t>
      </w:r>
    </w:p>
    <w:p w14:paraId="12FB1479"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Proceso de establecimiento y herramientas para las unidades de cumplimiento de metas priorizadas del Estado. </w:t>
      </w:r>
    </w:p>
    <w:p w14:paraId="4ED6F59D" w14:textId="77777777" w:rsidR="00827793" w:rsidRPr="00247394" w:rsidRDefault="00827793" w:rsidP="00F819C0">
      <w:pPr>
        <w:spacing w:after="0" w:line="360" w:lineRule="auto"/>
        <w:ind w:left="720"/>
        <w:jc w:val="both"/>
        <w:rPr>
          <w:rFonts w:eastAsia="Calibri"/>
          <w:noProof/>
          <w:color w:val="4C4747"/>
          <w:lang w:val="es-DO"/>
        </w:rPr>
      </w:pPr>
    </w:p>
    <w:p w14:paraId="454D3408"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En marzo 2025, fue presentada la No objeción al Banco Interamericano de Desarrollo (BID), para el apoyo a esta iniciativa, a ser ejecutada por el Ministerio de la Presidencia.</w:t>
      </w:r>
    </w:p>
    <w:p w14:paraId="3DD1FB16"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La Cooperación Técnica Regional, busca reforzar la capacidad institucional y el Estado de Derecho de las administraciones públicas de la región para mejorar los resultados y la eficacia del desarrollo; y está dirigida a entidades centrales, como Entidades de Planificación u Oficinas de la Presidencia, responsables de funciones intersectoriales y otros resultados críticos. La referida iniciativa posee un monto asignado para el país de unos US$100,000.00, aportando así a consecución </w:t>
      </w:r>
      <w:r w:rsidRPr="00247394">
        <w:rPr>
          <w:rFonts w:eastAsia="Calibri"/>
          <w:noProof/>
          <w:color w:val="4C4747"/>
          <w:lang w:val="es-DO"/>
        </w:rPr>
        <w:lastRenderedPageBreak/>
        <w:t>del Objetivo General de la END 1.1 Administración pública eficiente, transparente y orientada a resultados. </w:t>
      </w:r>
    </w:p>
    <w:p w14:paraId="3B9A4F36" w14:textId="77777777"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Análisis de macroprocesos e identificación general de brechas de capacidad para la implementación de las nuevas atribuciones de la Cámara de Cuentas en el marco de la Ley 18-24. </w:t>
      </w:r>
    </w:p>
    <w:p w14:paraId="41414C13" w14:textId="77777777" w:rsidR="00827793" w:rsidRPr="00247394" w:rsidRDefault="00827793" w:rsidP="00F819C0">
      <w:pPr>
        <w:spacing w:after="0" w:line="360" w:lineRule="auto"/>
        <w:ind w:left="720"/>
        <w:jc w:val="both"/>
        <w:rPr>
          <w:rFonts w:eastAsia="Calibri"/>
          <w:noProof/>
          <w:color w:val="4C4747"/>
          <w:lang w:val="es-DO"/>
        </w:rPr>
      </w:pPr>
    </w:p>
    <w:p w14:paraId="29DDAAC0"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La promulgación de la Ley No. 18-24 de la Cámara de Cuenta de República Dominicana (CCRD), trajo consigo la necesidad de apoyo en la elaboración de las normativas necesarias para su cumplimiento, en ese sentido, fue presentada la No Objeción al BID para recibir la Cooperación Técnica Regional que permitiera diagnosticar y formular recomendaciones para fortalecer las capacidades de gestión de la CCRD con relación a 5 tipos de auditorías previstas en la Ley. Dicha iniciativa se alinea a la Estrategia nacional de Desarrollo en su Objetivo General 1.1 Administración pública eficiente, transparente y orientada a resultados. </w:t>
      </w:r>
    </w:p>
    <w:p w14:paraId="37EC6350" w14:textId="77777777" w:rsidR="00F819C0" w:rsidRPr="00247394" w:rsidRDefault="00F819C0" w:rsidP="00F819C0">
      <w:pPr>
        <w:spacing w:after="0" w:line="360" w:lineRule="auto"/>
        <w:ind w:left="720"/>
        <w:jc w:val="both"/>
        <w:rPr>
          <w:rFonts w:eastAsia="Calibri"/>
          <w:noProof/>
          <w:color w:val="4C4747"/>
          <w:lang w:val="es-DO"/>
        </w:rPr>
      </w:pPr>
    </w:p>
    <w:p w14:paraId="02AACC8F" w14:textId="77777777" w:rsidR="00F819C0" w:rsidRPr="007C0683" w:rsidRDefault="00F819C0" w:rsidP="00F819C0">
      <w:pPr>
        <w:pStyle w:val="ListParagraph"/>
        <w:numPr>
          <w:ilvl w:val="0"/>
          <w:numId w:val="68"/>
        </w:numPr>
        <w:spacing w:after="0" w:line="360" w:lineRule="auto"/>
        <w:ind w:left="720"/>
        <w:jc w:val="both"/>
        <w:rPr>
          <w:rFonts w:eastAsia="Calibri"/>
          <w:b/>
          <w:bCs/>
          <w:noProof/>
          <w:color w:val="4C4747"/>
        </w:rPr>
      </w:pPr>
      <w:r w:rsidRPr="007C0683">
        <w:rPr>
          <w:rFonts w:eastAsia="Calibri"/>
          <w:b/>
          <w:bCs/>
          <w:noProof/>
          <w:color w:val="4C4747"/>
        </w:rPr>
        <w:t>Mejora de la calidad y eficiencia del gasto social con enfoque en educación. </w:t>
      </w:r>
    </w:p>
    <w:p w14:paraId="6D762AEA"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El tema educativo se encuentra dentro de las prioridades, tanto del Banco Interamericano de Desarrollo como del Gobierno Dominicano, esta iniciativa tiene como objetivo la generación de insumos para mejorar la eficiencia y calidad de la educación en la República Dominicana; mediante: i) la identificación y diseño de políticas y programas viables basados en evidencia para mejorar la calidad y eficiencia en el país, y ii) el apoyo al diálogo y la consulta. </w:t>
      </w:r>
    </w:p>
    <w:p w14:paraId="69595037"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 La institución beneficiaria de la iniciativa es el Ministerio de Educación, el cual realizará los trabajos en coordinación con </w:t>
      </w:r>
      <w:r w:rsidRPr="00247394">
        <w:rPr>
          <w:rFonts w:eastAsia="Calibri"/>
          <w:noProof/>
          <w:color w:val="4C4747"/>
          <w:lang w:val="es-DO"/>
        </w:rPr>
        <w:lastRenderedPageBreak/>
        <w:t>el Banco, responsables de administras los fondos que ascienden al monto de ciento cincuenta mil dólares (US$150,000.00), para un período de 36 meses. </w:t>
      </w:r>
    </w:p>
    <w:p w14:paraId="22672C78" w14:textId="77777777" w:rsidR="00F819C0" w:rsidRDefault="00F819C0" w:rsidP="00F819C0">
      <w:pPr>
        <w:spacing w:after="0" w:line="360" w:lineRule="auto"/>
        <w:ind w:left="720"/>
        <w:jc w:val="both"/>
        <w:rPr>
          <w:rFonts w:eastAsia="Calibri"/>
          <w:noProof/>
          <w:color w:val="4C4747"/>
          <w:lang w:val="es-DO"/>
        </w:rPr>
      </w:pPr>
    </w:p>
    <w:p w14:paraId="6B21ACF1" w14:textId="77777777" w:rsidR="00F819C0" w:rsidRPr="007C0683" w:rsidRDefault="00F819C0" w:rsidP="00F819C0">
      <w:pPr>
        <w:pStyle w:val="ListParagraph"/>
        <w:numPr>
          <w:ilvl w:val="0"/>
          <w:numId w:val="71"/>
        </w:numPr>
        <w:spacing w:after="0" w:line="360" w:lineRule="auto"/>
        <w:rPr>
          <w:rFonts w:eastAsia="Calibri"/>
          <w:b/>
          <w:bCs/>
          <w:noProof/>
          <w:color w:val="4C4747"/>
        </w:rPr>
      </w:pPr>
      <w:r w:rsidRPr="007C0683">
        <w:rPr>
          <w:rFonts w:eastAsia="Calibri"/>
          <w:b/>
          <w:bCs/>
          <w:noProof/>
          <w:color w:val="4C4747"/>
        </w:rPr>
        <w:t>Seguimiento a la Cooperación Bilateral</w:t>
      </w:r>
    </w:p>
    <w:p w14:paraId="05F47FFB" w14:textId="77777777" w:rsidR="00F819C0" w:rsidRPr="007C0683" w:rsidRDefault="00F819C0" w:rsidP="00F819C0">
      <w:pPr>
        <w:pStyle w:val="ListParagraph"/>
        <w:numPr>
          <w:ilvl w:val="0"/>
          <w:numId w:val="71"/>
        </w:numPr>
        <w:spacing w:after="0" w:line="360" w:lineRule="auto"/>
        <w:jc w:val="both"/>
        <w:rPr>
          <w:rFonts w:eastAsia="Calibri"/>
          <w:noProof/>
          <w:color w:val="4C4747"/>
        </w:rPr>
      </w:pPr>
      <w:r w:rsidRPr="007C0683">
        <w:rPr>
          <w:rFonts w:eastAsia="Calibri"/>
          <w:noProof/>
          <w:color w:val="4C4747"/>
        </w:rPr>
        <w:t>Presentación del Plan Nacional de Aprovechamiento Sostenible de los Recursos Hídricos en la República Dominicana, un instrumento estratégico de planificación que define las medidas prioritarias para avanzar hacia una gestión sostenible del agua durante los próximos veinte años. Este plan fue elaborado con el respaldo técnico y financiero de la Agencia Española de Cooperación Internacional para el Desarrollo (AECID) y del Fondo de Cooperación para Agua y Saneamiento (FCAS).</w:t>
      </w:r>
    </w:p>
    <w:p w14:paraId="0FDE7F5A" w14:textId="77777777" w:rsidR="00F819C0" w:rsidRPr="00247394" w:rsidRDefault="00F819C0" w:rsidP="00F819C0">
      <w:pPr>
        <w:spacing w:after="0" w:line="360" w:lineRule="auto"/>
        <w:ind w:left="720"/>
        <w:contextualSpacing/>
        <w:jc w:val="both"/>
        <w:rPr>
          <w:rFonts w:eastAsia="Calibri"/>
          <w:noProof/>
          <w:color w:val="4C4747"/>
          <w:lang w:val="es-DO"/>
        </w:rPr>
      </w:pPr>
    </w:p>
    <w:p w14:paraId="65C857E4" w14:textId="77777777" w:rsidR="00F819C0" w:rsidRPr="007C0683" w:rsidRDefault="00F819C0" w:rsidP="00F819C0">
      <w:pPr>
        <w:pStyle w:val="ListParagraph"/>
        <w:numPr>
          <w:ilvl w:val="0"/>
          <w:numId w:val="71"/>
        </w:numPr>
        <w:spacing w:after="0" w:line="360" w:lineRule="auto"/>
        <w:jc w:val="both"/>
        <w:rPr>
          <w:rFonts w:eastAsia="Calibri"/>
          <w:noProof/>
          <w:color w:val="4C4747"/>
        </w:rPr>
      </w:pPr>
      <w:r w:rsidRPr="007C0683">
        <w:rPr>
          <w:rFonts w:eastAsia="Calibri"/>
          <w:noProof/>
          <w:color w:val="4C4747"/>
        </w:rPr>
        <w:t>Se realizó el lanzamiento del Programa para la Movilidad Urbana Sostenible en la República Dominicana (PMUS-RD), una iniciativa estratégica financiada con 10 millones de euros aportados por la Unión Europea a través del mecanismo UE-LACIF, con apoyo técnico de la AFD y ejecutada por el INTRANT. Este programa fortalece de manera decisiva las capacidades institucionales para avanzar hacia una movilidad urbana más equitativa, sostenible y centrada en las personas, mediante acciones prioritarias como la regulación del transporte artesanal, la promoción de modos activos, la gestión del tráfico y el estacionamiento, y la creación del Observatorio de Movilidad Urbana Sostenible. Además, impulsa la integración tarifaria y la interoperabilidad del billetaje, y financia estudios técnicos esenciales para el desarrollo futuro del Sistema Integrado de Transporte (SIT).</w:t>
      </w:r>
    </w:p>
    <w:p w14:paraId="51E0A882" w14:textId="77777777" w:rsidR="00F819C0" w:rsidRPr="00247394" w:rsidRDefault="00F819C0" w:rsidP="00F819C0">
      <w:pPr>
        <w:spacing w:after="0" w:line="360" w:lineRule="auto"/>
        <w:ind w:left="720"/>
        <w:contextualSpacing/>
        <w:jc w:val="both"/>
        <w:rPr>
          <w:rFonts w:eastAsia="Calibri"/>
          <w:noProof/>
          <w:color w:val="4C4747"/>
          <w:lang w:val="es-DO"/>
        </w:rPr>
      </w:pPr>
    </w:p>
    <w:p w14:paraId="32AD6589" w14:textId="77777777" w:rsidR="00F819C0" w:rsidRPr="00247394" w:rsidRDefault="00F819C0" w:rsidP="00F819C0">
      <w:pPr>
        <w:numPr>
          <w:ilvl w:val="0"/>
          <w:numId w:val="71"/>
        </w:numPr>
        <w:spacing w:after="0" w:line="360" w:lineRule="auto"/>
        <w:contextualSpacing/>
        <w:jc w:val="both"/>
        <w:rPr>
          <w:rFonts w:eastAsia="Calibri"/>
          <w:noProof/>
          <w:color w:val="4C4747"/>
          <w:lang w:val="es-DO"/>
        </w:rPr>
      </w:pPr>
      <w:r w:rsidRPr="00247394">
        <w:rPr>
          <w:rFonts w:eastAsia="Calibri"/>
          <w:noProof/>
          <w:color w:val="4C4747"/>
          <w:lang w:val="es-DO"/>
        </w:rPr>
        <w:lastRenderedPageBreak/>
        <w:t>Acto de primer picazo para la construcción de un centro de formación para mujeres, por un costo ascendente a 6.9 millones de dólares de cooperación en el marco del Proyecto Fortalecimiento de las Capacidades para el Empoderamiento de las Mujeres a través de la Educación y la Formación Técnica y Profesional (EFTP) y la Incorporación de la Perspectiva de Género, que ejecuta Supérate con el apoyo de la Agencia de Cooperación Internacional de Corea (KOICA).</w:t>
      </w:r>
    </w:p>
    <w:p w14:paraId="411CF83C" w14:textId="77777777" w:rsidR="00F819C0" w:rsidRPr="00247394" w:rsidRDefault="00F819C0" w:rsidP="00F819C0">
      <w:pPr>
        <w:spacing w:after="0" w:line="360" w:lineRule="auto"/>
        <w:ind w:left="720" w:hanging="426"/>
        <w:jc w:val="both"/>
        <w:rPr>
          <w:rFonts w:eastAsia="Calibri"/>
          <w:noProof/>
          <w:color w:val="4C4747"/>
          <w:lang w:val="es-DO"/>
        </w:rPr>
      </w:pPr>
    </w:p>
    <w:p w14:paraId="0F6BE9DF" w14:textId="77777777" w:rsidR="00F819C0" w:rsidRPr="00247394" w:rsidRDefault="00F819C0" w:rsidP="00F819C0">
      <w:pPr>
        <w:numPr>
          <w:ilvl w:val="0"/>
          <w:numId w:val="71"/>
        </w:numPr>
        <w:spacing w:after="0" w:line="360" w:lineRule="auto"/>
        <w:contextualSpacing/>
        <w:jc w:val="both"/>
        <w:rPr>
          <w:rFonts w:eastAsia="Calibri"/>
          <w:noProof/>
          <w:color w:val="4C4747"/>
          <w:lang w:val="es-DO"/>
        </w:rPr>
      </w:pPr>
      <w:r w:rsidRPr="00247394">
        <w:rPr>
          <w:rFonts w:eastAsia="Calibri"/>
          <w:noProof/>
          <w:color w:val="4C4747"/>
          <w:lang w:val="es-DO"/>
        </w:rPr>
        <w:t>Lanzamiento del Programa de Formación Técnico Profesional Accesible e Inclusivo fue lanzado con el propósito de mejorar la calidad de vida de jóvenes, mujeres, personas con discapacidad y comunidades marginadas mediante formación técnica de calidad e inserción laboral digna. Resultado del trabajo conjunto entre INFOTEP, el MEPyD y la Cooperación Española, constituye el primer gran proyecto del Marco de Asociación País 2025–2029 entre España y República Dominicana. Con una inversión de 1.93 millones de euros y un alcance de más de 1,000 jóvenes, el programa incluye dos proyectos en sectores estratégicos: gestión sostenible del agua y energías renovables.</w:t>
      </w:r>
    </w:p>
    <w:p w14:paraId="39F7BBD8" w14:textId="77777777" w:rsidR="00F819C0" w:rsidRPr="00247394" w:rsidRDefault="00F819C0" w:rsidP="00F819C0">
      <w:pPr>
        <w:spacing w:after="0" w:line="360" w:lineRule="auto"/>
        <w:ind w:left="720"/>
        <w:contextualSpacing/>
        <w:jc w:val="both"/>
        <w:rPr>
          <w:rFonts w:eastAsia="Calibri"/>
          <w:noProof/>
          <w:color w:val="4C4747"/>
          <w:lang w:val="es-DO"/>
        </w:rPr>
      </w:pPr>
    </w:p>
    <w:p w14:paraId="6FEE3145" w14:textId="77777777" w:rsidR="00F819C0" w:rsidRPr="00247394" w:rsidRDefault="00F819C0" w:rsidP="00F819C0">
      <w:pPr>
        <w:numPr>
          <w:ilvl w:val="0"/>
          <w:numId w:val="71"/>
        </w:numPr>
        <w:spacing w:after="0" w:line="360" w:lineRule="auto"/>
        <w:contextualSpacing/>
        <w:jc w:val="both"/>
        <w:rPr>
          <w:rFonts w:eastAsia="Calibri"/>
          <w:noProof/>
          <w:color w:val="4C4747"/>
          <w:lang w:val="es-DO"/>
        </w:rPr>
      </w:pPr>
      <w:r w:rsidRPr="00247394">
        <w:rPr>
          <w:rFonts w:eastAsia="Calibri"/>
          <w:noProof/>
          <w:color w:val="4C4747"/>
          <w:lang w:val="es-DO"/>
        </w:rPr>
        <w:t xml:space="preserve">Acto de lanzamiento del proyecto Avance de la Capacidad de Monitoreo del Cambio Climático en Parques Nacionales Basada en las Tecnologías de la Información y la Comunicación (TIC), ejecutado por el Ministerio de Medio Ambiente y Recursos Naturales, con el apoyo de la Agencia de Cooperación Internacional de Corea (KOICA), por un monto de 6.0 millones de dólares. Este proyecto contempla la implementación de un sistema de monitoreo automatizado y en tiempo real </w:t>
      </w:r>
      <w:r w:rsidRPr="00247394">
        <w:rPr>
          <w:rFonts w:eastAsia="Calibri"/>
          <w:noProof/>
          <w:color w:val="4C4747"/>
          <w:lang w:val="es-DO"/>
        </w:rPr>
        <w:lastRenderedPageBreak/>
        <w:t>de peligros, daños e infracciones ambientales; así como, la capacitación del personal del Ministerio de Medio Ambiente y Recursos Naturales en la identificación, reporte y monitoreo de riesgos ambientales, actividades ambientales ilegales, daños y emergencias.</w:t>
      </w:r>
    </w:p>
    <w:p w14:paraId="1FE5222C" w14:textId="77777777" w:rsidR="00F819C0" w:rsidRPr="00247394" w:rsidRDefault="00F819C0" w:rsidP="00F819C0">
      <w:pPr>
        <w:spacing w:after="0" w:line="360" w:lineRule="auto"/>
        <w:ind w:left="720"/>
        <w:contextualSpacing/>
        <w:jc w:val="both"/>
        <w:rPr>
          <w:rFonts w:eastAsia="Calibri"/>
          <w:noProof/>
          <w:color w:val="4C4747"/>
          <w:lang w:val="es-DO"/>
        </w:rPr>
      </w:pPr>
    </w:p>
    <w:p w14:paraId="345CC06F" w14:textId="77777777" w:rsidR="00F819C0" w:rsidRPr="00247394" w:rsidRDefault="00F819C0" w:rsidP="00F819C0">
      <w:pPr>
        <w:numPr>
          <w:ilvl w:val="0"/>
          <w:numId w:val="71"/>
        </w:numPr>
        <w:spacing w:after="0" w:line="360" w:lineRule="auto"/>
        <w:contextualSpacing/>
        <w:jc w:val="both"/>
        <w:rPr>
          <w:rFonts w:eastAsia="Calibri"/>
          <w:noProof/>
          <w:color w:val="4C4747"/>
          <w:lang w:val="es-DO"/>
        </w:rPr>
      </w:pPr>
      <w:r w:rsidRPr="00247394">
        <w:rPr>
          <w:rFonts w:eastAsia="Calibri"/>
          <w:noProof/>
          <w:color w:val="4C4747"/>
          <w:lang w:val="es-DO"/>
        </w:rPr>
        <w:t>En junio de este año, se recibieron 11 equipos especializados para la producción de mangos deshidratados, con un valor total de USD 174,000, donados por la Embajada de la República Popular China y canalizados a través de la Vicepresidencia de la República hacia las asociaciones ASOPROMASA y ABAPROMANGO, integrantes del Clúster del Mango. La entrega de estos equipos contribuye a fortalecer la cadena de valor del mango dominicano, incrementar la capacidad de procesamiento, promover la diversificación productiva e impulsar la inserción de productos con mayor valor agregado en mercados internacionales, constituyendo un aporte significativo al desarrollo agroindustrial local y al aumento de oportunidades económicas para los productores. Esta donación está en proceso para ser entregada en acto formal e iniciar su utilización.</w:t>
      </w:r>
    </w:p>
    <w:p w14:paraId="654F42FB" w14:textId="77777777" w:rsidR="00F819C0" w:rsidRPr="00247394" w:rsidRDefault="00F819C0" w:rsidP="00F819C0">
      <w:pPr>
        <w:spacing w:after="0" w:line="360" w:lineRule="auto"/>
        <w:ind w:left="720"/>
        <w:contextualSpacing/>
        <w:jc w:val="both"/>
        <w:rPr>
          <w:rFonts w:eastAsia="Calibri"/>
          <w:noProof/>
          <w:color w:val="4C4747"/>
          <w:lang w:val="es-DO"/>
        </w:rPr>
      </w:pPr>
    </w:p>
    <w:p w14:paraId="2CC97D2A" w14:textId="77777777" w:rsidR="00F819C0" w:rsidRPr="00247394" w:rsidRDefault="00F819C0" w:rsidP="00F819C0">
      <w:pPr>
        <w:numPr>
          <w:ilvl w:val="0"/>
          <w:numId w:val="71"/>
        </w:numPr>
        <w:spacing w:after="0" w:line="360" w:lineRule="auto"/>
        <w:contextualSpacing/>
        <w:jc w:val="both"/>
        <w:rPr>
          <w:rFonts w:eastAsia="Calibri"/>
          <w:noProof/>
          <w:color w:val="4C4747"/>
          <w:lang w:val="es-DO"/>
        </w:rPr>
      </w:pPr>
      <w:r w:rsidRPr="00247394">
        <w:rPr>
          <w:rFonts w:eastAsia="Calibri"/>
          <w:noProof/>
          <w:color w:val="4C4747"/>
          <w:lang w:val="es-DO"/>
        </w:rPr>
        <w:t xml:space="preserve">En el marco de la cooperación bilateral entre la República Dominicana y el Gobierno de Japón, se fortalecieron las capacidades operativas de los gobiernos locales mediante la entrega de equipos clave para la gestión de residuos sólidos y la respuesta ante emergencias. Las donaciones, valoradas por un monto apróximado de USD 334 mil dólares, incluyeron 6 camiones compactadores de basura para las alcaldías de Neiba y Bonao, así como 2 camiones de bomberos y 1 camión de basura usado destinados a los ayuntamientos de La Sabina y </w:t>
      </w:r>
      <w:r w:rsidRPr="00247394">
        <w:rPr>
          <w:rFonts w:eastAsia="Calibri"/>
          <w:noProof/>
          <w:color w:val="4C4747"/>
          <w:lang w:val="es-DO"/>
        </w:rPr>
        <w:lastRenderedPageBreak/>
        <w:t>Los Cacaos. Estas contribuciones han mejorado la eficiencia en la recolección de residuos, reforzado la capacidad de respuesta ante emergencias y promovido el bienestar de las comunidades locales, representando un aporte concreto al desarrollo sostenible y la gestión municipal efectiva.</w:t>
      </w:r>
    </w:p>
    <w:p w14:paraId="48D36FE7" w14:textId="77777777" w:rsidR="00F819C0" w:rsidRPr="00247394" w:rsidRDefault="00F819C0" w:rsidP="00F819C0">
      <w:pPr>
        <w:spacing w:after="0" w:line="360" w:lineRule="auto"/>
        <w:ind w:left="720"/>
        <w:contextualSpacing/>
        <w:jc w:val="both"/>
        <w:rPr>
          <w:rFonts w:eastAsia="Calibri"/>
          <w:noProof/>
          <w:color w:val="4C4747"/>
          <w:lang w:val="es-DO"/>
        </w:rPr>
      </w:pPr>
    </w:p>
    <w:p w14:paraId="1CA5E191" w14:textId="6D0C6697" w:rsidR="00F819C0" w:rsidRPr="00F972CC" w:rsidRDefault="00F819C0" w:rsidP="00F972CC">
      <w:pPr>
        <w:pStyle w:val="ListParagraph"/>
        <w:numPr>
          <w:ilvl w:val="0"/>
          <w:numId w:val="71"/>
        </w:numPr>
        <w:spacing w:after="0" w:line="360" w:lineRule="auto"/>
        <w:jc w:val="both"/>
        <w:rPr>
          <w:rFonts w:eastAsia="Calibri"/>
          <w:b/>
          <w:bCs/>
          <w:noProof/>
          <w:color w:val="4C4747"/>
        </w:rPr>
      </w:pPr>
      <w:r w:rsidRPr="007C0683">
        <w:rPr>
          <w:rFonts w:eastAsia="Calibri"/>
          <w:b/>
          <w:bCs/>
          <w:noProof/>
          <w:color w:val="4C4747"/>
        </w:rPr>
        <w:t xml:space="preserve">Programas y Acciones de Formación </w:t>
      </w:r>
    </w:p>
    <w:p w14:paraId="22CB4887" w14:textId="77777777" w:rsidR="00F819C0" w:rsidRPr="00247394" w:rsidRDefault="00F819C0" w:rsidP="00F819C0">
      <w:pPr>
        <w:pStyle w:val="ListParagraph"/>
        <w:spacing w:after="0" w:line="360" w:lineRule="auto"/>
        <w:jc w:val="both"/>
        <w:rPr>
          <w:rFonts w:eastAsia="Calibri"/>
          <w:noProof/>
          <w:color w:val="4C4747"/>
        </w:rPr>
      </w:pPr>
      <w:r w:rsidRPr="00247394">
        <w:rPr>
          <w:rFonts w:eastAsia="Calibri"/>
          <w:noProof/>
          <w:color w:val="4C4747"/>
        </w:rPr>
        <w:t>En lo que respecta a la gestión de programas y acciones de formación profesional, este periodo ha estado marcado por la colaboración con múltiples socios cooperantes, reflejando un compromiso firme y constante con el desarrollo y la capacitación de los servidores públicos y las instituciones gubernamentales del país. Para el año 2025, se obtuvieron los siguientes logros:</w:t>
      </w:r>
    </w:p>
    <w:p w14:paraId="6BAA1624" w14:textId="77777777" w:rsidR="00F819C0" w:rsidRPr="00247394" w:rsidRDefault="00F819C0" w:rsidP="00F819C0">
      <w:pPr>
        <w:tabs>
          <w:tab w:val="left" w:pos="142"/>
          <w:tab w:val="left" w:pos="9214"/>
        </w:tabs>
        <w:spacing w:after="0" w:line="360" w:lineRule="auto"/>
        <w:ind w:left="720"/>
        <w:jc w:val="both"/>
        <w:rPr>
          <w:rFonts w:eastAsia="Calibri"/>
          <w:noProof/>
          <w:color w:val="4C4747"/>
          <w:lang w:val="es-DO"/>
        </w:rPr>
      </w:pPr>
    </w:p>
    <w:p w14:paraId="77205EA2" w14:textId="77777777" w:rsidR="00F819C0" w:rsidRPr="00247394" w:rsidRDefault="00F819C0" w:rsidP="00F819C0">
      <w:pPr>
        <w:tabs>
          <w:tab w:val="left" w:pos="142"/>
          <w:tab w:val="left" w:pos="9214"/>
        </w:tabs>
        <w:spacing w:after="0" w:line="360" w:lineRule="auto"/>
        <w:ind w:left="720"/>
        <w:jc w:val="both"/>
        <w:rPr>
          <w:rFonts w:eastAsia="Calibri"/>
          <w:noProof/>
          <w:color w:val="4C4747"/>
          <w:lang w:val="es-DO"/>
        </w:rPr>
      </w:pPr>
      <w:r w:rsidRPr="00247394">
        <w:rPr>
          <w:rFonts w:eastAsia="Calibri"/>
          <w:noProof/>
          <w:color w:val="4C4747"/>
          <w:lang w:val="es-DO"/>
        </w:rPr>
        <w:t>Los Programas Formativos de la Cooperación Bilateral de la República Dominicana desempeñan un rol importante en el desarrollo de las competencias técnicas y profesionales de los servidores públicos a través de capacitaciones especializadas en diversas temáticas, relacionadas a las prioridades nacionales y la Estrategia Nacional de Desarrollo 2030.</w:t>
      </w:r>
    </w:p>
    <w:p w14:paraId="2FDB5AEC" w14:textId="77777777" w:rsidR="00F819C0" w:rsidRDefault="00F819C0" w:rsidP="00F819C0">
      <w:pPr>
        <w:tabs>
          <w:tab w:val="left" w:pos="142"/>
          <w:tab w:val="left" w:pos="9214"/>
        </w:tabs>
        <w:spacing w:after="0" w:line="360" w:lineRule="auto"/>
        <w:ind w:left="720"/>
        <w:jc w:val="both"/>
        <w:rPr>
          <w:rFonts w:eastAsia="Calibri"/>
          <w:noProof/>
          <w:color w:val="4C4747"/>
          <w:lang w:val="es-DO"/>
        </w:rPr>
      </w:pPr>
      <w:r w:rsidRPr="00247394">
        <w:rPr>
          <w:rFonts w:eastAsia="Calibri"/>
          <w:noProof/>
          <w:color w:val="4C4747"/>
          <w:lang w:val="es-DO"/>
        </w:rPr>
        <w:t>En el año 2025, se lograron gestionar un total de 87 programas de formación de los cuales 47 corresponden a programas directos y 40 a programas de difusión, alcanzando a beneficiar 120 funcionarios públicos y fortaleciendo las capacidades de 44 instituciones. Los países en ofertar programas de formación son Argentina, Chile, China, Corea del Sur, Costa Rica, Colombia, Guatemala, España, Japón y Perú.</w:t>
      </w:r>
    </w:p>
    <w:p w14:paraId="0D3BE322" w14:textId="77777777" w:rsidR="00F819C0" w:rsidRDefault="00F819C0" w:rsidP="00F819C0">
      <w:pPr>
        <w:tabs>
          <w:tab w:val="left" w:pos="142"/>
          <w:tab w:val="left" w:pos="9214"/>
        </w:tabs>
        <w:spacing w:after="0" w:line="360" w:lineRule="auto"/>
        <w:ind w:left="720"/>
        <w:jc w:val="both"/>
        <w:rPr>
          <w:rFonts w:eastAsia="Calibri"/>
          <w:noProof/>
          <w:color w:val="4C4747"/>
          <w:lang w:val="es-DO"/>
        </w:rPr>
      </w:pPr>
    </w:p>
    <w:p w14:paraId="1E7840A6" w14:textId="77777777" w:rsidR="00F972CC" w:rsidRDefault="00F972CC" w:rsidP="00F819C0">
      <w:pPr>
        <w:tabs>
          <w:tab w:val="left" w:pos="142"/>
          <w:tab w:val="left" w:pos="9214"/>
        </w:tabs>
        <w:spacing w:after="0" w:line="360" w:lineRule="auto"/>
        <w:ind w:left="720"/>
        <w:jc w:val="both"/>
        <w:rPr>
          <w:rFonts w:eastAsia="Calibri"/>
          <w:noProof/>
          <w:color w:val="4C4747"/>
          <w:lang w:val="es-DO"/>
        </w:rPr>
      </w:pPr>
    </w:p>
    <w:p w14:paraId="03EADC2E" w14:textId="77777777" w:rsidR="00F972CC" w:rsidRPr="00247394" w:rsidRDefault="00F972CC" w:rsidP="00F819C0">
      <w:pPr>
        <w:tabs>
          <w:tab w:val="left" w:pos="142"/>
          <w:tab w:val="left" w:pos="9214"/>
        </w:tabs>
        <w:spacing w:after="0" w:line="360" w:lineRule="auto"/>
        <w:ind w:left="720"/>
        <w:jc w:val="both"/>
        <w:rPr>
          <w:rFonts w:eastAsia="Calibri"/>
          <w:noProof/>
          <w:color w:val="4C4747"/>
          <w:lang w:val="es-DO"/>
        </w:rPr>
      </w:pPr>
    </w:p>
    <w:p w14:paraId="4D854932" w14:textId="77777777" w:rsidR="00F819C0" w:rsidRPr="00437CB5" w:rsidRDefault="00F819C0" w:rsidP="00F819C0">
      <w:pPr>
        <w:pStyle w:val="ListParagraph"/>
        <w:numPr>
          <w:ilvl w:val="0"/>
          <w:numId w:val="77"/>
        </w:numPr>
        <w:spacing w:after="0" w:line="360" w:lineRule="auto"/>
        <w:jc w:val="both"/>
        <w:rPr>
          <w:rFonts w:eastAsia="Calibri"/>
          <w:b/>
          <w:bCs/>
          <w:noProof/>
          <w:color w:val="4C4747"/>
        </w:rPr>
      </w:pPr>
      <w:r w:rsidRPr="00437CB5">
        <w:rPr>
          <w:rFonts w:eastAsia="Calibri"/>
          <w:b/>
          <w:bCs/>
          <w:noProof/>
          <w:color w:val="4C4747"/>
        </w:rPr>
        <w:lastRenderedPageBreak/>
        <w:t xml:space="preserve">Programas de voluntarios </w:t>
      </w:r>
    </w:p>
    <w:p w14:paraId="0D55E5B3"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Se coordinan 2 Programas de Voluntarios, uno con la Agencia de Cooperación Internacional de Corea (KOICA) y con la Agencia de Cooperación Internacional del Japón (JICA).</w:t>
      </w:r>
    </w:p>
    <w:p w14:paraId="3359B209"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Durante el 2025, se recibieron un total de 19 voluntarios, 14 de nacionalidad japonesa y 5 coreana, impactando igual número de instituciones y beneficiando las provincias de Santo Domingo, Samaná, La Vega, San Juan de la Maguana, Monte Plata, Azua, Santiago, Provincias Hermanas Mirabal y La Romana.</w:t>
      </w:r>
    </w:p>
    <w:p w14:paraId="130FCAFB" w14:textId="77777777" w:rsidR="00F819C0" w:rsidRPr="00437CB5" w:rsidRDefault="00F819C0" w:rsidP="00F819C0">
      <w:pPr>
        <w:spacing w:after="0" w:line="360" w:lineRule="auto"/>
        <w:ind w:left="720"/>
        <w:jc w:val="both"/>
        <w:rPr>
          <w:rFonts w:eastAsia="Calibri"/>
          <w:noProof/>
          <w:color w:val="4C4747"/>
        </w:rPr>
      </w:pPr>
      <w:r w:rsidRPr="00437CB5">
        <w:rPr>
          <w:rFonts w:eastAsia="Calibri"/>
          <w:noProof/>
          <w:color w:val="4C4747"/>
        </w:rPr>
        <w:t>Actividades programas formativos y voluntarios:</w:t>
      </w:r>
    </w:p>
    <w:p w14:paraId="5FEAAC24" w14:textId="77777777" w:rsidR="00F819C0" w:rsidRPr="00247394" w:rsidRDefault="00F819C0" w:rsidP="00F819C0">
      <w:pPr>
        <w:numPr>
          <w:ilvl w:val="0"/>
          <w:numId w:val="78"/>
        </w:numPr>
        <w:spacing w:after="0" w:line="360" w:lineRule="auto"/>
        <w:contextualSpacing/>
        <w:jc w:val="both"/>
        <w:rPr>
          <w:rFonts w:eastAsia="Calibri"/>
          <w:noProof/>
          <w:color w:val="4C4747"/>
          <w:lang w:val="es-DO"/>
        </w:rPr>
      </w:pPr>
      <w:r w:rsidRPr="00247394">
        <w:rPr>
          <w:rFonts w:eastAsia="Calibri"/>
          <w:noProof/>
          <w:color w:val="4C4747"/>
          <w:lang w:val="es-DO"/>
        </w:rPr>
        <w:t xml:space="preserve">Intercambio de Experiencias: Fortalecimiento de Capacidades en materia de Cooperación Internacional – República Dominicana y Corea. </w:t>
      </w:r>
    </w:p>
    <w:p w14:paraId="48DABA51" w14:textId="77777777" w:rsidR="00F819C0" w:rsidRPr="00247394" w:rsidRDefault="00F819C0" w:rsidP="00F819C0">
      <w:pPr>
        <w:numPr>
          <w:ilvl w:val="0"/>
          <w:numId w:val="78"/>
        </w:numPr>
        <w:spacing w:after="0" w:line="360" w:lineRule="auto"/>
        <w:contextualSpacing/>
        <w:jc w:val="both"/>
        <w:rPr>
          <w:rFonts w:eastAsia="Calibri"/>
          <w:noProof/>
          <w:color w:val="4C4747"/>
          <w:lang w:val="es-DO"/>
        </w:rPr>
      </w:pPr>
      <w:r w:rsidRPr="00247394">
        <w:rPr>
          <w:rFonts w:eastAsia="Calibri"/>
          <w:noProof/>
          <w:color w:val="4C4747"/>
          <w:lang w:val="es-DO"/>
        </w:rPr>
        <w:t>Conmemoración del 40 Aniversario del Programa de Voluntarios Japoneses en la República Dominicana.</w:t>
      </w:r>
    </w:p>
    <w:p w14:paraId="0A2A9C15" w14:textId="77777777" w:rsidR="00F819C0" w:rsidRPr="00247394" w:rsidRDefault="00F819C0" w:rsidP="00F819C0">
      <w:pPr>
        <w:numPr>
          <w:ilvl w:val="0"/>
          <w:numId w:val="78"/>
        </w:numPr>
        <w:spacing w:after="0" w:line="360" w:lineRule="auto"/>
        <w:contextualSpacing/>
        <w:jc w:val="both"/>
        <w:rPr>
          <w:rFonts w:eastAsia="Calibri"/>
          <w:noProof/>
          <w:color w:val="4C4747"/>
          <w:lang w:val="es-DO"/>
        </w:rPr>
      </w:pPr>
      <w:r w:rsidRPr="00247394">
        <w:rPr>
          <w:rFonts w:eastAsia="Calibri"/>
          <w:noProof/>
          <w:color w:val="4C4747"/>
          <w:lang w:val="es-DO"/>
        </w:rPr>
        <w:t>Panel de Expertas “Aprendiendo Juntos: Estrategias para Responder a la Violencia de Género.</w:t>
      </w:r>
    </w:p>
    <w:p w14:paraId="1FB27F43" w14:textId="77777777" w:rsidR="00F819C0" w:rsidRPr="00247394" w:rsidRDefault="00F819C0" w:rsidP="00F819C0">
      <w:pPr>
        <w:spacing w:after="0" w:line="360" w:lineRule="auto"/>
        <w:ind w:left="720"/>
        <w:jc w:val="both"/>
        <w:rPr>
          <w:rFonts w:eastAsia="Calibri"/>
          <w:noProof/>
          <w:color w:val="4C4747"/>
          <w:lang w:val="es-DO"/>
        </w:rPr>
      </w:pPr>
    </w:p>
    <w:p w14:paraId="1DC8F892"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Segundo año del Programa de capacitación “Fortalecimiento de las capacidades de los funcionarios gubernamentales en materia de cooperación internacional en la República Dominicana 2024-2026”.</w:t>
      </w:r>
    </w:p>
    <w:p w14:paraId="41F4BA9A" w14:textId="77777777" w:rsidR="00F819C0" w:rsidRPr="00247394"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 xml:space="preserve">Se realizó la segunda corte del programa de capacitación “Fortalecimiento de las capacidades de los funcionarios gubernamentales en materia de cooperación internacional en la República Dominicana 2024-2026”, con la Agencia de Cooperación Internacional de Corea (KOICA), el cual completó su segundo año en Corea del Sur con la participación de 14 funcionarios de los Ministerio de la Presidencia y de </w:t>
      </w:r>
      <w:r w:rsidRPr="00247394">
        <w:rPr>
          <w:rFonts w:eastAsia="Calibri"/>
          <w:noProof/>
          <w:color w:val="4C4747"/>
          <w:lang w:val="es-DO"/>
        </w:rPr>
        <w:lastRenderedPageBreak/>
        <w:t>Relaciones Exteriores de la República Dominicana.</w:t>
      </w:r>
    </w:p>
    <w:p w14:paraId="64A77D4F" w14:textId="42A1D499" w:rsidR="00F819C0" w:rsidRDefault="00F819C0" w:rsidP="00F819C0">
      <w:pPr>
        <w:spacing w:after="0" w:line="360" w:lineRule="auto"/>
        <w:ind w:left="720"/>
        <w:jc w:val="both"/>
        <w:rPr>
          <w:rFonts w:eastAsia="Calibri"/>
          <w:noProof/>
          <w:color w:val="4C4747"/>
          <w:lang w:val="es-DO"/>
        </w:rPr>
      </w:pPr>
      <w:r w:rsidRPr="00247394">
        <w:rPr>
          <w:rFonts w:eastAsia="Calibri"/>
          <w:noProof/>
          <w:color w:val="4C4747"/>
          <w:lang w:val="es-DO"/>
        </w:rPr>
        <w:t>Esta formación, que se enmarca en el Programa de Becas KOICA-CIAT, que tiene como objetivo contribuir a robustecer las capacidades del Sistema de Cooperación Internacional de la República Dominicana, mediante el fortalecimiento de los servidores públicos a través del intercambio de experiencias y la implementación de políticas de cooperación internacional al desarrollo.</w:t>
      </w:r>
    </w:p>
    <w:p w14:paraId="5565BDC8" w14:textId="3B2E9772" w:rsidR="00EC0C00" w:rsidRDefault="00EC0C00" w:rsidP="00F819C0">
      <w:pPr>
        <w:spacing w:after="0" w:line="360" w:lineRule="auto"/>
        <w:ind w:left="720"/>
        <w:jc w:val="both"/>
        <w:rPr>
          <w:rFonts w:eastAsia="Calibri"/>
          <w:noProof/>
          <w:color w:val="4C4747"/>
          <w:lang w:val="es-DO"/>
        </w:rPr>
      </w:pPr>
    </w:p>
    <w:p w14:paraId="69D98FCE" w14:textId="429FB8FA" w:rsidR="00EC0C00" w:rsidRPr="004A7B4D" w:rsidRDefault="00EC0C00" w:rsidP="004A7B4D">
      <w:pPr>
        <w:pStyle w:val="ListParagraph"/>
        <w:numPr>
          <w:ilvl w:val="1"/>
          <w:numId w:val="101"/>
        </w:numPr>
        <w:spacing w:after="0" w:line="360" w:lineRule="auto"/>
        <w:jc w:val="center"/>
        <w:outlineLvl w:val="1"/>
        <w:rPr>
          <w:rFonts w:eastAsia="Calibri"/>
          <w:b/>
          <w:bCs/>
          <w:noProof/>
          <w:color w:val="4C4747"/>
        </w:rPr>
      </w:pPr>
      <w:bookmarkStart w:id="91" w:name="_Toc217382615"/>
      <w:r w:rsidRPr="004A7B4D">
        <w:rPr>
          <w:rFonts w:eastAsia="Calibri"/>
          <w:b/>
          <w:bCs/>
          <w:noProof/>
          <w:color w:val="4C4747"/>
        </w:rPr>
        <w:t>Viceministerio de Ordenamiento Territorial y Desarrollo Regional (VIOTDR)</w:t>
      </w:r>
      <w:bookmarkEnd w:id="91"/>
    </w:p>
    <w:p w14:paraId="5A6EB8B6"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Plan Nacional de Ordenamiento Territorial (PNOT):</w:t>
      </w:r>
      <w:r w:rsidRPr="00A7627D">
        <w:rPr>
          <w:rFonts w:eastAsia="Calibri"/>
          <w:noProof/>
          <w:color w:val="4C4747"/>
          <w:lang w:val="es-DO"/>
        </w:rPr>
        <w:t xml:space="preserve"> Elaboramos el anteproyecto de ley del PNOT tras agotar un riguroso proceso de validación con ministerios, sociedad civil y sector privado. Integramos en este instrumento los lineamientos de gestión de riesgo y adaptación al cambio climático, asegurando una planificación informada ante amenazas que beneficiará al 100% de la población dominicana mediante un ordenamiento equitativo y sostenible.</w:t>
      </w:r>
    </w:p>
    <w:p w14:paraId="64B10704" w14:textId="77777777" w:rsidR="00EC0C00" w:rsidRDefault="00EC0C00" w:rsidP="00EC0C00">
      <w:pPr>
        <w:spacing w:after="0" w:line="360" w:lineRule="auto"/>
        <w:ind w:left="720"/>
        <w:jc w:val="both"/>
        <w:rPr>
          <w:rFonts w:eastAsia="Calibri"/>
          <w:b/>
          <w:bCs/>
          <w:noProof/>
          <w:color w:val="4C4747"/>
          <w:lang w:val="es-DO"/>
        </w:rPr>
      </w:pPr>
    </w:p>
    <w:p w14:paraId="766709AE"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Sistema Nacional de Información Territorial (SNIT):</w:t>
      </w:r>
      <w:r w:rsidRPr="00A7627D">
        <w:rPr>
          <w:rFonts w:eastAsia="Calibri"/>
          <w:noProof/>
          <w:color w:val="4C4747"/>
          <w:lang w:val="es-DO"/>
        </w:rPr>
        <w:t xml:space="preserve"> Formulamos la propuesta conceptual y los criterios de registro geoespacial para sistematizar los datos requeridos a escala nacional, regional y municipal. Elaboramos el documento preliminar de organización de la información, el cual sirvió como insumo base para la estructuración operativa del sistema.</w:t>
      </w:r>
    </w:p>
    <w:p w14:paraId="69EB4142" w14:textId="77777777" w:rsidR="00EC0C00" w:rsidRDefault="00EC0C00" w:rsidP="00EC0C00">
      <w:pPr>
        <w:spacing w:after="0" w:line="360" w:lineRule="auto"/>
        <w:ind w:left="720"/>
        <w:jc w:val="both"/>
        <w:rPr>
          <w:rFonts w:eastAsia="Calibri"/>
          <w:b/>
          <w:bCs/>
          <w:noProof/>
          <w:color w:val="4C4747"/>
          <w:lang w:val="es-DO"/>
        </w:rPr>
      </w:pPr>
    </w:p>
    <w:p w14:paraId="0133744C"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Reglamento de la Ley 368-22 sobre ordenamiento territorial, uso de Suelo y Asentamientos Humanos:</w:t>
      </w:r>
      <w:r w:rsidRPr="00A7627D">
        <w:rPr>
          <w:rFonts w:eastAsia="Calibri"/>
          <w:noProof/>
          <w:color w:val="4C4747"/>
          <w:lang w:val="es-DO"/>
        </w:rPr>
        <w:t xml:space="preserve"> fue promulgado por el presidente Luis Abinader tras un amplio y prolongado proceso participativo que integró a sectores </w:t>
      </w:r>
      <w:r w:rsidRPr="00A7627D">
        <w:rPr>
          <w:rFonts w:eastAsia="Calibri"/>
          <w:noProof/>
          <w:color w:val="4C4747"/>
          <w:lang w:val="es-DO"/>
        </w:rPr>
        <w:lastRenderedPageBreak/>
        <w:t>sociales, económicos, institucionales y políticos de todo el país. Este instrumento recoge los consensos construidos durante meses de consultas y validaciones, fortaleciendo así la gobernanza territorial y garantizando que la planificación del desarrollo responda a las realidades, demandas y aspiraciones de los distintos actores nacionales.</w:t>
      </w:r>
    </w:p>
    <w:p w14:paraId="2E0129A1" w14:textId="77777777" w:rsidR="00EC0C00" w:rsidRDefault="00EC0C00" w:rsidP="00EC0C00">
      <w:pPr>
        <w:spacing w:after="0" w:line="360" w:lineRule="auto"/>
        <w:ind w:left="720"/>
        <w:jc w:val="both"/>
        <w:rPr>
          <w:rFonts w:eastAsia="Calibri"/>
          <w:b/>
          <w:bCs/>
          <w:noProof/>
          <w:color w:val="4C4747"/>
          <w:lang w:val="es-DO"/>
        </w:rPr>
      </w:pPr>
    </w:p>
    <w:p w14:paraId="7DA6CACB"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Ley de Planificación Urbana</w:t>
      </w:r>
      <w:r>
        <w:rPr>
          <w:rFonts w:eastAsia="Calibri"/>
          <w:b/>
          <w:bCs/>
          <w:noProof/>
          <w:color w:val="4C4747"/>
          <w:lang w:val="es-DO"/>
        </w:rPr>
        <w:t>:</w:t>
      </w:r>
      <w:r w:rsidRPr="00A7627D">
        <w:rPr>
          <w:rFonts w:eastAsia="Calibri"/>
          <w:noProof/>
          <w:color w:val="4C4747"/>
          <w:lang w:val="es-DO"/>
        </w:rPr>
        <w:t xml:space="preserve"> Se dio inicio al proceso de formulación de la ley de reforma a la planificación urbana de República Dominicana. Se dispone de un estudio base sobre la necesidad de reformar la Ley 6232 sobre Planificación Urbana. El estudio ha sido concluido y, a principios de 2026, se dará inicio al diseño de este marco jurídico clave para fortalecer la gobernanza de las ciudades.</w:t>
      </w:r>
    </w:p>
    <w:p w14:paraId="02BEDA21" w14:textId="77777777" w:rsidR="00EC0C00" w:rsidRDefault="00EC0C00" w:rsidP="00EC0C00">
      <w:pPr>
        <w:spacing w:after="0" w:line="360" w:lineRule="auto"/>
        <w:ind w:left="720"/>
        <w:jc w:val="both"/>
        <w:rPr>
          <w:rFonts w:eastAsia="Calibri"/>
          <w:b/>
          <w:bCs/>
          <w:noProof/>
          <w:color w:val="4C4747"/>
          <w:lang w:val="es-DO"/>
        </w:rPr>
      </w:pPr>
    </w:p>
    <w:p w14:paraId="6EC2CFF8"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Guía Metodológica Planes Regionales de Ordenamiento y Desarrollo Territorial (PRODT):</w:t>
      </w:r>
      <w:r w:rsidRPr="00A7627D">
        <w:rPr>
          <w:rFonts w:eastAsia="Calibri"/>
          <w:noProof/>
          <w:color w:val="4C4747"/>
          <w:lang w:val="es-DO"/>
        </w:rPr>
        <w:t xml:space="preserve"> Diseñamos el plan de trabajo y la propuesta preliminar para la actualización de la Guía Metodológica, estandarizando los contenidos necesarios para la formulación efectiva de los Planes Regionales de Ordenamiento y Desarrollo Territorial, cuyos diseños iniciarán en el primer semestre de 2026.</w:t>
      </w:r>
    </w:p>
    <w:p w14:paraId="42B14ED6" w14:textId="77777777" w:rsidR="00EC0C00" w:rsidRDefault="00EC0C00" w:rsidP="00EC0C00">
      <w:pPr>
        <w:spacing w:after="0" w:line="360" w:lineRule="auto"/>
        <w:ind w:left="720"/>
        <w:jc w:val="both"/>
        <w:rPr>
          <w:rFonts w:eastAsia="Calibri"/>
          <w:b/>
          <w:bCs/>
          <w:noProof/>
          <w:color w:val="4C4747"/>
          <w:lang w:val="es-DO"/>
        </w:rPr>
      </w:pPr>
    </w:p>
    <w:p w14:paraId="272A4E52" w14:textId="77777777" w:rsidR="00EC0C00" w:rsidRPr="00903043" w:rsidRDefault="00EC0C00" w:rsidP="00EC0C00">
      <w:pPr>
        <w:spacing w:after="0" w:line="360" w:lineRule="auto"/>
        <w:ind w:left="720"/>
        <w:jc w:val="both"/>
        <w:rPr>
          <w:rFonts w:eastAsia="Calibri"/>
          <w:b/>
          <w:bCs/>
          <w:noProof/>
          <w:color w:val="4C4747"/>
          <w:lang w:val="es-DO"/>
        </w:rPr>
      </w:pPr>
      <w:r w:rsidRPr="00903043">
        <w:rPr>
          <w:rFonts w:eastAsia="Calibri"/>
          <w:b/>
          <w:bCs/>
          <w:noProof/>
          <w:color w:val="4C4747"/>
          <w:lang w:val="es-DO"/>
        </w:rPr>
        <w:t>Escala Municipal: Asistencia Técnica Focalizada</w:t>
      </w:r>
      <w:r>
        <w:rPr>
          <w:rFonts w:eastAsia="Calibri"/>
          <w:b/>
          <w:bCs/>
          <w:noProof/>
          <w:color w:val="4C4747"/>
          <w:lang w:val="es-DO"/>
        </w:rPr>
        <w:t xml:space="preserve"> </w:t>
      </w:r>
      <w:r w:rsidRPr="00903043">
        <w:rPr>
          <w:rFonts w:eastAsia="Calibri"/>
          <w:b/>
          <w:bCs/>
          <w:noProof/>
          <w:color w:val="4C4747"/>
          <w:lang w:val="es-DO"/>
        </w:rPr>
        <w:t>Cobertura e Impacto Local</w:t>
      </w:r>
    </w:p>
    <w:p w14:paraId="1D0B6CD1" w14:textId="77777777" w:rsidR="00EC0C00" w:rsidRPr="00A7627D" w:rsidRDefault="00EC0C00" w:rsidP="00EC0C00">
      <w:pPr>
        <w:spacing w:after="0" w:line="360" w:lineRule="auto"/>
        <w:ind w:left="720"/>
        <w:jc w:val="both"/>
        <w:rPr>
          <w:rFonts w:eastAsia="Calibri"/>
          <w:noProof/>
          <w:color w:val="4C4747"/>
          <w:lang w:val="es-DO"/>
        </w:rPr>
      </w:pPr>
      <w:r w:rsidRPr="00A7627D">
        <w:rPr>
          <w:rFonts w:eastAsia="Calibri"/>
          <w:noProof/>
          <w:color w:val="4C4747"/>
          <w:lang w:val="es-DO"/>
        </w:rPr>
        <w:t>Asistimos técnicamente a 13 territorios priorizados en la elaboración de sus instrumentos de planificación, adaptando las intervenciones a sus vocaciones específicas. Entre ellos se destacan, por categoría, las siguientes acciones:</w:t>
      </w:r>
    </w:p>
    <w:p w14:paraId="5A20626A" w14:textId="77777777" w:rsidR="00EC0C00" w:rsidRDefault="00EC0C00" w:rsidP="00EC0C00">
      <w:pPr>
        <w:spacing w:after="0" w:line="360" w:lineRule="auto"/>
        <w:ind w:left="720"/>
        <w:jc w:val="both"/>
        <w:rPr>
          <w:rFonts w:eastAsia="Calibri"/>
          <w:b/>
          <w:bCs/>
          <w:noProof/>
          <w:color w:val="4C4747"/>
          <w:lang w:val="es-DO"/>
        </w:rPr>
      </w:pPr>
    </w:p>
    <w:p w14:paraId="5A5A5D46" w14:textId="344BC70F"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lastRenderedPageBreak/>
        <w:t>Polos Turísticos:</w:t>
      </w:r>
      <w:r w:rsidRPr="00A7627D">
        <w:rPr>
          <w:rFonts w:eastAsia="Calibri"/>
          <w:noProof/>
          <w:color w:val="4C4747"/>
          <w:lang w:val="es-DO"/>
        </w:rPr>
        <w:t xml:space="preserve"> Completamos los Planes de Ordenamiento Territorial de Puerto Plata y el Distrito Municipal de Verón Punta Cana, fortaleciendo la gestión en zonas de alto interés estratégico e impactando positivamente su competitividad turística. Avanzamos significativamente en el diseño del PMOT de Río San Juan.</w:t>
      </w:r>
    </w:p>
    <w:p w14:paraId="57B92DFB" w14:textId="77777777" w:rsidR="00EC0C00" w:rsidRDefault="00EC0C00" w:rsidP="00EC0C00">
      <w:pPr>
        <w:spacing w:after="0" w:line="360" w:lineRule="auto"/>
        <w:ind w:left="720"/>
        <w:jc w:val="both"/>
        <w:rPr>
          <w:rFonts w:eastAsia="Calibri"/>
          <w:b/>
          <w:bCs/>
          <w:noProof/>
          <w:color w:val="4C4747"/>
          <w:lang w:val="es-DO"/>
        </w:rPr>
      </w:pPr>
    </w:p>
    <w:p w14:paraId="7625D112"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Suelos Productivos:</w:t>
      </w:r>
      <w:r w:rsidRPr="00A7627D">
        <w:rPr>
          <w:rFonts w:eastAsia="Calibri"/>
          <w:noProof/>
          <w:color w:val="4C4747"/>
          <w:lang w:val="es-DO"/>
        </w:rPr>
        <w:t xml:space="preserve"> Asistimos las fases de prospectiva y zonificación de Moca para proteger su capacidad agrícola. Ha sido completada la formulación del PMOT de Neiba, y con avances significativos San José de Ocoa y Yamasá, enfocándonos en la preservación de paisajes productivos de montaña.</w:t>
      </w:r>
    </w:p>
    <w:p w14:paraId="23D2860B" w14:textId="77777777" w:rsidR="00EC0C00" w:rsidRDefault="00EC0C00" w:rsidP="00EC0C00">
      <w:pPr>
        <w:spacing w:after="0" w:line="360" w:lineRule="auto"/>
        <w:ind w:left="720"/>
        <w:jc w:val="both"/>
        <w:rPr>
          <w:rFonts w:eastAsia="Calibri"/>
          <w:b/>
          <w:bCs/>
          <w:noProof/>
          <w:color w:val="4C4747"/>
          <w:lang w:val="es-DO"/>
        </w:rPr>
      </w:pPr>
    </w:p>
    <w:p w14:paraId="5E6D1A0D" w14:textId="77777777" w:rsidR="00EC0C00" w:rsidRPr="00A7627D" w:rsidRDefault="00EC0C00" w:rsidP="00EC0C00">
      <w:pPr>
        <w:spacing w:after="0" w:line="360" w:lineRule="auto"/>
        <w:ind w:left="720"/>
        <w:jc w:val="both"/>
        <w:rPr>
          <w:rFonts w:eastAsia="Calibri"/>
          <w:noProof/>
          <w:color w:val="4C4747"/>
          <w:lang w:val="es-DO"/>
        </w:rPr>
      </w:pPr>
      <w:r w:rsidRPr="00903043">
        <w:rPr>
          <w:rFonts w:eastAsia="Calibri"/>
          <w:b/>
          <w:bCs/>
          <w:noProof/>
          <w:color w:val="4C4747"/>
          <w:lang w:val="es-DO"/>
        </w:rPr>
        <w:t>Gestión Costera y Urbana:</w:t>
      </w:r>
      <w:r w:rsidRPr="00A7627D">
        <w:rPr>
          <w:rFonts w:eastAsia="Calibri"/>
          <w:noProof/>
          <w:color w:val="4C4747"/>
          <w:lang w:val="es-DO"/>
        </w:rPr>
        <w:t xml:space="preserve"> Ha sido completado el PMOT de San Cristóbal. Asimismo, completamos el instrumento de Delimitación de Suelo Urbano (IDSU) para Sabana Larga y avanzamos en los diagnósticos de Galván, Postrer Ríos, Los Ríos y La Descubierta, incorporando la conservación de servicios ecosistémicos para amortiguar amenazas futuras.</w:t>
      </w:r>
    </w:p>
    <w:p w14:paraId="1A8D5E8F" w14:textId="77777777" w:rsidR="00EC0C00" w:rsidRPr="00A7627D" w:rsidRDefault="00EC0C00" w:rsidP="00EC0C00">
      <w:pPr>
        <w:spacing w:after="0" w:line="360" w:lineRule="auto"/>
        <w:ind w:left="720"/>
        <w:jc w:val="both"/>
        <w:rPr>
          <w:rFonts w:eastAsia="Calibri"/>
          <w:noProof/>
          <w:color w:val="4C4747"/>
          <w:lang w:val="es-DO"/>
        </w:rPr>
      </w:pPr>
      <w:r w:rsidRPr="00A7627D">
        <w:rPr>
          <w:rFonts w:eastAsia="Calibri"/>
          <w:noProof/>
          <w:color w:val="4C4747"/>
          <w:lang w:val="es-DO"/>
        </w:rPr>
        <w:t>Realizamos análisis de riesgo específicos para el Plan de Ordenamiento de Verón y revisamos los instrumentos de 5 municipios clave (Neiba, Moca, Puerto Plata, Santiago y San Cristóbal), garantizando que su desarrollo considere los niveles de vulnerabilidad y exposición ante amenazas.</w:t>
      </w:r>
    </w:p>
    <w:p w14:paraId="3C7154C3" w14:textId="77777777" w:rsidR="00EC0C00" w:rsidRDefault="00EC0C00" w:rsidP="00EC0C00">
      <w:pPr>
        <w:spacing w:after="0" w:line="360" w:lineRule="auto"/>
        <w:ind w:left="720"/>
        <w:jc w:val="both"/>
        <w:rPr>
          <w:rFonts w:eastAsia="Calibri"/>
          <w:b/>
          <w:bCs/>
          <w:noProof/>
          <w:color w:val="4C4747"/>
          <w:lang w:val="es-DO"/>
        </w:rPr>
      </w:pPr>
    </w:p>
    <w:p w14:paraId="62CD9B3F" w14:textId="77777777" w:rsidR="00EC0C00" w:rsidRPr="006D7F1D" w:rsidRDefault="00EC0C00" w:rsidP="00EC0C00">
      <w:pPr>
        <w:spacing w:after="0" w:line="360" w:lineRule="auto"/>
        <w:ind w:left="720"/>
        <w:jc w:val="both"/>
        <w:rPr>
          <w:rFonts w:eastAsia="Calibri"/>
          <w:b/>
          <w:bCs/>
          <w:noProof/>
          <w:color w:val="4C4747"/>
          <w:lang w:val="es-DO"/>
        </w:rPr>
      </w:pPr>
      <w:r w:rsidRPr="006D7F1D">
        <w:rPr>
          <w:rFonts w:eastAsia="Calibri"/>
          <w:b/>
          <w:bCs/>
          <w:noProof/>
          <w:color w:val="4C4747"/>
          <w:lang w:val="es-DO"/>
        </w:rPr>
        <w:t>Educación y Cultura Territorial</w:t>
      </w:r>
    </w:p>
    <w:p w14:paraId="04C9BAFF" w14:textId="77777777"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Sensibilización Académica</w:t>
      </w:r>
      <w:r>
        <w:rPr>
          <w:rFonts w:eastAsia="Calibri"/>
          <w:b/>
          <w:bCs/>
          <w:noProof/>
          <w:color w:val="4C4747"/>
          <w:lang w:val="es-DO"/>
        </w:rPr>
        <w:t xml:space="preserve">: </w:t>
      </w:r>
      <w:r w:rsidRPr="00A7627D">
        <w:rPr>
          <w:rFonts w:eastAsia="Calibri"/>
          <w:noProof/>
          <w:color w:val="4C4747"/>
          <w:lang w:val="es-DO"/>
        </w:rPr>
        <w:t xml:space="preserve">Ejecutamos el Plan de Sensibilización Ciudadana mediante la celebración de 35 capacitaciones a estudiantes universitarios y 3 encuentros de alto nivel con autoridades académicas. Estas acciones </w:t>
      </w:r>
      <w:r w:rsidRPr="00A7627D">
        <w:rPr>
          <w:rFonts w:eastAsia="Calibri"/>
          <w:noProof/>
          <w:color w:val="4C4747"/>
          <w:lang w:val="es-DO"/>
        </w:rPr>
        <w:lastRenderedPageBreak/>
        <w:t>promovieron la incorporación del ordenamiento territorial en la currícula académica, subrayando su dimensión multidisciplinaria para el desarrollo nacional. En coordinación con la Liga Municipal Dominicana se ejecutó una capacitación especializada en planificación urbana y uso de suelo. Se diseñó un plan de capacitación de alto nivel con la UASD, UNPHU, UCNE y UCE, el cual será ejecutado a principios del año 2026. Se desarrolló un proceso de capacitación a 14 instituciones públicas en el uso de la herramienta CLEWs (Clima, Uso de Suelo, Energía y Agua), optimizando la toma de decisiones multisectoriales para anticipar impactos y fomentar la descarbonización.</w:t>
      </w:r>
    </w:p>
    <w:p w14:paraId="4A178CD2" w14:textId="77777777" w:rsidR="00EC0C00" w:rsidRPr="00A7627D" w:rsidRDefault="00EC0C00" w:rsidP="00EC0C00">
      <w:pPr>
        <w:spacing w:after="0" w:line="360" w:lineRule="auto"/>
        <w:ind w:left="720"/>
        <w:jc w:val="both"/>
        <w:rPr>
          <w:rFonts w:eastAsia="Calibri"/>
          <w:noProof/>
          <w:color w:val="4C4747"/>
          <w:lang w:val="es-DO"/>
        </w:rPr>
      </w:pPr>
      <w:r w:rsidRPr="00A7627D">
        <w:rPr>
          <w:rFonts w:eastAsia="Calibri"/>
          <w:noProof/>
          <w:color w:val="4C4747"/>
          <w:lang w:val="es-DO"/>
        </w:rPr>
        <w:t>Actualmente estamos dando asistencia técnica a un total de gobiernos locales en el diseño y la puesta en marcha de los instrumentos de ordenamiento territorial a escala local: PMOT e IDSU.</w:t>
      </w:r>
    </w:p>
    <w:p w14:paraId="0482395F" w14:textId="77777777" w:rsidR="00EC0C00" w:rsidRDefault="00EC0C00" w:rsidP="00EC0C00">
      <w:pPr>
        <w:spacing w:after="0" w:line="360" w:lineRule="auto"/>
        <w:ind w:left="720"/>
        <w:jc w:val="both"/>
        <w:rPr>
          <w:rFonts w:eastAsia="Calibri"/>
          <w:b/>
          <w:bCs/>
          <w:noProof/>
          <w:color w:val="4C4747"/>
          <w:lang w:val="es-DO"/>
        </w:rPr>
      </w:pPr>
    </w:p>
    <w:p w14:paraId="12DFA644" w14:textId="77777777" w:rsidR="00EC0C00" w:rsidRPr="006D7F1D" w:rsidRDefault="00EC0C00" w:rsidP="00EC0C00">
      <w:pPr>
        <w:spacing w:after="0" w:line="360" w:lineRule="auto"/>
        <w:ind w:left="720"/>
        <w:jc w:val="both"/>
        <w:rPr>
          <w:rFonts w:eastAsia="Calibri"/>
          <w:b/>
          <w:bCs/>
          <w:noProof/>
          <w:color w:val="4C4747"/>
          <w:lang w:val="es-DO"/>
        </w:rPr>
      </w:pPr>
      <w:r w:rsidRPr="006D7F1D">
        <w:rPr>
          <w:rFonts w:eastAsia="Calibri"/>
          <w:b/>
          <w:bCs/>
          <w:noProof/>
          <w:color w:val="4C4747"/>
          <w:lang w:val="es-DO"/>
        </w:rPr>
        <w:t>Transversalización de la política de gestión del riesgo de desastres y acción climática</w:t>
      </w:r>
    </w:p>
    <w:p w14:paraId="28FA2D63" w14:textId="77777777"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Evaluación de Desempeño (IBOG4):</w:t>
      </w:r>
      <w:r w:rsidRPr="00A7627D">
        <w:rPr>
          <w:rFonts w:eastAsia="Calibri"/>
          <w:noProof/>
          <w:color w:val="4C4747"/>
          <w:lang w:val="es-DO"/>
        </w:rPr>
        <w:t xml:space="preserve"> Asistimos y evaluamos a 45 instituciones del sector público en la transversalización de la gestión del riesgo. Como resultado, el 69% de estas entidades alcanzó el estado de “Objetivo logrado”, garantizando la incorporación de la reducción de riesgos en hitos críticos como planes estratégicos y presupuestos.</w:t>
      </w:r>
    </w:p>
    <w:p w14:paraId="03A395B6" w14:textId="77777777" w:rsidR="00EC0C00" w:rsidRDefault="00EC0C00" w:rsidP="00EC0C00">
      <w:pPr>
        <w:spacing w:after="0" w:line="360" w:lineRule="auto"/>
        <w:ind w:left="720"/>
        <w:jc w:val="both"/>
        <w:rPr>
          <w:rFonts w:eastAsia="Calibri"/>
          <w:b/>
          <w:bCs/>
          <w:noProof/>
          <w:color w:val="4C4747"/>
          <w:lang w:val="es-DO"/>
        </w:rPr>
      </w:pPr>
    </w:p>
    <w:p w14:paraId="20ABE8A9" w14:textId="276C5FCA"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 xml:space="preserve">Planificación Nacional: </w:t>
      </w:r>
      <w:r w:rsidRPr="00A7627D">
        <w:rPr>
          <w:rFonts w:eastAsia="Calibri"/>
          <w:noProof/>
          <w:color w:val="4C4747"/>
          <w:lang w:val="es-DO"/>
        </w:rPr>
        <w:t xml:space="preserve">Elaboramos la Contribución Nacionalmente Determinada (NDC 3.0) para superar la meta del 27% de reducción de emisiones y formulamos la Estrategia a Largo Plazo de Desarrollo Bajo en Carbono y Resiliente. </w:t>
      </w:r>
      <w:r w:rsidRPr="00A7627D">
        <w:rPr>
          <w:rFonts w:eastAsia="Calibri"/>
          <w:noProof/>
          <w:color w:val="4C4747"/>
          <w:lang w:val="es-DO"/>
        </w:rPr>
        <w:lastRenderedPageBreak/>
        <w:t>Estos instrumentos definieron la ruta del país hacia un futuro climáticamente resiliente.</w:t>
      </w:r>
    </w:p>
    <w:p w14:paraId="35AAECE3" w14:textId="77777777" w:rsidR="00EC0C00" w:rsidRDefault="00EC0C00" w:rsidP="00EC0C00">
      <w:pPr>
        <w:spacing w:after="0" w:line="360" w:lineRule="auto"/>
        <w:ind w:left="720"/>
        <w:jc w:val="both"/>
        <w:rPr>
          <w:rFonts w:eastAsia="Calibri"/>
          <w:b/>
          <w:bCs/>
          <w:noProof/>
          <w:color w:val="4C4747"/>
          <w:lang w:val="es-DO"/>
        </w:rPr>
      </w:pPr>
    </w:p>
    <w:p w14:paraId="7E096FFC" w14:textId="35B32BFA"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Inversión Resiliente:</w:t>
      </w:r>
      <w:r w:rsidRPr="00A7627D">
        <w:rPr>
          <w:rFonts w:eastAsia="Calibri"/>
          <w:noProof/>
          <w:color w:val="4C4747"/>
          <w:lang w:val="es-DO"/>
        </w:rPr>
        <w:t xml:space="preserve"> Diseñamos el Plan de Inversión para la Acción Climática, donde preseleccionamos 62 iniciativas y priorizamos 12 proyectos clave para su implementación inmediata, fortaleciendo la adaptación en sectores críticos como agua, energía e infraestructura.</w:t>
      </w:r>
    </w:p>
    <w:p w14:paraId="57E42F9C" w14:textId="77777777" w:rsidR="00EC0C00" w:rsidRDefault="00EC0C00" w:rsidP="00EC0C00">
      <w:pPr>
        <w:spacing w:after="0" w:line="360" w:lineRule="auto"/>
        <w:ind w:left="720"/>
        <w:jc w:val="both"/>
        <w:rPr>
          <w:rFonts w:eastAsia="Calibri"/>
          <w:b/>
          <w:bCs/>
          <w:noProof/>
          <w:color w:val="4C4747"/>
          <w:lang w:val="es-DO"/>
        </w:rPr>
      </w:pPr>
    </w:p>
    <w:p w14:paraId="4B1A1985" w14:textId="794E9CD9"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Proyecto de Respuesta a Emergencias:</w:t>
      </w:r>
      <w:r w:rsidRPr="00A7627D">
        <w:rPr>
          <w:rFonts w:eastAsia="Calibri"/>
          <w:noProof/>
          <w:color w:val="4C4747"/>
          <w:lang w:val="es-DO"/>
        </w:rPr>
        <w:t xml:space="preserve"> Pusimos en marcha el Plan Operativo del “Proyecto de Respuesta a Emergencias y Resiliencia”, que abarcará al 100% de las regiones con evaluaciones climáticas. Esta iniciativa beneficiará a 54 municipios con zonificación de riesgo y estrategias de adaptación, además de fortalecer a 10 instituciones sectoriales vinculadas.</w:t>
      </w:r>
    </w:p>
    <w:p w14:paraId="4351F0A3" w14:textId="77777777" w:rsidR="00EC0C00" w:rsidRDefault="00EC0C00" w:rsidP="00EC0C00">
      <w:pPr>
        <w:spacing w:after="0" w:line="360" w:lineRule="auto"/>
        <w:ind w:left="720"/>
        <w:rPr>
          <w:rFonts w:eastAsia="Calibri"/>
          <w:b/>
          <w:bCs/>
          <w:noProof/>
          <w:color w:val="4C4747"/>
          <w:lang w:val="es-DO"/>
        </w:rPr>
      </w:pPr>
    </w:p>
    <w:p w14:paraId="39897794" w14:textId="77777777" w:rsidR="00EC0C00" w:rsidRPr="006D7F1D" w:rsidRDefault="00EC0C00" w:rsidP="00EC0C00">
      <w:pPr>
        <w:spacing w:after="0" w:line="360" w:lineRule="auto"/>
        <w:ind w:left="720"/>
        <w:rPr>
          <w:rFonts w:eastAsia="Calibri"/>
          <w:b/>
          <w:bCs/>
          <w:noProof/>
          <w:color w:val="4C4747"/>
          <w:lang w:val="es-DO"/>
        </w:rPr>
      </w:pPr>
      <w:r w:rsidRPr="006D7F1D">
        <w:rPr>
          <w:rFonts w:eastAsia="Calibri"/>
          <w:b/>
          <w:bCs/>
          <w:noProof/>
          <w:color w:val="4C4747"/>
          <w:lang w:val="es-DO"/>
        </w:rPr>
        <w:t xml:space="preserve">Gobernanza y Articulación Territorial </w:t>
      </w:r>
    </w:p>
    <w:p w14:paraId="69BD44DA" w14:textId="77777777" w:rsidR="00EC0C00" w:rsidRPr="006D7F1D" w:rsidRDefault="00EC0C00" w:rsidP="00EC0C00">
      <w:pPr>
        <w:spacing w:after="0" w:line="360" w:lineRule="auto"/>
        <w:ind w:left="720"/>
        <w:jc w:val="both"/>
        <w:rPr>
          <w:rFonts w:eastAsia="Calibri"/>
          <w:b/>
          <w:bCs/>
          <w:noProof/>
          <w:color w:val="4C4747"/>
          <w:lang w:val="es-DO"/>
        </w:rPr>
      </w:pPr>
      <w:r w:rsidRPr="006D7F1D">
        <w:rPr>
          <w:rFonts w:eastAsia="Calibri"/>
          <w:b/>
          <w:bCs/>
          <w:noProof/>
          <w:color w:val="4C4747"/>
          <w:lang w:val="es-DO"/>
        </w:rPr>
        <w:t>Coordinación Interinstitucional</w:t>
      </w:r>
    </w:p>
    <w:p w14:paraId="1D07421A" w14:textId="77777777"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Mesa de Coordinación Intergubernamental:</w:t>
      </w:r>
      <w:r w:rsidRPr="00A7627D">
        <w:rPr>
          <w:rFonts w:eastAsia="Calibri"/>
          <w:noProof/>
          <w:color w:val="4C4747"/>
          <w:lang w:val="es-DO"/>
        </w:rPr>
        <w:t xml:space="preserve"> Activamos la Mesa de Coordinación como espacio consultivo esencial, celebrando sesiones de trabajo con ministerios clave (Medio Ambiente, Turismo, Obras Públicas, entre otros) y la Liga Municipal Dominicana. Elaboramos su modelo de funcionamiento en alianza con FEDOMU, garantizando la articulación del sistema a escala nacional, regional y municipal.</w:t>
      </w:r>
    </w:p>
    <w:p w14:paraId="63AFD604" w14:textId="77777777" w:rsidR="00EC0C00" w:rsidRDefault="00EC0C00" w:rsidP="00EC0C00">
      <w:pPr>
        <w:spacing w:after="0" w:line="360" w:lineRule="auto"/>
        <w:ind w:left="720"/>
        <w:jc w:val="both"/>
        <w:rPr>
          <w:rFonts w:eastAsia="Calibri"/>
          <w:b/>
          <w:bCs/>
          <w:noProof/>
          <w:color w:val="4C4747"/>
          <w:lang w:val="es-DO"/>
        </w:rPr>
      </w:pPr>
    </w:p>
    <w:p w14:paraId="3A7FB04B" w14:textId="68035A65"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Articulación Municipal:</w:t>
      </w:r>
      <w:r w:rsidRPr="00A7627D">
        <w:rPr>
          <w:rFonts w:eastAsia="Calibri"/>
          <w:noProof/>
          <w:color w:val="4C4747"/>
          <w:lang w:val="es-DO"/>
        </w:rPr>
        <w:t xml:space="preserve"> Coordinamos acciones estratégicas con FEDOMU y la Dirección General de Presupuesto (DIGEPRES) para consolidar los procesos de planificación y </w:t>
      </w:r>
      <w:r w:rsidRPr="00A7627D">
        <w:rPr>
          <w:rFonts w:eastAsia="Calibri"/>
          <w:noProof/>
          <w:color w:val="4C4747"/>
          <w:lang w:val="es-DO"/>
        </w:rPr>
        <w:lastRenderedPageBreak/>
        <w:t>presupuesto municipal, fortaleciendo la coherencia entre la inversión local y nacional.</w:t>
      </w:r>
    </w:p>
    <w:p w14:paraId="4F9B06B6" w14:textId="77777777" w:rsidR="00EC0C00" w:rsidRDefault="00EC0C00" w:rsidP="00EC0C00">
      <w:pPr>
        <w:spacing w:after="0" w:line="360" w:lineRule="auto"/>
        <w:ind w:left="720"/>
        <w:jc w:val="both"/>
        <w:rPr>
          <w:rFonts w:eastAsia="Calibri"/>
          <w:b/>
          <w:bCs/>
          <w:noProof/>
          <w:color w:val="4C4747"/>
          <w:lang w:val="es-DO"/>
        </w:rPr>
      </w:pPr>
    </w:p>
    <w:p w14:paraId="5061FE04" w14:textId="77777777" w:rsidR="00EC0C00" w:rsidRPr="006D7F1D" w:rsidRDefault="00EC0C00" w:rsidP="00EC0C00">
      <w:pPr>
        <w:spacing w:after="0" w:line="360" w:lineRule="auto"/>
        <w:ind w:left="720"/>
        <w:jc w:val="both"/>
        <w:rPr>
          <w:rFonts w:eastAsia="Calibri"/>
          <w:b/>
          <w:bCs/>
          <w:noProof/>
          <w:color w:val="4C4747"/>
          <w:lang w:val="es-DO"/>
        </w:rPr>
      </w:pPr>
      <w:r w:rsidRPr="006D7F1D">
        <w:rPr>
          <w:rFonts w:eastAsia="Calibri"/>
          <w:b/>
          <w:bCs/>
          <w:noProof/>
          <w:color w:val="4C4747"/>
          <w:lang w:val="es-DO"/>
        </w:rPr>
        <w:t>Participación Ciudadana y Demandas Territoriales</w:t>
      </w:r>
    </w:p>
    <w:p w14:paraId="5A5ABCD0" w14:textId="77777777" w:rsidR="00EC0C00" w:rsidRPr="00A7627D" w:rsidRDefault="00EC0C00" w:rsidP="00EC0C00">
      <w:pPr>
        <w:spacing w:after="0" w:line="360" w:lineRule="auto"/>
        <w:ind w:left="720"/>
        <w:jc w:val="both"/>
        <w:rPr>
          <w:rFonts w:eastAsia="Calibri"/>
          <w:noProof/>
          <w:color w:val="4C4747"/>
          <w:lang w:val="es-DO"/>
        </w:rPr>
      </w:pPr>
      <w:r w:rsidRPr="006D7F1D">
        <w:rPr>
          <w:rFonts w:eastAsia="Calibri"/>
          <w:b/>
          <w:bCs/>
          <w:noProof/>
          <w:color w:val="4C4747"/>
          <w:lang w:val="es-DO"/>
        </w:rPr>
        <w:t>Jornadas Territoriales:</w:t>
      </w:r>
      <w:r w:rsidRPr="00A7627D">
        <w:rPr>
          <w:rFonts w:eastAsia="Calibri"/>
          <w:noProof/>
          <w:color w:val="4C4747"/>
          <w:lang w:val="es-DO"/>
        </w:rPr>
        <w:t xml:space="preserve"> Desarrollamos las Jornadas de Consulta Ciudadana 2025 en todas las provincias del país. A través de este diálogo participativo, priorizamos las demandas de infraestructura y servicios para su inclusión transparente en el Presupuesto General del Estado 2026. Logramos que 548 proyectos de inversión pública fueran vinculados a las demandas territoriales.</w:t>
      </w:r>
    </w:p>
    <w:p w14:paraId="122924EE" w14:textId="77777777" w:rsidR="00EC0C00" w:rsidRDefault="00EC0C00" w:rsidP="00EC0C00">
      <w:pPr>
        <w:spacing w:after="0" w:line="360" w:lineRule="auto"/>
        <w:ind w:left="720"/>
        <w:jc w:val="both"/>
        <w:rPr>
          <w:rFonts w:eastAsia="Calibri"/>
          <w:b/>
          <w:bCs/>
          <w:noProof/>
          <w:color w:val="4C4747"/>
          <w:lang w:val="es-DO"/>
        </w:rPr>
      </w:pPr>
    </w:p>
    <w:p w14:paraId="660A5DD6" w14:textId="5E20249B" w:rsidR="00EC0C00" w:rsidRDefault="00EC0C00" w:rsidP="00EC0C00">
      <w:pPr>
        <w:spacing w:after="0" w:line="360" w:lineRule="auto"/>
        <w:ind w:left="720"/>
        <w:jc w:val="both"/>
        <w:rPr>
          <w:rFonts w:eastAsia="Calibri"/>
          <w:noProof/>
          <w:color w:val="4C4747"/>
          <w:lang w:val="es-DO"/>
        </w:rPr>
      </w:pPr>
      <w:r w:rsidRPr="00224C04">
        <w:rPr>
          <w:rFonts w:eastAsia="Calibri"/>
          <w:b/>
          <w:bCs/>
          <w:noProof/>
          <w:color w:val="4C4747"/>
          <w:lang w:val="es-DO"/>
        </w:rPr>
        <w:t>Consejos de Desarrollo:</w:t>
      </w:r>
      <w:r w:rsidRPr="00A7627D">
        <w:rPr>
          <w:rFonts w:eastAsia="Calibri"/>
          <w:noProof/>
          <w:color w:val="4C4747"/>
          <w:lang w:val="es-DO"/>
        </w:rPr>
        <w:t xml:space="preserve"> Acompañamos a 90 Consejos de Desarrollo para fortalecer sus capacidades de planificación. Actualizamos las demandas en el Registro Único de Demandas Ciudadanas Territoriales (RUDCT) y definimos sus prioridades junto a los actores locales, logrando vincular las necesidades ciudadanas directamente con la oferta de servicios del Sistema Nacional de Inversión Pública.</w:t>
      </w:r>
    </w:p>
    <w:p w14:paraId="36BED89F" w14:textId="77777777" w:rsidR="00EC0C00" w:rsidRPr="00A7627D" w:rsidRDefault="00EC0C00" w:rsidP="00EC0C00">
      <w:pPr>
        <w:spacing w:after="0" w:line="360" w:lineRule="auto"/>
        <w:ind w:left="720"/>
        <w:jc w:val="both"/>
        <w:rPr>
          <w:rFonts w:eastAsia="Calibri"/>
          <w:noProof/>
          <w:color w:val="4C4747"/>
          <w:lang w:val="es-DO"/>
        </w:rPr>
      </w:pPr>
    </w:p>
    <w:p w14:paraId="52892B98" w14:textId="77777777" w:rsidR="00EC0C00" w:rsidRPr="00224C04" w:rsidRDefault="00EC0C00" w:rsidP="00EC0C00">
      <w:pPr>
        <w:spacing w:after="0" w:line="360" w:lineRule="auto"/>
        <w:ind w:left="720"/>
        <w:jc w:val="both"/>
        <w:rPr>
          <w:rFonts w:eastAsia="Calibri"/>
          <w:b/>
          <w:bCs/>
          <w:noProof/>
          <w:color w:val="4C4747"/>
          <w:lang w:val="es-DO"/>
        </w:rPr>
      </w:pPr>
      <w:r w:rsidRPr="00224C04">
        <w:rPr>
          <w:rFonts w:eastAsia="Calibri"/>
          <w:b/>
          <w:bCs/>
          <w:noProof/>
          <w:color w:val="4C4747"/>
          <w:lang w:val="es-DO"/>
        </w:rPr>
        <w:t>Implementación de la Política Transversal de Cohesión Territorial (PTCT)</w:t>
      </w:r>
    </w:p>
    <w:p w14:paraId="735A4C45" w14:textId="77777777" w:rsidR="00EC0C00" w:rsidRPr="00A7627D" w:rsidRDefault="00EC0C00" w:rsidP="00EC0C00">
      <w:pPr>
        <w:spacing w:after="0" w:line="360" w:lineRule="auto"/>
        <w:ind w:left="720"/>
        <w:jc w:val="both"/>
        <w:rPr>
          <w:rFonts w:eastAsia="Calibri"/>
          <w:noProof/>
          <w:color w:val="4C4747"/>
          <w:lang w:val="es-DO"/>
        </w:rPr>
      </w:pPr>
      <w:r w:rsidRPr="00224C04">
        <w:rPr>
          <w:rFonts w:eastAsia="Calibri"/>
          <w:b/>
          <w:bCs/>
          <w:noProof/>
          <w:color w:val="4C4747"/>
          <w:lang w:val="es-DO"/>
        </w:rPr>
        <w:t>Alcance e Implementación:</w:t>
      </w:r>
      <w:r w:rsidRPr="00A7627D">
        <w:rPr>
          <w:rFonts w:eastAsia="Calibri"/>
          <w:noProof/>
          <w:color w:val="4C4747"/>
          <w:lang w:val="es-DO"/>
        </w:rPr>
        <w:t xml:space="preserve"> Impulsamos la PTCT en 45 instituciones públicas que ejecutan el 75% del presupuesto nacional, cumpliendo con el mandato del Decreto 134-14. Esta priorización buscó potenciar una planificación estratégica regionalizada y reducir las brechas de desarrollo mediante la dotación coordinada de infraestructura y servicios.</w:t>
      </w:r>
    </w:p>
    <w:p w14:paraId="274F576A" w14:textId="77777777" w:rsidR="00EC0C00" w:rsidRDefault="00EC0C00" w:rsidP="00EC0C00">
      <w:pPr>
        <w:spacing w:after="0" w:line="360" w:lineRule="auto"/>
        <w:ind w:left="720"/>
        <w:jc w:val="both"/>
        <w:rPr>
          <w:rFonts w:eastAsia="Calibri"/>
          <w:b/>
          <w:bCs/>
          <w:noProof/>
          <w:color w:val="4C4747"/>
          <w:lang w:val="es-DO"/>
        </w:rPr>
      </w:pPr>
    </w:p>
    <w:p w14:paraId="6A2CDC0A" w14:textId="4F7A7109" w:rsidR="00EC0C00" w:rsidRPr="00A7627D" w:rsidRDefault="00EC0C00" w:rsidP="00EC0C00">
      <w:pPr>
        <w:spacing w:after="0" w:line="360" w:lineRule="auto"/>
        <w:ind w:left="720"/>
        <w:jc w:val="both"/>
        <w:rPr>
          <w:rFonts w:eastAsia="Calibri"/>
          <w:noProof/>
          <w:color w:val="4C4747"/>
          <w:lang w:val="es-DO"/>
        </w:rPr>
      </w:pPr>
      <w:r w:rsidRPr="00224C04">
        <w:rPr>
          <w:rFonts w:eastAsia="Calibri"/>
          <w:b/>
          <w:bCs/>
          <w:noProof/>
          <w:color w:val="4C4747"/>
          <w:lang w:val="es-DO"/>
        </w:rPr>
        <w:t xml:space="preserve">Capacitación del Capital Humano: </w:t>
      </w:r>
      <w:r w:rsidRPr="00A7627D">
        <w:rPr>
          <w:rFonts w:eastAsia="Calibri"/>
          <w:noProof/>
          <w:color w:val="4C4747"/>
          <w:lang w:val="es-DO"/>
        </w:rPr>
        <w:t xml:space="preserve">Capacitamos a 375 servidores públicos (235 en inducción y 140 en formulación de </w:t>
      </w:r>
      <w:r w:rsidRPr="00A7627D">
        <w:rPr>
          <w:rFonts w:eastAsia="Calibri"/>
          <w:noProof/>
          <w:color w:val="4C4747"/>
          <w:lang w:val="es-DO"/>
        </w:rPr>
        <w:lastRenderedPageBreak/>
        <w:t>evidencias) para asegurar la correcta transversalización de la cohesión territorial en los instrumentos de planificación y operatividad institucional.</w:t>
      </w:r>
    </w:p>
    <w:p w14:paraId="0DD132DC" w14:textId="77777777" w:rsidR="00EC0C00" w:rsidRDefault="00EC0C00" w:rsidP="00EC0C00">
      <w:pPr>
        <w:spacing w:after="0" w:line="360" w:lineRule="auto"/>
        <w:ind w:left="720"/>
        <w:jc w:val="both"/>
        <w:rPr>
          <w:rFonts w:eastAsia="Calibri"/>
          <w:b/>
          <w:bCs/>
          <w:noProof/>
          <w:color w:val="4C4747"/>
          <w:lang w:val="es-DO"/>
        </w:rPr>
      </w:pPr>
    </w:p>
    <w:p w14:paraId="560257E7" w14:textId="29D93BA0" w:rsidR="00EC0C00" w:rsidRPr="00A7627D" w:rsidRDefault="00EC0C00" w:rsidP="00EC0C00">
      <w:pPr>
        <w:spacing w:after="0" w:line="360" w:lineRule="auto"/>
        <w:ind w:left="720"/>
        <w:jc w:val="both"/>
        <w:rPr>
          <w:rFonts w:eastAsia="Calibri"/>
          <w:noProof/>
          <w:color w:val="4C4747"/>
          <w:lang w:val="es-DO"/>
        </w:rPr>
      </w:pPr>
      <w:r w:rsidRPr="00224C04">
        <w:rPr>
          <w:rFonts w:eastAsia="Calibri"/>
          <w:b/>
          <w:bCs/>
          <w:noProof/>
          <w:color w:val="4C4747"/>
          <w:lang w:val="es-DO"/>
        </w:rPr>
        <w:t>Resultados de Gestión (SISMAP-Gestión Pública):</w:t>
      </w:r>
      <w:r w:rsidRPr="00A7627D">
        <w:rPr>
          <w:rFonts w:eastAsia="Calibri"/>
          <w:noProof/>
          <w:color w:val="4C4747"/>
          <w:lang w:val="es-DO"/>
        </w:rPr>
        <w:t xml:space="preserve"> Evaluamos el desempeño a través de los nuevos indicadores del SISMAP Gestión Pública, logrando que 36 instituciones vincularan las demandas ciudadanas en sus Planes Operativos Anuales (POA) con un enfoque de reducción de brechas. Asimismo, 34 entidades integraron el análisis de cohesión en su Planificación Estratégica (PEI) y establecieron contactos clave para la consolidación de demandas provinciales, mientras que 27 instituciones lograron la desagregación territorial de sus informaciones, fortaleciendo la coordinación multinivel.</w:t>
      </w:r>
    </w:p>
    <w:p w14:paraId="32F324D1" w14:textId="77777777" w:rsidR="00EC0C00" w:rsidRDefault="00EC0C00" w:rsidP="00EC0C00">
      <w:pPr>
        <w:spacing w:after="0" w:line="360" w:lineRule="auto"/>
        <w:ind w:left="720"/>
        <w:jc w:val="both"/>
        <w:rPr>
          <w:rFonts w:eastAsia="Calibri"/>
          <w:noProof/>
          <w:color w:val="4C4747"/>
          <w:lang w:val="es-DO"/>
        </w:rPr>
      </w:pPr>
    </w:p>
    <w:p w14:paraId="1392A04D" w14:textId="77777777" w:rsidR="00F819C0" w:rsidRPr="00C1375D" w:rsidRDefault="00F819C0" w:rsidP="004A7B4D">
      <w:pPr>
        <w:pStyle w:val="ListParagraph"/>
        <w:numPr>
          <w:ilvl w:val="1"/>
          <w:numId w:val="101"/>
        </w:numPr>
        <w:spacing w:after="0" w:line="360" w:lineRule="auto"/>
        <w:ind w:left="720"/>
        <w:jc w:val="center"/>
        <w:outlineLvl w:val="1"/>
        <w:rPr>
          <w:rFonts w:eastAsia="Calibri"/>
          <w:b/>
          <w:bCs/>
          <w:noProof/>
          <w:color w:val="4C4747"/>
        </w:rPr>
      </w:pPr>
      <w:r>
        <w:rPr>
          <w:rFonts w:eastAsia="Calibri"/>
          <w:b/>
          <w:bCs/>
          <w:noProof/>
          <w:color w:val="4C4747"/>
        </w:rPr>
        <w:t xml:space="preserve"> </w:t>
      </w:r>
      <w:bookmarkStart w:id="92" w:name="_Toc217382616"/>
      <w:r w:rsidRPr="00C1375D">
        <w:rPr>
          <w:rFonts w:eastAsia="Calibri"/>
          <w:b/>
          <w:bCs/>
          <w:noProof/>
          <w:color w:val="4C4747"/>
        </w:rPr>
        <w:t>Centro Nacional de Fomento y Promoción de las Asociaciones Sin Fines de Lucro</w:t>
      </w:r>
      <w:bookmarkEnd w:id="92"/>
    </w:p>
    <w:p w14:paraId="7B1C6BD5" w14:textId="77777777" w:rsidR="00F819C0" w:rsidRDefault="00F819C0" w:rsidP="00F819C0">
      <w:pPr>
        <w:spacing w:after="0" w:line="360" w:lineRule="auto"/>
        <w:ind w:left="720"/>
        <w:jc w:val="center"/>
        <w:rPr>
          <w:rFonts w:eastAsia="Calibri"/>
          <w:b/>
          <w:bCs/>
          <w:noProof/>
          <w:color w:val="4C4747"/>
          <w:lang w:val="es-DO"/>
        </w:rPr>
      </w:pPr>
    </w:p>
    <w:p w14:paraId="0C61BD9F" w14:textId="77777777" w:rsidR="00F819C0"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El CASFL como órgano rector del sistema de gestión de las organizaciones sin fines de lucro que tiene la responsabilidad de promover la participación de las Asociaciones sin Fines de Lucro (ASFL) en la gestión de los programas de desarrollo nacionales, regionales, provinciales y municipales. Además, de fomentar y canalizar la eficiente relación entre el Estado y la sociedad civil.  </w:t>
      </w:r>
    </w:p>
    <w:p w14:paraId="74A661D7" w14:textId="77777777" w:rsidR="00F972CC" w:rsidRPr="00B871A6" w:rsidRDefault="00F972CC" w:rsidP="00F819C0">
      <w:pPr>
        <w:spacing w:after="0" w:line="360" w:lineRule="auto"/>
        <w:ind w:left="720"/>
        <w:jc w:val="both"/>
        <w:rPr>
          <w:rFonts w:eastAsia="Calibri"/>
          <w:noProof/>
          <w:color w:val="4C4747"/>
          <w:lang w:val="es-DO"/>
        </w:rPr>
      </w:pPr>
    </w:p>
    <w:p w14:paraId="1CB43E54" w14:textId="77777777" w:rsidR="00F819C0"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Durante el período enero–diciembre de 2025, el Centro Nacional de Fomento y Promoción de las ASFL desarrolló acciones orientadas al fortalecimiento del sistema de gestión, la transparencia y la articulación con las asociaciones sin fines </w:t>
      </w:r>
      <w:r w:rsidRPr="00B871A6">
        <w:rPr>
          <w:rFonts w:eastAsia="Calibri"/>
          <w:noProof/>
          <w:color w:val="4C4747"/>
          <w:lang w:val="es-DO"/>
        </w:rPr>
        <w:lastRenderedPageBreak/>
        <w:t>de lucro (ASFL), en cumplimiento de la Ley 122-05 y su normativa complementaria.</w:t>
      </w:r>
    </w:p>
    <w:p w14:paraId="7B884FDB" w14:textId="77777777" w:rsidR="00F972CC" w:rsidRPr="00B871A6" w:rsidRDefault="00F972CC" w:rsidP="00F819C0">
      <w:pPr>
        <w:spacing w:after="0" w:line="360" w:lineRule="auto"/>
        <w:ind w:left="720"/>
        <w:jc w:val="both"/>
        <w:rPr>
          <w:rFonts w:eastAsia="Calibri"/>
          <w:noProof/>
          <w:color w:val="4C4747"/>
          <w:lang w:val="es-DO"/>
        </w:rPr>
      </w:pPr>
    </w:p>
    <w:p w14:paraId="49C7CD85" w14:textId="77777777" w:rsidR="00F819C0"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Con las acciones desarrolladas durante el 2025, el Centro consolidó los procesos de gestión, control y acompañamiento a las ASFL, avanzando en la organización del sistema y en la mejora de los mecanismos que rigen su relación con el Estado. Estos resultados servirán de base para las iniciativas previstas en 2026, orientadas a fortalecer la transparencia, la eficiencia y la participación del sector.</w:t>
      </w:r>
    </w:p>
    <w:p w14:paraId="11243937" w14:textId="77777777" w:rsidR="00F819C0" w:rsidRPr="00B871A6" w:rsidRDefault="00F819C0" w:rsidP="00F819C0">
      <w:pPr>
        <w:spacing w:after="0" w:line="360" w:lineRule="auto"/>
        <w:ind w:left="720"/>
        <w:jc w:val="both"/>
        <w:rPr>
          <w:rFonts w:eastAsia="Calibri"/>
          <w:noProof/>
          <w:color w:val="4C4747"/>
          <w:lang w:val="es-DO"/>
        </w:rPr>
      </w:pPr>
      <w:r>
        <w:rPr>
          <w:rFonts w:eastAsia="Calibri"/>
          <w:noProof/>
          <w:color w:val="4C4747"/>
          <w:lang w:val="es-DO"/>
        </w:rPr>
        <w:t xml:space="preserve">Dentro de </w:t>
      </w:r>
      <w:r w:rsidRPr="00B871A6">
        <w:rPr>
          <w:rFonts w:eastAsia="Calibri"/>
          <w:noProof/>
          <w:color w:val="4C4747"/>
          <w:lang w:val="es-DO"/>
        </w:rPr>
        <w:t xml:space="preserve">los resultados obtenidos durante el </w:t>
      </w:r>
      <w:r>
        <w:rPr>
          <w:rFonts w:eastAsia="Calibri"/>
          <w:noProof/>
          <w:color w:val="4C4747"/>
          <w:lang w:val="es-DO"/>
        </w:rPr>
        <w:t xml:space="preserve">dicho </w:t>
      </w:r>
      <w:r w:rsidRPr="00B871A6">
        <w:rPr>
          <w:rFonts w:eastAsia="Calibri"/>
          <w:noProof/>
          <w:color w:val="4C4747"/>
          <w:lang w:val="es-DO"/>
        </w:rPr>
        <w:t xml:space="preserve">periodo </w:t>
      </w:r>
      <w:r>
        <w:rPr>
          <w:rFonts w:eastAsia="Calibri"/>
          <w:noProof/>
          <w:color w:val="4C4747"/>
          <w:lang w:val="es-DO"/>
        </w:rPr>
        <w:t>se encuentran:</w:t>
      </w:r>
      <w:r w:rsidRPr="00B871A6">
        <w:rPr>
          <w:rFonts w:eastAsia="Calibri"/>
          <w:noProof/>
          <w:color w:val="4C4747"/>
          <w:lang w:val="es-DO"/>
        </w:rPr>
        <w:t xml:space="preserve"> </w:t>
      </w:r>
    </w:p>
    <w:p w14:paraId="35B3BAEA" w14:textId="77777777" w:rsidR="00F819C0" w:rsidRPr="00B871A6" w:rsidRDefault="00F819C0" w:rsidP="00F819C0">
      <w:pPr>
        <w:pStyle w:val="ListParagraph"/>
        <w:numPr>
          <w:ilvl w:val="0"/>
          <w:numId w:val="91"/>
        </w:numPr>
        <w:spacing w:after="0" w:line="360" w:lineRule="auto"/>
        <w:jc w:val="both"/>
        <w:rPr>
          <w:rFonts w:eastAsia="Calibri"/>
          <w:noProof/>
          <w:color w:val="4C4747"/>
        </w:rPr>
      </w:pPr>
      <w:r w:rsidRPr="00B871A6">
        <w:rPr>
          <w:rFonts w:eastAsia="Calibri"/>
          <w:noProof/>
          <w:color w:val="4C4747"/>
        </w:rPr>
        <w:t xml:space="preserve">Subvención asignada a las ASFL que cumplen con la Ley 122-05 </w:t>
      </w:r>
    </w:p>
    <w:p w14:paraId="4B1664DF"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En cuanto al cumplimento de la Ley sobre regulación y fomento de las Asociaciones sin Fines de Lucro en la República Dominicana, se llevaron a cabo las siguientes acciones: </w:t>
      </w:r>
    </w:p>
    <w:p w14:paraId="35288BE4" w14:textId="77777777" w:rsidR="00F819C0" w:rsidRDefault="00F819C0" w:rsidP="00F819C0">
      <w:pPr>
        <w:pStyle w:val="ListParagraph"/>
        <w:numPr>
          <w:ilvl w:val="0"/>
          <w:numId w:val="92"/>
        </w:numPr>
        <w:spacing w:after="0" w:line="360" w:lineRule="auto"/>
        <w:jc w:val="both"/>
        <w:rPr>
          <w:rFonts w:eastAsia="Calibri"/>
          <w:noProof/>
          <w:color w:val="4C4747"/>
        </w:rPr>
      </w:pPr>
      <w:r w:rsidRPr="00727CB4">
        <w:rPr>
          <w:rFonts w:eastAsia="Calibri"/>
          <w:noProof/>
          <w:color w:val="4C4747"/>
        </w:rPr>
        <w:t>Se elaboraron los términos de referencia sectoriales para la convocatoria y la evaluación de las solicitudes de aplicación de las ASFL a los fondos de subvención con cargo al Presupuesto General del Estado del año 2026.</w:t>
      </w:r>
    </w:p>
    <w:p w14:paraId="6F8B6B3D" w14:textId="77777777" w:rsidR="00F819C0" w:rsidRDefault="00F819C0" w:rsidP="00F819C0">
      <w:pPr>
        <w:pStyle w:val="ListParagraph"/>
        <w:numPr>
          <w:ilvl w:val="0"/>
          <w:numId w:val="92"/>
        </w:numPr>
        <w:spacing w:after="0" w:line="360" w:lineRule="auto"/>
        <w:jc w:val="both"/>
        <w:rPr>
          <w:rFonts w:eastAsia="Calibri"/>
          <w:noProof/>
          <w:color w:val="4C4747"/>
        </w:rPr>
      </w:pPr>
      <w:r w:rsidRPr="00727CB4">
        <w:rPr>
          <w:rFonts w:eastAsia="Calibri"/>
          <w:noProof/>
          <w:color w:val="4C4747"/>
        </w:rPr>
        <w:t>Se actualizó y socializó la metodología para la evaluación de las solicitudes de subvención con cargo al Presupuesto General del año 2026, presentada a través del Sistema Integrado de Gestión de las ASFL (SIGASFL).</w:t>
      </w:r>
    </w:p>
    <w:p w14:paraId="529DF2F4" w14:textId="77777777" w:rsidR="00F819C0" w:rsidRDefault="00F819C0" w:rsidP="00F819C0">
      <w:pPr>
        <w:pStyle w:val="ListParagraph"/>
        <w:numPr>
          <w:ilvl w:val="0"/>
          <w:numId w:val="92"/>
        </w:numPr>
        <w:spacing w:after="0" w:line="360" w:lineRule="auto"/>
        <w:jc w:val="both"/>
        <w:rPr>
          <w:rFonts w:eastAsia="Calibri"/>
          <w:noProof/>
          <w:color w:val="4C4747"/>
        </w:rPr>
      </w:pPr>
      <w:r w:rsidRPr="00727CB4">
        <w:rPr>
          <w:rFonts w:eastAsia="Calibri"/>
          <w:noProof/>
          <w:color w:val="4C4747"/>
        </w:rPr>
        <w:t>Se lanzó la convocatoria de subvención para las Asociaciones sin Fines de Lucro (ASFL), que serían evaluadas y posteriormente recomendadas para su inclusión en la Ley de Presupuesto General del Estado 2026; en este proceso se recibieron y evaluaron 915 solicitudes.</w:t>
      </w:r>
    </w:p>
    <w:p w14:paraId="107E54C8" w14:textId="77777777" w:rsidR="00F819C0" w:rsidRDefault="00F819C0" w:rsidP="00F819C0">
      <w:pPr>
        <w:pStyle w:val="ListParagraph"/>
        <w:numPr>
          <w:ilvl w:val="0"/>
          <w:numId w:val="92"/>
        </w:numPr>
        <w:spacing w:after="0" w:line="360" w:lineRule="auto"/>
        <w:jc w:val="both"/>
        <w:rPr>
          <w:rFonts w:eastAsia="Calibri"/>
          <w:noProof/>
          <w:color w:val="4C4747"/>
        </w:rPr>
      </w:pPr>
      <w:r w:rsidRPr="00727CB4">
        <w:rPr>
          <w:rFonts w:eastAsia="Calibri"/>
          <w:noProof/>
          <w:color w:val="4C4747"/>
        </w:rPr>
        <w:lastRenderedPageBreak/>
        <w:t>Se recomendaron 51 nuevos convenios de gestión, alcanzando un total de 121 en el marco de la estrategia institucional orientada a fortalecer y eficientizar la inversión pública en proyectos ejecutados por ASFL, con el objetivo de transformar los subsidios vigentes en convenios de gestión durante el período 2025–2027, conforme a la Ley núm. 1-12 de la Estrategia Nacional de Desarrollo (línea de acción 1.1.1.19).</w:t>
      </w:r>
    </w:p>
    <w:p w14:paraId="598743D6" w14:textId="77777777" w:rsidR="00F819C0" w:rsidRDefault="00F819C0" w:rsidP="00F819C0">
      <w:pPr>
        <w:pStyle w:val="ListParagraph"/>
        <w:numPr>
          <w:ilvl w:val="0"/>
          <w:numId w:val="92"/>
        </w:numPr>
        <w:spacing w:after="0" w:line="360" w:lineRule="auto"/>
        <w:jc w:val="both"/>
        <w:rPr>
          <w:rFonts w:eastAsia="Calibri"/>
          <w:noProof/>
          <w:color w:val="4C4747"/>
        </w:rPr>
      </w:pPr>
      <w:r w:rsidRPr="00727CB4">
        <w:rPr>
          <w:rFonts w:eastAsia="Calibri"/>
          <w:noProof/>
          <w:color w:val="4C4747"/>
        </w:rPr>
        <w:t>Se recomendaron 704 asociaciones sin fines de lucro para su inclusión en el Presupuesto General del Estado de 2026, las cuales desarrollan proyectos alineados con las políticas priorizadas del Plan Nacional Plurianual del Sector Público, la Estrategia Nacional de Desarrollo y los Objetivos de Desarrollo Sostenible.</w:t>
      </w:r>
    </w:p>
    <w:p w14:paraId="35425803" w14:textId="77777777" w:rsidR="00F819C0" w:rsidRDefault="00F819C0" w:rsidP="00F819C0">
      <w:pPr>
        <w:pStyle w:val="ListParagraph"/>
        <w:numPr>
          <w:ilvl w:val="0"/>
          <w:numId w:val="92"/>
        </w:numPr>
        <w:spacing w:after="0" w:line="360" w:lineRule="auto"/>
        <w:jc w:val="both"/>
        <w:rPr>
          <w:rFonts w:eastAsia="Calibri"/>
          <w:noProof/>
          <w:color w:val="4C4747"/>
        </w:rPr>
      </w:pPr>
      <w:r w:rsidRPr="00727CB4">
        <w:rPr>
          <w:rFonts w:eastAsia="Calibri"/>
          <w:noProof/>
          <w:color w:val="4C4747"/>
        </w:rPr>
        <w:t>Se elaboró el Informe de Anteproyecto de Presupuesto 2026, que recopila los detalles del proceso de recomendación de presupuesto para las ASFL con cargo al Presupuesto General del Estado, en cumplimiento de la Ley 122-05, su Reglamento de Aplicación 40-08 y los Términos de Referencia de la convocatoria 2026.</w:t>
      </w:r>
    </w:p>
    <w:p w14:paraId="4D373AD0" w14:textId="77777777" w:rsidR="00F819C0" w:rsidRPr="00727CB4" w:rsidRDefault="00F819C0" w:rsidP="00F819C0">
      <w:pPr>
        <w:pStyle w:val="ListParagraph"/>
        <w:spacing w:after="0" w:line="360" w:lineRule="auto"/>
        <w:jc w:val="both"/>
        <w:rPr>
          <w:rFonts w:eastAsia="Calibri"/>
          <w:noProof/>
          <w:color w:val="4C4747"/>
        </w:rPr>
      </w:pPr>
    </w:p>
    <w:p w14:paraId="5AD82197" w14:textId="77777777" w:rsidR="00F819C0" w:rsidRPr="00B871A6" w:rsidRDefault="00F819C0" w:rsidP="00F819C0">
      <w:pPr>
        <w:pStyle w:val="ListParagraph"/>
        <w:numPr>
          <w:ilvl w:val="0"/>
          <w:numId w:val="91"/>
        </w:numPr>
        <w:tabs>
          <w:tab w:val="left" w:pos="360"/>
        </w:tabs>
        <w:spacing w:after="0" w:line="360" w:lineRule="auto"/>
        <w:jc w:val="both"/>
        <w:rPr>
          <w:rFonts w:eastAsia="Calibri"/>
          <w:noProof/>
          <w:color w:val="4C4747"/>
        </w:rPr>
      </w:pPr>
      <w:r w:rsidRPr="00B871A6">
        <w:rPr>
          <w:rFonts w:eastAsia="Calibri"/>
          <w:noProof/>
          <w:color w:val="4C4747"/>
        </w:rPr>
        <w:t>Gestión y actualización del Registro Nacional de Habilitación de las ASFL.</w:t>
      </w:r>
    </w:p>
    <w:p w14:paraId="308D8A81"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Durante el año 2025, el Centro Nacional de Fomento y Promoción de las Asociaciones sin Fines de Lucro (CASFL) fortaleció los procesos de registro y habilitación de las asociaciones sin fines de lucro (ASFL), garantizando el cumplimiento del marco legal y una gestión más eficiente, a través del Sistema Integrado de Gestión de las ASFL (SIGASFL).</w:t>
      </w:r>
    </w:p>
    <w:p w14:paraId="410738E0"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lastRenderedPageBreak/>
        <w:t>Evaluó 452 solicitudes de inscripción en el Registro Nacional de Habilitación mediante el SIGASFL.</w:t>
      </w:r>
    </w:p>
    <w:p w14:paraId="4D1DC430"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Evaluó el estatus del registro y el nivel de cumplimiento de los requisitos legales, administrativos y financieros de 704 ASFL con recomendación de fondos públicos en el Presupuesto General del Estado 2026.</w:t>
      </w:r>
    </w:p>
    <w:p w14:paraId="09FC44FA"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A través de las solicitudes de servicio gestionadas en el SIGASFL, la División de Registro y Habilitación:</w:t>
      </w:r>
    </w:p>
    <w:p w14:paraId="2DEECEA3"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Evaluó 385 solicitudes de cambio de datos.</w:t>
      </w:r>
    </w:p>
    <w:p w14:paraId="3D7A1650"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Evaluó 212 solicitudes de certificación de registro.</w:t>
      </w:r>
    </w:p>
    <w:p w14:paraId="0FB6BF66"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La actualización constante de los registros fortaleció la gestión del CASFL sobre las ASFL y facilitó su acceso a los incentivos establecidos en la Ley núm. 122-05. El sistema permaneció disponible para actualizaciones continuas por parte de las asociaciones, lo que permitió un acompañamiento técnico cercano tanto a las ASFL como a los órganos sectoriales. </w:t>
      </w:r>
    </w:p>
    <w:p w14:paraId="70D978B4"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Como resultado de este servicio, el CASFL:</w:t>
      </w:r>
    </w:p>
    <w:p w14:paraId="61F88A9F"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Evaluó 249 habilitaciones aprobadas por las sectoriales en 2025, validando el cumplimiento del procedimiento establecido en el marco legal y de la Resolución núm. 05-2022 sobre el plazo de vigencia de la habilitación.</w:t>
      </w:r>
    </w:p>
    <w:p w14:paraId="16EAF212"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Realizó 22 acompañamientos técnicos a los ministerios y órganos sectoriales para robustecer el proceso de habilitación sectorial.</w:t>
      </w:r>
    </w:p>
    <w:p w14:paraId="4E555D20" w14:textId="77777777" w:rsidR="00F819C0" w:rsidRPr="00B871A6"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Efectuó 20 acompañamientos técnicos relacionados con los convenios de gestión implementados con las ASFL con asignación presupuestaria en 2025 y para el próximo año 2026.</w:t>
      </w:r>
    </w:p>
    <w:p w14:paraId="3BE2847E"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En el período reportado, el ministerio fortaleció los procesos relacionados con la gestión de exenciones fiscales para las asociaciones sin fines de lucro, asegurando una tramitación </w:t>
      </w:r>
      <w:r w:rsidRPr="00B871A6">
        <w:rPr>
          <w:rFonts w:eastAsia="Calibri"/>
          <w:noProof/>
          <w:color w:val="4C4747"/>
          <w:lang w:val="es-DO"/>
        </w:rPr>
        <w:lastRenderedPageBreak/>
        <w:t xml:space="preserve">oportuna y conforme al marco legal vigente. </w:t>
      </w:r>
    </w:p>
    <w:p w14:paraId="7C01B6E1"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Como resultado de este servicio, el CASFL realizó lo siguiente:</w:t>
      </w:r>
    </w:p>
    <w:p w14:paraId="68D1BF29" w14:textId="77777777" w:rsidR="00F819C0" w:rsidRDefault="00F819C0" w:rsidP="00F819C0">
      <w:pPr>
        <w:pStyle w:val="ListParagraph"/>
        <w:numPr>
          <w:ilvl w:val="1"/>
          <w:numId w:val="93"/>
        </w:numPr>
        <w:tabs>
          <w:tab w:val="left" w:pos="450"/>
        </w:tabs>
        <w:spacing w:after="0" w:line="360" w:lineRule="auto"/>
        <w:ind w:left="720" w:hanging="360"/>
        <w:jc w:val="both"/>
        <w:rPr>
          <w:rFonts w:eastAsia="Calibri"/>
          <w:noProof/>
          <w:color w:val="4C4747"/>
        </w:rPr>
      </w:pPr>
      <w:r w:rsidRPr="00B871A6">
        <w:rPr>
          <w:rFonts w:eastAsia="Calibri"/>
          <w:noProof/>
          <w:color w:val="4C4747"/>
        </w:rPr>
        <w:t>Evaluó 295 solicitudes de exención fiscal sobre bienes importados a través del Sistema de Ventanilla Única de Comercio Exterior (VUCE), de las cuales Tramitó 235 al Ministerio de Hacienda.</w:t>
      </w:r>
    </w:p>
    <w:p w14:paraId="519F779D" w14:textId="77777777" w:rsidR="00F819C0" w:rsidRDefault="00F819C0" w:rsidP="00F819C0">
      <w:pPr>
        <w:pStyle w:val="ListParagraph"/>
        <w:tabs>
          <w:tab w:val="left" w:pos="450"/>
        </w:tabs>
        <w:spacing w:after="0" w:line="360" w:lineRule="auto"/>
        <w:jc w:val="both"/>
        <w:rPr>
          <w:rFonts w:eastAsia="Calibri"/>
          <w:noProof/>
          <w:color w:val="4C4747"/>
        </w:rPr>
      </w:pPr>
    </w:p>
    <w:p w14:paraId="6DBC9534" w14:textId="77777777" w:rsidR="00F819C0" w:rsidRPr="0020580A" w:rsidRDefault="00F819C0" w:rsidP="00F819C0">
      <w:pPr>
        <w:pStyle w:val="ListParagraph"/>
        <w:numPr>
          <w:ilvl w:val="0"/>
          <w:numId w:val="91"/>
        </w:numPr>
        <w:tabs>
          <w:tab w:val="left" w:pos="450"/>
        </w:tabs>
        <w:spacing w:after="0" w:line="360" w:lineRule="auto"/>
        <w:jc w:val="both"/>
        <w:rPr>
          <w:rFonts w:eastAsia="Calibri"/>
          <w:noProof/>
          <w:color w:val="4C4747"/>
        </w:rPr>
      </w:pPr>
      <w:r w:rsidRPr="0020580A">
        <w:rPr>
          <w:rFonts w:eastAsia="Calibri"/>
          <w:noProof/>
          <w:color w:val="4C4747"/>
        </w:rPr>
        <w:t>Modelos de gestión sostenibles en el sector de ASFL promovidos</w:t>
      </w:r>
    </w:p>
    <w:p w14:paraId="76B4DD8E"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Durante el año 2025, el Centro Nacional de Fomento y Promoción de las Asociaciones sin Fines de Lucro (CASFL) desarrolló su plan anual de capacitación dirigido a las ASFL, el cual incluyó la realización de 15 talleres entre los que se encuentran: formulación de proyectos, transparencia y rendición de cuentas, estrategias de ventas y marketing para ASFL, obligaciones fiscales, prevención de actos ilícitos, lavado de activos y sus riesgos asociados, entre otros temas. En total, participaron 1,834 representantes de organizaciones sin fines de lucro.</w:t>
      </w:r>
    </w:p>
    <w:p w14:paraId="13A47F8F"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Además, se realizaron 22 Diálogos Permanentes con la Sociedad Civil en modalidad virtual, que contaron con la conexión de 2,026 participantes.</w:t>
      </w:r>
    </w:p>
    <w:p w14:paraId="28BE44E0"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Durante el 2025, a través de la convocatoria anual de becas, se desarrollaron 28 programas de formación que incluyeron maestrías, especialidades, diplomados, cursos y talleres, gracias a una alianza estratégica con 8 universidades e institutos de formación. Gracias a esta iniciativa fueron becados más de 700 representantes de ASFL, entre ellos altos directivos y personal técnico, fortaleciendo sus capacidades para una gestión más eficiente, transparente y orientada al desarrollo.</w:t>
      </w:r>
    </w:p>
    <w:p w14:paraId="26651A7F"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lastRenderedPageBreak/>
        <w:t>Durante el año se desarrollaron mesas de diálogo con UNICEF, agencias de cooperación internacional, universidades y organismos multilaterales, en las cuales se abordaron temas como la prevención de las uniones tempranas, la gestión participativa, la resiliencia institucional, la cooperación eficaz al desarrollo y las oportunidades de financiamiento para iniciativas sociales. En total, estas mesas contaron con la participación de alrededor de 210 representantes de organizaciones de la sociedad civil, instituciones académicas y actores de cooperación, quienes contribuyeron con reflexiones, diagnósticos y propuestas para fortalecer el trabajo articulado a nivel nacional.</w:t>
      </w:r>
    </w:p>
    <w:p w14:paraId="0FB63ACE"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Se llevó a cabo el seminario “Incidencia y Sostenibilidad en tiempos de cambio: Desafíos y estrategias para la financiación de ONGs locales”, con el propósito de ofrecer herramientas prácticas y estratégicas que permitan a las organizaciones de la sociedad civil fortalecer su sostenibilidad financiera, mejorar su capacidad de incidencia e identificar alternativas de financiamiento en contextos marcados por cambios políticos, sociales y económicos.</w:t>
      </w:r>
    </w:p>
    <w:p w14:paraId="5CFA9AF2"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La jornada reunió a 103 participantes, entre directivos, técnicos y representantes de organizaciones sin fines de lucro de diferentes provincias del país. Durante el seminario se abordaron temas clave vinculados a la diversificación de fuentes de financiamiento, estrategias innovadoras de incidencia, modelos de sostenibilidad a largo plazo y análisis del entorno de cooperación internacional.</w:t>
      </w:r>
    </w:p>
    <w:p w14:paraId="151712E7"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 xml:space="preserve">Durante el año 2025 se gestionó la realización de seis ediciones del periódico La Voz de las ONGs, un medio de difusión creado para visibilizar las acciones, proyectos y buenas prácticas que desarrollan </w:t>
      </w:r>
      <w:r w:rsidRPr="00B871A6">
        <w:rPr>
          <w:rFonts w:eastAsia="Calibri"/>
          <w:noProof/>
          <w:color w:val="4C4747"/>
        </w:rPr>
        <w:lastRenderedPageBreak/>
        <w:t>las asociaciones sin fines de lucro en todo el país. A través de estas publicaciones, se destacaron iniciativas de impacto comunitario, experiencias de fortalecimiento institucional y esfuerzos de articulación intersectorial, contribuyendo a posicionar el trabajo realizado por las ASFL y a promover una mayor comprensión pública sobre su rol en el desarrollo social de la República Dominicana.</w:t>
      </w:r>
    </w:p>
    <w:p w14:paraId="313CEB5B" w14:textId="77777777" w:rsidR="00F819C0" w:rsidRPr="00B871A6" w:rsidRDefault="00F819C0" w:rsidP="00F819C0">
      <w:pPr>
        <w:pStyle w:val="ListParagraph"/>
        <w:spacing w:after="0" w:line="360" w:lineRule="auto"/>
        <w:rPr>
          <w:rFonts w:eastAsia="Calibri"/>
          <w:noProof/>
          <w:color w:val="4C4747"/>
        </w:rPr>
      </w:pPr>
    </w:p>
    <w:p w14:paraId="091DC7D2" w14:textId="77777777" w:rsidR="00F819C0" w:rsidRPr="00B871A6" w:rsidRDefault="00F819C0" w:rsidP="00F819C0">
      <w:pPr>
        <w:pStyle w:val="ListParagraph"/>
        <w:numPr>
          <w:ilvl w:val="0"/>
          <w:numId w:val="91"/>
        </w:numPr>
        <w:spacing w:after="0" w:line="360" w:lineRule="auto"/>
        <w:jc w:val="both"/>
        <w:rPr>
          <w:rFonts w:eastAsia="Calibri"/>
          <w:noProof/>
          <w:color w:val="4C4747"/>
        </w:rPr>
      </w:pPr>
      <w:r w:rsidRPr="00B871A6">
        <w:rPr>
          <w:rFonts w:eastAsia="Calibri"/>
          <w:noProof/>
          <w:color w:val="4C4747"/>
        </w:rPr>
        <w:t>Rendición de Cuentas a Programas y Proyectos Subvencionados de las ASFL</w:t>
      </w:r>
    </w:p>
    <w:p w14:paraId="56877AE3"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Durante el año 2025, el Centro Nacional de Fomento y Promoción de las Asociaciones Sin Fines de Lucro ejecutó 13 capacitaciones orientadas al fortalecimiento de los procesos de rendición de cuentas, las cuales promovieron la presentación oportuna de informes a través del Sistema de Información de Control Externo de Entidades Públicas (SICEEP) y su actualización en el Sistema Integrado de Gestión de las ASFL (SIGASFL), beneficiando a 1,037 representantes de ASFL mediante contenidos sobre marco legal, criterios de evaluación, procesos de rendición de cuentas y transparencia.</w:t>
      </w:r>
    </w:p>
    <w:p w14:paraId="268227C4"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En ese mismo período, el Centro realizó 35 acompañamientos a los organismos sectoriales con el objetivo de fortalecer sus capacidades en materia de rendición de cuentas y consolidar su rol como multiplicadores ante las ASFL vinculadas, con la participación de los consejos nacionales CONADIS, CONANI y CONAPE, así como de los sectores de Educación, Deportes, Agricultura, Juventud, Turismo y Cultura, y los ministerios de la Mujer, Educación Superior, Ciencia y Tecnología, Industria y Comercio, Energía y Minas, Salud, Medio Ambiente y Vivienda, impactando directamente a 132 personas.</w:t>
      </w:r>
    </w:p>
    <w:p w14:paraId="6A3C40C0"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lastRenderedPageBreak/>
        <w:t>El Centro realizó 28 socializaciones de los resultados de los informes de auditoría, en las cuales participaron 94 representantes de asociaciones y de sus organismos sectoriales, fortaleciendo la transparencia, la retroalimentación institucional y la mejora continua de los procesos evaluados.</w:t>
      </w:r>
    </w:p>
    <w:p w14:paraId="248CE895"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En abril de 2025, el Centro elaboró y publicó el Informe Anual de Rendición de Cuentas 2024, en el cual analizó el comportamiento institucional de 708 ASFL durante el período evaluado, así como las rendiciones de cuentas presentadas a través del Sistema Integrado de Gestión de las ASFL.</w:t>
      </w:r>
    </w:p>
    <w:p w14:paraId="4CC36602"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En ocasión del Día Nacional de la Ética Ciudadana, el Centro realizó la Tercera Edición del Reconocimiento Anual a la Transparencia y Rendición de Cuentas de las Asociaciones Sin Fines de Lucro, mediante la cual reconoció a 19 organizaciones de distintos sectores por la aplicación de buenas prácticas de transparencia, cumplimiento normativo y rendición de cuentas.</w:t>
      </w:r>
    </w:p>
    <w:p w14:paraId="7F2D384F"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A lo largo del período, el Centro revisó las rendiciones de cuentas mensuales de 456 ASFL y elaboró 58 informes de auditoría, lo que permitió la revisión de un total de 4,994 reportes y fortaleció los procesos de control y fiscalización del uso de los recursos públicos.</w:t>
      </w:r>
    </w:p>
    <w:p w14:paraId="04D629E3"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Asimismo, el Centro revisó 46 estados financieros vinculados a la propuesta de desmonte progresivo de subvenciones, como parte de las acciones orientadas a la sostenibilidad y correcta asignación de los recursos.</w:t>
      </w:r>
    </w:p>
    <w:p w14:paraId="27118E42"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 xml:space="preserve">De igual manera, durante el año 2025, el Centro revisó y actualizó la Resolución que estableció las políticas sobre el uso de los fondos de subvención desembolsados por el Gobierno Dominicano en favor de las Asociaciones sin Fines de Lucro, con el propósito de robustecer los mecanismos de </w:t>
      </w:r>
      <w:r w:rsidRPr="00B871A6">
        <w:rPr>
          <w:rFonts w:eastAsia="Calibri"/>
          <w:noProof/>
          <w:color w:val="4C4747"/>
        </w:rPr>
        <w:lastRenderedPageBreak/>
        <w:t>control, transparencia y correcta aplicación de los recursos públicos.</w:t>
      </w:r>
    </w:p>
    <w:p w14:paraId="678B3492"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En ese mismo contexto, el Centro elaboró la propuesta para el Programa de Auditoría Integral Colaborativa, orientada a fortalecer la gestión, la transparencia y la sostenibilidad de las ASFL mediante la implementación de auditorías integrales accesibles y confiables, desarrolladas bajo una metodología estandarizada en coordinación con el CASFL y firmas auditoras especializadas.</w:t>
      </w:r>
    </w:p>
    <w:p w14:paraId="626CA086"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Durante el este periodo, el Centro inició el proceso de fortalecimiento de las ASFL del sector deportivo, específicamente de las federaciones deportivas, a través de capacitaciones y acompañamiento técnico, en coordinación con la Cámara de Cuentas de la República Dominicana, con el objetivo de fortalecer sus capacidades de gestión, rendición de cuentas y cumplimiento normativo.</w:t>
      </w:r>
    </w:p>
    <w:p w14:paraId="7C572C90" w14:textId="77777777" w:rsidR="00F819C0" w:rsidRPr="00B871A6" w:rsidRDefault="00F819C0" w:rsidP="00F819C0">
      <w:pPr>
        <w:pStyle w:val="ListParagraph"/>
        <w:spacing w:after="0" w:line="360" w:lineRule="auto"/>
        <w:rPr>
          <w:rFonts w:eastAsia="Calibri"/>
          <w:noProof/>
          <w:color w:val="4C4747"/>
        </w:rPr>
      </w:pPr>
    </w:p>
    <w:p w14:paraId="37558221" w14:textId="77777777" w:rsidR="00F819C0" w:rsidRPr="00B871A6" w:rsidRDefault="00F819C0" w:rsidP="00F819C0">
      <w:pPr>
        <w:pStyle w:val="ListParagraph"/>
        <w:numPr>
          <w:ilvl w:val="0"/>
          <w:numId w:val="91"/>
        </w:numPr>
        <w:spacing w:after="0" w:line="360" w:lineRule="auto"/>
        <w:jc w:val="both"/>
        <w:rPr>
          <w:rFonts w:eastAsia="Calibri"/>
          <w:noProof/>
          <w:color w:val="4C4747"/>
        </w:rPr>
      </w:pPr>
      <w:r w:rsidRPr="00B871A6">
        <w:rPr>
          <w:rFonts w:eastAsia="Calibri"/>
          <w:noProof/>
          <w:color w:val="4C4747"/>
        </w:rPr>
        <w:t xml:space="preserve">Modelo de Gestión e Inspección a Programas y Proyectos Subvencionados de las ASFL </w:t>
      </w:r>
    </w:p>
    <w:p w14:paraId="666E0287"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A continuación, se presentan los logros alcanzados a nivel de gestión e inspección a programas y proyectos subvencionados de las ASFL: </w:t>
      </w:r>
    </w:p>
    <w:p w14:paraId="2563ED61" w14:textId="77777777" w:rsidR="00F819C0"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 xml:space="preserve">Se inspeccionó un total de 349 ASFL en todo el territorio nacional, correspondientes a: 88 de seguimiento o rutina, 226 a organizaciones que solicitan su registro ante el CASFL, 22 para la emisión de certificados de registro, 2 para validación de mercancía importada exonerada de impuestos y 11 para la verificación de irregularidades. </w:t>
      </w:r>
    </w:p>
    <w:p w14:paraId="05967124" w14:textId="77777777" w:rsidR="00F819C0"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F10B25">
        <w:rPr>
          <w:rFonts w:eastAsia="Calibri"/>
          <w:noProof/>
          <w:color w:val="4C4747"/>
        </w:rPr>
        <w:t xml:space="preserve">Se capacitó a 26 representantes regionales del Ministerio de Hacienda y Economía en los procesos de inspección para la aplicación </w:t>
      </w:r>
      <w:r w:rsidRPr="00F10B25">
        <w:rPr>
          <w:rFonts w:eastAsia="Calibri"/>
          <w:noProof/>
          <w:color w:val="4C4747"/>
        </w:rPr>
        <w:lastRenderedPageBreak/>
        <w:t>de los instrumentos de evaluación durante las visitas técnicas a las organizaciones ubicadas en el territorio</w:t>
      </w:r>
      <w:r>
        <w:rPr>
          <w:rFonts w:eastAsia="Calibri"/>
          <w:noProof/>
          <w:color w:val="4C4747"/>
        </w:rPr>
        <w:t>.</w:t>
      </w:r>
    </w:p>
    <w:p w14:paraId="777F2FD1" w14:textId="77777777" w:rsidR="00F819C0" w:rsidRPr="00F10B25"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F10B25">
        <w:rPr>
          <w:rFonts w:eastAsia="Calibri"/>
          <w:noProof/>
          <w:color w:val="4C4747"/>
        </w:rPr>
        <w:t xml:space="preserve">Se lanzó la primera ronda de Certificación de Calidad y Gobernanza con Instituto Dominicano de la Calidad (INDOCAL), en la que, al 30 de noviembre de 2025, 6 ASFL lograron certificar sus sistemas de calidad y gobernanza basados en estándares internacionales de cumplimiento regulatorios, transparencia, enfoque programático, buen gobierno y calidad de los servicios. </w:t>
      </w:r>
    </w:p>
    <w:p w14:paraId="655A588A" w14:textId="77777777" w:rsidR="00F819C0" w:rsidRPr="00B871A6" w:rsidRDefault="00F819C0" w:rsidP="00F819C0">
      <w:pPr>
        <w:pStyle w:val="ListParagraph"/>
        <w:spacing w:after="0" w:line="360" w:lineRule="auto"/>
        <w:jc w:val="both"/>
        <w:rPr>
          <w:rFonts w:eastAsia="Calibri"/>
          <w:noProof/>
          <w:color w:val="4C4747"/>
        </w:rPr>
      </w:pPr>
    </w:p>
    <w:p w14:paraId="56038A76" w14:textId="77777777" w:rsidR="00F819C0" w:rsidRPr="00B871A6" w:rsidRDefault="00F819C0" w:rsidP="00F819C0">
      <w:pPr>
        <w:pStyle w:val="ListParagraph"/>
        <w:numPr>
          <w:ilvl w:val="0"/>
          <w:numId w:val="91"/>
        </w:numPr>
        <w:spacing w:after="0" w:line="360" w:lineRule="auto"/>
        <w:jc w:val="both"/>
        <w:rPr>
          <w:rFonts w:eastAsia="Calibri"/>
          <w:noProof/>
          <w:color w:val="4C4747"/>
        </w:rPr>
      </w:pPr>
      <w:r w:rsidRPr="00B871A6">
        <w:rPr>
          <w:rFonts w:eastAsia="Calibri"/>
          <w:noProof/>
          <w:color w:val="4C4747"/>
        </w:rPr>
        <w:t xml:space="preserve">Programa de Promoción del Voluntariado </w:t>
      </w:r>
    </w:p>
    <w:p w14:paraId="60E3B306" w14:textId="77777777" w:rsidR="00F819C0" w:rsidRPr="00B871A6" w:rsidRDefault="00F819C0" w:rsidP="00F819C0">
      <w:pPr>
        <w:spacing w:after="0" w:line="360" w:lineRule="auto"/>
        <w:ind w:left="720"/>
        <w:jc w:val="both"/>
        <w:rPr>
          <w:rFonts w:eastAsia="Calibri"/>
          <w:noProof/>
          <w:color w:val="4C4747"/>
          <w:lang w:val="es-DO"/>
        </w:rPr>
      </w:pPr>
      <w:r w:rsidRPr="00B871A6">
        <w:rPr>
          <w:rFonts w:eastAsia="Calibri"/>
          <w:noProof/>
          <w:color w:val="4C4747"/>
          <w:lang w:val="es-DO"/>
        </w:rPr>
        <w:t xml:space="preserve">A continuación, se detallan los logros alcanzados a nivel de los programas de promoción del voluntariado: </w:t>
      </w:r>
    </w:p>
    <w:p w14:paraId="1A57C513"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 xml:space="preserve">El CASFL lanzó el Laboratorio de Innovación del Voluntariado con un fondo de 8 millones de pesos en coordinación con Techo República Dominicana y Alianza ONG, donde los dieciesis (16) ganadores del Premio Nacional del Voluntariado Solidario 2024 pudieron formular ejecutar proyectos que promuevan el voluntariado a nivel nacional. </w:t>
      </w:r>
    </w:p>
    <w:p w14:paraId="34301FDA"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 xml:space="preserve">El CASFL elaboró la Guía para la Formación y Gestión de Programas de Voluntariado en las instituciones gestoras. Fue realizada una consulta en la que participaron representantes de 20 organizaciones representantes de la academia, las ASFL, el voluntariado corporativo y el voluntariado en instituciones gubernamentales. </w:t>
      </w:r>
    </w:p>
    <w:p w14:paraId="3542BFA5"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 xml:space="preserve">Se realizó el II Foro Nacional de Voluntariado integrando los sectores ASFL, academia, corporativo y gubernamental. Esta edición estuvo enfocada en el impacto del voluntariado desarrollado por la academia y su relación con las instituciones </w:t>
      </w:r>
      <w:r w:rsidRPr="00B871A6">
        <w:rPr>
          <w:rFonts w:eastAsia="Calibri"/>
          <w:noProof/>
          <w:color w:val="4C4747"/>
        </w:rPr>
        <w:lastRenderedPageBreak/>
        <w:t xml:space="preserve">de la sociedad civil. Con la presencia de representantes de 105 instituciones gestoras de voluntariado. </w:t>
      </w:r>
    </w:p>
    <w:p w14:paraId="5CBEE16D" w14:textId="77777777" w:rsidR="00F819C0" w:rsidRPr="00B871A6" w:rsidRDefault="00F819C0" w:rsidP="00F819C0">
      <w:pPr>
        <w:pStyle w:val="ListParagraph"/>
        <w:numPr>
          <w:ilvl w:val="1"/>
          <w:numId w:val="94"/>
        </w:numPr>
        <w:tabs>
          <w:tab w:val="left" w:pos="450"/>
        </w:tabs>
        <w:spacing w:after="0" w:line="360" w:lineRule="auto"/>
        <w:ind w:left="720" w:hanging="360"/>
        <w:jc w:val="both"/>
        <w:rPr>
          <w:rFonts w:eastAsia="Calibri"/>
          <w:noProof/>
          <w:color w:val="4C4747"/>
        </w:rPr>
      </w:pPr>
      <w:r w:rsidRPr="00B871A6">
        <w:rPr>
          <w:rFonts w:eastAsia="Calibri"/>
          <w:noProof/>
          <w:color w:val="4C4747"/>
        </w:rPr>
        <w:t>El Centro realizó ocho (8) sesiones formativas para promover e impulsar la Ley 61-13, que establece el régimen jurídico del voluntariado en la República Dominicana, así como también  dos (2) talleres sobre las 5C de la gestión de voluntarios, dos (2) diálogos sobre las herramientas para impulsar y formalizar el voluntariado en las ASFL, instituciones gubernamentales, academia y sector privado.</w:t>
      </w:r>
    </w:p>
    <w:p w14:paraId="44927437" w14:textId="77777777" w:rsidR="00470E32" w:rsidRPr="00470E32" w:rsidRDefault="00470E32" w:rsidP="00886F32">
      <w:pPr>
        <w:pStyle w:val="ListParagraph"/>
        <w:spacing w:after="0" w:line="360" w:lineRule="auto"/>
        <w:jc w:val="both"/>
        <w:rPr>
          <w:rFonts w:eastAsia="Calibri"/>
          <w:noProof/>
          <w:color w:val="4C4747"/>
        </w:rPr>
      </w:pPr>
    </w:p>
    <w:p w14:paraId="480AB252" w14:textId="431B830E" w:rsidR="00654164" w:rsidRPr="00211DCF" w:rsidRDefault="00622966" w:rsidP="00D9164C">
      <w:pPr>
        <w:pStyle w:val="Heading1"/>
        <w:spacing w:before="0"/>
        <w:ind w:left="270"/>
        <w:rPr>
          <w:color w:val="4C4747"/>
          <w:lang w:val="es-DO"/>
        </w:rPr>
      </w:pPr>
      <w:bookmarkStart w:id="93" w:name="_Toc217382617"/>
      <w:r>
        <w:rPr>
          <w:color w:val="4C4747"/>
          <w:lang w:val="es-DO"/>
        </w:rPr>
        <w:t xml:space="preserve">IV. </w:t>
      </w:r>
      <w:r w:rsidR="00654164" w:rsidRPr="00211DCF">
        <w:rPr>
          <w:color w:val="4C4747"/>
          <w:lang w:val="es-DO"/>
        </w:rPr>
        <w:t>RESULTADOS DE LAS ÁREAS TRANSVERSALES Y DE APOYO</w:t>
      </w:r>
      <w:bookmarkEnd w:id="93"/>
    </w:p>
    <w:p w14:paraId="5D67DA4A" w14:textId="77777777" w:rsidR="00654164" w:rsidRPr="00211DCF" w:rsidRDefault="00654164" w:rsidP="00886F32">
      <w:pPr>
        <w:spacing w:after="0" w:line="360" w:lineRule="auto"/>
        <w:ind w:left="720"/>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32992"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FAD4F" id="Straight Connector 15"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" strokecolor="#ee2a24" strokeweight="2.25pt">
                <v:stroke joinstyle="miter"/>
                <w10:wrap anchorx="margin"/>
              </v:line>
            </w:pict>
          </mc:Fallback>
        </mc:AlternateContent>
      </w:r>
    </w:p>
    <w:p w14:paraId="565206C9" w14:textId="2DD15B6C" w:rsidR="00BA141C" w:rsidRDefault="00654164" w:rsidP="00886F32">
      <w:pPr>
        <w:spacing w:after="0" w:line="360" w:lineRule="auto"/>
        <w:ind w:left="720"/>
        <w:jc w:val="center"/>
        <w:rPr>
          <w:rFonts w:eastAsia="Calibri"/>
          <w:color w:val="4C4747"/>
          <w:szCs w:val="36"/>
          <w:lang w:val="es-DO"/>
        </w:rPr>
      </w:pPr>
      <w:r w:rsidRPr="00211DCF">
        <w:rPr>
          <w:rFonts w:eastAsia="Calibri"/>
          <w:color w:val="4C4747"/>
          <w:szCs w:val="36"/>
          <w:lang w:val="es-DO"/>
        </w:rPr>
        <w:t xml:space="preserve">Memoria </w:t>
      </w:r>
      <w:r w:rsidR="00F05DF4" w:rsidRPr="00211DCF">
        <w:rPr>
          <w:rFonts w:eastAsia="Calibri"/>
          <w:color w:val="4C4747"/>
          <w:szCs w:val="36"/>
          <w:lang w:val="es-DO"/>
        </w:rPr>
        <w:t>I</w:t>
      </w:r>
      <w:r w:rsidRPr="00211DCF">
        <w:rPr>
          <w:rFonts w:eastAsia="Calibri"/>
          <w:color w:val="4C4747"/>
          <w:szCs w:val="36"/>
          <w:lang w:val="es-DO"/>
        </w:rPr>
        <w:t xml:space="preserve">nstitucional </w:t>
      </w:r>
      <w:r w:rsidR="000025D4" w:rsidRPr="00211DCF">
        <w:rPr>
          <w:rFonts w:eastAsia="Calibri"/>
          <w:color w:val="4C4747"/>
          <w:szCs w:val="36"/>
          <w:lang w:val="es-DO"/>
        </w:rPr>
        <w:t>20</w:t>
      </w:r>
      <w:r w:rsidR="00A5647B" w:rsidRPr="00211DCF">
        <w:rPr>
          <w:rFonts w:eastAsia="Calibri"/>
          <w:color w:val="4C4747"/>
          <w:szCs w:val="36"/>
          <w:lang w:val="es-DO"/>
        </w:rPr>
        <w:t>25</w:t>
      </w:r>
      <w:bookmarkStart w:id="94" w:name="_Toc185843633"/>
    </w:p>
    <w:p w14:paraId="2F036ACC" w14:textId="77777777" w:rsidR="00A6602B" w:rsidRPr="00A6602B" w:rsidRDefault="00A6602B" w:rsidP="00886F32">
      <w:pPr>
        <w:spacing w:after="0" w:line="360" w:lineRule="auto"/>
        <w:ind w:left="720"/>
        <w:jc w:val="center"/>
        <w:rPr>
          <w:rFonts w:eastAsia="Calibri"/>
          <w:color w:val="4C4747"/>
          <w:szCs w:val="36"/>
          <w:lang w:val="es-DO"/>
        </w:rPr>
      </w:pPr>
    </w:p>
    <w:p w14:paraId="2BBFC4CF" w14:textId="72776918" w:rsidR="00654164" w:rsidRPr="00622966" w:rsidRDefault="00622966" w:rsidP="00886F32">
      <w:pPr>
        <w:pStyle w:val="ListParagraph"/>
        <w:numPr>
          <w:ilvl w:val="1"/>
          <w:numId w:val="96"/>
        </w:numPr>
        <w:spacing w:after="0" w:line="360" w:lineRule="auto"/>
        <w:ind w:left="720"/>
        <w:jc w:val="center"/>
        <w:outlineLvl w:val="1"/>
        <w:rPr>
          <w:b/>
          <w:bCs/>
        </w:rPr>
      </w:pPr>
      <w:r>
        <w:rPr>
          <w:b/>
          <w:bCs/>
        </w:rPr>
        <w:t xml:space="preserve"> </w:t>
      </w:r>
      <w:bookmarkStart w:id="95" w:name="_Toc217382618"/>
      <w:r w:rsidR="00BA141C" w:rsidRPr="00622966">
        <w:rPr>
          <w:b/>
          <w:bCs/>
        </w:rPr>
        <w:t>Desempeño Área Administrativa y Financiera</w:t>
      </w:r>
      <w:bookmarkEnd w:id="94"/>
      <w:bookmarkEnd w:id="95"/>
    </w:p>
    <w:p w14:paraId="6E5C9823" w14:textId="0BB033E3" w:rsid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La Dirección Administrativa y Financiera presenta la Memoria Institucional correspondiente al período 2025, en la cual se compilan los logros, avances, resultados y acciones ejecutadas durante este ciclo de gestión.</w:t>
      </w:r>
    </w:p>
    <w:p w14:paraId="70666425" w14:textId="77777777" w:rsidR="00945EE2" w:rsidRPr="00947851" w:rsidRDefault="00945EE2" w:rsidP="00886F32">
      <w:pPr>
        <w:spacing w:after="0" w:line="360" w:lineRule="auto"/>
        <w:ind w:left="720"/>
        <w:jc w:val="both"/>
        <w:rPr>
          <w:rFonts w:eastAsia="Calibri"/>
          <w:noProof/>
          <w:color w:val="4C4747"/>
          <w:lang w:val="es-DO"/>
        </w:rPr>
      </w:pPr>
    </w:p>
    <w:p w14:paraId="71455AF7" w14:textId="77777777" w:rsid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Este documento refleja el firme compromiso de la Dirección Administrativa y Financiera con la transparencia, la ética pública, la integridad institucional, la mejora continua y el uso responsable de los recursos del Estado, conforme a las normativas de los órganos rectores de la Administración Pública.</w:t>
      </w:r>
    </w:p>
    <w:p w14:paraId="212D8332" w14:textId="77777777" w:rsidR="00945EE2" w:rsidRPr="00947851" w:rsidRDefault="00945EE2" w:rsidP="00886F32">
      <w:pPr>
        <w:spacing w:after="0" w:line="360" w:lineRule="auto"/>
        <w:ind w:left="720"/>
        <w:jc w:val="both"/>
        <w:rPr>
          <w:rFonts w:eastAsia="Calibri"/>
          <w:noProof/>
          <w:color w:val="4C4747"/>
          <w:lang w:val="es-DO"/>
        </w:rPr>
      </w:pPr>
    </w:p>
    <w:p w14:paraId="0CBFB76F" w14:textId="77777777" w:rsid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 xml:space="preserve">Durante estos once meses, la Dirección fortaleció controles internos, estandarizó procesos clave, optimizó la ejecución de los recursos </w:t>
      </w:r>
      <w:r w:rsidRPr="00947851">
        <w:rPr>
          <w:rFonts w:eastAsia="Calibri"/>
          <w:noProof/>
          <w:color w:val="4C4747"/>
          <w:lang w:val="es-DO"/>
        </w:rPr>
        <w:lastRenderedPageBreak/>
        <w:t xml:space="preserve">institucionales y reforzó la cultura de integridad en todas las áreas bajo su responsabilidad. </w:t>
      </w:r>
    </w:p>
    <w:p w14:paraId="2B60442B" w14:textId="77777777" w:rsidR="00FD55E7" w:rsidRPr="00947851" w:rsidRDefault="00FD55E7" w:rsidP="00886F32">
      <w:pPr>
        <w:spacing w:after="0" w:line="360" w:lineRule="auto"/>
        <w:ind w:left="720"/>
        <w:jc w:val="both"/>
        <w:rPr>
          <w:rFonts w:eastAsia="Calibri"/>
          <w:noProof/>
          <w:color w:val="4C4747"/>
          <w:lang w:val="es-DO"/>
        </w:rPr>
      </w:pPr>
    </w:p>
    <w:p w14:paraId="31ECE0FC" w14:textId="77777777" w:rsidR="00947851" w:rsidRP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Basamos nuestro accionar en los en los principios de:</w:t>
      </w:r>
    </w:p>
    <w:p w14:paraId="677FFE35" w14:textId="77777777" w:rsidR="00947851" w:rsidRPr="00947851" w:rsidRDefault="00947851" w:rsidP="00886F32">
      <w:pPr>
        <w:pStyle w:val="NormalWeb"/>
        <w:numPr>
          <w:ilvl w:val="0"/>
          <w:numId w:val="27"/>
        </w:numPr>
        <w:spacing w:before="0" w:beforeAutospacing="0" w:after="0" w:afterAutospacing="0" w:line="360" w:lineRule="auto"/>
        <w:jc w:val="both"/>
        <w:rPr>
          <w:rFonts w:eastAsia="Calibri"/>
          <w:noProof/>
          <w:color w:val="4C4747"/>
          <w:spacing w:val="20"/>
          <w:lang w:eastAsia="en-US"/>
        </w:rPr>
      </w:pPr>
      <w:r w:rsidRPr="00FD55E7">
        <w:rPr>
          <w:rFonts w:eastAsia="Calibri"/>
          <w:b/>
          <w:bCs/>
          <w:noProof/>
          <w:color w:val="4C4747"/>
          <w:spacing w:val="20"/>
          <w:lang w:eastAsia="en-US"/>
        </w:rPr>
        <w:t>Transparencia:</w:t>
      </w:r>
      <w:r w:rsidRPr="00947851">
        <w:rPr>
          <w:rFonts w:eastAsia="Calibri"/>
          <w:noProof/>
          <w:color w:val="4C4747"/>
          <w:spacing w:val="20"/>
          <w:lang w:eastAsia="en-US"/>
        </w:rPr>
        <w:t xml:space="preserve"> información oportuna, verificable y accesible.</w:t>
      </w:r>
    </w:p>
    <w:p w14:paraId="34482F37" w14:textId="77777777" w:rsidR="00947851" w:rsidRPr="00947851" w:rsidRDefault="00947851" w:rsidP="00886F32">
      <w:pPr>
        <w:pStyle w:val="NormalWeb"/>
        <w:numPr>
          <w:ilvl w:val="0"/>
          <w:numId w:val="26"/>
        </w:numPr>
        <w:spacing w:before="0" w:beforeAutospacing="0" w:after="0" w:afterAutospacing="0" w:line="360" w:lineRule="auto"/>
        <w:jc w:val="both"/>
        <w:rPr>
          <w:rFonts w:eastAsia="Calibri"/>
          <w:noProof/>
          <w:color w:val="4C4747"/>
          <w:spacing w:val="20"/>
          <w:lang w:eastAsia="en-US"/>
        </w:rPr>
      </w:pPr>
      <w:r w:rsidRPr="00FD55E7">
        <w:rPr>
          <w:rFonts w:eastAsia="Calibri"/>
          <w:b/>
          <w:bCs/>
          <w:noProof/>
          <w:color w:val="4C4747"/>
          <w:spacing w:val="20"/>
          <w:lang w:eastAsia="en-US"/>
        </w:rPr>
        <w:t>Ética pública:</w:t>
      </w:r>
      <w:r w:rsidRPr="00947851">
        <w:rPr>
          <w:rFonts w:eastAsia="Calibri"/>
          <w:noProof/>
          <w:color w:val="4C4747"/>
          <w:spacing w:val="20"/>
          <w:lang w:eastAsia="en-US"/>
        </w:rPr>
        <w:t xml:space="preserve"> integridad, honestidad, imparcialidad y compromiso con el interés general.</w:t>
      </w:r>
    </w:p>
    <w:p w14:paraId="50482367" w14:textId="77777777" w:rsidR="00947851" w:rsidRPr="00947851" w:rsidRDefault="00947851" w:rsidP="00886F32">
      <w:pPr>
        <w:pStyle w:val="NormalWeb"/>
        <w:numPr>
          <w:ilvl w:val="0"/>
          <w:numId w:val="26"/>
        </w:numPr>
        <w:spacing w:before="0" w:beforeAutospacing="0" w:after="0" w:afterAutospacing="0" w:line="360" w:lineRule="auto"/>
        <w:jc w:val="both"/>
        <w:rPr>
          <w:rFonts w:eastAsia="Calibri"/>
          <w:noProof/>
          <w:color w:val="4C4747"/>
          <w:spacing w:val="20"/>
          <w:lang w:eastAsia="en-US"/>
        </w:rPr>
      </w:pPr>
      <w:r w:rsidRPr="00FD55E7">
        <w:rPr>
          <w:rFonts w:eastAsia="Calibri"/>
          <w:b/>
          <w:bCs/>
          <w:noProof/>
          <w:color w:val="4C4747"/>
          <w:spacing w:val="20"/>
          <w:lang w:eastAsia="en-US"/>
        </w:rPr>
        <w:t>Legalidad:</w:t>
      </w:r>
      <w:r w:rsidRPr="00947851">
        <w:rPr>
          <w:rFonts w:eastAsia="Calibri"/>
          <w:noProof/>
          <w:color w:val="4C4747"/>
          <w:spacing w:val="20"/>
          <w:lang w:eastAsia="en-US"/>
        </w:rPr>
        <w:t xml:space="preserve"> adherencia estricta a la normativa financiera, presupuestaria y administrativa.</w:t>
      </w:r>
    </w:p>
    <w:p w14:paraId="7A82F8C3" w14:textId="77777777" w:rsidR="00947851" w:rsidRPr="00947851" w:rsidRDefault="00947851" w:rsidP="00886F32">
      <w:pPr>
        <w:pStyle w:val="NormalWeb"/>
        <w:numPr>
          <w:ilvl w:val="0"/>
          <w:numId w:val="26"/>
        </w:numPr>
        <w:spacing w:before="0" w:beforeAutospacing="0" w:after="0" w:afterAutospacing="0" w:line="360" w:lineRule="auto"/>
        <w:jc w:val="both"/>
        <w:rPr>
          <w:rFonts w:eastAsia="Calibri"/>
          <w:noProof/>
          <w:color w:val="4C4747"/>
          <w:spacing w:val="20"/>
          <w:lang w:eastAsia="en-US"/>
        </w:rPr>
      </w:pPr>
      <w:r w:rsidRPr="00FD55E7">
        <w:rPr>
          <w:rFonts w:eastAsia="Calibri"/>
          <w:b/>
          <w:bCs/>
          <w:noProof/>
          <w:color w:val="4C4747"/>
          <w:spacing w:val="20"/>
          <w:lang w:eastAsia="en-US"/>
        </w:rPr>
        <w:t>Rendición de cuentas:</w:t>
      </w:r>
      <w:r w:rsidRPr="00947851">
        <w:rPr>
          <w:rFonts w:eastAsia="Calibri"/>
          <w:noProof/>
          <w:color w:val="4C4747"/>
          <w:spacing w:val="20"/>
          <w:lang w:eastAsia="en-US"/>
        </w:rPr>
        <w:t xml:space="preserve"> monitoreo permanente y apertura a auditorías internas y externas.</w:t>
      </w:r>
    </w:p>
    <w:p w14:paraId="0D8E4296" w14:textId="77777777" w:rsidR="00947851" w:rsidRPr="00947851" w:rsidRDefault="00947851" w:rsidP="00886F32">
      <w:pPr>
        <w:pStyle w:val="NormalWeb"/>
        <w:numPr>
          <w:ilvl w:val="0"/>
          <w:numId w:val="26"/>
        </w:numPr>
        <w:spacing w:before="0" w:beforeAutospacing="0" w:after="0" w:afterAutospacing="0" w:line="360" w:lineRule="auto"/>
        <w:jc w:val="both"/>
        <w:rPr>
          <w:rFonts w:eastAsia="Calibri"/>
          <w:noProof/>
          <w:color w:val="4C4747"/>
          <w:spacing w:val="20"/>
          <w:lang w:eastAsia="en-US"/>
        </w:rPr>
      </w:pPr>
      <w:r w:rsidRPr="00FD55E7">
        <w:rPr>
          <w:rFonts w:eastAsia="Calibri"/>
          <w:b/>
          <w:bCs/>
          <w:noProof/>
          <w:color w:val="4C4747"/>
          <w:spacing w:val="20"/>
          <w:lang w:eastAsia="en-US"/>
        </w:rPr>
        <w:t>Responsabilidad:</w:t>
      </w:r>
      <w:r w:rsidRPr="00947851">
        <w:rPr>
          <w:rFonts w:eastAsia="Calibri"/>
          <w:noProof/>
          <w:color w:val="4C4747"/>
          <w:spacing w:val="20"/>
          <w:lang w:eastAsia="en-US"/>
        </w:rPr>
        <w:t xml:space="preserve"> manejo eficiente, prudente y justificado de los recursos asignados.</w:t>
      </w:r>
    </w:p>
    <w:p w14:paraId="259D1DC8" w14:textId="77777777" w:rsidR="00947851" w:rsidRPr="00947851" w:rsidRDefault="00947851" w:rsidP="00886F32">
      <w:pPr>
        <w:pStyle w:val="NormalWeb"/>
        <w:numPr>
          <w:ilvl w:val="0"/>
          <w:numId w:val="26"/>
        </w:numPr>
        <w:spacing w:before="0" w:beforeAutospacing="0" w:after="0" w:afterAutospacing="0" w:line="360" w:lineRule="auto"/>
        <w:jc w:val="both"/>
        <w:rPr>
          <w:rFonts w:eastAsia="Calibri"/>
          <w:noProof/>
          <w:color w:val="4C4747"/>
          <w:spacing w:val="20"/>
          <w:lang w:eastAsia="en-US"/>
        </w:rPr>
      </w:pPr>
      <w:r w:rsidRPr="00FD55E7">
        <w:rPr>
          <w:rFonts w:eastAsia="Calibri"/>
          <w:b/>
          <w:bCs/>
          <w:noProof/>
          <w:color w:val="4C4747"/>
          <w:spacing w:val="20"/>
          <w:lang w:eastAsia="en-US"/>
        </w:rPr>
        <w:t>Control interno:</w:t>
      </w:r>
      <w:r w:rsidRPr="00947851">
        <w:rPr>
          <w:rFonts w:eastAsia="Calibri"/>
          <w:noProof/>
          <w:color w:val="4C4747"/>
          <w:spacing w:val="20"/>
          <w:lang w:eastAsia="en-US"/>
        </w:rPr>
        <w:t xml:space="preserve"> prevención de riesgos, fortalecimiento de procesos y seguimiento continuo.</w:t>
      </w:r>
    </w:p>
    <w:p w14:paraId="178C385B" w14:textId="77777777" w:rsidR="00947851" w:rsidRPr="00947851" w:rsidRDefault="00947851" w:rsidP="00886F32">
      <w:pPr>
        <w:pStyle w:val="NormalWeb"/>
        <w:spacing w:before="0" w:beforeAutospacing="0" w:after="0" w:afterAutospacing="0" w:line="360" w:lineRule="auto"/>
        <w:ind w:left="720"/>
        <w:jc w:val="both"/>
        <w:rPr>
          <w:rFonts w:eastAsia="Calibri"/>
          <w:noProof/>
          <w:color w:val="4C4747"/>
          <w:spacing w:val="20"/>
          <w:lang w:eastAsia="en-US"/>
        </w:rPr>
      </w:pPr>
      <w:r w:rsidRPr="00947851">
        <w:rPr>
          <w:rFonts w:eastAsia="Calibri"/>
          <w:noProof/>
          <w:color w:val="4C4747"/>
          <w:spacing w:val="20"/>
          <w:lang w:eastAsia="en-US"/>
        </w:rPr>
        <w:t>Nuestra misión es la administración eficiente, transparente y ética de los recursos financieros, humanos y materiales del ministerio, asegurando soporte oportuno y confiable a todas las áreas responsables de cumplir la misión institucional.</w:t>
      </w:r>
    </w:p>
    <w:p w14:paraId="795AC576" w14:textId="77777777" w:rsidR="00947851" w:rsidRDefault="00947851" w:rsidP="00886F32">
      <w:pPr>
        <w:pStyle w:val="NormalWeb"/>
        <w:spacing w:before="0" w:beforeAutospacing="0" w:after="0" w:afterAutospacing="0" w:line="360" w:lineRule="auto"/>
        <w:ind w:left="720"/>
        <w:jc w:val="both"/>
        <w:rPr>
          <w:rFonts w:eastAsia="Calibri"/>
          <w:noProof/>
          <w:color w:val="4C4747"/>
          <w:spacing w:val="20"/>
          <w:lang w:eastAsia="en-US"/>
        </w:rPr>
      </w:pPr>
      <w:r w:rsidRPr="00947851">
        <w:rPr>
          <w:rFonts w:eastAsia="Calibri"/>
          <w:noProof/>
          <w:color w:val="4C4747"/>
          <w:spacing w:val="20"/>
          <w:lang w:eastAsia="en-US"/>
        </w:rPr>
        <w:t>Con una visión de consolidarnos como una Dirección modelo dentro del ministerio y a su vez del sector público. Reconocida por su integridad, excelencia administrativa, confiabilidad de sus informaciones financieras y administrativa, así como el compromiso con la mejora continua y la transparencia.</w:t>
      </w:r>
    </w:p>
    <w:p w14:paraId="58B4B964" w14:textId="77777777" w:rsidR="00945EE2" w:rsidRPr="00947851" w:rsidRDefault="00945EE2" w:rsidP="00886F32">
      <w:pPr>
        <w:pStyle w:val="NormalWeb"/>
        <w:spacing w:before="0" w:beforeAutospacing="0" w:after="0" w:afterAutospacing="0" w:line="360" w:lineRule="auto"/>
        <w:ind w:left="720"/>
        <w:jc w:val="both"/>
        <w:rPr>
          <w:rFonts w:eastAsia="Calibri"/>
          <w:noProof/>
          <w:color w:val="4C4747"/>
          <w:spacing w:val="20"/>
          <w:lang w:eastAsia="en-US"/>
        </w:rPr>
      </w:pPr>
    </w:p>
    <w:p w14:paraId="2A5627DF" w14:textId="49E77641" w:rsidR="00947851" w:rsidRPr="00622966" w:rsidRDefault="00947851" w:rsidP="00886F32">
      <w:pPr>
        <w:pStyle w:val="ListParagraph"/>
        <w:numPr>
          <w:ilvl w:val="2"/>
          <w:numId w:val="96"/>
        </w:numPr>
        <w:spacing w:after="0" w:line="360" w:lineRule="auto"/>
        <w:ind w:left="720"/>
        <w:rPr>
          <w:rFonts w:eastAsia="Calibri"/>
          <w:b/>
          <w:bCs/>
          <w:noProof/>
          <w:color w:val="4C4747"/>
        </w:rPr>
      </w:pPr>
      <w:r w:rsidRPr="00622966">
        <w:rPr>
          <w:rFonts w:eastAsia="Calibri"/>
          <w:b/>
          <w:bCs/>
          <w:noProof/>
          <w:color w:val="4C4747"/>
        </w:rPr>
        <w:t>Ejecución Presupuestaria</w:t>
      </w:r>
    </w:p>
    <w:p w14:paraId="45708A53" w14:textId="04543235" w:rsidR="00947851" w:rsidRPr="00947851" w:rsidRDefault="00947851" w:rsidP="00886F32">
      <w:pPr>
        <w:pStyle w:val="Bullet"/>
        <w:spacing w:after="0" w:line="360" w:lineRule="auto"/>
        <w:ind w:left="720"/>
        <w:rPr>
          <w:rFonts w:eastAsia="Calibri"/>
          <w:noProof/>
          <w:color w:val="4C4747"/>
          <w:spacing w:val="20"/>
        </w:rPr>
      </w:pPr>
      <w:r w:rsidRPr="00947851">
        <w:rPr>
          <w:rFonts w:eastAsia="Calibri"/>
          <w:noProof/>
          <w:color w:val="4C4747"/>
          <w:spacing w:val="20"/>
        </w:rPr>
        <w:t>Durante el periodo 2025</w:t>
      </w:r>
      <w:r w:rsidR="00030F69">
        <w:rPr>
          <w:rFonts w:eastAsia="Calibri"/>
          <w:noProof/>
          <w:color w:val="4C4747"/>
          <w:spacing w:val="20"/>
        </w:rPr>
        <w:t xml:space="preserve"> y con proyecciones de cierre del período,</w:t>
      </w:r>
      <w:r w:rsidRPr="00947851">
        <w:rPr>
          <w:rFonts w:eastAsia="Calibri"/>
          <w:noProof/>
          <w:color w:val="4C4747"/>
          <w:spacing w:val="20"/>
        </w:rPr>
        <w:t xml:space="preserve"> el presupuesto </w:t>
      </w:r>
      <w:r w:rsidR="00030F69">
        <w:rPr>
          <w:rFonts w:eastAsia="Calibri"/>
          <w:noProof/>
          <w:color w:val="4C4747"/>
          <w:spacing w:val="20"/>
        </w:rPr>
        <w:t xml:space="preserve">ha alcanzado </w:t>
      </w:r>
      <w:r w:rsidRPr="00947851">
        <w:rPr>
          <w:rFonts w:eastAsia="Calibri"/>
          <w:noProof/>
          <w:color w:val="4C4747"/>
          <w:spacing w:val="20"/>
        </w:rPr>
        <w:t>el 91% de la ejecución, dando cumplimiento de los compromisos básicos de la institución.</w:t>
      </w:r>
    </w:p>
    <w:p w14:paraId="09775A76" w14:textId="77777777" w:rsidR="00947851" w:rsidRPr="00947851" w:rsidRDefault="00947851" w:rsidP="00886F32">
      <w:pPr>
        <w:pStyle w:val="Bullet"/>
        <w:numPr>
          <w:ilvl w:val="0"/>
          <w:numId w:val="23"/>
        </w:numPr>
        <w:spacing w:after="0" w:line="360" w:lineRule="auto"/>
        <w:rPr>
          <w:rFonts w:eastAsia="Calibri"/>
          <w:noProof/>
          <w:color w:val="4C4747"/>
          <w:spacing w:val="20"/>
        </w:rPr>
      </w:pPr>
      <w:r w:rsidRPr="00947851">
        <w:rPr>
          <w:rFonts w:eastAsia="Calibri"/>
          <w:noProof/>
          <w:color w:val="4C4747"/>
          <w:spacing w:val="20"/>
        </w:rPr>
        <w:lastRenderedPageBreak/>
        <w:t>Se fortalecieron los controles de monitoreo para asegurar el uso adecuado de los fondos.</w:t>
      </w:r>
    </w:p>
    <w:p w14:paraId="42D61F35" w14:textId="77777777" w:rsidR="00947851" w:rsidRPr="00947851" w:rsidRDefault="00947851" w:rsidP="00886F32">
      <w:pPr>
        <w:pStyle w:val="Bullet"/>
        <w:numPr>
          <w:ilvl w:val="0"/>
          <w:numId w:val="23"/>
        </w:numPr>
        <w:spacing w:after="0" w:line="360" w:lineRule="auto"/>
        <w:rPr>
          <w:rFonts w:eastAsia="Calibri"/>
          <w:noProof/>
          <w:color w:val="4C4747"/>
          <w:spacing w:val="20"/>
        </w:rPr>
      </w:pPr>
      <w:r w:rsidRPr="00947851">
        <w:rPr>
          <w:rFonts w:eastAsia="Calibri"/>
          <w:noProof/>
          <w:color w:val="4C4747"/>
          <w:spacing w:val="20"/>
        </w:rPr>
        <w:t>Las solicitudes de modificaciones presupuestarias fueron tramitadas sin observaciones críticas de los órganos rectores.</w:t>
      </w:r>
    </w:p>
    <w:p w14:paraId="2B7812E4" w14:textId="77777777" w:rsidR="00947851" w:rsidRDefault="00947851" w:rsidP="00886F32">
      <w:pPr>
        <w:pStyle w:val="Bullet"/>
        <w:numPr>
          <w:ilvl w:val="0"/>
          <w:numId w:val="23"/>
        </w:numPr>
        <w:spacing w:after="0" w:line="360" w:lineRule="auto"/>
        <w:rPr>
          <w:rFonts w:eastAsia="Calibri"/>
          <w:noProof/>
          <w:color w:val="4C4747"/>
          <w:spacing w:val="20"/>
        </w:rPr>
      </w:pPr>
      <w:r w:rsidRPr="00947851">
        <w:rPr>
          <w:rFonts w:eastAsia="Calibri"/>
          <w:noProof/>
          <w:color w:val="4C4747"/>
          <w:spacing w:val="20"/>
        </w:rPr>
        <w:t>Se publicaron en el portal de transparencia Institucional los reportes trimestrales de ejecución presupuestaria para promover transparencia y toma de decisiones informadas.</w:t>
      </w:r>
    </w:p>
    <w:p w14:paraId="540AF251" w14:textId="77777777" w:rsidR="00945EE2" w:rsidRDefault="00945EE2" w:rsidP="00945EE2">
      <w:pPr>
        <w:pStyle w:val="Bullet"/>
        <w:spacing w:after="0" w:line="360" w:lineRule="auto"/>
        <w:rPr>
          <w:rFonts w:eastAsia="Calibri"/>
          <w:noProof/>
          <w:color w:val="4C4747"/>
          <w:spacing w:val="20"/>
        </w:rPr>
      </w:pPr>
    </w:p>
    <w:p w14:paraId="07CEF766" w14:textId="77777777" w:rsidR="00945EE2" w:rsidRDefault="00945EE2" w:rsidP="00945EE2">
      <w:pPr>
        <w:pStyle w:val="Bullet"/>
        <w:spacing w:after="0" w:line="360" w:lineRule="auto"/>
        <w:rPr>
          <w:rFonts w:eastAsia="Calibri"/>
          <w:noProof/>
          <w:color w:val="4C4747"/>
          <w:spacing w:val="20"/>
        </w:rPr>
        <w:sectPr w:rsidR="00945EE2" w:rsidSect="005E2676">
          <w:pgSz w:w="12240" w:h="15840"/>
          <w:pgMar w:top="1440" w:right="2160" w:bottom="1440" w:left="2160" w:header="720" w:footer="720" w:gutter="0"/>
          <w:cols w:space="720"/>
          <w:docGrid w:linePitch="360"/>
        </w:sectPr>
      </w:pPr>
    </w:p>
    <w:p w14:paraId="3879781D" w14:textId="77777777" w:rsidR="00947851" w:rsidRDefault="00947851" w:rsidP="00886F32">
      <w:pPr>
        <w:pStyle w:val="Bullet"/>
        <w:spacing w:after="0" w:line="360" w:lineRule="auto"/>
        <w:ind w:left="720"/>
        <w:rPr>
          <w:rFonts w:eastAsia="Calibri"/>
          <w:noProof/>
          <w:color w:val="4C4747"/>
          <w:spacing w:val="20"/>
        </w:rPr>
      </w:pPr>
      <w:r w:rsidRPr="00947851">
        <w:rPr>
          <w:rFonts w:eastAsia="Calibri"/>
          <w:noProof/>
          <w:color w:val="4C4747"/>
          <w:spacing w:val="20"/>
        </w:rPr>
        <w:lastRenderedPageBreak/>
        <w:t xml:space="preserve">El Presupuesto Institucional del año 2025 fue aprobado por un monto inicial de RD$23,549,896,875.00. Durante el ejercicio fiscal se realizaron diversas modificaciones, registrándose disminuciones por un valor total de RD$274,129,100.87. </w:t>
      </w:r>
      <w:bookmarkStart w:id="96" w:name="_Hlk215670033"/>
      <w:r w:rsidRPr="00947851">
        <w:rPr>
          <w:rFonts w:eastAsia="Calibri"/>
          <w:noProof/>
          <w:color w:val="4C4747"/>
          <w:spacing w:val="20"/>
        </w:rPr>
        <w:t>Como resultado, el presupuesto vigente descendió a RD$21,243,262,741.24.</w:t>
      </w:r>
      <w:bookmarkEnd w:id="96"/>
    </w:p>
    <w:p w14:paraId="2701CEB9" w14:textId="77777777" w:rsidR="00947851" w:rsidRPr="00947851" w:rsidRDefault="00947851" w:rsidP="00886F32">
      <w:pPr>
        <w:pStyle w:val="Bullet"/>
        <w:spacing w:after="0" w:line="360" w:lineRule="auto"/>
        <w:ind w:left="720"/>
        <w:rPr>
          <w:rFonts w:eastAsia="Calibri"/>
          <w:noProof/>
          <w:color w:val="4C4747"/>
          <w:spacing w:val="20"/>
        </w:rPr>
      </w:pPr>
      <w:r w:rsidRPr="00947851">
        <w:rPr>
          <w:rFonts w:eastAsia="Calibri"/>
          <w:noProof/>
          <w:color w:val="4C4747"/>
          <w:spacing w:val="20"/>
        </w:rPr>
        <w:t>A continuación, se detallan los movimientos presupuestarios efectuados durante el período, los cuales reflejan los ajustes necesarios para garantizar una ejecución alineada con las prioridades institucionales y las metas establecidas para el año 2025.</w:t>
      </w:r>
    </w:p>
    <w:tbl>
      <w:tblPr>
        <w:tblW w:w="13223" w:type="dxa"/>
        <w:tblInd w:w="-10" w:type="dxa"/>
        <w:tblCellMar>
          <w:left w:w="70" w:type="dxa"/>
          <w:right w:w="70" w:type="dxa"/>
        </w:tblCellMar>
        <w:tblLook w:val="04A0" w:firstRow="1" w:lastRow="0" w:firstColumn="1" w:lastColumn="0" w:noHBand="0" w:noVBand="1"/>
      </w:tblPr>
      <w:tblGrid>
        <w:gridCol w:w="1834"/>
        <w:gridCol w:w="1980"/>
        <w:gridCol w:w="2349"/>
        <w:gridCol w:w="2349"/>
        <w:gridCol w:w="1479"/>
        <w:gridCol w:w="1392"/>
        <w:gridCol w:w="1840"/>
      </w:tblGrid>
      <w:tr w:rsidR="00D12416" w:rsidRPr="00EE5462" w14:paraId="2335C7C6" w14:textId="77777777" w:rsidTr="00D12416">
        <w:trPr>
          <w:trHeight w:val="589"/>
        </w:trPr>
        <w:tc>
          <w:tcPr>
            <w:tcW w:w="1834"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145B6CF" w14:textId="77777777" w:rsidR="007B6B04" w:rsidRPr="00EE5462" w:rsidRDefault="007B6B04" w:rsidP="00945EE2">
            <w:pPr>
              <w:spacing w:after="0" w:line="360" w:lineRule="auto"/>
              <w:rPr>
                <w:rFonts w:eastAsia="Times New Roman"/>
                <w:b/>
                <w:bCs/>
                <w:color w:val="FFFFFF"/>
                <w:sz w:val="16"/>
                <w:szCs w:val="16"/>
              </w:rPr>
            </w:pPr>
            <w:r w:rsidRPr="00EE5462">
              <w:rPr>
                <w:rFonts w:eastAsia="Times New Roman"/>
                <w:b/>
                <w:bCs/>
                <w:color w:val="FFFFFF"/>
                <w:sz w:val="16"/>
                <w:szCs w:val="16"/>
                <w:lang w:val="es-ES"/>
              </w:rPr>
              <w:t>Código Programa / Subprograma</w:t>
            </w:r>
          </w:p>
        </w:tc>
        <w:tc>
          <w:tcPr>
            <w:tcW w:w="198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A831132" w14:textId="77777777" w:rsidR="007B6B04" w:rsidRPr="00EE5462" w:rsidRDefault="007B6B04" w:rsidP="00945EE2">
            <w:pPr>
              <w:spacing w:after="0" w:line="360" w:lineRule="auto"/>
              <w:rPr>
                <w:rFonts w:eastAsia="Times New Roman"/>
                <w:b/>
                <w:bCs/>
                <w:color w:val="FFFFFF"/>
                <w:sz w:val="16"/>
                <w:szCs w:val="16"/>
              </w:rPr>
            </w:pPr>
            <w:r w:rsidRPr="00EE5462">
              <w:rPr>
                <w:rFonts w:eastAsia="Times New Roman"/>
                <w:b/>
                <w:bCs/>
                <w:color w:val="FFFFFF"/>
                <w:sz w:val="16"/>
                <w:szCs w:val="16"/>
                <w:lang w:val="es-ES"/>
              </w:rPr>
              <w:t>Nombre del Programa</w:t>
            </w:r>
          </w:p>
        </w:tc>
        <w:tc>
          <w:tcPr>
            <w:tcW w:w="2349"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1377785" w14:textId="45F086F6" w:rsidR="007B6B04" w:rsidRPr="00EE5462" w:rsidRDefault="007B6B04" w:rsidP="00945EE2">
            <w:pPr>
              <w:spacing w:after="0" w:line="360" w:lineRule="auto"/>
              <w:rPr>
                <w:rFonts w:eastAsia="Times New Roman"/>
                <w:b/>
                <w:bCs/>
                <w:color w:val="FFFFFF"/>
                <w:sz w:val="16"/>
                <w:szCs w:val="16"/>
              </w:rPr>
            </w:pPr>
            <w:r w:rsidRPr="00EE5462">
              <w:rPr>
                <w:rFonts w:eastAsia="Times New Roman"/>
                <w:b/>
                <w:bCs/>
                <w:color w:val="FFFFFF"/>
                <w:sz w:val="16"/>
                <w:szCs w:val="16"/>
                <w:lang w:val="es-ES"/>
              </w:rPr>
              <w:t xml:space="preserve">Asignación </w:t>
            </w:r>
            <w:r w:rsidR="007F3FB8" w:rsidRPr="00EE5462">
              <w:rPr>
                <w:rFonts w:eastAsia="Times New Roman"/>
                <w:b/>
                <w:bCs/>
                <w:color w:val="FFFFFF"/>
                <w:sz w:val="16"/>
                <w:szCs w:val="16"/>
                <w:lang w:val="es-ES"/>
              </w:rPr>
              <w:t>presupuestaria (</w:t>
            </w:r>
            <w:r w:rsidRPr="00EE5462">
              <w:rPr>
                <w:rFonts w:eastAsia="Times New Roman"/>
                <w:b/>
                <w:bCs/>
                <w:color w:val="FFFFFF"/>
                <w:sz w:val="16"/>
                <w:szCs w:val="16"/>
                <w:lang w:val="es-ES"/>
              </w:rPr>
              <w:t>RD$)</w:t>
            </w:r>
          </w:p>
        </w:tc>
        <w:tc>
          <w:tcPr>
            <w:tcW w:w="2349" w:type="dxa"/>
            <w:tcBorders>
              <w:top w:val="single" w:sz="8" w:space="0" w:color="auto"/>
              <w:left w:val="nil"/>
              <w:bottom w:val="nil"/>
              <w:right w:val="single" w:sz="8" w:space="0" w:color="auto"/>
            </w:tcBorders>
            <w:shd w:val="clear" w:color="000000" w:fill="002060"/>
            <w:vAlign w:val="center"/>
            <w:hideMark/>
          </w:tcPr>
          <w:p w14:paraId="67F0E050" w14:textId="68E45261" w:rsidR="007B6B04" w:rsidRPr="00EE5462" w:rsidRDefault="007B6B04" w:rsidP="00945EE2">
            <w:pPr>
              <w:spacing w:after="0" w:line="360" w:lineRule="auto"/>
              <w:rPr>
                <w:rFonts w:eastAsia="Times New Roman"/>
                <w:b/>
                <w:bCs/>
                <w:color w:val="FFFFFF"/>
                <w:sz w:val="16"/>
                <w:szCs w:val="16"/>
              </w:rPr>
            </w:pPr>
            <w:r w:rsidRPr="00EE5462">
              <w:rPr>
                <w:rFonts w:eastAsia="Times New Roman"/>
                <w:b/>
                <w:bCs/>
                <w:color w:val="FFFFFF"/>
                <w:sz w:val="16"/>
                <w:szCs w:val="16"/>
                <w:lang w:val="es-ES"/>
              </w:rPr>
              <w:t>Ejecució</w:t>
            </w:r>
            <w:r w:rsidR="007F3FB8" w:rsidRPr="00EE5462">
              <w:rPr>
                <w:rFonts w:eastAsia="Times New Roman"/>
                <w:b/>
                <w:bCs/>
                <w:color w:val="FFFFFF"/>
                <w:sz w:val="16"/>
                <w:szCs w:val="16"/>
                <w:lang w:val="es-ES"/>
              </w:rPr>
              <w:t>n</w:t>
            </w:r>
          </w:p>
        </w:tc>
        <w:tc>
          <w:tcPr>
            <w:tcW w:w="1479"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EDA4358" w14:textId="77777777" w:rsidR="007B6B04" w:rsidRPr="00EE5462" w:rsidRDefault="007B6B04" w:rsidP="00D12416">
            <w:pPr>
              <w:spacing w:after="0" w:line="360" w:lineRule="auto"/>
              <w:rPr>
                <w:rFonts w:eastAsia="Times New Roman"/>
                <w:b/>
                <w:bCs/>
                <w:color w:val="FFFFFF"/>
                <w:sz w:val="16"/>
                <w:szCs w:val="16"/>
                <w:lang w:val="es-DO"/>
              </w:rPr>
            </w:pPr>
            <w:r w:rsidRPr="00EE5462">
              <w:rPr>
                <w:rFonts w:eastAsia="Times New Roman"/>
                <w:b/>
                <w:bCs/>
                <w:color w:val="FFFFFF"/>
                <w:sz w:val="16"/>
                <w:szCs w:val="16"/>
                <w:lang w:val="es-ES"/>
              </w:rPr>
              <w:t>Cantidad de Productos Generados por Programa</w:t>
            </w:r>
          </w:p>
        </w:tc>
        <w:tc>
          <w:tcPr>
            <w:tcW w:w="1392"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656381F" w14:textId="77777777" w:rsidR="007B6B04" w:rsidRPr="00EE5462" w:rsidRDefault="007B6B04" w:rsidP="00D12416">
            <w:pPr>
              <w:spacing w:after="0" w:line="360" w:lineRule="auto"/>
              <w:rPr>
                <w:rFonts w:eastAsia="Times New Roman"/>
                <w:b/>
                <w:bCs/>
                <w:color w:val="FFFFFF"/>
                <w:sz w:val="16"/>
                <w:szCs w:val="16"/>
              </w:rPr>
            </w:pPr>
            <w:r w:rsidRPr="00EE5462">
              <w:rPr>
                <w:rFonts w:eastAsia="Times New Roman"/>
                <w:b/>
                <w:bCs/>
                <w:color w:val="FFFFFF"/>
                <w:sz w:val="16"/>
                <w:szCs w:val="16"/>
                <w:lang w:val="es-ES"/>
              </w:rPr>
              <w:t>Índice de Ejecución %</w:t>
            </w:r>
          </w:p>
        </w:tc>
        <w:tc>
          <w:tcPr>
            <w:tcW w:w="184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4B3DD19" w14:textId="77777777" w:rsidR="007B6B04" w:rsidRPr="00EE5462" w:rsidRDefault="007B6B04" w:rsidP="00D12416">
            <w:pPr>
              <w:spacing w:after="0" w:line="360" w:lineRule="auto"/>
              <w:rPr>
                <w:rFonts w:eastAsia="Times New Roman"/>
                <w:b/>
                <w:bCs/>
                <w:color w:val="FFFFFF"/>
                <w:sz w:val="16"/>
                <w:szCs w:val="16"/>
              </w:rPr>
            </w:pPr>
            <w:r w:rsidRPr="00EE5462">
              <w:rPr>
                <w:rFonts w:eastAsia="Times New Roman"/>
                <w:b/>
                <w:bCs/>
                <w:color w:val="FFFFFF"/>
                <w:sz w:val="16"/>
                <w:szCs w:val="16"/>
                <w:lang w:val="es-ES"/>
              </w:rPr>
              <w:t>Participación ejecución por programa (%)</w:t>
            </w:r>
          </w:p>
        </w:tc>
      </w:tr>
      <w:tr w:rsidR="00D12416" w:rsidRPr="00EE5462" w14:paraId="71F3B267" w14:textId="77777777" w:rsidTr="00D12416">
        <w:trPr>
          <w:trHeight w:val="574"/>
        </w:trPr>
        <w:tc>
          <w:tcPr>
            <w:tcW w:w="1834" w:type="dxa"/>
            <w:vMerge/>
            <w:tcBorders>
              <w:top w:val="single" w:sz="8" w:space="0" w:color="auto"/>
              <w:left w:val="single" w:sz="8" w:space="0" w:color="auto"/>
              <w:bottom w:val="single" w:sz="8" w:space="0" w:color="000000"/>
              <w:right w:val="single" w:sz="8" w:space="0" w:color="auto"/>
            </w:tcBorders>
            <w:vAlign w:val="center"/>
            <w:hideMark/>
          </w:tcPr>
          <w:p w14:paraId="613DB98A" w14:textId="77777777" w:rsidR="007B6B04" w:rsidRPr="00EE5462" w:rsidRDefault="007B6B04" w:rsidP="00886F32">
            <w:pPr>
              <w:spacing w:after="0" w:line="360" w:lineRule="auto"/>
              <w:ind w:left="720"/>
              <w:rPr>
                <w:rFonts w:eastAsia="Times New Roman"/>
                <w:b/>
                <w:bCs/>
                <w:color w:val="FFFFFF"/>
                <w:sz w:val="16"/>
                <w:szCs w:val="16"/>
              </w:rPr>
            </w:pPr>
          </w:p>
        </w:tc>
        <w:tc>
          <w:tcPr>
            <w:tcW w:w="1980" w:type="dxa"/>
            <w:vMerge/>
            <w:tcBorders>
              <w:top w:val="single" w:sz="8" w:space="0" w:color="auto"/>
              <w:left w:val="single" w:sz="8" w:space="0" w:color="auto"/>
              <w:bottom w:val="single" w:sz="8" w:space="0" w:color="000000"/>
              <w:right w:val="single" w:sz="8" w:space="0" w:color="auto"/>
            </w:tcBorders>
            <w:vAlign w:val="center"/>
            <w:hideMark/>
          </w:tcPr>
          <w:p w14:paraId="1803CF55" w14:textId="77777777" w:rsidR="007B6B04" w:rsidRPr="00EE5462" w:rsidRDefault="007B6B04" w:rsidP="00886F32">
            <w:pPr>
              <w:spacing w:after="0" w:line="360" w:lineRule="auto"/>
              <w:ind w:left="720"/>
              <w:rPr>
                <w:rFonts w:eastAsia="Times New Roman"/>
                <w:b/>
                <w:bCs/>
                <w:color w:val="FFFFFF"/>
                <w:sz w:val="16"/>
                <w:szCs w:val="16"/>
              </w:rPr>
            </w:pPr>
          </w:p>
        </w:tc>
        <w:tc>
          <w:tcPr>
            <w:tcW w:w="2349" w:type="dxa"/>
            <w:vMerge/>
            <w:tcBorders>
              <w:top w:val="single" w:sz="8" w:space="0" w:color="auto"/>
              <w:left w:val="single" w:sz="8" w:space="0" w:color="auto"/>
              <w:bottom w:val="single" w:sz="8" w:space="0" w:color="000000"/>
              <w:right w:val="single" w:sz="8" w:space="0" w:color="auto"/>
            </w:tcBorders>
            <w:vAlign w:val="center"/>
            <w:hideMark/>
          </w:tcPr>
          <w:p w14:paraId="6535AE71" w14:textId="77777777" w:rsidR="007B6B04" w:rsidRPr="00EE5462" w:rsidRDefault="007B6B04" w:rsidP="00886F32">
            <w:pPr>
              <w:spacing w:after="0" w:line="360" w:lineRule="auto"/>
              <w:ind w:left="720"/>
              <w:rPr>
                <w:rFonts w:eastAsia="Times New Roman"/>
                <w:b/>
                <w:bCs/>
                <w:color w:val="FFFFFF"/>
                <w:sz w:val="16"/>
                <w:szCs w:val="16"/>
              </w:rPr>
            </w:pPr>
          </w:p>
        </w:tc>
        <w:tc>
          <w:tcPr>
            <w:tcW w:w="2349" w:type="dxa"/>
            <w:tcBorders>
              <w:top w:val="nil"/>
              <w:left w:val="nil"/>
              <w:bottom w:val="single" w:sz="8" w:space="0" w:color="auto"/>
              <w:right w:val="single" w:sz="8" w:space="0" w:color="auto"/>
            </w:tcBorders>
            <w:shd w:val="clear" w:color="000000" w:fill="002060"/>
            <w:vAlign w:val="center"/>
            <w:hideMark/>
          </w:tcPr>
          <w:p w14:paraId="57721897" w14:textId="1A39420F" w:rsidR="007B6B04" w:rsidRPr="00EE5462" w:rsidRDefault="007B6B04" w:rsidP="00945EE2">
            <w:pPr>
              <w:spacing w:after="0" w:line="360" w:lineRule="auto"/>
              <w:rPr>
                <w:rFonts w:eastAsia="Times New Roman"/>
                <w:b/>
                <w:bCs/>
                <w:color w:val="FFFFFF"/>
                <w:sz w:val="16"/>
                <w:szCs w:val="16"/>
              </w:rPr>
            </w:pPr>
            <w:r w:rsidRPr="00EE5462">
              <w:rPr>
                <w:rFonts w:eastAsia="Times New Roman"/>
                <w:b/>
                <w:bCs/>
                <w:color w:val="FFFFFF"/>
                <w:sz w:val="16"/>
                <w:szCs w:val="16"/>
                <w:lang w:val="es-ES"/>
              </w:rPr>
              <w:t>(RD$)</w:t>
            </w:r>
          </w:p>
        </w:tc>
        <w:tc>
          <w:tcPr>
            <w:tcW w:w="1479" w:type="dxa"/>
            <w:vMerge/>
            <w:tcBorders>
              <w:top w:val="single" w:sz="8" w:space="0" w:color="auto"/>
              <w:left w:val="single" w:sz="8" w:space="0" w:color="auto"/>
              <w:bottom w:val="single" w:sz="8" w:space="0" w:color="000000"/>
              <w:right w:val="single" w:sz="8" w:space="0" w:color="auto"/>
            </w:tcBorders>
            <w:vAlign w:val="center"/>
            <w:hideMark/>
          </w:tcPr>
          <w:p w14:paraId="4F263624" w14:textId="77777777" w:rsidR="007B6B04" w:rsidRPr="00EE5462" w:rsidRDefault="007B6B04" w:rsidP="00886F32">
            <w:pPr>
              <w:spacing w:after="0" w:line="360" w:lineRule="auto"/>
              <w:ind w:left="720"/>
              <w:rPr>
                <w:rFonts w:eastAsia="Times New Roman"/>
                <w:b/>
                <w:bCs/>
                <w:color w:val="FFFFFF"/>
                <w:sz w:val="16"/>
                <w:szCs w:val="16"/>
              </w:rPr>
            </w:pPr>
          </w:p>
        </w:tc>
        <w:tc>
          <w:tcPr>
            <w:tcW w:w="1392" w:type="dxa"/>
            <w:vMerge/>
            <w:tcBorders>
              <w:top w:val="single" w:sz="8" w:space="0" w:color="auto"/>
              <w:left w:val="single" w:sz="8" w:space="0" w:color="auto"/>
              <w:bottom w:val="single" w:sz="8" w:space="0" w:color="000000"/>
              <w:right w:val="single" w:sz="8" w:space="0" w:color="auto"/>
            </w:tcBorders>
            <w:vAlign w:val="center"/>
            <w:hideMark/>
          </w:tcPr>
          <w:p w14:paraId="07F7E264" w14:textId="77777777" w:rsidR="007B6B04" w:rsidRPr="00EE5462" w:rsidRDefault="007B6B04" w:rsidP="00886F32">
            <w:pPr>
              <w:spacing w:after="0" w:line="360" w:lineRule="auto"/>
              <w:ind w:left="720"/>
              <w:rPr>
                <w:rFonts w:eastAsia="Times New Roman"/>
                <w:b/>
                <w:bCs/>
                <w:color w:val="FFFFFF"/>
                <w:sz w:val="16"/>
                <w:szCs w:val="16"/>
              </w:rPr>
            </w:pPr>
          </w:p>
        </w:tc>
        <w:tc>
          <w:tcPr>
            <w:tcW w:w="1840" w:type="dxa"/>
            <w:vMerge/>
            <w:tcBorders>
              <w:top w:val="single" w:sz="8" w:space="0" w:color="auto"/>
              <w:left w:val="single" w:sz="8" w:space="0" w:color="auto"/>
              <w:bottom w:val="single" w:sz="8" w:space="0" w:color="000000"/>
              <w:right w:val="single" w:sz="8" w:space="0" w:color="auto"/>
            </w:tcBorders>
            <w:vAlign w:val="center"/>
            <w:hideMark/>
          </w:tcPr>
          <w:p w14:paraId="4BB4CB9A" w14:textId="77777777" w:rsidR="007B6B04" w:rsidRPr="00EE5462" w:rsidRDefault="007B6B04" w:rsidP="00886F32">
            <w:pPr>
              <w:spacing w:after="0" w:line="360" w:lineRule="auto"/>
              <w:ind w:left="720"/>
              <w:rPr>
                <w:rFonts w:eastAsia="Times New Roman"/>
                <w:b/>
                <w:bCs/>
                <w:color w:val="FFFFFF"/>
                <w:sz w:val="16"/>
                <w:szCs w:val="16"/>
              </w:rPr>
            </w:pPr>
          </w:p>
        </w:tc>
      </w:tr>
      <w:tr w:rsidR="00D12416" w:rsidRPr="00EE5462" w14:paraId="394130D4" w14:textId="77777777" w:rsidTr="00D12416">
        <w:trPr>
          <w:trHeight w:val="552"/>
        </w:trPr>
        <w:tc>
          <w:tcPr>
            <w:tcW w:w="18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1002FE"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99</w:t>
            </w:r>
          </w:p>
        </w:tc>
        <w:tc>
          <w:tcPr>
            <w:tcW w:w="1980" w:type="dxa"/>
            <w:vMerge w:val="restart"/>
            <w:tcBorders>
              <w:top w:val="nil"/>
              <w:left w:val="single" w:sz="8" w:space="0" w:color="auto"/>
              <w:bottom w:val="single" w:sz="8" w:space="0" w:color="000000"/>
              <w:right w:val="single" w:sz="8" w:space="0" w:color="auto"/>
            </w:tcBorders>
            <w:shd w:val="clear" w:color="auto" w:fill="auto"/>
            <w:vAlign w:val="bottom"/>
            <w:hideMark/>
          </w:tcPr>
          <w:p w14:paraId="5A4FA190" w14:textId="77777777" w:rsidR="007B6B04" w:rsidRPr="00EE5462" w:rsidRDefault="007B6B04" w:rsidP="00D12416">
            <w:pPr>
              <w:spacing w:after="0" w:line="360" w:lineRule="auto"/>
              <w:rPr>
                <w:rFonts w:eastAsia="Times New Roman"/>
                <w:color w:val="595959"/>
                <w:sz w:val="16"/>
                <w:szCs w:val="16"/>
                <w:lang w:val="es-DO"/>
              </w:rPr>
            </w:pPr>
            <w:r w:rsidRPr="00EE5462">
              <w:rPr>
                <w:rFonts w:eastAsia="Calibri"/>
                <w:noProof/>
                <w:color w:val="4C4747"/>
                <w:sz w:val="16"/>
                <w:szCs w:val="16"/>
                <w:lang w:val="es-DO"/>
              </w:rPr>
              <w:t>Administración de activos, pasivos y transferencias</w:t>
            </w:r>
          </w:p>
        </w:tc>
        <w:tc>
          <w:tcPr>
            <w:tcW w:w="234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BF6029B" w14:textId="77777777" w:rsidR="007B6B04" w:rsidRPr="00EE5462" w:rsidRDefault="007B6B04" w:rsidP="00D12416">
            <w:pPr>
              <w:spacing w:after="0" w:line="360" w:lineRule="auto"/>
              <w:rPr>
                <w:rFonts w:eastAsia="Times New Roman"/>
                <w:color w:val="595959"/>
                <w:sz w:val="16"/>
                <w:szCs w:val="16"/>
              </w:rPr>
            </w:pPr>
            <w:r w:rsidRPr="00EE5462">
              <w:rPr>
                <w:rFonts w:eastAsia="Calibri"/>
                <w:noProof/>
                <w:color w:val="4C4747"/>
                <w:sz w:val="16"/>
                <w:szCs w:val="16"/>
                <w:lang w:val="es-DO"/>
              </w:rPr>
              <w:t>22,204,587,873.00</w:t>
            </w:r>
          </w:p>
        </w:tc>
        <w:tc>
          <w:tcPr>
            <w:tcW w:w="234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CEC05C"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20,465,653,854.54</w:t>
            </w:r>
          </w:p>
        </w:tc>
        <w:tc>
          <w:tcPr>
            <w:tcW w:w="14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B67147"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c>
          <w:tcPr>
            <w:tcW w:w="13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245AD4"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92%</w:t>
            </w:r>
          </w:p>
        </w:tc>
        <w:tc>
          <w:tcPr>
            <w:tcW w:w="18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BD4D09"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r>
      <w:tr w:rsidR="00D12416" w:rsidRPr="00EE5462" w14:paraId="2C7886AB" w14:textId="77777777" w:rsidTr="00D12416">
        <w:trPr>
          <w:trHeight w:val="552"/>
        </w:trPr>
        <w:tc>
          <w:tcPr>
            <w:tcW w:w="1834" w:type="dxa"/>
            <w:vMerge/>
            <w:tcBorders>
              <w:top w:val="nil"/>
              <w:left w:val="single" w:sz="8" w:space="0" w:color="auto"/>
              <w:bottom w:val="single" w:sz="8" w:space="0" w:color="000000"/>
              <w:right w:val="single" w:sz="8" w:space="0" w:color="auto"/>
            </w:tcBorders>
            <w:vAlign w:val="center"/>
            <w:hideMark/>
          </w:tcPr>
          <w:p w14:paraId="14FB17B3" w14:textId="77777777" w:rsidR="007B6B04" w:rsidRPr="00EE5462" w:rsidRDefault="007B6B04" w:rsidP="00886F32">
            <w:pPr>
              <w:spacing w:after="0" w:line="360" w:lineRule="auto"/>
              <w:ind w:left="720"/>
              <w:rPr>
                <w:rFonts w:eastAsia="Times New Roman"/>
                <w:color w:val="595959"/>
                <w:sz w:val="16"/>
                <w:szCs w:val="16"/>
              </w:rPr>
            </w:pPr>
          </w:p>
        </w:tc>
        <w:tc>
          <w:tcPr>
            <w:tcW w:w="1980" w:type="dxa"/>
            <w:vMerge/>
            <w:tcBorders>
              <w:top w:val="nil"/>
              <w:left w:val="single" w:sz="8" w:space="0" w:color="auto"/>
              <w:bottom w:val="single" w:sz="8" w:space="0" w:color="000000"/>
              <w:right w:val="single" w:sz="8" w:space="0" w:color="auto"/>
            </w:tcBorders>
            <w:vAlign w:val="center"/>
            <w:hideMark/>
          </w:tcPr>
          <w:p w14:paraId="7FC8E9F7" w14:textId="77777777" w:rsidR="007B6B04" w:rsidRPr="00EE5462" w:rsidRDefault="007B6B04" w:rsidP="00886F32">
            <w:pPr>
              <w:spacing w:after="0" w:line="360" w:lineRule="auto"/>
              <w:ind w:left="720"/>
              <w:rPr>
                <w:rFonts w:eastAsia="Times New Roman"/>
                <w:color w:val="595959"/>
                <w:sz w:val="16"/>
                <w:szCs w:val="16"/>
              </w:rPr>
            </w:pPr>
          </w:p>
        </w:tc>
        <w:tc>
          <w:tcPr>
            <w:tcW w:w="2349" w:type="dxa"/>
            <w:vMerge/>
            <w:tcBorders>
              <w:top w:val="nil"/>
              <w:left w:val="single" w:sz="8" w:space="0" w:color="auto"/>
              <w:bottom w:val="single" w:sz="8" w:space="0" w:color="000000"/>
              <w:right w:val="single" w:sz="8" w:space="0" w:color="auto"/>
            </w:tcBorders>
            <w:vAlign w:val="center"/>
            <w:hideMark/>
          </w:tcPr>
          <w:p w14:paraId="59C4B4EC" w14:textId="77777777" w:rsidR="007B6B04" w:rsidRPr="00EE5462" w:rsidRDefault="007B6B04" w:rsidP="00886F32">
            <w:pPr>
              <w:spacing w:after="0" w:line="360" w:lineRule="auto"/>
              <w:ind w:left="720"/>
              <w:rPr>
                <w:rFonts w:eastAsia="Times New Roman"/>
                <w:color w:val="595959"/>
                <w:sz w:val="16"/>
                <w:szCs w:val="16"/>
              </w:rPr>
            </w:pPr>
          </w:p>
        </w:tc>
        <w:tc>
          <w:tcPr>
            <w:tcW w:w="2349" w:type="dxa"/>
            <w:vMerge/>
            <w:tcBorders>
              <w:top w:val="nil"/>
              <w:left w:val="single" w:sz="8" w:space="0" w:color="auto"/>
              <w:bottom w:val="single" w:sz="8" w:space="0" w:color="000000"/>
              <w:right w:val="single" w:sz="8" w:space="0" w:color="auto"/>
            </w:tcBorders>
            <w:vAlign w:val="center"/>
            <w:hideMark/>
          </w:tcPr>
          <w:p w14:paraId="6A5D95E0" w14:textId="77777777" w:rsidR="007B6B04" w:rsidRPr="00EE5462" w:rsidRDefault="007B6B04" w:rsidP="00886F32">
            <w:pPr>
              <w:spacing w:after="0" w:line="360" w:lineRule="auto"/>
              <w:ind w:left="720"/>
              <w:rPr>
                <w:rFonts w:eastAsia="Times New Roman"/>
                <w:color w:val="595959"/>
                <w:sz w:val="16"/>
                <w:szCs w:val="16"/>
              </w:rPr>
            </w:pPr>
          </w:p>
        </w:tc>
        <w:tc>
          <w:tcPr>
            <w:tcW w:w="1479" w:type="dxa"/>
            <w:vMerge/>
            <w:tcBorders>
              <w:top w:val="nil"/>
              <w:left w:val="single" w:sz="8" w:space="0" w:color="auto"/>
              <w:bottom w:val="single" w:sz="8" w:space="0" w:color="000000"/>
              <w:right w:val="single" w:sz="8" w:space="0" w:color="auto"/>
            </w:tcBorders>
            <w:vAlign w:val="center"/>
            <w:hideMark/>
          </w:tcPr>
          <w:p w14:paraId="234BB1E8" w14:textId="77777777" w:rsidR="007B6B04" w:rsidRPr="00EE5462" w:rsidRDefault="007B6B04" w:rsidP="00886F32">
            <w:pPr>
              <w:spacing w:after="0" w:line="360" w:lineRule="auto"/>
              <w:ind w:left="720"/>
              <w:rPr>
                <w:rFonts w:eastAsia="Times New Roman"/>
                <w:color w:val="595959"/>
                <w:sz w:val="16"/>
                <w:szCs w:val="16"/>
              </w:rPr>
            </w:pPr>
          </w:p>
        </w:tc>
        <w:tc>
          <w:tcPr>
            <w:tcW w:w="1392" w:type="dxa"/>
            <w:vMerge/>
            <w:tcBorders>
              <w:top w:val="nil"/>
              <w:left w:val="single" w:sz="8" w:space="0" w:color="auto"/>
              <w:bottom w:val="single" w:sz="8" w:space="0" w:color="000000"/>
              <w:right w:val="single" w:sz="8" w:space="0" w:color="auto"/>
            </w:tcBorders>
            <w:vAlign w:val="center"/>
            <w:hideMark/>
          </w:tcPr>
          <w:p w14:paraId="29F4CA9A" w14:textId="77777777" w:rsidR="007B6B04" w:rsidRPr="00EE5462" w:rsidRDefault="007B6B04" w:rsidP="00886F32">
            <w:pPr>
              <w:spacing w:after="0" w:line="360" w:lineRule="auto"/>
              <w:ind w:left="720"/>
              <w:rPr>
                <w:rFonts w:eastAsia="Times New Roman"/>
                <w:color w:val="595959"/>
                <w:sz w:val="16"/>
                <w:szCs w:val="16"/>
              </w:rPr>
            </w:pPr>
          </w:p>
        </w:tc>
        <w:tc>
          <w:tcPr>
            <w:tcW w:w="1840" w:type="dxa"/>
            <w:vMerge/>
            <w:tcBorders>
              <w:top w:val="nil"/>
              <w:left w:val="single" w:sz="8" w:space="0" w:color="auto"/>
              <w:bottom w:val="single" w:sz="8" w:space="0" w:color="000000"/>
              <w:right w:val="single" w:sz="8" w:space="0" w:color="auto"/>
            </w:tcBorders>
            <w:vAlign w:val="center"/>
            <w:hideMark/>
          </w:tcPr>
          <w:p w14:paraId="2F0D4E10" w14:textId="77777777" w:rsidR="007B6B04" w:rsidRPr="00EE5462" w:rsidRDefault="007B6B04" w:rsidP="00886F32">
            <w:pPr>
              <w:spacing w:after="0" w:line="360" w:lineRule="auto"/>
              <w:ind w:left="720"/>
              <w:rPr>
                <w:rFonts w:eastAsia="Times New Roman"/>
                <w:color w:val="595959"/>
                <w:sz w:val="16"/>
                <w:szCs w:val="16"/>
              </w:rPr>
            </w:pPr>
          </w:p>
        </w:tc>
      </w:tr>
      <w:tr w:rsidR="00D12416" w:rsidRPr="00EE5462" w14:paraId="0858A937" w14:textId="77777777" w:rsidTr="00D12416">
        <w:trPr>
          <w:trHeight w:val="552"/>
        </w:trPr>
        <w:tc>
          <w:tcPr>
            <w:tcW w:w="18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D31335"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98</w:t>
            </w:r>
          </w:p>
        </w:tc>
        <w:tc>
          <w:tcPr>
            <w:tcW w:w="1980" w:type="dxa"/>
            <w:vMerge w:val="restart"/>
            <w:tcBorders>
              <w:top w:val="nil"/>
              <w:left w:val="single" w:sz="8" w:space="0" w:color="auto"/>
              <w:bottom w:val="single" w:sz="8" w:space="0" w:color="000000"/>
              <w:right w:val="single" w:sz="8" w:space="0" w:color="auto"/>
            </w:tcBorders>
            <w:shd w:val="clear" w:color="auto" w:fill="auto"/>
            <w:vAlign w:val="bottom"/>
            <w:hideMark/>
          </w:tcPr>
          <w:p w14:paraId="0A949DDE" w14:textId="77777777" w:rsidR="007B6B04" w:rsidRPr="00D12416" w:rsidRDefault="007B6B04" w:rsidP="00D12416">
            <w:pPr>
              <w:spacing w:after="0" w:line="360" w:lineRule="auto"/>
              <w:rPr>
                <w:rFonts w:eastAsia="Times New Roman"/>
                <w:color w:val="595959"/>
                <w:sz w:val="16"/>
                <w:szCs w:val="16"/>
              </w:rPr>
            </w:pPr>
            <w:r w:rsidRPr="00D12416">
              <w:rPr>
                <w:rFonts w:eastAsia="Times New Roman"/>
                <w:color w:val="595959"/>
                <w:sz w:val="16"/>
                <w:szCs w:val="16"/>
              </w:rPr>
              <w:t>Administración de contribuciones especiales</w:t>
            </w:r>
          </w:p>
        </w:tc>
        <w:tc>
          <w:tcPr>
            <w:tcW w:w="234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78F750" w14:textId="77777777" w:rsidR="007B6B04" w:rsidRPr="00D12416" w:rsidRDefault="007B6B04" w:rsidP="00D12416">
            <w:pPr>
              <w:spacing w:after="0" w:line="360" w:lineRule="auto"/>
              <w:rPr>
                <w:rFonts w:eastAsia="Times New Roman"/>
                <w:color w:val="595959"/>
                <w:sz w:val="16"/>
                <w:szCs w:val="16"/>
              </w:rPr>
            </w:pPr>
            <w:r w:rsidRPr="00D12416">
              <w:rPr>
                <w:rFonts w:eastAsia="Times New Roman"/>
                <w:color w:val="595959"/>
                <w:sz w:val="16"/>
                <w:szCs w:val="16"/>
              </w:rPr>
              <w:t>55,050,000.00</w:t>
            </w:r>
          </w:p>
        </w:tc>
        <w:tc>
          <w:tcPr>
            <w:tcW w:w="234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B46B3C"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55,050,000.00</w:t>
            </w:r>
          </w:p>
        </w:tc>
        <w:tc>
          <w:tcPr>
            <w:tcW w:w="14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82DF54"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c>
          <w:tcPr>
            <w:tcW w:w="13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BE4DBE"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100%</w:t>
            </w:r>
          </w:p>
        </w:tc>
        <w:tc>
          <w:tcPr>
            <w:tcW w:w="18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B93CA7"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r>
      <w:tr w:rsidR="00D12416" w:rsidRPr="00EE5462" w14:paraId="782A2D2B" w14:textId="77777777" w:rsidTr="00D12416">
        <w:trPr>
          <w:trHeight w:val="552"/>
        </w:trPr>
        <w:tc>
          <w:tcPr>
            <w:tcW w:w="1834" w:type="dxa"/>
            <w:vMerge/>
            <w:tcBorders>
              <w:top w:val="nil"/>
              <w:left w:val="single" w:sz="8" w:space="0" w:color="auto"/>
              <w:bottom w:val="single" w:sz="8" w:space="0" w:color="000000"/>
              <w:right w:val="single" w:sz="8" w:space="0" w:color="auto"/>
            </w:tcBorders>
            <w:vAlign w:val="center"/>
            <w:hideMark/>
          </w:tcPr>
          <w:p w14:paraId="4C604E97" w14:textId="77777777" w:rsidR="007B6B04" w:rsidRPr="00EE5462" w:rsidRDefault="007B6B04" w:rsidP="00D12416">
            <w:pPr>
              <w:spacing w:after="0" w:line="360" w:lineRule="auto"/>
              <w:rPr>
                <w:rFonts w:eastAsia="Times New Roman"/>
                <w:color w:val="595959"/>
                <w:sz w:val="16"/>
                <w:szCs w:val="16"/>
              </w:rPr>
            </w:pPr>
          </w:p>
        </w:tc>
        <w:tc>
          <w:tcPr>
            <w:tcW w:w="1980" w:type="dxa"/>
            <w:vMerge/>
            <w:tcBorders>
              <w:top w:val="nil"/>
              <w:left w:val="single" w:sz="8" w:space="0" w:color="auto"/>
              <w:bottom w:val="single" w:sz="8" w:space="0" w:color="000000"/>
              <w:right w:val="single" w:sz="8" w:space="0" w:color="auto"/>
            </w:tcBorders>
            <w:vAlign w:val="center"/>
            <w:hideMark/>
          </w:tcPr>
          <w:p w14:paraId="25B3C5C2" w14:textId="77777777" w:rsidR="007B6B04" w:rsidRPr="00D12416" w:rsidRDefault="007B6B04" w:rsidP="00D12416">
            <w:pPr>
              <w:spacing w:after="0" w:line="360" w:lineRule="auto"/>
              <w:rPr>
                <w:rFonts w:eastAsia="Times New Roman"/>
                <w:color w:val="595959"/>
                <w:sz w:val="16"/>
                <w:szCs w:val="16"/>
              </w:rPr>
            </w:pPr>
          </w:p>
        </w:tc>
        <w:tc>
          <w:tcPr>
            <w:tcW w:w="2349" w:type="dxa"/>
            <w:vMerge/>
            <w:tcBorders>
              <w:top w:val="nil"/>
              <w:left w:val="single" w:sz="8" w:space="0" w:color="auto"/>
              <w:bottom w:val="single" w:sz="8" w:space="0" w:color="000000"/>
              <w:right w:val="single" w:sz="8" w:space="0" w:color="auto"/>
            </w:tcBorders>
            <w:vAlign w:val="center"/>
            <w:hideMark/>
          </w:tcPr>
          <w:p w14:paraId="7CB66137" w14:textId="77777777" w:rsidR="007B6B04" w:rsidRPr="00EE5462" w:rsidRDefault="007B6B04" w:rsidP="00D12416">
            <w:pPr>
              <w:spacing w:after="0" w:line="360" w:lineRule="auto"/>
              <w:rPr>
                <w:rFonts w:eastAsia="Times New Roman"/>
                <w:color w:val="595959"/>
                <w:sz w:val="16"/>
                <w:szCs w:val="16"/>
              </w:rPr>
            </w:pPr>
          </w:p>
        </w:tc>
        <w:tc>
          <w:tcPr>
            <w:tcW w:w="2349" w:type="dxa"/>
            <w:vMerge/>
            <w:tcBorders>
              <w:top w:val="nil"/>
              <w:left w:val="single" w:sz="8" w:space="0" w:color="auto"/>
              <w:bottom w:val="single" w:sz="8" w:space="0" w:color="000000"/>
              <w:right w:val="single" w:sz="8" w:space="0" w:color="auto"/>
            </w:tcBorders>
            <w:vAlign w:val="center"/>
            <w:hideMark/>
          </w:tcPr>
          <w:p w14:paraId="7BBC6E97" w14:textId="77777777" w:rsidR="007B6B04" w:rsidRPr="00EE5462" w:rsidRDefault="007B6B04" w:rsidP="00D12416">
            <w:pPr>
              <w:spacing w:after="0" w:line="360" w:lineRule="auto"/>
              <w:rPr>
                <w:rFonts w:eastAsia="Times New Roman"/>
                <w:color w:val="595959"/>
                <w:sz w:val="16"/>
                <w:szCs w:val="16"/>
              </w:rPr>
            </w:pPr>
          </w:p>
        </w:tc>
        <w:tc>
          <w:tcPr>
            <w:tcW w:w="1479" w:type="dxa"/>
            <w:vMerge/>
            <w:tcBorders>
              <w:top w:val="nil"/>
              <w:left w:val="single" w:sz="8" w:space="0" w:color="auto"/>
              <w:bottom w:val="single" w:sz="8" w:space="0" w:color="000000"/>
              <w:right w:val="single" w:sz="8" w:space="0" w:color="auto"/>
            </w:tcBorders>
            <w:vAlign w:val="center"/>
            <w:hideMark/>
          </w:tcPr>
          <w:p w14:paraId="06EBA18D" w14:textId="77777777" w:rsidR="007B6B04" w:rsidRPr="00EE5462" w:rsidRDefault="007B6B04" w:rsidP="00D12416">
            <w:pPr>
              <w:spacing w:after="0" w:line="360" w:lineRule="auto"/>
              <w:rPr>
                <w:rFonts w:eastAsia="Times New Roman"/>
                <w:color w:val="595959"/>
                <w:sz w:val="16"/>
                <w:szCs w:val="16"/>
              </w:rPr>
            </w:pPr>
          </w:p>
        </w:tc>
        <w:tc>
          <w:tcPr>
            <w:tcW w:w="1392" w:type="dxa"/>
            <w:vMerge/>
            <w:tcBorders>
              <w:top w:val="nil"/>
              <w:left w:val="single" w:sz="8" w:space="0" w:color="auto"/>
              <w:bottom w:val="single" w:sz="8" w:space="0" w:color="000000"/>
              <w:right w:val="single" w:sz="8" w:space="0" w:color="auto"/>
            </w:tcBorders>
            <w:vAlign w:val="center"/>
            <w:hideMark/>
          </w:tcPr>
          <w:p w14:paraId="18A15A18" w14:textId="77777777" w:rsidR="007B6B04" w:rsidRPr="00EE5462" w:rsidRDefault="007B6B04" w:rsidP="00D12416">
            <w:pPr>
              <w:spacing w:after="0" w:line="360" w:lineRule="auto"/>
              <w:rPr>
                <w:rFonts w:eastAsia="Times New Roman"/>
                <w:color w:val="595959"/>
                <w:sz w:val="16"/>
                <w:szCs w:val="16"/>
              </w:rPr>
            </w:pPr>
          </w:p>
        </w:tc>
        <w:tc>
          <w:tcPr>
            <w:tcW w:w="1840" w:type="dxa"/>
            <w:vMerge/>
            <w:tcBorders>
              <w:top w:val="nil"/>
              <w:left w:val="single" w:sz="8" w:space="0" w:color="auto"/>
              <w:bottom w:val="single" w:sz="8" w:space="0" w:color="000000"/>
              <w:right w:val="single" w:sz="8" w:space="0" w:color="auto"/>
            </w:tcBorders>
            <w:vAlign w:val="center"/>
            <w:hideMark/>
          </w:tcPr>
          <w:p w14:paraId="010A0338" w14:textId="77777777" w:rsidR="007B6B04" w:rsidRPr="00EE5462" w:rsidRDefault="007B6B04" w:rsidP="00D12416">
            <w:pPr>
              <w:spacing w:after="0" w:line="360" w:lineRule="auto"/>
              <w:rPr>
                <w:rFonts w:eastAsia="Times New Roman"/>
                <w:color w:val="595959"/>
                <w:sz w:val="16"/>
                <w:szCs w:val="16"/>
              </w:rPr>
            </w:pPr>
          </w:p>
        </w:tc>
      </w:tr>
      <w:tr w:rsidR="00D12416" w:rsidRPr="00EE5462" w14:paraId="1C24F262" w14:textId="77777777" w:rsidTr="00D12416">
        <w:trPr>
          <w:trHeight w:val="552"/>
        </w:trPr>
        <w:tc>
          <w:tcPr>
            <w:tcW w:w="18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513C2D0"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13</w:t>
            </w:r>
          </w:p>
        </w:tc>
        <w:tc>
          <w:tcPr>
            <w:tcW w:w="1980" w:type="dxa"/>
            <w:vMerge w:val="restart"/>
            <w:tcBorders>
              <w:top w:val="nil"/>
              <w:left w:val="single" w:sz="8" w:space="0" w:color="auto"/>
              <w:bottom w:val="single" w:sz="8" w:space="0" w:color="000000"/>
              <w:right w:val="single" w:sz="8" w:space="0" w:color="auto"/>
            </w:tcBorders>
            <w:shd w:val="clear" w:color="auto" w:fill="auto"/>
            <w:vAlign w:val="bottom"/>
            <w:hideMark/>
          </w:tcPr>
          <w:p w14:paraId="62254BB3" w14:textId="77777777" w:rsidR="007B6B04" w:rsidRPr="00D12416" w:rsidRDefault="007B6B04" w:rsidP="00D12416">
            <w:pPr>
              <w:spacing w:after="0" w:line="360" w:lineRule="auto"/>
              <w:rPr>
                <w:rFonts w:eastAsia="Times New Roman"/>
                <w:color w:val="595959"/>
                <w:sz w:val="16"/>
                <w:szCs w:val="16"/>
                <w:lang w:val="es-DO"/>
              </w:rPr>
            </w:pPr>
            <w:r w:rsidRPr="00D12416">
              <w:rPr>
                <w:rFonts w:eastAsia="Times New Roman"/>
                <w:color w:val="595959"/>
                <w:sz w:val="16"/>
                <w:szCs w:val="16"/>
                <w:lang w:val="es-DO"/>
              </w:rPr>
              <w:t>Atención y prevención de desastres</w:t>
            </w:r>
          </w:p>
        </w:tc>
        <w:tc>
          <w:tcPr>
            <w:tcW w:w="234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D5FD53"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16,000,000.00</w:t>
            </w:r>
          </w:p>
        </w:tc>
        <w:tc>
          <w:tcPr>
            <w:tcW w:w="234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64372F"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4,652,945.30</w:t>
            </w:r>
          </w:p>
        </w:tc>
        <w:tc>
          <w:tcPr>
            <w:tcW w:w="14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A604B3"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c>
          <w:tcPr>
            <w:tcW w:w="13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0F4655"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29%</w:t>
            </w:r>
          </w:p>
        </w:tc>
        <w:tc>
          <w:tcPr>
            <w:tcW w:w="18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F09F5BB"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r>
      <w:tr w:rsidR="00D12416" w:rsidRPr="00EE5462" w14:paraId="41A111CF" w14:textId="77777777" w:rsidTr="00D12416">
        <w:trPr>
          <w:trHeight w:val="552"/>
        </w:trPr>
        <w:tc>
          <w:tcPr>
            <w:tcW w:w="1834" w:type="dxa"/>
            <w:vMerge/>
            <w:tcBorders>
              <w:top w:val="nil"/>
              <w:left w:val="single" w:sz="8" w:space="0" w:color="auto"/>
              <w:bottom w:val="single" w:sz="8" w:space="0" w:color="000000"/>
              <w:right w:val="single" w:sz="8" w:space="0" w:color="auto"/>
            </w:tcBorders>
            <w:vAlign w:val="center"/>
            <w:hideMark/>
          </w:tcPr>
          <w:p w14:paraId="50735F36" w14:textId="77777777" w:rsidR="007B6B04" w:rsidRPr="00EE5462" w:rsidRDefault="007B6B04" w:rsidP="00D12416">
            <w:pPr>
              <w:spacing w:after="0" w:line="360" w:lineRule="auto"/>
              <w:rPr>
                <w:rFonts w:eastAsia="Times New Roman"/>
                <w:color w:val="595959"/>
                <w:sz w:val="16"/>
                <w:szCs w:val="16"/>
              </w:rPr>
            </w:pPr>
          </w:p>
        </w:tc>
        <w:tc>
          <w:tcPr>
            <w:tcW w:w="1980" w:type="dxa"/>
            <w:vMerge/>
            <w:tcBorders>
              <w:top w:val="nil"/>
              <w:left w:val="single" w:sz="8" w:space="0" w:color="auto"/>
              <w:bottom w:val="single" w:sz="8" w:space="0" w:color="000000"/>
              <w:right w:val="single" w:sz="8" w:space="0" w:color="auto"/>
            </w:tcBorders>
            <w:vAlign w:val="center"/>
            <w:hideMark/>
          </w:tcPr>
          <w:p w14:paraId="75186AA3" w14:textId="77777777" w:rsidR="007B6B04" w:rsidRPr="00D12416" w:rsidRDefault="007B6B04" w:rsidP="00D12416">
            <w:pPr>
              <w:spacing w:after="0" w:line="360" w:lineRule="auto"/>
              <w:rPr>
                <w:rFonts w:eastAsia="Times New Roman"/>
                <w:color w:val="595959"/>
                <w:sz w:val="16"/>
                <w:szCs w:val="16"/>
              </w:rPr>
            </w:pPr>
          </w:p>
        </w:tc>
        <w:tc>
          <w:tcPr>
            <w:tcW w:w="2349" w:type="dxa"/>
            <w:vMerge/>
            <w:tcBorders>
              <w:top w:val="nil"/>
              <w:left w:val="single" w:sz="8" w:space="0" w:color="auto"/>
              <w:bottom w:val="single" w:sz="8" w:space="0" w:color="000000"/>
              <w:right w:val="single" w:sz="8" w:space="0" w:color="auto"/>
            </w:tcBorders>
            <w:vAlign w:val="center"/>
            <w:hideMark/>
          </w:tcPr>
          <w:p w14:paraId="44BFEF1E" w14:textId="77777777" w:rsidR="007B6B04" w:rsidRPr="00EE5462" w:rsidRDefault="007B6B04" w:rsidP="00D12416">
            <w:pPr>
              <w:spacing w:after="0" w:line="360" w:lineRule="auto"/>
              <w:rPr>
                <w:rFonts w:eastAsia="Times New Roman"/>
                <w:color w:val="595959"/>
                <w:sz w:val="16"/>
                <w:szCs w:val="16"/>
              </w:rPr>
            </w:pPr>
          </w:p>
        </w:tc>
        <w:tc>
          <w:tcPr>
            <w:tcW w:w="2349" w:type="dxa"/>
            <w:vMerge/>
            <w:tcBorders>
              <w:top w:val="nil"/>
              <w:left w:val="single" w:sz="8" w:space="0" w:color="auto"/>
              <w:bottom w:val="single" w:sz="8" w:space="0" w:color="000000"/>
              <w:right w:val="single" w:sz="8" w:space="0" w:color="auto"/>
            </w:tcBorders>
            <w:vAlign w:val="center"/>
            <w:hideMark/>
          </w:tcPr>
          <w:p w14:paraId="12452E23" w14:textId="77777777" w:rsidR="007B6B04" w:rsidRPr="00EE5462" w:rsidRDefault="007B6B04" w:rsidP="00D12416">
            <w:pPr>
              <w:spacing w:after="0" w:line="360" w:lineRule="auto"/>
              <w:rPr>
                <w:rFonts w:eastAsia="Times New Roman"/>
                <w:color w:val="595959"/>
                <w:sz w:val="16"/>
                <w:szCs w:val="16"/>
              </w:rPr>
            </w:pPr>
          </w:p>
        </w:tc>
        <w:tc>
          <w:tcPr>
            <w:tcW w:w="1479" w:type="dxa"/>
            <w:vMerge/>
            <w:tcBorders>
              <w:top w:val="nil"/>
              <w:left w:val="single" w:sz="8" w:space="0" w:color="auto"/>
              <w:bottom w:val="single" w:sz="8" w:space="0" w:color="000000"/>
              <w:right w:val="single" w:sz="8" w:space="0" w:color="auto"/>
            </w:tcBorders>
            <w:vAlign w:val="center"/>
            <w:hideMark/>
          </w:tcPr>
          <w:p w14:paraId="0307BF33" w14:textId="77777777" w:rsidR="007B6B04" w:rsidRPr="00EE5462" w:rsidRDefault="007B6B04" w:rsidP="00D12416">
            <w:pPr>
              <w:spacing w:after="0" w:line="360" w:lineRule="auto"/>
              <w:rPr>
                <w:rFonts w:eastAsia="Times New Roman"/>
                <w:color w:val="595959"/>
                <w:sz w:val="16"/>
                <w:szCs w:val="16"/>
              </w:rPr>
            </w:pPr>
          </w:p>
        </w:tc>
        <w:tc>
          <w:tcPr>
            <w:tcW w:w="1392" w:type="dxa"/>
            <w:vMerge/>
            <w:tcBorders>
              <w:top w:val="nil"/>
              <w:left w:val="single" w:sz="8" w:space="0" w:color="auto"/>
              <w:bottom w:val="single" w:sz="8" w:space="0" w:color="000000"/>
              <w:right w:val="single" w:sz="8" w:space="0" w:color="auto"/>
            </w:tcBorders>
            <w:vAlign w:val="center"/>
            <w:hideMark/>
          </w:tcPr>
          <w:p w14:paraId="5B3EA9C5" w14:textId="77777777" w:rsidR="007B6B04" w:rsidRPr="00EE5462" w:rsidRDefault="007B6B04" w:rsidP="00D12416">
            <w:pPr>
              <w:spacing w:after="0" w:line="360" w:lineRule="auto"/>
              <w:rPr>
                <w:rFonts w:eastAsia="Times New Roman"/>
                <w:color w:val="595959"/>
                <w:sz w:val="16"/>
                <w:szCs w:val="16"/>
              </w:rPr>
            </w:pPr>
          </w:p>
        </w:tc>
        <w:tc>
          <w:tcPr>
            <w:tcW w:w="1840" w:type="dxa"/>
            <w:vMerge/>
            <w:tcBorders>
              <w:top w:val="nil"/>
              <w:left w:val="single" w:sz="8" w:space="0" w:color="auto"/>
              <w:bottom w:val="single" w:sz="8" w:space="0" w:color="000000"/>
              <w:right w:val="single" w:sz="8" w:space="0" w:color="auto"/>
            </w:tcBorders>
            <w:vAlign w:val="center"/>
            <w:hideMark/>
          </w:tcPr>
          <w:p w14:paraId="0E03C4C9" w14:textId="77777777" w:rsidR="007B6B04" w:rsidRPr="00EE5462" w:rsidRDefault="007B6B04" w:rsidP="00D12416">
            <w:pPr>
              <w:spacing w:after="0" w:line="360" w:lineRule="auto"/>
              <w:rPr>
                <w:rFonts w:eastAsia="Times New Roman"/>
                <w:color w:val="595959"/>
                <w:sz w:val="16"/>
                <w:szCs w:val="16"/>
              </w:rPr>
            </w:pPr>
          </w:p>
        </w:tc>
      </w:tr>
      <w:tr w:rsidR="00D12416" w:rsidRPr="00EE5462" w14:paraId="13BD8DC5" w14:textId="77777777" w:rsidTr="00D12416">
        <w:trPr>
          <w:trHeight w:val="552"/>
        </w:trPr>
        <w:tc>
          <w:tcPr>
            <w:tcW w:w="1834" w:type="dxa"/>
            <w:vMerge w:val="restart"/>
            <w:tcBorders>
              <w:top w:val="nil"/>
              <w:left w:val="single" w:sz="8" w:space="0" w:color="auto"/>
              <w:bottom w:val="nil"/>
              <w:right w:val="single" w:sz="8" w:space="0" w:color="auto"/>
            </w:tcBorders>
            <w:shd w:val="clear" w:color="auto" w:fill="auto"/>
            <w:noWrap/>
            <w:vAlign w:val="center"/>
            <w:hideMark/>
          </w:tcPr>
          <w:p w14:paraId="5B351447"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01</w:t>
            </w:r>
          </w:p>
        </w:tc>
        <w:tc>
          <w:tcPr>
            <w:tcW w:w="1980" w:type="dxa"/>
            <w:vMerge w:val="restart"/>
            <w:tcBorders>
              <w:top w:val="nil"/>
              <w:left w:val="single" w:sz="8" w:space="0" w:color="auto"/>
              <w:bottom w:val="nil"/>
              <w:right w:val="single" w:sz="8" w:space="0" w:color="auto"/>
            </w:tcBorders>
            <w:shd w:val="clear" w:color="auto" w:fill="auto"/>
            <w:vAlign w:val="bottom"/>
            <w:hideMark/>
          </w:tcPr>
          <w:p w14:paraId="1E57DF15" w14:textId="77777777" w:rsidR="007B6B04" w:rsidRPr="00D12416" w:rsidRDefault="007B6B04" w:rsidP="00D12416">
            <w:pPr>
              <w:spacing w:after="0" w:line="360" w:lineRule="auto"/>
              <w:rPr>
                <w:rFonts w:eastAsia="Times New Roman"/>
                <w:color w:val="595959"/>
                <w:sz w:val="16"/>
                <w:szCs w:val="16"/>
              </w:rPr>
            </w:pPr>
            <w:r w:rsidRPr="00D12416">
              <w:rPr>
                <w:rFonts w:eastAsia="Times New Roman"/>
                <w:color w:val="595959"/>
                <w:sz w:val="16"/>
                <w:szCs w:val="16"/>
              </w:rPr>
              <w:t>Dirección y Coordinación</w:t>
            </w:r>
          </w:p>
        </w:tc>
        <w:tc>
          <w:tcPr>
            <w:tcW w:w="2349" w:type="dxa"/>
            <w:vMerge w:val="restart"/>
            <w:tcBorders>
              <w:top w:val="nil"/>
              <w:left w:val="single" w:sz="8" w:space="0" w:color="auto"/>
              <w:bottom w:val="nil"/>
              <w:right w:val="single" w:sz="8" w:space="0" w:color="auto"/>
            </w:tcBorders>
            <w:shd w:val="clear" w:color="auto" w:fill="auto"/>
            <w:noWrap/>
            <w:vAlign w:val="center"/>
            <w:hideMark/>
          </w:tcPr>
          <w:p w14:paraId="2C15E2B3"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1,000,129,901.13</w:t>
            </w:r>
          </w:p>
        </w:tc>
        <w:tc>
          <w:tcPr>
            <w:tcW w:w="2349" w:type="dxa"/>
            <w:vMerge w:val="restart"/>
            <w:tcBorders>
              <w:top w:val="nil"/>
              <w:left w:val="single" w:sz="8" w:space="0" w:color="auto"/>
              <w:bottom w:val="nil"/>
              <w:right w:val="single" w:sz="8" w:space="0" w:color="auto"/>
            </w:tcBorders>
            <w:shd w:val="clear" w:color="auto" w:fill="auto"/>
            <w:noWrap/>
            <w:vAlign w:val="center"/>
            <w:hideMark/>
          </w:tcPr>
          <w:p w14:paraId="5EA6BE19"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717,905,941.40</w:t>
            </w:r>
          </w:p>
        </w:tc>
        <w:tc>
          <w:tcPr>
            <w:tcW w:w="1479" w:type="dxa"/>
            <w:vMerge w:val="restart"/>
            <w:tcBorders>
              <w:top w:val="nil"/>
              <w:left w:val="single" w:sz="8" w:space="0" w:color="auto"/>
              <w:bottom w:val="nil"/>
              <w:right w:val="single" w:sz="8" w:space="0" w:color="auto"/>
            </w:tcBorders>
            <w:shd w:val="clear" w:color="auto" w:fill="auto"/>
            <w:noWrap/>
            <w:vAlign w:val="center"/>
            <w:hideMark/>
          </w:tcPr>
          <w:p w14:paraId="3DD7B374"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c>
          <w:tcPr>
            <w:tcW w:w="1392" w:type="dxa"/>
            <w:vMerge w:val="restart"/>
            <w:tcBorders>
              <w:top w:val="nil"/>
              <w:left w:val="single" w:sz="8" w:space="0" w:color="auto"/>
              <w:bottom w:val="nil"/>
              <w:right w:val="single" w:sz="8" w:space="0" w:color="auto"/>
            </w:tcBorders>
            <w:shd w:val="clear" w:color="auto" w:fill="auto"/>
            <w:noWrap/>
            <w:vAlign w:val="center"/>
            <w:hideMark/>
          </w:tcPr>
          <w:p w14:paraId="170C31F9"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72%</w:t>
            </w:r>
          </w:p>
        </w:tc>
        <w:tc>
          <w:tcPr>
            <w:tcW w:w="1840" w:type="dxa"/>
            <w:vMerge w:val="restart"/>
            <w:tcBorders>
              <w:top w:val="nil"/>
              <w:left w:val="single" w:sz="8" w:space="0" w:color="auto"/>
              <w:bottom w:val="nil"/>
              <w:right w:val="single" w:sz="8" w:space="0" w:color="auto"/>
            </w:tcBorders>
            <w:shd w:val="clear" w:color="auto" w:fill="auto"/>
            <w:noWrap/>
            <w:vAlign w:val="center"/>
            <w:hideMark/>
          </w:tcPr>
          <w:p w14:paraId="49E5E636" w14:textId="77777777" w:rsidR="007B6B04" w:rsidRPr="00EE5462" w:rsidRDefault="007B6B04" w:rsidP="00D12416">
            <w:pPr>
              <w:spacing w:after="0" w:line="360" w:lineRule="auto"/>
              <w:rPr>
                <w:rFonts w:eastAsia="Times New Roman"/>
                <w:color w:val="595959"/>
                <w:sz w:val="16"/>
                <w:szCs w:val="16"/>
              </w:rPr>
            </w:pPr>
            <w:r w:rsidRPr="00EE5462">
              <w:rPr>
                <w:rFonts w:eastAsia="Times New Roman"/>
                <w:color w:val="595959"/>
                <w:sz w:val="16"/>
                <w:szCs w:val="16"/>
              </w:rPr>
              <w:t>N/A</w:t>
            </w:r>
          </w:p>
        </w:tc>
      </w:tr>
      <w:tr w:rsidR="00D12416" w:rsidRPr="00EE5462" w14:paraId="63BF1864" w14:textId="77777777" w:rsidTr="00D12416">
        <w:trPr>
          <w:trHeight w:val="552"/>
        </w:trPr>
        <w:tc>
          <w:tcPr>
            <w:tcW w:w="1834" w:type="dxa"/>
            <w:vMerge/>
            <w:tcBorders>
              <w:top w:val="nil"/>
              <w:left w:val="single" w:sz="8" w:space="0" w:color="auto"/>
              <w:bottom w:val="nil"/>
              <w:right w:val="single" w:sz="8" w:space="0" w:color="auto"/>
            </w:tcBorders>
            <w:vAlign w:val="center"/>
            <w:hideMark/>
          </w:tcPr>
          <w:p w14:paraId="69F48479" w14:textId="77777777" w:rsidR="007B6B04" w:rsidRPr="00EE5462" w:rsidRDefault="007B6B04" w:rsidP="00886F32">
            <w:pPr>
              <w:spacing w:after="0" w:line="360" w:lineRule="auto"/>
              <w:ind w:left="720"/>
              <w:rPr>
                <w:rFonts w:eastAsia="Times New Roman"/>
                <w:color w:val="595959"/>
                <w:sz w:val="16"/>
                <w:szCs w:val="16"/>
              </w:rPr>
            </w:pPr>
          </w:p>
        </w:tc>
        <w:tc>
          <w:tcPr>
            <w:tcW w:w="1980" w:type="dxa"/>
            <w:vMerge/>
            <w:tcBorders>
              <w:top w:val="nil"/>
              <w:left w:val="single" w:sz="8" w:space="0" w:color="auto"/>
              <w:bottom w:val="nil"/>
              <w:right w:val="single" w:sz="8" w:space="0" w:color="auto"/>
            </w:tcBorders>
            <w:vAlign w:val="center"/>
            <w:hideMark/>
          </w:tcPr>
          <w:p w14:paraId="648B01DA" w14:textId="77777777" w:rsidR="007B6B04" w:rsidRPr="00EE5462" w:rsidRDefault="007B6B04" w:rsidP="00886F32">
            <w:pPr>
              <w:spacing w:after="0" w:line="360" w:lineRule="auto"/>
              <w:ind w:left="720"/>
              <w:rPr>
                <w:rFonts w:eastAsia="Times New Roman"/>
                <w:color w:val="000000"/>
                <w:sz w:val="16"/>
                <w:szCs w:val="16"/>
              </w:rPr>
            </w:pPr>
          </w:p>
        </w:tc>
        <w:tc>
          <w:tcPr>
            <w:tcW w:w="2349" w:type="dxa"/>
            <w:vMerge/>
            <w:tcBorders>
              <w:top w:val="nil"/>
              <w:left w:val="single" w:sz="8" w:space="0" w:color="auto"/>
              <w:bottom w:val="nil"/>
              <w:right w:val="single" w:sz="8" w:space="0" w:color="auto"/>
            </w:tcBorders>
            <w:vAlign w:val="center"/>
            <w:hideMark/>
          </w:tcPr>
          <w:p w14:paraId="43D2F79D" w14:textId="77777777" w:rsidR="007B6B04" w:rsidRPr="00EE5462" w:rsidRDefault="007B6B04" w:rsidP="00886F32">
            <w:pPr>
              <w:spacing w:after="0" w:line="360" w:lineRule="auto"/>
              <w:ind w:left="720"/>
              <w:rPr>
                <w:rFonts w:eastAsia="Times New Roman"/>
                <w:color w:val="595959"/>
                <w:sz w:val="16"/>
                <w:szCs w:val="16"/>
              </w:rPr>
            </w:pPr>
          </w:p>
        </w:tc>
        <w:tc>
          <w:tcPr>
            <w:tcW w:w="2349" w:type="dxa"/>
            <w:vMerge/>
            <w:tcBorders>
              <w:top w:val="nil"/>
              <w:left w:val="single" w:sz="8" w:space="0" w:color="auto"/>
              <w:bottom w:val="nil"/>
              <w:right w:val="single" w:sz="8" w:space="0" w:color="auto"/>
            </w:tcBorders>
            <w:vAlign w:val="center"/>
            <w:hideMark/>
          </w:tcPr>
          <w:p w14:paraId="0F721FB3" w14:textId="77777777" w:rsidR="007B6B04" w:rsidRPr="00EE5462" w:rsidRDefault="007B6B04" w:rsidP="00886F32">
            <w:pPr>
              <w:spacing w:after="0" w:line="360" w:lineRule="auto"/>
              <w:ind w:left="720"/>
              <w:rPr>
                <w:rFonts w:eastAsia="Times New Roman"/>
                <w:color w:val="595959"/>
                <w:sz w:val="16"/>
                <w:szCs w:val="16"/>
              </w:rPr>
            </w:pPr>
          </w:p>
        </w:tc>
        <w:tc>
          <w:tcPr>
            <w:tcW w:w="1479" w:type="dxa"/>
            <w:vMerge/>
            <w:tcBorders>
              <w:top w:val="nil"/>
              <w:left w:val="single" w:sz="8" w:space="0" w:color="auto"/>
              <w:bottom w:val="nil"/>
              <w:right w:val="single" w:sz="8" w:space="0" w:color="auto"/>
            </w:tcBorders>
            <w:vAlign w:val="center"/>
            <w:hideMark/>
          </w:tcPr>
          <w:p w14:paraId="2836CB74" w14:textId="77777777" w:rsidR="007B6B04" w:rsidRPr="00EE5462" w:rsidRDefault="007B6B04" w:rsidP="00886F32">
            <w:pPr>
              <w:spacing w:after="0" w:line="360" w:lineRule="auto"/>
              <w:ind w:left="720"/>
              <w:rPr>
                <w:rFonts w:eastAsia="Times New Roman"/>
                <w:color w:val="595959"/>
                <w:sz w:val="16"/>
                <w:szCs w:val="16"/>
              </w:rPr>
            </w:pPr>
          </w:p>
        </w:tc>
        <w:tc>
          <w:tcPr>
            <w:tcW w:w="1392" w:type="dxa"/>
            <w:vMerge/>
            <w:tcBorders>
              <w:top w:val="nil"/>
              <w:left w:val="single" w:sz="8" w:space="0" w:color="auto"/>
              <w:bottom w:val="nil"/>
              <w:right w:val="single" w:sz="8" w:space="0" w:color="auto"/>
            </w:tcBorders>
            <w:vAlign w:val="center"/>
            <w:hideMark/>
          </w:tcPr>
          <w:p w14:paraId="5927E82C" w14:textId="77777777" w:rsidR="007B6B04" w:rsidRPr="00EE5462" w:rsidRDefault="007B6B04" w:rsidP="00886F32">
            <w:pPr>
              <w:spacing w:after="0" w:line="360" w:lineRule="auto"/>
              <w:ind w:left="720"/>
              <w:rPr>
                <w:rFonts w:eastAsia="Times New Roman"/>
                <w:color w:val="595959"/>
                <w:sz w:val="16"/>
                <w:szCs w:val="16"/>
              </w:rPr>
            </w:pPr>
          </w:p>
        </w:tc>
        <w:tc>
          <w:tcPr>
            <w:tcW w:w="1840" w:type="dxa"/>
            <w:vMerge/>
            <w:tcBorders>
              <w:top w:val="nil"/>
              <w:left w:val="single" w:sz="8" w:space="0" w:color="auto"/>
              <w:bottom w:val="nil"/>
              <w:right w:val="single" w:sz="8" w:space="0" w:color="auto"/>
            </w:tcBorders>
            <w:vAlign w:val="center"/>
            <w:hideMark/>
          </w:tcPr>
          <w:p w14:paraId="6B02C150" w14:textId="77777777" w:rsidR="007B6B04" w:rsidRPr="00EE5462" w:rsidRDefault="007B6B04" w:rsidP="00886F32">
            <w:pPr>
              <w:spacing w:after="0" w:line="360" w:lineRule="auto"/>
              <w:ind w:left="720"/>
              <w:rPr>
                <w:rFonts w:eastAsia="Times New Roman"/>
                <w:color w:val="595959"/>
                <w:sz w:val="16"/>
                <w:szCs w:val="16"/>
              </w:rPr>
            </w:pPr>
          </w:p>
        </w:tc>
      </w:tr>
      <w:tr w:rsidR="00D12416" w:rsidRPr="00EE5462" w14:paraId="7A149216" w14:textId="77777777" w:rsidTr="00D12416">
        <w:trPr>
          <w:trHeight w:val="366"/>
        </w:trPr>
        <w:tc>
          <w:tcPr>
            <w:tcW w:w="1834" w:type="dxa"/>
            <w:tcBorders>
              <w:top w:val="single" w:sz="8" w:space="0" w:color="auto"/>
              <w:left w:val="single" w:sz="8" w:space="0" w:color="auto"/>
              <w:bottom w:val="nil"/>
              <w:right w:val="single" w:sz="8" w:space="0" w:color="auto"/>
            </w:tcBorders>
            <w:shd w:val="clear" w:color="000000" w:fill="002060"/>
            <w:vAlign w:val="center"/>
            <w:hideMark/>
          </w:tcPr>
          <w:p w14:paraId="351797C2" w14:textId="77777777" w:rsidR="007B6B04" w:rsidRPr="00EE5462" w:rsidRDefault="007B6B04" w:rsidP="00D12416">
            <w:pPr>
              <w:spacing w:after="0" w:line="360" w:lineRule="auto"/>
              <w:jc w:val="center"/>
              <w:rPr>
                <w:rFonts w:eastAsia="Times New Roman"/>
                <w:b/>
                <w:bCs/>
                <w:color w:val="FFFFFF"/>
                <w:sz w:val="16"/>
                <w:szCs w:val="16"/>
              </w:rPr>
            </w:pPr>
            <w:proofErr w:type="spellStart"/>
            <w:r w:rsidRPr="00EE5462">
              <w:rPr>
                <w:rFonts w:eastAsia="Times New Roman"/>
                <w:b/>
                <w:bCs/>
                <w:color w:val="FFFFFF"/>
                <w:sz w:val="16"/>
                <w:szCs w:val="16"/>
              </w:rPr>
              <w:t>Totales</w:t>
            </w:r>
            <w:proofErr w:type="spellEnd"/>
          </w:p>
        </w:tc>
        <w:tc>
          <w:tcPr>
            <w:tcW w:w="1980" w:type="dxa"/>
            <w:tcBorders>
              <w:top w:val="single" w:sz="8" w:space="0" w:color="auto"/>
              <w:left w:val="nil"/>
              <w:bottom w:val="nil"/>
              <w:right w:val="single" w:sz="8" w:space="0" w:color="auto"/>
            </w:tcBorders>
            <w:shd w:val="clear" w:color="000000" w:fill="002060"/>
            <w:vAlign w:val="center"/>
            <w:hideMark/>
          </w:tcPr>
          <w:p w14:paraId="6525C8BD" w14:textId="6B8C8A21" w:rsidR="007B6B04" w:rsidRPr="00EE5462" w:rsidRDefault="007B6B04" w:rsidP="00D12416">
            <w:pPr>
              <w:spacing w:after="0" w:line="360" w:lineRule="auto"/>
              <w:jc w:val="center"/>
              <w:rPr>
                <w:rFonts w:eastAsia="Times New Roman"/>
                <w:b/>
                <w:bCs/>
                <w:color w:val="FFFFFF"/>
                <w:sz w:val="16"/>
                <w:szCs w:val="16"/>
              </w:rPr>
            </w:pPr>
          </w:p>
        </w:tc>
        <w:tc>
          <w:tcPr>
            <w:tcW w:w="2349" w:type="dxa"/>
            <w:tcBorders>
              <w:top w:val="single" w:sz="8" w:space="0" w:color="auto"/>
              <w:left w:val="nil"/>
              <w:bottom w:val="nil"/>
              <w:right w:val="single" w:sz="8" w:space="0" w:color="auto"/>
            </w:tcBorders>
            <w:shd w:val="clear" w:color="000000" w:fill="002060"/>
            <w:vAlign w:val="center"/>
            <w:hideMark/>
          </w:tcPr>
          <w:p w14:paraId="7592DDA3" w14:textId="3253D598" w:rsidR="007B6B04" w:rsidRPr="00EE5462" w:rsidRDefault="007B6B04" w:rsidP="00D12416">
            <w:pPr>
              <w:spacing w:after="0" w:line="360" w:lineRule="auto"/>
              <w:jc w:val="center"/>
              <w:rPr>
                <w:rFonts w:eastAsia="Times New Roman"/>
                <w:b/>
                <w:bCs/>
                <w:color w:val="FFFFFF"/>
                <w:sz w:val="16"/>
                <w:szCs w:val="16"/>
              </w:rPr>
            </w:pPr>
            <w:r w:rsidRPr="00EE5462">
              <w:rPr>
                <w:rFonts w:eastAsia="Times New Roman"/>
                <w:b/>
                <w:bCs/>
                <w:color w:val="FFFFFF"/>
                <w:sz w:val="16"/>
                <w:szCs w:val="16"/>
              </w:rPr>
              <w:t>23,275,767,774.13</w:t>
            </w:r>
          </w:p>
        </w:tc>
        <w:tc>
          <w:tcPr>
            <w:tcW w:w="2349" w:type="dxa"/>
            <w:tcBorders>
              <w:top w:val="single" w:sz="8" w:space="0" w:color="auto"/>
              <w:left w:val="nil"/>
              <w:bottom w:val="nil"/>
              <w:right w:val="single" w:sz="8" w:space="0" w:color="auto"/>
            </w:tcBorders>
            <w:shd w:val="clear" w:color="000000" w:fill="002060"/>
            <w:vAlign w:val="center"/>
            <w:hideMark/>
          </w:tcPr>
          <w:p w14:paraId="1E4DB465" w14:textId="5535E6A2" w:rsidR="007B6B04" w:rsidRPr="00EE5462" w:rsidRDefault="007B6B04" w:rsidP="00D12416">
            <w:pPr>
              <w:spacing w:after="0" w:line="360" w:lineRule="auto"/>
              <w:jc w:val="center"/>
              <w:rPr>
                <w:rFonts w:eastAsia="Times New Roman"/>
                <w:b/>
                <w:bCs/>
                <w:color w:val="FFFFFF"/>
                <w:sz w:val="16"/>
                <w:szCs w:val="16"/>
              </w:rPr>
            </w:pPr>
            <w:r w:rsidRPr="00EE5462">
              <w:rPr>
                <w:rFonts w:eastAsia="Times New Roman"/>
                <w:b/>
                <w:bCs/>
                <w:color w:val="FFFFFF"/>
                <w:sz w:val="16"/>
                <w:szCs w:val="16"/>
              </w:rPr>
              <w:t>21,243,262,741.24</w:t>
            </w:r>
          </w:p>
        </w:tc>
        <w:tc>
          <w:tcPr>
            <w:tcW w:w="1479" w:type="dxa"/>
            <w:tcBorders>
              <w:top w:val="single" w:sz="8" w:space="0" w:color="auto"/>
              <w:left w:val="nil"/>
              <w:bottom w:val="nil"/>
              <w:right w:val="single" w:sz="8" w:space="0" w:color="auto"/>
            </w:tcBorders>
            <w:shd w:val="clear" w:color="000000" w:fill="002060"/>
            <w:vAlign w:val="center"/>
            <w:hideMark/>
          </w:tcPr>
          <w:p w14:paraId="260E5C09" w14:textId="77777777" w:rsidR="007B6B04" w:rsidRPr="00EE5462" w:rsidRDefault="007B6B04" w:rsidP="00D12416">
            <w:pPr>
              <w:spacing w:after="0" w:line="360" w:lineRule="auto"/>
              <w:jc w:val="center"/>
              <w:rPr>
                <w:rFonts w:eastAsia="Times New Roman"/>
                <w:b/>
                <w:bCs/>
                <w:color w:val="FFFFFF"/>
                <w:sz w:val="16"/>
                <w:szCs w:val="16"/>
              </w:rPr>
            </w:pPr>
            <w:r w:rsidRPr="00EE5462">
              <w:rPr>
                <w:rFonts w:eastAsia="Times New Roman"/>
                <w:b/>
                <w:bCs/>
                <w:color w:val="FFFFFF"/>
                <w:sz w:val="16"/>
                <w:szCs w:val="16"/>
              </w:rPr>
              <w:t>N/A</w:t>
            </w:r>
          </w:p>
        </w:tc>
        <w:tc>
          <w:tcPr>
            <w:tcW w:w="1392" w:type="dxa"/>
            <w:tcBorders>
              <w:top w:val="single" w:sz="8" w:space="0" w:color="auto"/>
              <w:left w:val="nil"/>
              <w:bottom w:val="nil"/>
              <w:right w:val="single" w:sz="8" w:space="0" w:color="auto"/>
            </w:tcBorders>
            <w:shd w:val="clear" w:color="000000" w:fill="002060"/>
            <w:vAlign w:val="center"/>
            <w:hideMark/>
          </w:tcPr>
          <w:p w14:paraId="0FED9AD7" w14:textId="77777777" w:rsidR="007B6B04" w:rsidRPr="00EE5462" w:rsidRDefault="007B6B04" w:rsidP="00D12416">
            <w:pPr>
              <w:spacing w:after="0" w:line="360" w:lineRule="auto"/>
              <w:jc w:val="center"/>
              <w:rPr>
                <w:rFonts w:eastAsia="Times New Roman"/>
                <w:b/>
                <w:bCs/>
                <w:color w:val="FFFFFF"/>
                <w:sz w:val="16"/>
                <w:szCs w:val="16"/>
              </w:rPr>
            </w:pPr>
            <w:r w:rsidRPr="00EE5462">
              <w:rPr>
                <w:rFonts w:eastAsia="Times New Roman"/>
                <w:b/>
                <w:bCs/>
                <w:color w:val="FFFFFF"/>
                <w:sz w:val="16"/>
                <w:szCs w:val="16"/>
              </w:rPr>
              <w:t>91%</w:t>
            </w:r>
          </w:p>
        </w:tc>
        <w:tc>
          <w:tcPr>
            <w:tcW w:w="1840" w:type="dxa"/>
            <w:tcBorders>
              <w:top w:val="single" w:sz="8" w:space="0" w:color="auto"/>
              <w:left w:val="nil"/>
              <w:bottom w:val="nil"/>
              <w:right w:val="single" w:sz="8" w:space="0" w:color="auto"/>
            </w:tcBorders>
            <w:shd w:val="clear" w:color="000000" w:fill="002060"/>
            <w:vAlign w:val="center"/>
            <w:hideMark/>
          </w:tcPr>
          <w:p w14:paraId="2959EE38" w14:textId="77777777" w:rsidR="007B6B04" w:rsidRPr="00EE5462" w:rsidRDefault="007B6B04" w:rsidP="00D12416">
            <w:pPr>
              <w:spacing w:after="0" w:line="360" w:lineRule="auto"/>
              <w:jc w:val="center"/>
              <w:rPr>
                <w:rFonts w:eastAsia="Times New Roman"/>
                <w:b/>
                <w:bCs/>
                <w:color w:val="FFFFFF"/>
                <w:sz w:val="16"/>
                <w:szCs w:val="16"/>
              </w:rPr>
            </w:pPr>
            <w:r w:rsidRPr="00EE5462">
              <w:rPr>
                <w:rFonts w:eastAsia="Times New Roman"/>
                <w:b/>
                <w:bCs/>
                <w:color w:val="FFFFFF"/>
                <w:sz w:val="16"/>
                <w:szCs w:val="16"/>
              </w:rPr>
              <w:t>N/A</w:t>
            </w:r>
          </w:p>
        </w:tc>
      </w:tr>
    </w:tbl>
    <w:p w14:paraId="0B644F0D" w14:textId="3AA261BC" w:rsidR="00947851" w:rsidRDefault="00881AAA" w:rsidP="00886F32">
      <w:pPr>
        <w:pStyle w:val="Bullet"/>
        <w:spacing w:after="0" w:line="360" w:lineRule="auto"/>
        <w:ind w:left="720"/>
        <w:rPr>
          <w:rFonts w:eastAsia="Calibri"/>
          <w:i/>
          <w:iCs/>
          <w:noProof/>
          <w:color w:val="4C4747"/>
          <w:spacing w:val="20"/>
        </w:rPr>
      </w:pPr>
      <w:r w:rsidRPr="007F6395">
        <w:rPr>
          <w:rFonts w:eastAsia="Calibri"/>
          <w:i/>
          <w:iCs/>
          <w:noProof/>
          <w:color w:val="4C4747"/>
          <w:spacing w:val="20"/>
        </w:rPr>
        <w:t xml:space="preserve">Tabla 1. </w:t>
      </w:r>
      <w:r w:rsidR="007F6395" w:rsidRPr="007F6395">
        <w:rPr>
          <w:rFonts w:eastAsia="Calibri"/>
          <w:i/>
          <w:iCs/>
          <w:noProof/>
          <w:color w:val="4C4747"/>
          <w:spacing w:val="20"/>
        </w:rPr>
        <w:t>Ejecución Presupuestaria</w:t>
      </w:r>
    </w:p>
    <w:p w14:paraId="0DCE664B" w14:textId="77777777" w:rsidR="00945EE2" w:rsidRDefault="00945EE2" w:rsidP="00886F32">
      <w:pPr>
        <w:pStyle w:val="Bullet"/>
        <w:spacing w:after="0" w:line="360" w:lineRule="auto"/>
        <w:ind w:left="720"/>
        <w:rPr>
          <w:rFonts w:eastAsia="Calibri"/>
          <w:i/>
          <w:iCs/>
          <w:noProof/>
          <w:color w:val="4C4747"/>
          <w:spacing w:val="20"/>
        </w:rPr>
        <w:sectPr w:rsidR="00945EE2" w:rsidSect="00D12416">
          <w:pgSz w:w="15840" w:h="12240" w:orient="landscape"/>
          <w:pgMar w:top="990" w:right="1440" w:bottom="2160" w:left="1440" w:header="720" w:footer="720" w:gutter="0"/>
          <w:cols w:space="720"/>
          <w:docGrid w:linePitch="360"/>
        </w:sectPr>
      </w:pPr>
    </w:p>
    <w:p w14:paraId="0BBB5B3D" w14:textId="14F5CB5A" w:rsidR="00947851" w:rsidRPr="006228A7" w:rsidRDefault="00947851" w:rsidP="00886F32">
      <w:pPr>
        <w:spacing w:after="0" w:line="360" w:lineRule="auto"/>
        <w:ind w:left="720"/>
        <w:rPr>
          <w:rFonts w:eastAsia="Calibri"/>
          <w:b/>
          <w:bCs/>
          <w:noProof/>
          <w:color w:val="4C4747"/>
          <w:lang w:val="es-DO"/>
        </w:rPr>
      </w:pPr>
      <w:r w:rsidRPr="006228A7">
        <w:rPr>
          <w:rFonts w:eastAsia="Calibri"/>
          <w:b/>
          <w:bCs/>
          <w:noProof/>
          <w:color w:val="4C4747"/>
          <w:lang w:val="es-DO"/>
        </w:rPr>
        <w:lastRenderedPageBreak/>
        <w:t>Resultados Indicador Gestión Presupuestaria</w:t>
      </w:r>
      <w:r w:rsidR="006228A7">
        <w:rPr>
          <w:rFonts w:eastAsia="Calibri"/>
          <w:b/>
          <w:bCs/>
          <w:noProof/>
          <w:color w:val="4C4747"/>
          <w:lang w:val="es-DO"/>
        </w:rPr>
        <w:t>.</w:t>
      </w:r>
    </w:p>
    <w:p w14:paraId="512E60C3" w14:textId="5293821B" w:rsidR="00D12416" w:rsidRPr="00947851" w:rsidRDefault="00947851" w:rsidP="00D12416">
      <w:pPr>
        <w:spacing w:after="0" w:line="360" w:lineRule="auto"/>
        <w:ind w:left="720"/>
        <w:jc w:val="both"/>
        <w:rPr>
          <w:rFonts w:eastAsia="Calibri"/>
          <w:noProof/>
          <w:color w:val="4C4747"/>
          <w:lang w:val="es-DO"/>
        </w:rPr>
      </w:pPr>
      <w:r w:rsidRPr="00947851">
        <w:rPr>
          <w:rFonts w:eastAsia="Calibri"/>
          <w:noProof/>
          <w:color w:val="4C4747"/>
          <w:lang w:val="es-DO"/>
        </w:rPr>
        <w:t xml:space="preserve">La Dirección Administrativa y Financiera, como área transversal, brinda servicios y soporte a todas las dependencias del Ministerio, contribuyendo al cumplimiento de las metas institucionales. </w:t>
      </w:r>
    </w:p>
    <w:p w14:paraId="76015493" w14:textId="6A48C960" w:rsidR="00947851" w:rsidRP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Por la naturaleza de nuestras funciones</w:t>
      </w:r>
      <w:r w:rsidR="006228A7">
        <w:rPr>
          <w:rFonts w:eastAsia="Calibri"/>
          <w:noProof/>
          <w:color w:val="4C4747"/>
          <w:lang w:val="es-DO"/>
        </w:rPr>
        <w:t xml:space="preserve"> como Ministerio de la Presidencia, </w:t>
      </w:r>
      <w:r w:rsidRPr="00947851">
        <w:rPr>
          <w:rFonts w:eastAsia="Calibri"/>
          <w:noProof/>
          <w:color w:val="4C4747"/>
          <w:lang w:val="es-DO"/>
        </w:rPr>
        <w:t>no generamos una producción medible, ya que nuestro aporte se refleja en la calidad y eficiencia de los procesos administrativos y financieros que facilitan el funcionamiento interno y el uso adecuado de los recursos públicos</w:t>
      </w:r>
    </w:p>
    <w:p w14:paraId="2C1694D3" w14:textId="77777777" w:rsidR="00947851" w:rsidRPr="00947851" w:rsidRDefault="00947851" w:rsidP="00886F32">
      <w:pPr>
        <w:spacing w:after="0" w:line="360" w:lineRule="auto"/>
        <w:ind w:left="720"/>
        <w:jc w:val="both"/>
        <w:rPr>
          <w:rFonts w:eastAsia="Calibri"/>
          <w:noProof/>
          <w:color w:val="4C4747"/>
          <w:lang w:val="es-DO"/>
        </w:rPr>
      </w:pPr>
    </w:p>
    <w:p w14:paraId="79581B38" w14:textId="26A2D7B4" w:rsidR="00947851" w:rsidRPr="006228A7" w:rsidRDefault="00947851" w:rsidP="00886F32">
      <w:pPr>
        <w:pStyle w:val="ListParagraph"/>
        <w:numPr>
          <w:ilvl w:val="2"/>
          <w:numId w:val="96"/>
        </w:numPr>
        <w:spacing w:after="0" w:line="360" w:lineRule="auto"/>
        <w:ind w:left="720"/>
        <w:rPr>
          <w:rFonts w:eastAsia="Calibri"/>
          <w:b/>
          <w:bCs/>
          <w:noProof/>
          <w:color w:val="4C4747"/>
        </w:rPr>
      </w:pPr>
      <w:r w:rsidRPr="006228A7">
        <w:rPr>
          <w:rFonts w:eastAsia="Calibri"/>
          <w:b/>
          <w:bCs/>
          <w:noProof/>
          <w:color w:val="4C4747"/>
        </w:rPr>
        <w:t>Balance de las cuentas por pagar</w:t>
      </w:r>
      <w:r w:rsidR="006228A7">
        <w:rPr>
          <w:rFonts w:eastAsia="Calibri"/>
          <w:b/>
          <w:bCs/>
          <w:noProof/>
          <w:color w:val="4C4747"/>
        </w:rPr>
        <w:t>.</w:t>
      </w:r>
      <w:r w:rsidRPr="006228A7">
        <w:rPr>
          <w:rFonts w:eastAsia="Calibri"/>
          <w:b/>
          <w:bCs/>
          <w:noProof/>
          <w:color w:val="4C4747"/>
        </w:rPr>
        <w:t xml:space="preserve"> </w:t>
      </w:r>
    </w:p>
    <w:p w14:paraId="16A76A80" w14:textId="77777777" w:rsidR="00947851" w:rsidRPr="00947851" w:rsidRDefault="00947851" w:rsidP="00886F32">
      <w:pPr>
        <w:pStyle w:val="Bullet"/>
        <w:numPr>
          <w:ilvl w:val="0"/>
          <w:numId w:val="23"/>
        </w:numPr>
        <w:spacing w:after="0" w:line="360" w:lineRule="auto"/>
        <w:rPr>
          <w:rFonts w:eastAsia="Calibri"/>
          <w:noProof/>
          <w:color w:val="4C4747"/>
          <w:spacing w:val="20"/>
        </w:rPr>
      </w:pPr>
      <w:r w:rsidRPr="00947851">
        <w:rPr>
          <w:rFonts w:eastAsia="Calibri"/>
          <w:noProof/>
          <w:color w:val="4C4747"/>
          <w:spacing w:val="20"/>
        </w:rPr>
        <w:t>Se realizaron los cierres contables mensuales conforme al calendario DIGECOG.</w:t>
      </w:r>
    </w:p>
    <w:p w14:paraId="2FAD7FC7" w14:textId="77777777" w:rsidR="00947851" w:rsidRPr="00947851" w:rsidRDefault="00947851" w:rsidP="00886F32">
      <w:pPr>
        <w:pStyle w:val="Bullet"/>
        <w:numPr>
          <w:ilvl w:val="0"/>
          <w:numId w:val="24"/>
        </w:numPr>
        <w:spacing w:after="0" w:line="360" w:lineRule="auto"/>
        <w:rPr>
          <w:rFonts w:eastAsia="Calibri"/>
          <w:noProof/>
          <w:color w:val="4C4747"/>
          <w:spacing w:val="20"/>
        </w:rPr>
      </w:pPr>
      <w:r w:rsidRPr="00947851">
        <w:rPr>
          <w:rFonts w:eastAsia="Calibri"/>
          <w:noProof/>
          <w:color w:val="4C4747"/>
          <w:spacing w:val="20"/>
        </w:rPr>
        <w:t>Se registraron las operaciones con un nivel de puntualidad del 95%, mejorando la oportunidad contable.</w:t>
      </w:r>
    </w:p>
    <w:p w14:paraId="2E0BAF84" w14:textId="77777777" w:rsidR="00947851" w:rsidRPr="00947851" w:rsidRDefault="00947851" w:rsidP="00886F32">
      <w:pPr>
        <w:pStyle w:val="Bullet"/>
        <w:numPr>
          <w:ilvl w:val="0"/>
          <w:numId w:val="24"/>
        </w:numPr>
        <w:spacing w:after="0" w:line="360" w:lineRule="auto"/>
        <w:rPr>
          <w:rFonts w:eastAsia="Calibri"/>
          <w:noProof/>
          <w:color w:val="4C4747"/>
          <w:spacing w:val="20"/>
        </w:rPr>
      </w:pPr>
      <w:r w:rsidRPr="00947851">
        <w:rPr>
          <w:rFonts w:eastAsia="Calibri"/>
          <w:noProof/>
          <w:color w:val="4C4747"/>
          <w:spacing w:val="20"/>
        </w:rPr>
        <w:t>Se conciliaron las cuentas bancarias con un nivel de exactitud de 100%.</w:t>
      </w:r>
    </w:p>
    <w:p w14:paraId="543959CD" w14:textId="6BE3020D" w:rsidR="00D12416" w:rsidRPr="00D12416" w:rsidRDefault="00947851" w:rsidP="00D12416">
      <w:pPr>
        <w:pStyle w:val="Bullet"/>
        <w:numPr>
          <w:ilvl w:val="0"/>
          <w:numId w:val="24"/>
        </w:numPr>
        <w:spacing w:after="0" w:line="360" w:lineRule="auto"/>
        <w:rPr>
          <w:rFonts w:eastAsia="Calibri"/>
          <w:noProof/>
          <w:color w:val="4C4747"/>
          <w:spacing w:val="20"/>
        </w:rPr>
      </w:pPr>
      <w:r w:rsidRPr="00947851">
        <w:rPr>
          <w:rFonts w:eastAsia="Calibri"/>
          <w:noProof/>
          <w:color w:val="4C4747"/>
          <w:spacing w:val="20"/>
        </w:rPr>
        <w:t>Se redujo en 75% la devolución de expedientes por errores u omisiones.</w:t>
      </w:r>
    </w:p>
    <w:p w14:paraId="20CBE781" w14:textId="4D071B45" w:rsidR="00EE5462"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Al 30 de noviembre de 2025, la cuenta por pagar registró un balance de RD$40,253,584.11 y US$19,918.70, correspondientes a facturas por servicios básicos, adquisiciones de bienes y servicios, así como honorarios de consultores asociados a las operaciones del Ministerio. Estas obligaciones se encuentran en proceso de gestión de libramiento, circuito de firmas y revisión por los órganos rectores, etapas requeridas para su posterior desembolso a los proveedores del Ministerio de la Presidencia.</w:t>
      </w:r>
    </w:p>
    <w:p w14:paraId="596DA3D4" w14:textId="5E32E07E" w:rsidR="00EE5462" w:rsidRDefault="00EE5462" w:rsidP="00886F32">
      <w:pPr>
        <w:spacing w:after="0" w:line="360" w:lineRule="auto"/>
        <w:ind w:left="720"/>
        <w:rPr>
          <w:rFonts w:eastAsia="Calibri"/>
          <w:noProof/>
          <w:color w:val="4C4747"/>
          <w:lang w:val="es-DO"/>
        </w:rPr>
      </w:pPr>
      <w:r>
        <w:rPr>
          <w:rFonts w:eastAsia="Calibri"/>
          <w:noProof/>
          <w:color w:val="4C4747"/>
          <w:lang w:val="es-DO"/>
        </w:rPr>
        <w:br w:type="page"/>
      </w:r>
    </w:p>
    <w:p w14:paraId="671F6C20" w14:textId="77777777" w:rsidR="003E592E" w:rsidRDefault="003E592E" w:rsidP="00886F32">
      <w:pPr>
        <w:spacing w:after="0" w:line="360" w:lineRule="auto"/>
        <w:ind w:left="720"/>
        <w:jc w:val="both"/>
        <w:rPr>
          <w:rFonts w:eastAsia="Calibri"/>
          <w:noProof/>
          <w:color w:val="4C4747"/>
          <w:lang w:val="es-DO"/>
        </w:rPr>
        <w:sectPr w:rsidR="003E592E" w:rsidSect="005E2676">
          <w:pgSz w:w="12240" w:h="15840"/>
          <w:pgMar w:top="1440" w:right="2160" w:bottom="1440" w:left="2160" w:header="720" w:footer="720" w:gutter="0"/>
          <w:cols w:space="720"/>
          <w:docGrid w:linePitch="360"/>
        </w:sectPr>
      </w:pPr>
      <w:bookmarkStart w:id="97" w:name="_Hlk215652423"/>
    </w:p>
    <w:p w14:paraId="3CF164F7" w14:textId="0E0A289C" w:rsid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lastRenderedPageBreak/>
        <w:t>En la</w:t>
      </w:r>
      <w:r w:rsidR="00623FB3">
        <w:rPr>
          <w:rFonts w:eastAsia="Calibri"/>
          <w:noProof/>
          <w:color w:val="4C4747"/>
          <w:lang w:val="es-DO"/>
        </w:rPr>
        <w:t>s siguientes</w:t>
      </w:r>
      <w:r w:rsidRPr="00947851">
        <w:rPr>
          <w:rFonts w:eastAsia="Calibri"/>
          <w:noProof/>
          <w:color w:val="4C4747"/>
          <w:lang w:val="es-DO"/>
        </w:rPr>
        <w:t xml:space="preserve"> tabla</w:t>
      </w:r>
      <w:r w:rsidR="00623FB3">
        <w:rPr>
          <w:rFonts w:eastAsia="Calibri"/>
          <w:noProof/>
          <w:color w:val="4C4747"/>
          <w:lang w:val="es-DO"/>
        </w:rPr>
        <w:t xml:space="preserve">s </w:t>
      </w:r>
      <w:r w:rsidRPr="00947851">
        <w:rPr>
          <w:rFonts w:eastAsia="Calibri"/>
          <w:noProof/>
          <w:color w:val="4C4747"/>
          <w:lang w:val="es-DO"/>
        </w:rPr>
        <w:t>se visualiza el detalle de estas cuentas por pagar.</w:t>
      </w:r>
    </w:p>
    <w:tbl>
      <w:tblPr>
        <w:tblW w:w="12327" w:type="dxa"/>
        <w:tblInd w:w="-5" w:type="dxa"/>
        <w:tblLook w:val="04A0" w:firstRow="1" w:lastRow="0" w:firstColumn="1" w:lastColumn="0" w:noHBand="0" w:noVBand="1"/>
      </w:tblPr>
      <w:tblGrid>
        <w:gridCol w:w="1419"/>
        <w:gridCol w:w="1768"/>
        <w:gridCol w:w="2061"/>
        <w:gridCol w:w="3057"/>
        <w:gridCol w:w="2316"/>
        <w:gridCol w:w="1706"/>
      </w:tblGrid>
      <w:tr w:rsidR="00723259" w:rsidRPr="00EC3308" w14:paraId="52A36902" w14:textId="77777777" w:rsidTr="00234713">
        <w:trPr>
          <w:trHeight w:val="485"/>
          <w:tblHeader/>
        </w:trPr>
        <w:tc>
          <w:tcPr>
            <w:tcW w:w="1419"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15CAA159" w14:textId="77777777" w:rsidR="00A044CA" w:rsidRPr="00D12416" w:rsidRDefault="00A044CA" w:rsidP="00D12416">
            <w:pPr>
              <w:spacing w:after="0" w:line="360" w:lineRule="auto"/>
              <w:rPr>
                <w:rFonts w:eastAsia="Times New Roman"/>
                <w:b/>
                <w:bCs/>
                <w:color w:val="FFFFFF"/>
                <w:spacing w:val="0"/>
                <w:sz w:val="20"/>
                <w:szCs w:val="20"/>
                <w:lang w:val="es-DO"/>
              </w:rPr>
            </w:pPr>
            <w:r w:rsidRPr="00D12416">
              <w:rPr>
                <w:rFonts w:eastAsia="Times New Roman"/>
                <w:b/>
                <w:bCs/>
                <w:color w:val="FFFFFF"/>
                <w:spacing w:val="0"/>
                <w:sz w:val="20"/>
                <w:szCs w:val="20"/>
                <w:lang w:val="es-DO"/>
              </w:rPr>
              <w:t>FECHA REGISTRO</w:t>
            </w:r>
          </w:p>
        </w:tc>
        <w:tc>
          <w:tcPr>
            <w:tcW w:w="1768" w:type="dxa"/>
            <w:tcBorders>
              <w:top w:val="nil"/>
              <w:left w:val="nil"/>
              <w:bottom w:val="single" w:sz="4" w:space="0" w:color="auto"/>
              <w:right w:val="single" w:sz="4" w:space="0" w:color="auto"/>
            </w:tcBorders>
            <w:shd w:val="clear" w:color="000000" w:fill="203764"/>
            <w:vAlign w:val="center"/>
            <w:hideMark/>
          </w:tcPr>
          <w:p w14:paraId="199C9832" w14:textId="77777777" w:rsidR="00A044CA" w:rsidRPr="00D12416" w:rsidRDefault="00A044CA" w:rsidP="00D12416">
            <w:pPr>
              <w:spacing w:after="0" w:line="360" w:lineRule="auto"/>
              <w:rPr>
                <w:rFonts w:eastAsia="Times New Roman"/>
                <w:b/>
                <w:bCs/>
                <w:color w:val="FFFFFF"/>
                <w:spacing w:val="0"/>
                <w:sz w:val="20"/>
                <w:szCs w:val="20"/>
                <w:lang w:val="es-DO"/>
              </w:rPr>
            </w:pPr>
            <w:r w:rsidRPr="00D12416">
              <w:rPr>
                <w:rFonts w:eastAsia="Times New Roman"/>
                <w:b/>
                <w:bCs/>
                <w:color w:val="FFFFFF"/>
                <w:spacing w:val="0"/>
                <w:sz w:val="20"/>
                <w:szCs w:val="20"/>
                <w:lang w:val="es-DO"/>
              </w:rPr>
              <w:t>PROVEEDOR</w:t>
            </w:r>
          </w:p>
        </w:tc>
        <w:tc>
          <w:tcPr>
            <w:tcW w:w="2061" w:type="dxa"/>
            <w:tcBorders>
              <w:top w:val="nil"/>
              <w:left w:val="nil"/>
              <w:bottom w:val="single" w:sz="4" w:space="0" w:color="auto"/>
              <w:right w:val="single" w:sz="4" w:space="0" w:color="auto"/>
            </w:tcBorders>
            <w:shd w:val="clear" w:color="000000" w:fill="203764"/>
            <w:vAlign w:val="center"/>
            <w:hideMark/>
          </w:tcPr>
          <w:p w14:paraId="278766DF" w14:textId="77777777" w:rsidR="00A044CA" w:rsidRPr="00D12416" w:rsidRDefault="00A044CA" w:rsidP="00D12416">
            <w:pPr>
              <w:spacing w:after="0" w:line="360" w:lineRule="auto"/>
              <w:rPr>
                <w:rFonts w:eastAsia="Times New Roman"/>
                <w:b/>
                <w:bCs/>
                <w:color w:val="FFFFFF"/>
                <w:spacing w:val="0"/>
                <w:sz w:val="20"/>
                <w:szCs w:val="20"/>
                <w:lang w:val="es-DO"/>
              </w:rPr>
            </w:pPr>
            <w:r w:rsidRPr="00D12416">
              <w:rPr>
                <w:rFonts w:eastAsia="Times New Roman"/>
                <w:b/>
                <w:bCs/>
                <w:color w:val="FFFFFF"/>
                <w:spacing w:val="0"/>
                <w:sz w:val="20"/>
                <w:szCs w:val="20"/>
                <w:lang w:val="es-DO"/>
              </w:rPr>
              <w:t>NCF</w:t>
            </w:r>
          </w:p>
        </w:tc>
        <w:tc>
          <w:tcPr>
            <w:tcW w:w="3057" w:type="dxa"/>
            <w:tcBorders>
              <w:top w:val="nil"/>
              <w:left w:val="nil"/>
              <w:bottom w:val="single" w:sz="4" w:space="0" w:color="auto"/>
              <w:right w:val="single" w:sz="4" w:space="0" w:color="auto"/>
            </w:tcBorders>
            <w:shd w:val="clear" w:color="000000" w:fill="203764"/>
            <w:noWrap/>
            <w:vAlign w:val="center"/>
            <w:hideMark/>
          </w:tcPr>
          <w:p w14:paraId="10822F0A" w14:textId="77777777" w:rsidR="00A044CA" w:rsidRPr="00D12416" w:rsidRDefault="00A044CA" w:rsidP="00D12416">
            <w:pPr>
              <w:spacing w:after="0" w:line="360" w:lineRule="auto"/>
              <w:rPr>
                <w:rFonts w:eastAsia="Times New Roman"/>
                <w:b/>
                <w:bCs/>
                <w:color w:val="FFFFFF"/>
                <w:spacing w:val="0"/>
                <w:sz w:val="20"/>
                <w:szCs w:val="20"/>
                <w:lang w:val="es-DO"/>
              </w:rPr>
            </w:pPr>
            <w:r w:rsidRPr="00D12416">
              <w:rPr>
                <w:rFonts w:eastAsia="Times New Roman"/>
                <w:b/>
                <w:bCs/>
                <w:color w:val="FFFFFF"/>
                <w:spacing w:val="0"/>
                <w:sz w:val="20"/>
                <w:szCs w:val="20"/>
                <w:lang w:val="es-DO"/>
              </w:rPr>
              <w:t>CONCEPTO</w:t>
            </w:r>
          </w:p>
        </w:tc>
        <w:tc>
          <w:tcPr>
            <w:tcW w:w="1775" w:type="dxa"/>
            <w:tcBorders>
              <w:top w:val="nil"/>
              <w:left w:val="nil"/>
              <w:bottom w:val="single" w:sz="4" w:space="0" w:color="auto"/>
              <w:right w:val="single" w:sz="4" w:space="0" w:color="auto"/>
            </w:tcBorders>
            <w:shd w:val="clear" w:color="000000" w:fill="203764"/>
            <w:vAlign w:val="center"/>
            <w:hideMark/>
          </w:tcPr>
          <w:p w14:paraId="6D5344AF" w14:textId="24ADF4D1" w:rsidR="00A044CA" w:rsidRPr="00D12416" w:rsidRDefault="00A044CA" w:rsidP="00D12416">
            <w:pPr>
              <w:spacing w:after="0" w:line="360" w:lineRule="auto"/>
              <w:rPr>
                <w:rFonts w:eastAsia="Times New Roman"/>
                <w:b/>
                <w:bCs/>
                <w:color w:val="FFFFFF"/>
                <w:spacing w:val="0"/>
                <w:sz w:val="20"/>
                <w:szCs w:val="20"/>
                <w:lang w:val="es-DO"/>
              </w:rPr>
            </w:pPr>
            <w:r w:rsidRPr="00D12416">
              <w:rPr>
                <w:rFonts w:eastAsia="Times New Roman"/>
                <w:b/>
                <w:bCs/>
                <w:color w:val="FFFFFF"/>
                <w:spacing w:val="0"/>
                <w:sz w:val="20"/>
                <w:szCs w:val="20"/>
                <w:lang w:val="es-DO"/>
              </w:rPr>
              <w:t xml:space="preserve">MONTO </w:t>
            </w:r>
            <w:r w:rsidR="00C57FDA" w:rsidRPr="00D12416">
              <w:rPr>
                <w:rFonts w:eastAsia="Times New Roman"/>
                <w:b/>
                <w:bCs/>
                <w:color w:val="FFFFFF"/>
                <w:spacing w:val="0"/>
                <w:sz w:val="20"/>
                <w:szCs w:val="20"/>
                <w:lang w:val="es-DO"/>
              </w:rPr>
              <w:t>(RD$)</w:t>
            </w:r>
          </w:p>
        </w:tc>
        <w:tc>
          <w:tcPr>
            <w:tcW w:w="2247" w:type="dxa"/>
            <w:tcBorders>
              <w:top w:val="nil"/>
              <w:left w:val="nil"/>
              <w:bottom w:val="single" w:sz="4" w:space="0" w:color="auto"/>
              <w:right w:val="single" w:sz="4" w:space="0" w:color="auto"/>
            </w:tcBorders>
            <w:shd w:val="clear" w:color="000000" w:fill="203764"/>
            <w:vAlign w:val="center"/>
            <w:hideMark/>
          </w:tcPr>
          <w:p w14:paraId="2E7ED44D" w14:textId="77777777" w:rsidR="00A044CA" w:rsidRPr="00D12416" w:rsidRDefault="00A044CA" w:rsidP="00D12416">
            <w:pPr>
              <w:spacing w:after="0" w:line="360" w:lineRule="auto"/>
              <w:rPr>
                <w:rFonts w:eastAsia="Times New Roman"/>
                <w:b/>
                <w:bCs/>
                <w:color w:val="FFFFFF"/>
                <w:spacing w:val="0"/>
                <w:sz w:val="20"/>
                <w:szCs w:val="20"/>
                <w:lang w:val="es-DO"/>
              </w:rPr>
            </w:pPr>
            <w:r w:rsidRPr="00D12416">
              <w:rPr>
                <w:rFonts w:eastAsia="Times New Roman"/>
                <w:b/>
                <w:bCs/>
                <w:color w:val="FFFFFF"/>
                <w:spacing w:val="0"/>
                <w:sz w:val="20"/>
                <w:szCs w:val="20"/>
                <w:lang w:val="es-DO"/>
              </w:rPr>
              <w:t xml:space="preserve">OBSERVACION </w:t>
            </w:r>
          </w:p>
        </w:tc>
      </w:tr>
      <w:tr w:rsidR="00723259" w:rsidRPr="007B6BCF" w14:paraId="775BB03C" w14:textId="77777777" w:rsidTr="00234713">
        <w:trPr>
          <w:trHeight w:val="2258"/>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200662A" w14:textId="47F13F7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10/1/2025</w:t>
            </w:r>
          </w:p>
        </w:tc>
        <w:tc>
          <w:tcPr>
            <w:tcW w:w="1768" w:type="dxa"/>
            <w:tcBorders>
              <w:top w:val="nil"/>
              <w:left w:val="nil"/>
              <w:bottom w:val="single" w:sz="4" w:space="0" w:color="auto"/>
              <w:right w:val="single" w:sz="4" w:space="0" w:color="auto"/>
            </w:tcBorders>
            <w:shd w:val="clear" w:color="auto" w:fill="auto"/>
            <w:vAlign w:val="center"/>
            <w:hideMark/>
          </w:tcPr>
          <w:p w14:paraId="445C3D70" w14:textId="0E67F8CB" w:rsidR="00C57FDA" w:rsidRPr="00723259" w:rsidRDefault="00C57FDA" w:rsidP="00D12416">
            <w:pPr>
              <w:spacing w:after="0" w:line="360" w:lineRule="auto"/>
              <w:rPr>
                <w:rFonts w:eastAsia="Calibri"/>
                <w:noProof/>
                <w:color w:val="4C4747"/>
                <w:sz w:val="22"/>
                <w:szCs w:val="22"/>
                <w:lang w:val="pt-BR"/>
              </w:rPr>
            </w:pPr>
            <w:r w:rsidRPr="00723259">
              <w:rPr>
                <w:rFonts w:eastAsia="Calibri"/>
                <w:noProof/>
                <w:color w:val="4C4747"/>
                <w:sz w:val="22"/>
                <w:szCs w:val="22"/>
                <w:lang w:val="pt-BR"/>
              </w:rPr>
              <w:t>Centro De Frenos David Srl</w:t>
            </w:r>
          </w:p>
        </w:tc>
        <w:tc>
          <w:tcPr>
            <w:tcW w:w="2061" w:type="dxa"/>
            <w:tcBorders>
              <w:top w:val="nil"/>
              <w:left w:val="nil"/>
              <w:bottom w:val="single" w:sz="4" w:space="0" w:color="auto"/>
              <w:right w:val="single" w:sz="4" w:space="0" w:color="auto"/>
            </w:tcBorders>
            <w:shd w:val="clear" w:color="auto" w:fill="auto"/>
            <w:vAlign w:val="center"/>
            <w:hideMark/>
          </w:tcPr>
          <w:p w14:paraId="21ADC5E9"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E450000000828</w:t>
            </w:r>
          </w:p>
        </w:tc>
        <w:tc>
          <w:tcPr>
            <w:tcW w:w="3057" w:type="dxa"/>
            <w:tcBorders>
              <w:top w:val="nil"/>
              <w:left w:val="nil"/>
              <w:bottom w:val="single" w:sz="4" w:space="0" w:color="auto"/>
              <w:right w:val="single" w:sz="4" w:space="0" w:color="auto"/>
            </w:tcBorders>
            <w:shd w:val="clear" w:color="auto" w:fill="auto"/>
            <w:vAlign w:val="center"/>
            <w:hideMark/>
          </w:tcPr>
          <w:p w14:paraId="228E356B" w14:textId="799FCEB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Mantenimiento preventivo y correctivo, pintura, electricidad y aire acondicionado de vehículos del ministerio de la presidencia y sus dependencias.</w:t>
            </w:r>
          </w:p>
        </w:tc>
        <w:tc>
          <w:tcPr>
            <w:tcW w:w="1775" w:type="dxa"/>
            <w:tcBorders>
              <w:top w:val="nil"/>
              <w:left w:val="nil"/>
              <w:bottom w:val="single" w:sz="4" w:space="0" w:color="auto"/>
              <w:right w:val="single" w:sz="4" w:space="0" w:color="auto"/>
            </w:tcBorders>
            <w:shd w:val="clear" w:color="auto" w:fill="auto"/>
            <w:vAlign w:val="center"/>
            <w:hideMark/>
          </w:tcPr>
          <w:p w14:paraId="44A3FF12" w14:textId="25E46F0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434,759.04 </w:t>
            </w:r>
          </w:p>
        </w:tc>
        <w:tc>
          <w:tcPr>
            <w:tcW w:w="2247" w:type="dxa"/>
            <w:tcBorders>
              <w:top w:val="nil"/>
              <w:left w:val="nil"/>
              <w:bottom w:val="single" w:sz="4" w:space="0" w:color="auto"/>
              <w:right w:val="single" w:sz="4" w:space="0" w:color="auto"/>
            </w:tcBorders>
            <w:shd w:val="clear" w:color="auto" w:fill="auto"/>
            <w:vAlign w:val="center"/>
            <w:hideMark/>
          </w:tcPr>
          <w:p w14:paraId="627D2E07" w14:textId="5F5A0C7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lib.3332</w:t>
            </w:r>
          </w:p>
        </w:tc>
      </w:tr>
      <w:tr w:rsidR="00723259" w:rsidRPr="007B6BCF" w14:paraId="4EEF2361"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1384EB01" w14:textId="1F49C4E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10/6/2025</w:t>
            </w:r>
          </w:p>
        </w:tc>
        <w:tc>
          <w:tcPr>
            <w:tcW w:w="1768" w:type="dxa"/>
            <w:tcBorders>
              <w:top w:val="nil"/>
              <w:left w:val="nil"/>
              <w:bottom w:val="single" w:sz="4" w:space="0" w:color="auto"/>
              <w:right w:val="single" w:sz="4" w:space="0" w:color="auto"/>
            </w:tcBorders>
            <w:shd w:val="clear" w:color="auto" w:fill="auto"/>
            <w:vAlign w:val="center"/>
            <w:hideMark/>
          </w:tcPr>
          <w:p w14:paraId="6D384CEB" w14:textId="7CD397B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Fsc Inmobiliaria Srl</w:t>
            </w:r>
          </w:p>
        </w:tc>
        <w:tc>
          <w:tcPr>
            <w:tcW w:w="2061" w:type="dxa"/>
            <w:tcBorders>
              <w:top w:val="nil"/>
              <w:left w:val="nil"/>
              <w:bottom w:val="single" w:sz="4" w:space="0" w:color="auto"/>
              <w:right w:val="single" w:sz="4" w:space="0" w:color="auto"/>
            </w:tcBorders>
            <w:shd w:val="clear" w:color="auto" w:fill="auto"/>
            <w:vAlign w:val="center"/>
            <w:hideMark/>
          </w:tcPr>
          <w:p w14:paraId="23EBBF1F"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B1500000101</w:t>
            </w:r>
          </w:p>
        </w:tc>
        <w:tc>
          <w:tcPr>
            <w:tcW w:w="3057" w:type="dxa"/>
            <w:tcBorders>
              <w:top w:val="nil"/>
              <w:left w:val="nil"/>
              <w:bottom w:val="single" w:sz="4" w:space="0" w:color="auto"/>
              <w:right w:val="single" w:sz="4" w:space="0" w:color="auto"/>
            </w:tcBorders>
            <w:shd w:val="clear" w:color="auto" w:fill="auto"/>
            <w:vAlign w:val="center"/>
            <w:hideMark/>
          </w:tcPr>
          <w:p w14:paraId="260FC388" w14:textId="7D848ED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Alquiler local 67 mes de octubre 2025.</w:t>
            </w:r>
          </w:p>
        </w:tc>
        <w:tc>
          <w:tcPr>
            <w:tcW w:w="1775" w:type="dxa"/>
            <w:tcBorders>
              <w:top w:val="nil"/>
              <w:left w:val="nil"/>
              <w:bottom w:val="single" w:sz="4" w:space="0" w:color="auto"/>
              <w:right w:val="single" w:sz="4" w:space="0" w:color="auto"/>
            </w:tcBorders>
            <w:shd w:val="clear" w:color="auto" w:fill="auto"/>
            <w:vAlign w:val="center"/>
            <w:hideMark/>
          </w:tcPr>
          <w:p w14:paraId="45CD05E2" w14:textId="5002C0D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307,133.71 </w:t>
            </w:r>
          </w:p>
        </w:tc>
        <w:tc>
          <w:tcPr>
            <w:tcW w:w="2247" w:type="dxa"/>
            <w:tcBorders>
              <w:top w:val="nil"/>
              <w:left w:val="nil"/>
              <w:bottom w:val="single" w:sz="4" w:space="0" w:color="auto"/>
              <w:right w:val="single" w:sz="4" w:space="0" w:color="auto"/>
            </w:tcBorders>
            <w:shd w:val="clear" w:color="auto" w:fill="auto"/>
            <w:vAlign w:val="center"/>
            <w:hideMark/>
          </w:tcPr>
          <w:p w14:paraId="656781E5" w14:textId="2A85A6E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 espera de renovacion de contrato</w:t>
            </w:r>
          </w:p>
        </w:tc>
      </w:tr>
      <w:tr w:rsidR="00723259" w:rsidRPr="007B6BCF" w14:paraId="6862BADD" w14:textId="77777777" w:rsidTr="00234713">
        <w:trPr>
          <w:trHeight w:val="1149"/>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72D1D60" w14:textId="02F02C2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10/21/2025</w:t>
            </w:r>
          </w:p>
        </w:tc>
        <w:tc>
          <w:tcPr>
            <w:tcW w:w="1768" w:type="dxa"/>
            <w:tcBorders>
              <w:top w:val="nil"/>
              <w:left w:val="nil"/>
              <w:bottom w:val="single" w:sz="4" w:space="0" w:color="auto"/>
              <w:right w:val="single" w:sz="4" w:space="0" w:color="auto"/>
            </w:tcBorders>
            <w:shd w:val="clear" w:color="auto" w:fill="auto"/>
            <w:vAlign w:val="center"/>
            <w:hideMark/>
          </w:tcPr>
          <w:p w14:paraId="28CCBD40" w14:textId="685FE16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Celledium SA</w:t>
            </w:r>
          </w:p>
        </w:tc>
        <w:tc>
          <w:tcPr>
            <w:tcW w:w="2061" w:type="dxa"/>
            <w:tcBorders>
              <w:top w:val="nil"/>
              <w:left w:val="nil"/>
              <w:bottom w:val="single" w:sz="4" w:space="0" w:color="auto"/>
              <w:right w:val="single" w:sz="4" w:space="0" w:color="auto"/>
            </w:tcBorders>
            <w:shd w:val="clear" w:color="auto" w:fill="auto"/>
            <w:vAlign w:val="center"/>
            <w:hideMark/>
          </w:tcPr>
          <w:p w14:paraId="5184FDC4"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E450000000003</w:t>
            </w:r>
          </w:p>
        </w:tc>
        <w:tc>
          <w:tcPr>
            <w:tcW w:w="3057" w:type="dxa"/>
            <w:tcBorders>
              <w:top w:val="nil"/>
              <w:left w:val="nil"/>
              <w:bottom w:val="single" w:sz="4" w:space="0" w:color="auto"/>
              <w:right w:val="single" w:sz="4" w:space="0" w:color="auto"/>
            </w:tcBorders>
            <w:shd w:val="clear" w:color="auto" w:fill="auto"/>
            <w:vAlign w:val="center"/>
            <w:hideMark/>
          </w:tcPr>
          <w:p w14:paraId="760826E9" w14:textId="71C8E2B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Servicio de mantenimiento, mejoras y soporte del sistema de administración de recursos institucionales para el ministerio de la presidencia.</w:t>
            </w:r>
          </w:p>
        </w:tc>
        <w:tc>
          <w:tcPr>
            <w:tcW w:w="1775" w:type="dxa"/>
            <w:tcBorders>
              <w:top w:val="nil"/>
              <w:left w:val="nil"/>
              <w:bottom w:val="single" w:sz="4" w:space="0" w:color="auto"/>
              <w:right w:val="single" w:sz="4" w:space="0" w:color="auto"/>
            </w:tcBorders>
            <w:shd w:val="clear" w:color="auto" w:fill="auto"/>
            <w:vAlign w:val="center"/>
            <w:hideMark/>
          </w:tcPr>
          <w:p w14:paraId="31C9A943" w14:textId="582A9EF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600,572.80 </w:t>
            </w:r>
          </w:p>
        </w:tc>
        <w:tc>
          <w:tcPr>
            <w:tcW w:w="2247" w:type="dxa"/>
            <w:tcBorders>
              <w:top w:val="nil"/>
              <w:left w:val="nil"/>
              <w:bottom w:val="single" w:sz="4" w:space="0" w:color="auto"/>
              <w:right w:val="single" w:sz="4" w:space="0" w:color="auto"/>
            </w:tcBorders>
            <w:shd w:val="clear" w:color="auto" w:fill="auto"/>
            <w:vAlign w:val="center"/>
            <w:hideMark/>
          </w:tcPr>
          <w:p w14:paraId="206F497B" w14:textId="16F8EF3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lib.3080</w:t>
            </w:r>
          </w:p>
        </w:tc>
      </w:tr>
      <w:tr w:rsidR="00723259" w:rsidRPr="007B6BCF" w14:paraId="218481C0"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EA79F8E" w14:textId="614FAA3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10/29/2025</w:t>
            </w:r>
          </w:p>
        </w:tc>
        <w:tc>
          <w:tcPr>
            <w:tcW w:w="1768" w:type="dxa"/>
            <w:tcBorders>
              <w:top w:val="nil"/>
              <w:left w:val="nil"/>
              <w:bottom w:val="single" w:sz="4" w:space="0" w:color="auto"/>
              <w:right w:val="single" w:sz="4" w:space="0" w:color="auto"/>
            </w:tcBorders>
            <w:shd w:val="clear" w:color="auto" w:fill="auto"/>
            <w:vAlign w:val="center"/>
            <w:hideMark/>
          </w:tcPr>
          <w:p w14:paraId="6FA0DA4F" w14:textId="4105CCA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Agencia De Viajes Milena Tours Srl</w:t>
            </w:r>
          </w:p>
        </w:tc>
        <w:tc>
          <w:tcPr>
            <w:tcW w:w="2061" w:type="dxa"/>
            <w:tcBorders>
              <w:top w:val="nil"/>
              <w:left w:val="nil"/>
              <w:bottom w:val="single" w:sz="4" w:space="0" w:color="auto"/>
              <w:right w:val="single" w:sz="4" w:space="0" w:color="auto"/>
            </w:tcBorders>
            <w:shd w:val="clear" w:color="auto" w:fill="auto"/>
            <w:vAlign w:val="center"/>
            <w:hideMark/>
          </w:tcPr>
          <w:p w14:paraId="08E3ECBB"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B1500008635</w:t>
            </w:r>
          </w:p>
        </w:tc>
        <w:tc>
          <w:tcPr>
            <w:tcW w:w="3057" w:type="dxa"/>
            <w:tcBorders>
              <w:top w:val="nil"/>
              <w:left w:val="nil"/>
              <w:bottom w:val="single" w:sz="4" w:space="0" w:color="auto"/>
              <w:right w:val="single" w:sz="4" w:space="0" w:color="auto"/>
            </w:tcBorders>
            <w:shd w:val="clear" w:color="auto" w:fill="auto"/>
            <w:vAlign w:val="center"/>
            <w:hideMark/>
          </w:tcPr>
          <w:p w14:paraId="2AFD884B" w14:textId="5D68624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 de alojamiento para las actividades del ministerio de la </w:t>
            </w:r>
            <w:r w:rsidRPr="00723259">
              <w:rPr>
                <w:rFonts w:eastAsia="Calibri"/>
                <w:noProof/>
                <w:color w:val="4C4747"/>
                <w:sz w:val="22"/>
                <w:szCs w:val="22"/>
                <w:lang w:val="es-DO"/>
              </w:rPr>
              <w:lastRenderedPageBreak/>
              <w:t>presidencia y sus dependencias.</w:t>
            </w:r>
          </w:p>
        </w:tc>
        <w:tc>
          <w:tcPr>
            <w:tcW w:w="1775" w:type="dxa"/>
            <w:tcBorders>
              <w:top w:val="nil"/>
              <w:left w:val="nil"/>
              <w:bottom w:val="single" w:sz="4" w:space="0" w:color="auto"/>
              <w:right w:val="single" w:sz="4" w:space="0" w:color="auto"/>
            </w:tcBorders>
            <w:shd w:val="clear" w:color="auto" w:fill="auto"/>
            <w:vAlign w:val="center"/>
            <w:hideMark/>
          </w:tcPr>
          <w:p w14:paraId="5B626E3A" w14:textId="50A473F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 xml:space="preserve">135,679.01 </w:t>
            </w:r>
          </w:p>
        </w:tc>
        <w:tc>
          <w:tcPr>
            <w:tcW w:w="2247" w:type="dxa"/>
            <w:tcBorders>
              <w:top w:val="nil"/>
              <w:left w:val="nil"/>
              <w:bottom w:val="single" w:sz="4" w:space="0" w:color="auto"/>
              <w:right w:val="single" w:sz="4" w:space="0" w:color="auto"/>
            </w:tcBorders>
            <w:shd w:val="clear" w:color="auto" w:fill="auto"/>
            <w:vAlign w:val="center"/>
            <w:hideMark/>
          </w:tcPr>
          <w:p w14:paraId="6A2B7DC3" w14:textId="35CA501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lib.3399</w:t>
            </w:r>
          </w:p>
        </w:tc>
      </w:tr>
      <w:tr w:rsidR="00723259" w:rsidRPr="007B6BCF" w14:paraId="7E3075B0"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73726968" w14:textId="0D1BDAD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10/31/2025</w:t>
            </w:r>
          </w:p>
        </w:tc>
        <w:tc>
          <w:tcPr>
            <w:tcW w:w="1768" w:type="dxa"/>
            <w:tcBorders>
              <w:top w:val="nil"/>
              <w:left w:val="nil"/>
              <w:bottom w:val="single" w:sz="4" w:space="0" w:color="auto"/>
              <w:right w:val="single" w:sz="4" w:space="0" w:color="auto"/>
            </w:tcBorders>
            <w:shd w:val="clear" w:color="auto" w:fill="auto"/>
            <w:vAlign w:val="center"/>
            <w:hideMark/>
          </w:tcPr>
          <w:p w14:paraId="07429FA3" w14:textId="048178F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Guardia Presidencial </w:t>
            </w:r>
          </w:p>
        </w:tc>
        <w:tc>
          <w:tcPr>
            <w:tcW w:w="2061" w:type="dxa"/>
            <w:tcBorders>
              <w:top w:val="nil"/>
              <w:left w:val="nil"/>
              <w:bottom w:val="single" w:sz="4" w:space="0" w:color="auto"/>
              <w:right w:val="single" w:sz="4" w:space="0" w:color="auto"/>
            </w:tcBorders>
            <w:shd w:val="clear" w:color="auto" w:fill="auto"/>
            <w:vAlign w:val="center"/>
            <w:hideMark/>
          </w:tcPr>
          <w:p w14:paraId="21F2F693"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B1500000994</w:t>
            </w:r>
          </w:p>
        </w:tc>
        <w:tc>
          <w:tcPr>
            <w:tcW w:w="3057" w:type="dxa"/>
            <w:tcBorders>
              <w:top w:val="nil"/>
              <w:left w:val="nil"/>
              <w:bottom w:val="single" w:sz="4" w:space="0" w:color="auto"/>
              <w:right w:val="single" w:sz="4" w:space="0" w:color="auto"/>
            </w:tcBorders>
            <w:shd w:val="clear" w:color="auto" w:fill="auto"/>
            <w:vAlign w:val="center"/>
            <w:hideMark/>
          </w:tcPr>
          <w:p w14:paraId="00EA2E63" w14:textId="4CADFEA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 de almuerzos de los colabores correspondiente al mes de octubre </w:t>
            </w:r>
          </w:p>
        </w:tc>
        <w:tc>
          <w:tcPr>
            <w:tcW w:w="1775" w:type="dxa"/>
            <w:tcBorders>
              <w:top w:val="nil"/>
              <w:left w:val="nil"/>
              <w:bottom w:val="single" w:sz="4" w:space="0" w:color="auto"/>
              <w:right w:val="single" w:sz="4" w:space="0" w:color="auto"/>
            </w:tcBorders>
            <w:shd w:val="clear" w:color="auto" w:fill="auto"/>
            <w:noWrap/>
            <w:vAlign w:val="center"/>
            <w:hideMark/>
          </w:tcPr>
          <w:p w14:paraId="33023C4B" w14:textId="1776213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508,698.00 </w:t>
            </w:r>
          </w:p>
        </w:tc>
        <w:tc>
          <w:tcPr>
            <w:tcW w:w="2247" w:type="dxa"/>
            <w:tcBorders>
              <w:top w:val="nil"/>
              <w:left w:val="nil"/>
              <w:bottom w:val="single" w:sz="4" w:space="0" w:color="auto"/>
              <w:right w:val="single" w:sz="4" w:space="0" w:color="auto"/>
            </w:tcBorders>
            <w:shd w:val="clear" w:color="auto" w:fill="auto"/>
            <w:vAlign w:val="center"/>
            <w:hideMark/>
          </w:tcPr>
          <w:p w14:paraId="77CFE927" w14:textId="3222DB3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lib.3422</w:t>
            </w:r>
          </w:p>
        </w:tc>
      </w:tr>
      <w:tr w:rsidR="00723259" w:rsidRPr="007B6BCF" w14:paraId="4AF7CDDE"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41FD48E" w14:textId="1E7AEFE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11/1/2025</w:t>
            </w:r>
          </w:p>
        </w:tc>
        <w:tc>
          <w:tcPr>
            <w:tcW w:w="1768" w:type="dxa"/>
            <w:tcBorders>
              <w:top w:val="nil"/>
              <w:left w:val="nil"/>
              <w:bottom w:val="single" w:sz="4" w:space="0" w:color="auto"/>
              <w:right w:val="single" w:sz="4" w:space="0" w:color="auto"/>
            </w:tcBorders>
            <w:shd w:val="clear" w:color="auto" w:fill="auto"/>
            <w:vAlign w:val="center"/>
            <w:hideMark/>
          </w:tcPr>
          <w:p w14:paraId="742A098C" w14:textId="6567CA3A"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Corporación</w:t>
            </w:r>
            <w:r w:rsidR="00C57FDA" w:rsidRPr="00723259">
              <w:rPr>
                <w:rFonts w:eastAsia="Calibri"/>
                <w:noProof/>
                <w:color w:val="4C4747"/>
                <w:sz w:val="22"/>
                <w:szCs w:val="22"/>
                <w:lang w:val="es-DO"/>
              </w:rPr>
              <w:t xml:space="preserve"> Del Acueducto Y Alcantarillado De Santo Domingo</w:t>
            </w:r>
          </w:p>
        </w:tc>
        <w:tc>
          <w:tcPr>
            <w:tcW w:w="2061" w:type="dxa"/>
            <w:tcBorders>
              <w:top w:val="nil"/>
              <w:left w:val="nil"/>
              <w:bottom w:val="single" w:sz="4" w:space="0" w:color="auto"/>
              <w:right w:val="single" w:sz="4" w:space="0" w:color="auto"/>
            </w:tcBorders>
            <w:shd w:val="clear" w:color="auto" w:fill="auto"/>
            <w:vAlign w:val="center"/>
            <w:hideMark/>
          </w:tcPr>
          <w:p w14:paraId="0BBD4862"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E450000018057</w:t>
            </w:r>
          </w:p>
        </w:tc>
        <w:tc>
          <w:tcPr>
            <w:tcW w:w="3057" w:type="dxa"/>
            <w:tcBorders>
              <w:top w:val="nil"/>
              <w:left w:val="nil"/>
              <w:bottom w:val="single" w:sz="4" w:space="0" w:color="auto"/>
              <w:right w:val="single" w:sz="4" w:space="0" w:color="auto"/>
            </w:tcBorders>
            <w:shd w:val="clear" w:color="auto" w:fill="auto"/>
            <w:vAlign w:val="center"/>
            <w:hideMark/>
          </w:tcPr>
          <w:p w14:paraId="778E8947" w14:textId="21B511F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Servicios de agua potable y alcantarillado sanitario correspondiente al mes de noviembre 2025.</w:t>
            </w:r>
          </w:p>
        </w:tc>
        <w:tc>
          <w:tcPr>
            <w:tcW w:w="1775" w:type="dxa"/>
            <w:tcBorders>
              <w:top w:val="nil"/>
              <w:left w:val="nil"/>
              <w:bottom w:val="single" w:sz="4" w:space="0" w:color="auto"/>
              <w:right w:val="single" w:sz="4" w:space="0" w:color="auto"/>
            </w:tcBorders>
            <w:shd w:val="clear" w:color="auto" w:fill="auto"/>
            <w:noWrap/>
            <w:vAlign w:val="center"/>
            <w:hideMark/>
          </w:tcPr>
          <w:p w14:paraId="3235530B" w14:textId="3DD8BC4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1,005.40 </w:t>
            </w:r>
          </w:p>
        </w:tc>
        <w:tc>
          <w:tcPr>
            <w:tcW w:w="2247" w:type="dxa"/>
            <w:tcBorders>
              <w:top w:val="nil"/>
              <w:left w:val="nil"/>
              <w:bottom w:val="single" w:sz="4" w:space="0" w:color="auto"/>
              <w:right w:val="single" w:sz="4" w:space="0" w:color="auto"/>
            </w:tcBorders>
            <w:shd w:val="clear" w:color="auto" w:fill="auto"/>
            <w:vAlign w:val="center"/>
            <w:hideMark/>
          </w:tcPr>
          <w:p w14:paraId="42BF965A" w14:textId="0ED4346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lib.3430</w:t>
            </w:r>
          </w:p>
        </w:tc>
      </w:tr>
      <w:tr w:rsidR="00723259" w:rsidRPr="007B6BCF" w14:paraId="17EAA55D" w14:textId="77777777" w:rsidTr="00234713">
        <w:trPr>
          <w:trHeight w:val="1149"/>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1FA188F4" w14:textId="71E07E0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11/1/2025</w:t>
            </w:r>
          </w:p>
        </w:tc>
        <w:tc>
          <w:tcPr>
            <w:tcW w:w="1768" w:type="dxa"/>
            <w:tcBorders>
              <w:top w:val="nil"/>
              <w:left w:val="nil"/>
              <w:bottom w:val="single" w:sz="4" w:space="0" w:color="auto"/>
              <w:right w:val="single" w:sz="4" w:space="0" w:color="auto"/>
            </w:tcBorders>
            <w:shd w:val="clear" w:color="auto" w:fill="auto"/>
            <w:vAlign w:val="center"/>
            <w:hideMark/>
          </w:tcPr>
          <w:p w14:paraId="130FC12D" w14:textId="015337C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Santo Domingo Motors Company</w:t>
            </w:r>
          </w:p>
        </w:tc>
        <w:tc>
          <w:tcPr>
            <w:tcW w:w="2061" w:type="dxa"/>
            <w:tcBorders>
              <w:top w:val="nil"/>
              <w:left w:val="nil"/>
              <w:bottom w:val="single" w:sz="4" w:space="0" w:color="auto"/>
              <w:right w:val="single" w:sz="4" w:space="0" w:color="auto"/>
            </w:tcBorders>
            <w:shd w:val="clear" w:color="auto" w:fill="auto"/>
            <w:vAlign w:val="center"/>
            <w:hideMark/>
          </w:tcPr>
          <w:p w14:paraId="5E72883A" w14:textId="7B28FD7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E450000004648, E450000004652, E450000004725 Y E450000004859 </w:t>
            </w:r>
          </w:p>
        </w:tc>
        <w:tc>
          <w:tcPr>
            <w:tcW w:w="3057" w:type="dxa"/>
            <w:tcBorders>
              <w:top w:val="nil"/>
              <w:left w:val="nil"/>
              <w:bottom w:val="single" w:sz="4" w:space="0" w:color="auto"/>
              <w:right w:val="single" w:sz="4" w:space="0" w:color="auto"/>
            </w:tcBorders>
            <w:shd w:val="clear" w:color="auto" w:fill="auto"/>
            <w:vAlign w:val="center"/>
            <w:hideMark/>
          </w:tcPr>
          <w:p w14:paraId="6AE111B4" w14:textId="1738001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Servicio de mantenimiento preventivo y correctivo de los vehículos del ministerio.</w:t>
            </w:r>
          </w:p>
        </w:tc>
        <w:tc>
          <w:tcPr>
            <w:tcW w:w="1775" w:type="dxa"/>
            <w:tcBorders>
              <w:top w:val="nil"/>
              <w:left w:val="nil"/>
              <w:bottom w:val="single" w:sz="4" w:space="0" w:color="auto"/>
              <w:right w:val="single" w:sz="4" w:space="0" w:color="auto"/>
            </w:tcBorders>
            <w:shd w:val="clear" w:color="auto" w:fill="auto"/>
            <w:noWrap/>
            <w:vAlign w:val="center"/>
            <w:hideMark/>
          </w:tcPr>
          <w:p w14:paraId="5771112A" w14:textId="34E742F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86,359.29 </w:t>
            </w:r>
          </w:p>
        </w:tc>
        <w:tc>
          <w:tcPr>
            <w:tcW w:w="2247" w:type="dxa"/>
            <w:tcBorders>
              <w:top w:val="nil"/>
              <w:left w:val="nil"/>
              <w:bottom w:val="single" w:sz="4" w:space="0" w:color="auto"/>
              <w:right w:val="single" w:sz="4" w:space="0" w:color="auto"/>
            </w:tcBorders>
            <w:shd w:val="clear" w:color="auto" w:fill="auto"/>
            <w:vAlign w:val="center"/>
            <w:hideMark/>
          </w:tcPr>
          <w:p w14:paraId="27AC4BF4" w14:textId="3D317E2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lib.3450</w:t>
            </w:r>
          </w:p>
        </w:tc>
      </w:tr>
      <w:tr w:rsidR="00723259" w:rsidRPr="007B6BCF" w14:paraId="0A9EE2BB"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1FD68C78" w14:textId="40A1B14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11/3/2025</w:t>
            </w:r>
          </w:p>
        </w:tc>
        <w:tc>
          <w:tcPr>
            <w:tcW w:w="1768" w:type="dxa"/>
            <w:tcBorders>
              <w:top w:val="nil"/>
              <w:left w:val="nil"/>
              <w:bottom w:val="single" w:sz="4" w:space="0" w:color="auto"/>
              <w:right w:val="single" w:sz="4" w:space="0" w:color="auto"/>
            </w:tcBorders>
            <w:shd w:val="clear" w:color="auto" w:fill="auto"/>
            <w:vAlign w:val="center"/>
            <w:hideMark/>
          </w:tcPr>
          <w:p w14:paraId="04D7AD77" w14:textId="2F7CD80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Lb Eventos Sociales, Srl</w:t>
            </w:r>
          </w:p>
        </w:tc>
        <w:tc>
          <w:tcPr>
            <w:tcW w:w="2061" w:type="dxa"/>
            <w:tcBorders>
              <w:top w:val="nil"/>
              <w:left w:val="nil"/>
              <w:bottom w:val="single" w:sz="4" w:space="0" w:color="auto"/>
              <w:right w:val="single" w:sz="4" w:space="0" w:color="auto"/>
            </w:tcBorders>
            <w:shd w:val="clear" w:color="auto" w:fill="auto"/>
            <w:vAlign w:val="center"/>
            <w:hideMark/>
          </w:tcPr>
          <w:p w14:paraId="612667D9" w14:textId="7A17DD4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B1500003892 Y B1500003902</w:t>
            </w:r>
          </w:p>
        </w:tc>
        <w:tc>
          <w:tcPr>
            <w:tcW w:w="3057" w:type="dxa"/>
            <w:tcBorders>
              <w:top w:val="nil"/>
              <w:left w:val="nil"/>
              <w:bottom w:val="single" w:sz="4" w:space="0" w:color="auto"/>
              <w:right w:val="single" w:sz="4" w:space="0" w:color="auto"/>
            </w:tcBorders>
            <w:shd w:val="clear" w:color="auto" w:fill="auto"/>
            <w:vAlign w:val="center"/>
            <w:hideMark/>
          </w:tcPr>
          <w:p w14:paraId="196AE3D3" w14:textId="159826A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 de coffee break para actividades y reuniones del ministerio </w:t>
            </w:r>
            <w:r w:rsidRPr="00723259">
              <w:rPr>
                <w:rFonts w:eastAsia="Calibri"/>
                <w:noProof/>
                <w:color w:val="4C4747"/>
                <w:sz w:val="22"/>
                <w:szCs w:val="22"/>
                <w:lang w:val="es-DO"/>
              </w:rPr>
              <w:lastRenderedPageBreak/>
              <w:t>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34B2D006" w14:textId="1C0D356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 xml:space="preserve">140,004.40 </w:t>
            </w:r>
          </w:p>
        </w:tc>
        <w:tc>
          <w:tcPr>
            <w:tcW w:w="2247" w:type="dxa"/>
            <w:tcBorders>
              <w:top w:val="nil"/>
              <w:left w:val="nil"/>
              <w:bottom w:val="single" w:sz="4" w:space="0" w:color="auto"/>
              <w:right w:val="single" w:sz="4" w:space="0" w:color="auto"/>
            </w:tcBorders>
            <w:shd w:val="clear" w:color="auto" w:fill="auto"/>
            <w:vAlign w:val="center"/>
            <w:hideMark/>
          </w:tcPr>
          <w:p w14:paraId="4AE33CC3" w14:textId="49A535C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lib.3373</w:t>
            </w:r>
          </w:p>
        </w:tc>
      </w:tr>
      <w:tr w:rsidR="00723259" w:rsidRPr="00EC3308" w14:paraId="49FE9D87"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0C6CC3E7" w14:textId="40663A7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11/3/2025</w:t>
            </w:r>
          </w:p>
        </w:tc>
        <w:tc>
          <w:tcPr>
            <w:tcW w:w="1768" w:type="dxa"/>
            <w:tcBorders>
              <w:top w:val="nil"/>
              <w:left w:val="nil"/>
              <w:bottom w:val="single" w:sz="4" w:space="0" w:color="auto"/>
              <w:right w:val="single" w:sz="4" w:space="0" w:color="auto"/>
            </w:tcBorders>
            <w:shd w:val="clear" w:color="auto" w:fill="auto"/>
            <w:vAlign w:val="center"/>
            <w:hideMark/>
          </w:tcPr>
          <w:p w14:paraId="43A42F96" w14:textId="5FADB46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Ayuntamiento Del Distrito Nacional </w:t>
            </w:r>
          </w:p>
        </w:tc>
        <w:tc>
          <w:tcPr>
            <w:tcW w:w="2061" w:type="dxa"/>
            <w:tcBorders>
              <w:top w:val="nil"/>
              <w:left w:val="nil"/>
              <w:bottom w:val="single" w:sz="4" w:space="0" w:color="auto"/>
              <w:right w:val="single" w:sz="4" w:space="0" w:color="auto"/>
            </w:tcBorders>
            <w:shd w:val="clear" w:color="auto" w:fill="auto"/>
            <w:vAlign w:val="center"/>
            <w:hideMark/>
          </w:tcPr>
          <w:p w14:paraId="0CC26FF4"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B15000677947</w:t>
            </w:r>
          </w:p>
        </w:tc>
        <w:tc>
          <w:tcPr>
            <w:tcW w:w="3057" w:type="dxa"/>
            <w:tcBorders>
              <w:top w:val="nil"/>
              <w:left w:val="nil"/>
              <w:bottom w:val="single" w:sz="4" w:space="0" w:color="auto"/>
              <w:right w:val="single" w:sz="4" w:space="0" w:color="auto"/>
            </w:tcBorders>
            <w:shd w:val="clear" w:color="auto" w:fill="auto"/>
            <w:vAlign w:val="center"/>
            <w:hideMark/>
          </w:tcPr>
          <w:p w14:paraId="1A4D8AAE" w14:textId="6A5017A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de recogida de basura </w:t>
            </w:r>
            <w:r w:rsidR="00EC3308" w:rsidRPr="00723259">
              <w:rPr>
                <w:rFonts w:eastAsia="Calibri"/>
                <w:noProof/>
                <w:color w:val="4C4747"/>
                <w:sz w:val="22"/>
                <w:szCs w:val="22"/>
                <w:lang w:val="es-DO"/>
              </w:rPr>
              <w:t>ONAPREP</w:t>
            </w:r>
            <w:r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2BCE010A" w14:textId="3789126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2,655.00 </w:t>
            </w:r>
          </w:p>
        </w:tc>
        <w:tc>
          <w:tcPr>
            <w:tcW w:w="2247" w:type="dxa"/>
            <w:tcBorders>
              <w:top w:val="nil"/>
              <w:left w:val="nil"/>
              <w:bottom w:val="single" w:sz="4" w:space="0" w:color="auto"/>
              <w:right w:val="single" w:sz="4" w:space="0" w:color="auto"/>
            </w:tcBorders>
            <w:shd w:val="clear" w:color="auto" w:fill="auto"/>
            <w:vAlign w:val="center"/>
            <w:hideMark/>
          </w:tcPr>
          <w:p w14:paraId="190AAF95" w14:textId="174AA04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 espera de recepcion</w:t>
            </w:r>
          </w:p>
        </w:tc>
      </w:tr>
      <w:tr w:rsidR="00723259" w:rsidRPr="007B6BCF" w14:paraId="0D6C0920"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47EE18F0" w14:textId="46FD4BD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11/4/2025</w:t>
            </w:r>
          </w:p>
        </w:tc>
        <w:tc>
          <w:tcPr>
            <w:tcW w:w="1768" w:type="dxa"/>
            <w:tcBorders>
              <w:top w:val="nil"/>
              <w:left w:val="nil"/>
              <w:bottom w:val="single" w:sz="4" w:space="0" w:color="auto"/>
              <w:right w:val="single" w:sz="4" w:space="0" w:color="auto"/>
            </w:tcBorders>
            <w:shd w:val="clear" w:color="auto" w:fill="auto"/>
            <w:vAlign w:val="center"/>
            <w:hideMark/>
          </w:tcPr>
          <w:p w14:paraId="143F8150" w14:textId="51BB802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Fsc Inmobiliaria Srl</w:t>
            </w:r>
          </w:p>
        </w:tc>
        <w:tc>
          <w:tcPr>
            <w:tcW w:w="2061" w:type="dxa"/>
            <w:tcBorders>
              <w:top w:val="nil"/>
              <w:left w:val="nil"/>
              <w:bottom w:val="single" w:sz="4" w:space="0" w:color="auto"/>
              <w:right w:val="single" w:sz="4" w:space="0" w:color="auto"/>
            </w:tcBorders>
            <w:shd w:val="clear" w:color="auto" w:fill="auto"/>
            <w:noWrap/>
            <w:vAlign w:val="center"/>
            <w:hideMark/>
          </w:tcPr>
          <w:p w14:paraId="63509089"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B1500000102</w:t>
            </w:r>
          </w:p>
        </w:tc>
        <w:tc>
          <w:tcPr>
            <w:tcW w:w="3057" w:type="dxa"/>
            <w:tcBorders>
              <w:top w:val="nil"/>
              <w:left w:val="nil"/>
              <w:bottom w:val="single" w:sz="4" w:space="0" w:color="auto"/>
              <w:right w:val="single" w:sz="4" w:space="0" w:color="auto"/>
            </w:tcBorders>
            <w:shd w:val="clear" w:color="auto" w:fill="auto"/>
            <w:vAlign w:val="center"/>
            <w:hideMark/>
          </w:tcPr>
          <w:p w14:paraId="24C5B3A2" w14:textId="75967DC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Alquiler local 67 mes de noviembre 2025.</w:t>
            </w:r>
          </w:p>
        </w:tc>
        <w:tc>
          <w:tcPr>
            <w:tcW w:w="1775" w:type="dxa"/>
            <w:tcBorders>
              <w:top w:val="nil"/>
              <w:left w:val="nil"/>
              <w:bottom w:val="single" w:sz="4" w:space="0" w:color="auto"/>
              <w:right w:val="single" w:sz="4" w:space="0" w:color="auto"/>
            </w:tcBorders>
            <w:shd w:val="clear" w:color="auto" w:fill="auto"/>
            <w:noWrap/>
            <w:vAlign w:val="center"/>
            <w:hideMark/>
          </w:tcPr>
          <w:p w14:paraId="4F891BDA" w14:textId="60A65B9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260,282.81 </w:t>
            </w:r>
          </w:p>
        </w:tc>
        <w:tc>
          <w:tcPr>
            <w:tcW w:w="2247" w:type="dxa"/>
            <w:tcBorders>
              <w:top w:val="nil"/>
              <w:left w:val="nil"/>
              <w:bottom w:val="single" w:sz="4" w:space="0" w:color="auto"/>
              <w:right w:val="single" w:sz="4" w:space="0" w:color="auto"/>
            </w:tcBorders>
            <w:shd w:val="clear" w:color="auto" w:fill="auto"/>
            <w:vAlign w:val="center"/>
            <w:hideMark/>
          </w:tcPr>
          <w:p w14:paraId="59FE5768" w14:textId="0AD6A74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 espera de renovacion de contrato</w:t>
            </w:r>
          </w:p>
        </w:tc>
      </w:tr>
      <w:tr w:rsidR="00723259" w:rsidRPr="007B6BCF" w14:paraId="22A104E1"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04A6CA06" w14:textId="736B22F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11/4/2025</w:t>
            </w:r>
          </w:p>
        </w:tc>
        <w:tc>
          <w:tcPr>
            <w:tcW w:w="1768" w:type="dxa"/>
            <w:tcBorders>
              <w:top w:val="nil"/>
              <w:left w:val="nil"/>
              <w:bottom w:val="single" w:sz="4" w:space="0" w:color="auto"/>
              <w:right w:val="single" w:sz="4" w:space="0" w:color="auto"/>
            </w:tcBorders>
            <w:shd w:val="clear" w:color="auto" w:fill="auto"/>
            <w:vAlign w:val="center"/>
            <w:hideMark/>
          </w:tcPr>
          <w:p w14:paraId="0DA100E7" w14:textId="1DF84073" w:rsidR="00C57FDA" w:rsidRPr="00751A6E" w:rsidRDefault="00C57FDA" w:rsidP="00D12416">
            <w:pPr>
              <w:spacing w:after="0" w:line="360" w:lineRule="auto"/>
              <w:rPr>
                <w:rFonts w:eastAsia="Calibri"/>
                <w:noProof/>
                <w:color w:val="4C4747"/>
                <w:sz w:val="22"/>
                <w:szCs w:val="22"/>
              </w:rPr>
            </w:pPr>
            <w:r w:rsidRPr="00751A6E">
              <w:rPr>
                <w:rFonts w:eastAsia="Calibri"/>
                <w:noProof/>
                <w:color w:val="4C4747"/>
                <w:sz w:val="22"/>
                <w:szCs w:val="22"/>
              </w:rPr>
              <w:t xml:space="preserve">Refriasu Logístic </w:t>
            </w:r>
            <w:r w:rsidR="00EC3308" w:rsidRPr="00751A6E">
              <w:rPr>
                <w:rFonts w:eastAsia="Calibri"/>
                <w:noProof/>
                <w:color w:val="4C4747"/>
                <w:sz w:val="22"/>
                <w:szCs w:val="22"/>
              </w:rPr>
              <w:t>and</w:t>
            </w:r>
            <w:r w:rsidRPr="00751A6E">
              <w:rPr>
                <w:rFonts w:eastAsia="Calibri"/>
                <w:noProof/>
                <w:color w:val="4C4747"/>
                <w:sz w:val="22"/>
                <w:szCs w:val="22"/>
              </w:rPr>
              <w:t xml:space="preserve"> Construction S. R.L.</w:t>
            </w:r>
          </w:p>
        </w:tc>
        <w:tc>
          <w:tcPr>
            <w:tcW w:w="2061" w:type="dxa"/>
            <w:tcBorders>
              <w:top w:val="nil"/>
              <w:left w:val="nil"/>
              <w:bottom w:val="single" w:sz="4" w:space="0" w:color="auto"/>
              <w:right w:val="single" w:sz="4" w:space="0" w:color="auto"/>
            </w:tcBorders>
            <w:shd w:val="clear" w:color="auto" w:fill="auto"/>
            <w:noWrap/>
            <w:vAlign w:val="center"/>
            <w:hideMark/>
          </w:tcPr>
          <w:p w14:paraId="74AC64A6"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B1500000332</w:t>
            </w:r>
          </w:p>
        </w:tc>
        <w:tc>
          <w:tcPr>
            <w:tcW w:w="3057" w:type="dxa"/>
            <w:tcBorders>
              <w:top w:val="nil"/>
              <w:left w:val="nil"/>
              <w:bottom w:val="single" w:sz="4" w:space="0" w:color="auto"/>
              <w:right w:val="single" w:sz="4" w:space="0" w:color="auto"/>
            </w:tcBorders>
            <w:shd w:val="clear" w:color="auto" w:fill="auto"/>
            <w:vAlign w:val="center"/>
            <w:hideMark/>
          </w:tcPr>
          <w:p w14:paraId="149E2021" w14:textId="4B35C8A9"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Reparación</w:t>
            </w:r>
            <w:r w:rsidR="00C57FDA" w:rsidRPr="00723259">
              <w:rPr>
                <w:rFonts w:eastAsia="Calibri"/>
                <w:noProof/>
                <w:color w:val="4C4747"/>
                <w:sz w:val="22"/>
                <w:szCs w:val="22"/>
                <w:lang w:val="es-DO"/>
              </w:rPr>
              <w:t xml:space="preserve"> y mantenimiento de las unidades de aires acondicionados del </w:t>
            </w:r>
            <w:r w:rsidRPr="00723259">
              <w:rPr>
                <w:rFonts w:eastAsia="Calibri"/>
                <w:noProof/>
                <w:color w:val="4C4747"/>
                <w:sz w:val="22"/>
                <w:szCs w:val="22"/>
                <w:lang w:val="es-DO"/>
              </w:rPr>
              <w:t>MINPRE</w:t>
            </w:r>
            <w:r w:rsidR="00C57FDA"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11435427" w14:textId="4DDB20A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59,106.39</w:t>
            </w:r>
          </w:p>
        </w:tc>
        <w:tc>
          <w:tcPr>
            <w:tcW w:w="2247" w:type="dxa"/>
            <w:tcBorders>
              <w:top w:val="nil"/>
              <w:left w:val="nil"/>
              <w:bottom w:val="single" w:sz="4" w:space="0" w:color="auto"/>
              <w:right w:val="single" w:sz="4" w:space="0" w:color="auto"/>
            </w:tcBorders>
            <w:shd w:val="clear" w:color="auto" w:fill="auto"/>
            <w:vAlign w:val="center"/>
            <w:hideMark/>
          </w:tcPr>
          <w:p w14:paraId="5F001E8E" w14:textId="5AB7BCB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lib.3432</w:t>
            </w:r>
          </w:p>
        </w:tc>
      </w:tr>
      <w:tr w:rsidR="00723259" w:rsidRPr="007B6BCF" w14:paraId="1C74155F"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644F6AB" w14:textId="0EF3E8F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11/5/2025</w:t>
            </w:r>
          </w:p>
        </w:tc>
        <w:tc>
          <w:tcPr>
            <w:tcW w:w="1768" w:type="dxa"/>
            <w:tcBorders>
              <w:top w:val="nil"/>
              <w:left w:val="nil"/>
              <w:bottom w:val="single" w:sz="4" w:space="0" w:color="auto"/>
              <w:right w:val="single" w:sz="4" w:space="0" w:color="auto"/>
            </w:tcBorders>
            <w:shd w:val="clear" w:color="auto" w:fill="auto"/>
            <w:vAlign w:val="center"/>
            <w:hideMark/>
          </w:tcPr>
          <w:p w14:paraId="6EB7CA2C" w14:textId="083856F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Condominio Unicentro Plaza </w:t>
            </w:r>
          </w:p>
        </w:tc>
        <w:tc>
          <w:tcPr>
            <w:tcW w:w="2061" w:type="dxa"/>
            <w:tcBorders>
              <w:top w:val="nil"/>
              <w:left w:val="nil"/>
              <w:bottom w:val="single" w:sz="4" w:space="0" w:color="auto"/>
              <w:right w:val="single" w:sz="4" w:space="0" w:color="auto"/>
            </w:tcBorders>
            <w:shd w:val="clear" w:color="auto" w:fill="auto"/>
            <w:noWrap/>
            <w:vAlign w:val="center"/>
            <w:hideMark/>
          </w:tcPr>
          <w:p w14:paraId="1BD3E1D6"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B1500001965</w:t>
            </w:r>
          </w:p>
        </w:tc>
        <w:tc>
          <w:tcPr>
            <w:tcW w:w="3057" w:type="dxa"/>
            <w:tcBorders>
              <w:top w:val="nil"/>
              <w:left w:val="nil"/>
              <w:bottom w:val="single" w:sz="4" w:space="0" w:color="auto"/>
              <w:right w:val="single" w:sz="4" w:space="0" w:color="auto"/>
            </w:tcBorders>
            <w:shd w:val="clear" w:color="auto" w:fill="auto"/>
            <w:vAlign w:val="center"/>
            <w:hideMark/>
          </w:tcPr>
          <w:p w14:paraId="2A8B9F4B" w14:textId="47FE63F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Contratación de los servicios de mantenimiento mes noviembre 2025.</w:t>
            </w:r>
          </w:p>
        </w:tc>
        <w:tc>
          <w:tcPr>
            <w:tcW w:w="1775" w:type="dxa"/>
            <w:tcBorders>
              <w:top w:val="nil"/>
              <w:left w:val="nil"/>
              <w:bottom w:val="single" w:sz="4" w:space="0" w:color="auto"/>
              <w:right w:val="single" w:sz="4" w:space="0" w:color="auto"/>
            </w:tcBorders>
            <w:shd w:val="clear" w:color="auto" w:fill="auto"/>
            <w:noWrap/>
            <w:vAlign w:val="center"/>
            <w:hideMark/>
          </w:tcPr>
          <w:p w14:paraId="496ABDD6" w14:textId="5343F8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23,870.00 </w:t>
            </w:r>
          </w:p>
        </w:tc>
        <w:tc>
          <w:tcPr>
            <w:tcW w:w="2247" w:type="dxa"/>
            <w:tcBorders>
              <w:top w:val="nil"/>
              <w:left w:val="nil"/>
              <w:bottom w:val="single" w:sz="4" w:space="0" w:color="auto"/>
              <w:right w:val="single" w:sz="4" w:space="0" w:color="auto"/>
            </w:tcBorders>
            <w:shd w:val="clear" w:color="auto" w:fill="auto"/>
            <w:vAlign w:val="center"/>
            <w:hideMark/>
          </w:tcPr>
          <w:p w14:paraId="1F01A06C" w14:textId="03250C2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lib.3550</w:t>
            </w:r>
          </w:p>
        </w:tc>
      </w:tr>
      <w:tr w:rsidR="00723259" w:rsidRPr="007B6BCF" w14:paraId="7F89C22F" w14:textId="77777777" w:rsidTr="00234713">
        <w:trPr>
          <w:trHeight w:val="114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C649197" w14:textId="6001A94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11/5/2025</w:t>
            </w:r>
          </w:p>
        </w:tc>
        <w:tc>
          <w:tcPr>
            <w:tcW w:w="1768" w:type="dxa"/>
            <w:tcBorders>
              <w:top w:val="nil"/>
              <w:left w:val="nil"/>
              <w:bottom w:val="single" w:sz="4" w:space="0" w:color="auto"/>
              <w:right w:val="single" w:sz="4" w:space="0" w:color="auto"/>
            </w:tcBorders>
            <w:shd w:val="clear" w:color="auto" w:fill="auto"/>
            <w:vAlign w:val="center"/>
            <w:hideMark/>
          </w:tcPr>
          <w:p w14:paraId="29320A8D" w14:textId="6E308C3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Empresa Distribuidora De </w:t>
            </w:r>
            <w:r w:rsidRPr="00723259">
              <w:rPr>
                <w:rFonts w:eastAsia="Calibri"/>
                <w:noProof/>
                <w:color w:val="4C4747"/>
                <w:sz w:val="22"/>
                <w:szCs w:val="22"/>
                <w:lang w:val="es-DO"/>
              </w:rPr>
              <w:lastRenderedPageBreak/>
              <w:t>Electricidad Del Este</w:t>
            </w:r>
          </w:p>
        </w:tc>
        <w:tc>
          <w:tcPr>
            <w:tcW w:w="2061" w:type="dxa"/>
            <w:tcBorders>
              <w:top w:val="nil"/>
              <w:left w:val="nil"/>
              <w:bottom w:val="single" w:sz="4" w:space="0" w:color="auto"/>
              <w:right w:val="single" w:sz="4" w:space="0" w:color="auto"/>
            </w:tcBorders>
            <w:shd w:val="clear" w:color="auto" w:fill="auto"/>
            <w:noWrap/>
            <w:vAlign w:val="center"/>
            <w:hideMark/>
          </w:tcPr>
          <w:p w14:paraId="7FCB7BA4"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B1500001965</w:t>
            </w:r>
          </w:p>
        </w:tc>
        <w:tc>
          <w:tcPr>
            <w:tcW w:w="3057" w:type="dxa"/>
            <w:tcBorders>
              <w:top w:val="nil"/>
              <w:left w:val="nil"/>
              <w:bottom w:val="single" w:sz="4" w:space="0" w:color="auto"/>
              <w:right w:val="single" w:sz="4" w:space="0" w:color="auto"/>
            </w:tcBorders>
            <w:shd w:val="clear" w:color="auto" w:fill="auto"/>
            <w:vAlign w:val="center"/>
            <w:hideMark/>
          </w:tcPr>
          <w:p w14:paraId="3C533A2A" w14:textId="059ADBB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de </w:t>
            </w:r>
            <w:r w:rsidR="00EC3308" w:rsidRPr="00723259">
              <w:rPr>
                <w:rFonts w:eastAsia="Calibri"/>
                <w:noProof/>
                <w:color w:val="4C4747"/>
                <w:sz w:val="22"/>
                <w:szCs w:val="22"/>
                <w:lang w:val="es-DO"/>
              </w:rPr>
              <w:t>energía</w:t>
            </w:r>
            <w:r w:rsidRPr="00723259">
              <w:rPr>
                <w:rFonts w:eastAsia="Calibri"/>
                <w:noProof/>
                <w:color w:val="4C4747"/>
                <w:sz w:val="22"/>
                <w:szCs w:val="22"/>
                <w:lang w:val="es-DO"/>
              </w:rPr>
              <w:t xml:space="preserve"> </w:t>
            </w:r>
            <w:r w:rsidR="00EC3308" w:rsidRPr="00723259">
              <w:rPr>
                <w:rFonts w:eastAsia="Calibri"/>
                <w:noProof/>
                <w:color w:val="4C4747"/>
                <w:sz w:val="22"/>
                <w:szCs w:val="22"/>
                <w:lang w:val="es-DO"/>
              </w:rPr>
              <w:t>eléctrica</w:t>
            </w:r>
            <w:r w:rsidRPr="00723259">
              <w:rPr>
                <w:rFonts w:eastAsia="Calibri"/>
                <w:noProof/>
                <w:color w:val="4C4747"/>
                <w:sz w:val="22"/>
                <w:szCs w:val="22"/>
                <w:lang w:val="es-DO"/>
              </w:rPr>
              <w:t xml:space="preserve"> en la oficina de </w:t>
            </w:r>
            <w:r w:rsidR="00EC3308" w:rsidRPr="00723259">
              <w:rPr>
                <w:rFonts w:eastAsia="Calibri"/>
                <w:noProof/>
                <w:color w:val="4C4747"/>
                <w:sz w:val="22"/>
                <w:szCs w:val="22"/>
                <w:lang w:val="es-DO"/>
              </w:rPr>
              <w:t>ONAPREP</w:t>
            </w:r>
            <w:r w:rsidRPr="00723259">
              <w:rPr>
                <w:rFonts w:eastAsia="Calibri"/>
                <w:noProof/>
                <w:color w:val="4C4747"/>
                <w:sz w:val="22"/>
                <w:szCs w:val="22"/>
                <w:lang w:val="es-DO"/>
              </w:rPr>
              <w:t xml:space="preserve">, calle </w:t>
            </w:r>
            <w:r w:rsidR="00EC3308" w:rsidRPr="00723259">
              <w:rPr>
                <w:rFonts w:eastAsia="Calibri"/>
                <w:noProof/>
                <w:color w:val="4C4747"/>
                <w:sz w:val="22"/>
                <w:szCs w:val="22"/>
                <w:lang w:val="es-DO"/>
              </w:rPr>
              <w:t>Moisés</w:t>
            </w:r>
            <w:r w:rsidRPr="00723259">
              <w:rPr>
                <w:rFonts w:eastAsia="Calibri"/>
                <w:noProof/>
                <w:color w:val="4C4747"/>
                <w:sz w:val="22"/>
                <w:szCs w:val="22"/>
                <w:lang w:val="es-DO"/>
              </w:rPr>
              <w:t xml:space="preserve"> </w:t>
            </w:r>
            <w:r w:rsidR="00EC3308" w:rsidRPr="00723259">
              <w:rPr>
                <w:rFonts w:eastAsia="Calibri"/>
                <w:noProof/>
                <w:color w:val="4C4747"/>
                <w:sz w:val="22"/>
                <w:szCs w:val="22"/>
                <w:lang w:val="es-DO"/>
              </w:rPr>
              <w:t>García</w:t>
            </w:r>
            <w:r w:rsidRPr="00723259">
              <w:rPr>
                <w:rFonts w:eastAsia="Calibri"/>
                <w:noProof/>
                <w:color w:val="4C4747"/>
                <w:sz w:val="22"/>
                <w:szCs w:val="22"/>
                <w:lang w:val="es-DO"/>
              </w:rPr>
              <w:t xml:space="preserve"> 17, desde el 18 de </w:t>
            </w:r>
            <w:r w:rsidRPr="00723259">
              <w:rPr>
                <w:rFonts w:eastAsia="Calibri"/>
                <w:noProof/>
                <w:color w:val="4C4747"/>
                <w:sz w:val="22"/>
                <w:szCs w:val="22"/>
                <w:lang w:val="es-DO"/>
              </w:rPr>
              <w:lastRenderedPageBreak/>
              <w:t>septiembre 2025 al 18 de noviembre 2025.</w:t>
            </w:r>
          </w:p>
        </w:tc>
        <w:tc>
          <w:tcPr>
            <w:tcW w:w="1775" w:type="dxa"/>
            <w:tcBorders>
              <w:top w:val="nil"/>
              <w:left w:val="nil"/>
              <w:bottom w:val="single" w:sz="4" w:space="0" w:color="auto"/>
              <w:right w:val="single" w:sz="4" w:space="0" w:color="auto"/>
            </w:tcBorders>
            <w:shd w:val="clear" w:color="auto" w:fill="auto"/>
            <w:noWrap/>
            <w:vAlign w:val="center"/>
            <w:hideMark/>
          </w:tcPr>
          <w:p w14:paraId="5FEB3333" w14:textId="16BC3A5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 xml:space="preserve">43,806.22 </w:t>
            </w:r>
          </w:p>
        </w:tc>
        <w:tc>
          <w:tcPr>
            <w:tcW w:w="2247" w:type="dxa"/>
            <w:tcBorders>
              <w:top w:val="nil"/>
              <w:left w:val="nil"/>
              <w:bottom w:val="single" w:sz="4" w:space="0" w:color="auto"/>
              <w:right w:val="single" w:sz="4" w:space="0" w:color="auto"/>
            </w:tcBorders>
            <w:shd w:val="clear" w:color="auto" w:fill="auto"/>
            <w:vAlign w:val="center"/>
            <w:hideMark/>
          </w:tcPr>
          <w:p w14:paraId="5D18127A" w14:textId="23523D7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lib.3428</w:t>
            </w:r>
          </w:p>
        </w:tc>
      </w:tr>
      <w:tr w:rsidR="00723259" w:rsidRPr="007B6BCF" w14:paraId="6A7EA836" w14:textId="77777777" w:rsidTr="00234713">
        <w:trPr>
          <w:trHeight w:val="172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62EB8C8B" w14:textId="09B13F2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11/7/2025</w:t>
            </w:r>
          </w:p>
        </w:tc>
        <w:tc>
          <w:tcPr>
            <w:tcW w:w="1768" w:type="dxa"/>
            <w:tcBorders>
              <w:top w:val="nil"/>
              <w:left w:val="nil"/>
              <w:bottom w:val="single" w:sz="4" w:space="0" w:color="auto"/>
              <w:right w:val="single" w:sz="4" w:space="0" w:color="auto"/>
            </w:tcBorders>
            <w:shd w:val="clear" w:color="auto" w:fill="auto"/>
            <w:vAlign w:val="center"/>
            <w:hideMark/>
          </w:tcPr>
          <w:p w14:paraId="017B99ED" w14:textId="0D81644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Yesmin Ybelca Mercado Tejada </w:t>
            </w:r>
          </w:p>
        </w:tc>
        <w:tc>
          <w:tcPr>
            <w:tcW w:w="2061" w:type="dxa"/>
            <w:tcBorders>
              <w:top w:val="nil"/>
              <w:left w:val="nil"/>
              <w:bottom w:val="single" w:sz="4" w:space="0" w:color="auto"/>
              <w:right w:val="single" w:sz="4" w:space="0" w:color="auto"/>
            </w:tcBorders>
            <w:shd w:val="clear" w:color="auto" w:fill="auto"/>
            <w:vAlign w:val="center"/>
            <w:hideMark/>
          </w:tcPr>
          <w:p w14:paraId="7DCCBC03" w14:textId="511FF70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B1500000134, B1500000135, B1500000136, B1500000137, B1500000138 Y B1500000139</w:t>
            </w:r>
          </w:p>
        </w:tc>
        <w:tc>
          <w:tcPr>
            <w:tcW w:w="3057" w:type="dxa"/>
            <w:tcBorders>
              <w:top w:val="nil"/>
              <w:left w:val="nil"/>
              <w:bottom w:val="single" w:sz="4" w:space="0" w:color="auto"/>
              <w:right w:val="single" w:sz="4" w:space="0" w:color="auto"/>
            </w:tcBorders>
            <w:shd w:val="clear" w:color="auto" w:fill="auto"/>
            <w:vAlign w:val="center"/>
            <w:hideMark/>
          </w:tcPr>
          <w:p w14:paraId="3255B1A8" w14:textId="1CC64D7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de </w:t>
            </w:r>
            <w:r w:rsidR="00EC3308" w:rsidRPr="00723259">
              <w:rPr>
                <w:rFonts w:eastAsia="Calibri"/>
                <w:noProof/>
                <w:color w:val="4C4747"/>
                <w:sz w:val="22"/>
                <w:szCs w:val="22"/>
                <w:lang w:val="es-DO"/>
              </w:rPr>
              <w:t>legalización</w:t>
            </w:r>
            <w:r w:rsidRPr="00723259">
              <w:rPr>
                <w:rFonts w:eastAsia="Calibri"/>
                <w:noProof/>
                <w:color w:val="4C4747"/>
                <w:sz w:val="22"/>
                <w:szCs w:val="22"/>
                <w:lang w:val="es-DO"/>
              </w:rPr>
              <w:t xml:space="preserve"> de documentos</w:t>
            </w:r>
          </w:p>
        </w:tc>
        <w:tc>
          <w:tcPr>
            <w:tcW w:w="1775" w:type="dxa"/>
            <w:tcBorders>
              <w:top w:val="nil"/>
              <w:left w:val="nil"/>
              <w:bottom w:val="single" w:sz="4" w:space="0" w:color="auto"/>
              <w:right w:val="single" w:sz="4" w:space="0" w:color="auto"/>
            </w:tcBorders>
            <w:shd w:val="clear" w:color="auto" w:fill="auto"/>
            <w:noWrap/>
            <w:vAlign w:val="center"/>
            <w:hideMark/>
          </w:tcPr>
          <w:p w14:paraId="1C8D5512" w14:textId="2B1506F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178,000.00 </w:t>
            </w:r>
          </w:p>
        </w:tc>
        <w:tc>
          <w:tcPr>
            <w:tcW w:w="2247" w:type="dxa"/>
            <w:tcBorders>
              <w:top w:val="nil"/>
              <w:left w:val="nil"/>
              <w:bottom w:val="single" w:sz="4" w:space="0" w:color="auto"/>
              <w:right w:val="single" w:sz="4" w:space="0" w:color="auto"/>
            </w:tcBorders>
            <w:shd w:val="clear" w:color="auto" w:fill="auto"/>
            <w:vAlign w:val="center"/>
            <w:hideMark/>
          </w:tcPr>
          <w:p w14:paraId="7505619D" w14:textId="7E86DA1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lib.3426</w:t>
            </w:r>
          </w:p>
        </w:tc>
      </w:tr>
      <w:tr w:rsidR="00723259" w:rsidRPr="007B6BCF" w14:paraId="6A933852"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8081A47" w14:textId="7041CD2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11/13/2025</w:t>
            </w:r>
          </w:p>
        </w:tc>
        <w:tc>
          <w:tcPr>
            <w:tcW w:w="1768" w:type="dxa"/>
            <w:tcBorders>
              <w:top w:val="nil"/>
              <w:left w:val="nil"/>
              <w:bottom w:val="single" w:sz="4" w:space="0" w:color="auto"/>
              <w:right w:val="single" w:sz="4" w:space="0" w:color="auto"/>
            </w:tcBorders>
            <w:shd w:val="clear" w:color="auto" w:fill="auto"/>
            <w:vAlign w:val="center"/>
            <w:hideMark/>
          </w:tcPr>
          <w:p w14:paraId="09E4D689" w14:textId="54471D2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Agua Planeta Azul C Por A </w:t>
            </w:r>
          </w:p>
        </w:tc>
        <w:tc>
          <w:tcPr>
            <w:tcW w:w="2061" w:type="dxa"/>
            <w:tcBorders>
              <w:top w:val="nil"/>
              <w:left w:val="nil"/>
              <w:bottom w:val="single" w:sz="4" w:space="0" w:color="auto"/>
              <w:right w:val="single" w:sz="4" w:space="0" w:color="auto"/>
            </w:tcBorders>
            <w:shd w:val="clear" w:color="auto" w:fill="auto"/>
            <w:vAlign w:val="center"/>
            <w:hideMark/>
          </w:tcPr>
          <w:p w14:paraId="2B06F6D9" w14:textId="0238AD7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E450000012647, E450000020664 Y E450000012705</w:t>
            </w:r>
          </w:p>
        </w:tc>
        <w:tc>
          <w:tcPr>
            <w:tcW w:w="3057" w:type="dxa"/>
            <w:tcBorders>
              <w:top w:val="nil"/>
              <w:left w:val="nil"/>
              <w:bottom w:val="single" w:sz="4" w:space="0" w:color="auto"/>
              <w:right w:val="single" w:sz="4" w:space="0" w:color="auto"/>
            </w:tcBorders>
            <w:shd w:val="clear" w:color="auto" w:fill="auto"/>
            <w:vAlign w:val="center"/>
            <w:hideMark/>
          </w:tcPr>
          <w:p w14:paraId="4538BBB2" w14:textId="1C186B2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Suministro de botellones y fardos de agua para el ministerio 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2C8585D7" w14:textId="7C51CDF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43,320.00 </w:t>
            </w:r>
          </w:p>
        </w:tc>
        <w:tc>
          <w:tcPr>
            <w:tcW w:w="2247" w:type="dxa"/>
            <w:tcBorders>
              <w:top w:val="nil"/>
              <w:left w:val="nil"/>
              <w:bottom w:val="single" w:sz="4" w:space="0" w:color="auto"/>
              <w:right w:val="single" w:sz="4" w:space="0" w:color="auto"/>
            </w:tcBorders>
            <w:shd w:val="clear" w:color="auto" w:fill="auto"/>
            <w:vAlign w:val="center"/>
            <w:hideMark/>
          </w:tcPr>
          <w:p w14:paraId="196C4B58" w14:textId="1C659B9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lib.3602</w:t>
            </w:r>
          </w:p>
        </w:tc>
      </w:tr>
      <w:tr w:rsidR="00723259" w:rsidRPr="007B6BCF" w14:paraId="18846C4E"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CE49B53" w14:textId="034EAA1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11/14/2025</w:t>
            </w:r>
          </w:p>
        </w:tc>
        <w:tc>
          <w:tcPr>
            <w:tcW w:w="1768" w:type="dxa"/>
            <w:tcBorders>
              <w:top w:val="nil"/>
              <w:left w:val="nil"/>
              <w:bottom w:val="single" w:sz="4" w:space="0" w:color="auto"/>
              <w:right w:val="single" w:sz="4" w:space="0" w:color="auto"/>
            </w:tcBorders>
            <w:shd w:val="clear" w:color="auto" w:fill="auto"/>
            <w:vAlign w:val="center"/>
            <w:hideMark/>
          </w:tcPr>
          <w:p w14:paraId="59278A74" w14:textId="77A75044"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Padrón</w:t>
            </w:r>
            <w:r w:rsidR="00C57FDA" w:rsidRPr="00723259">
              <w:rPr>
                <w:rFonts w:eastAsia="Calibri"/>
                <w:noProof/>
                <w:color w:val="4C4747"/>
                <w:sz w:val="22"/>
                <w:szCs w:val="22"/>
                <w:lang w:val="es-DO"/>
              </w:rPr>
              <w:t xml:space="preserve"> Office Supply Srl</w:t>
            </w:r>
          </w:p>
        </w:tc>
        <w:tc>
          <w:tcPr>
            <w:tcW w:w="2061" w:type="dxa"/>
            <w:tcBorders>
              <w:top w:val="nil"/>
              <w:left w:val="nil"/>
              <w:bottom w:val="single" w:sz="4" w:space="0" w:color="auto"/>
              <w:right w:val="single" w:sz="4" w:space="0" w:color="auto"/>
            </w:tcBorders>
            <w:shd w:val="clear" w:color="auto" w:fill="auto"/>
            <w:noWrap/>
            <w:vAlign w:val="center"/>
            <w:hideMark/>
          </w:tcPr>
          <w:p w14:paraId="5CF77308"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B1500001269</w:t>
            </w:r>
          </w:p>
        </w:tc>
        <w:tc>
          <w:tcPr>
            <w:tcW w:w="3057" w:type="dxa"/>
            <w:tcBorders>
              <w:top w:val="nil"/>
              <w:left w:val="nil"/>
              <w:bottom w:val="single" w:sz="4" w:space="0" w:color="auto"/>
              <w:right w:val="single" w:sz="4" w:space="0" w:color="auto"/>
            </w:tcBorders>
            <w:shd w:val="clear" w:color="auto" w:fill="auto"/>
            <w:vAlign w:val="center"/>
            <w:hideMark/>
          </w:tcPr>
          <w:p w14:paraId="1C04F384" w14:textId="18D23A1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 de suministros de oficina para el ministerio 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04FEE13A" w14:textId="5B0B711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66,960.04 </w:t>
            </w:r>
          </w:p>
        </w:tc>
        <w:tc>
          <w:tcPr>
            <w:tcW w:w="2247" w:type="dxa"/>
            <w:tcBorders>
              <w:top w:val="nil"/>
              <w:left w:val="nil"/>
              <w:bottom w:val="single" w:sz="4" w:space="0" w:color="auto"/>
              <w:right w:val="single" w:sz="4" w:space="0" w:color="auto"/>
            </w:tcBorders>
            <w:shd w:val="clear" w:color="auto" w:fill="auto"/>
            <w:vAlign w:val="center"/>
            <w:hideMark/>
          </w:tcPr>
          <w:p w14:paraId="4113327B" w14:textId="0B48C2D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lib.3474</w:t>
            </w:r>
          </w:p>
        </w:tc>
      </w:tr>
      <w:tr w:rsidR="00723259" w:rsidRPr="007B6BCF" w14:paraId="1F12BBA7"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B3BBB16" w14:textId="2E7D79E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11/14/2025</w:t>
            </w:r>
          </w:p>
        </w:tc>
        <w:tc>
          <w:tcPr>
            <w:tcW w:w="1768" w:type="dxa"/>
            <w:tcBorders>
              <w:top w:val="nil"/>
              <w:left w:val="nil"/>
              <w:bottom w:val="single" w:sz="4" w:space="0" w:color="auto"/>
              <w:right w:val="single" w:sz="4" w:space="0" w:color="auto"/>
            </w:tcBorders>
            <w:shd w:val="clear" w:color="auto" w:fill="auto"/>
            <w:vAlign w:val="center"/>
            <w:hideMark/>
          </w:tcPr>
          <w:p w14:paraId="2D851129" w14:textId="290D50D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Dominicus Shipping Eirl</w:t>
            </w:r>
          </w:p>
        </w:tc>
        <w:tc>
          <w:tcPr>
            <w:tcW w:w="2061" w:type="dxa"/>
            <w:tcBorders>
              <w:top w:val="nil"/>
              <w:left w:val="nil"/>
              <w:bottom w:val="single" w:sz="4" w:space="0" w:color="auto"/>
              <w:right w:val="single" w:sz="4" w:space="0" w:color="auto"/>
            </w:tcBorders>
            <w:shd w:val="clear" w:color="auto" w:fill="auto"/>
            <w:noWrap/>
            <w:vAlign w:val="center"/>
            <w:hideMark/>
          </w:tcPr>
          <w:p w14:paraId="64F02763"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B1500000206</w:t>
            </w:r>
          </w:p>
        </w:tc>
        <w:tc>
          <w:tcPr>
            <w:tcW w:w="3057" w:type="dxa"/>
            <w:tcBorders>
              <w:top w:val="nil"/>
              <w:left w:val="nil"/>
              <w:bottom w:val="single" w:sz="4" w:space="0" w:color="auto"/>
              <w:right w:val="single" w:sz="4" w:space="0" w:color="auto"/>
            </w:tcBorders>
            <w:shd w:val="clear" w:color="auto" w:fill="auto"/>
            <w:vAlign w:val="center"/>
            <w:hideMark/>
          </w:tcPr>
          <w:p w14:paraId="6C23E478" w14:textId="641832D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 de alquiler de vehículos para el este </w:t>
            </w:r>
            <w:r w:rsidRPr="00723259">
              <w:rPr>
                <w:rFonts w:eastAsia="Calibri"/>
                <w:noProof/>
                <w:color w:val="4C4747"/>
                <w:sz w:val="22"/>
                <w:szCs w:val="22"/>
                <w:lang w:val="es-DO"/>
              </w:rPr>
              <w:lastRenderedPageBreak/>
              <w:t>ministerio de la presidencia.</w:t>
            </w:r>
          </w:p>
        </w:tc>
        <w:tc>
          <w:tcPr>
            <w:tcW w:w="1775" w:type="dxa"/>
            <w:tcBorders>
              <w:top w:val="nil"/>
              <w:left w:val="nil"/>
              <w:bottom w:val="single" w:sz="4" w:space="0" w:color="auto"/>
              <w:right w:val="single" w:sz="4" w:space="0" w:color="auto"/>
            </w:tcBorders>
            <w:shd w:val="clear" w:color="auto" w:fill="auto"/>
            <w:noWrap/>
            <w:vAlign w:val="center"/>
            <w:hideMark/>
          </w:tcPr>
          <w:p w14:paraId="3800B1D3" w14:textId="41F704B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 xml:space="preserve">69,030.00 </w:t>
            </w:r>
          </w:p>
        </w:tc>
        <w:tc>
          <w:tcPr>
            <w:tcW w:w="2247" w:type="dxa"/>
            <w:tcBorders>
              <w:top w:val="nil"/>
              <w:left w:val="nil"/>
              <w:bottom w:val="single" w:sz="4" w:space="0" w:color="auto"/>
              <w:right w:val="single" w:sz="4" w:space="0" w:color="auto"/>
            </w:tcBorders>
            <w:shd w:val="clear" w:color="auto" w:fill="auto"/>
            <w:vAlign w:val="center"/>
            <w:hideMark/>
          </w:tcPr>
          <w:p w14:paraId="0DB2CA97" w14:textId="19F5AC1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lib.3516</w:t>
            </w:r>
          </w:p>
        </w:tc>
      </w:tr>
      <w:tr w:rsidR="00723259" w:rsidRPr="007B6BCF" w14:paraId="459652EB" w14:textId="77777777" w:rsidTr="00234713">
        <w:trPr>
          <w:trHeight w:val="114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CB5C35F" w14:textId="72FF608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11/15/2025</w:t>
            </w:r>
          </w:p>
        </w:tc>
        <w:tc>
          <w:tcPr>
            <w:tcW w:w="1768" w:type="dxa"/>
            <w:tcBorders>
              <w:top w:val="nil"/>
              <w:left w:val="nil"/>
              <w:bottom w:val="single" w:sz="4" w:space="0" w:color="auto"/>
              <w:right w:val="single" w:sz="4" w:space="0" w:color="auto"/>
            </w:tcBorders>
            <w:shd w:val="clear" w:color="auto" w:fill="auto"/>
            <w:vAlign w:val="center"/>
            <w:hideMark/>
          </w:tcPr>
          <w:p w14:paraId="5414D4D9" w14:textId="2746214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Altice Dominicana Sa</w:t>
            </w:r>
          </w:p>
        </w:tc>
        <w:tc>
          <w:tcPr>
            <w:tcW w:w="2061" w:type="dxa"/>
            <w:tcBorders>
              <w:top w:val="nil"/>
              <w:left w:val="nil"/>
              <w:bottom w:val="single" w:sz="4" w:space="0" w:color="auto"/>
              <w:right w:val="single" w:sz="4" w:space="0" w:color="auto"/>
            </w:tcBorders>
            <w:shd w:val="clear" w:color="auto" w:fill="auto"/>
            <w:vAlign w:val="center"/>
            <w:hideMark/>
          </w:tcPr>
          <w:p w14:paraId="3E3671A8" w14:textId="6A851EB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E45000001981, E4500000200423 </w:t>
            </w:r>
            <w:r w:rsidR="00EC3308" w:rsidRPr="00723259">
              <w:rPr>
                <w:rFonts w:eastAsia="Calibri"/>
                <w:noProof/>
                <w:color w:val="4C4747"/>
                <w:sz w:val="22"/>
                <w:szCs w:val="22"/>
                <w:lang w:val="es-DO"/>
              </w:rPr>
              <w:t>Y E</w:t>
            </w:r>
            <w:r w:rsidRPr="00723259">
              <w:rPr>
                <w:rFonts w:eastAsia="Calibri"/>
                <w:noProof/>
                <w:color w:val="4C4747"/>
                <w:sz w:val="22"/>
                <w:szCs w:val="22"/>
                <w:lang w:val="es-DO"/>
              </w:rPr>
              <w:t xml:space="preserve">450000019874  </w:t>
            </w:r>
          </w:p>
        </w:tc>
        <w:tc>
          <w:tcPr>
            <w:tcW w:w="3057" w:type="dxa"/>
            <w:tcBorders>
              <w:top w:val="nil"/>
              <w:left w:val="nil"/>
              <w:bottom w:val="single" w:sz="4" w:space="0" w:color="auto"/>
              <w:right w:val="single" w:sz="4" w:space="0" w:color="auto"/>
            </w:tcBorders>
            <w:shd w:val="clear" w:color="auto" w:fill="auto"/>
            <w:vAlign w:val="center"/>
            <w:hideMark/>
          </w:tcPr>
          <w:p w14:paraId="49B3184A" w14:textId="1FF27A7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w:t>
            </w:r>
            <w:r w:rsidR="00EC3308" w:rsidRPr="00723259">
              <w:rPr>
                <w:rFonts w:eastAsia="Calibri"/>
                <w:noProof/>
                <w:color w:val="4C4747"/>
                <w:sz w:val="22"/>
                <w:szCs w:val="22"/>
                <w:lang w:val="es-DO"/>
              </w:rPr>
              <w:t>telefónicos</w:t>
            </w:r>
            <w:r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76B7BC0D" w14:textId="2707305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278,099.14 </w:t>
            </w:r>
          </w:p>
        </w:tc>
        <w:tc>
          <w:tcPr>
            <w:tcW w:w="2247" w:type="dxa"/>
            <w:tcBorders>
              <w:top w:val="nil"/>
              <w:left w:val="nil"/>
              <w:bottom w:val="single" w:sz="4" w:space="0" w:color="auto"/>
              <w:right w:val="single" w:sz="4" w:space="0" w:color="auto"/>
            </w:tcBorders>
            <w:shd w:val="clear" w:color="auto" w:fill="auto"/>
            <w:vAlign w:val="center"/>
            <w:hideMark/>
          </w:tcPr>
          <w:p w14:paraId="01B63184" w14:textId="70EA361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lib.3489</w:t>
            </w:r>
          </w:p>
        </w:tc>
      </w:tr>
      <w:tr w:rsidR="00723259" w:rsidRPr="00EC3308" w14:paraId="271F2E25"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32F7E388" w14:textId="5B95F22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11/15/2025</w:t>
            </w:r>
          </w:p>
        </w:tc>
        <w:tc>
          <w:tcPr>
            <w:tcW w:w="1768" w:type="dxa"/>
            <w:tcBorders>
              <w:top w:val="nil"/>
              <w:left w:val="nil"/>
              <w:bottom w:val="single" w:sz="4" w:space="0" w:color="auto"/>
              <w:right w:val="single" w:sz="4" w:space="0" w:color="auto"/>
            </w:tcBorders>
            <w:shd w:val="clear" w:color="auto" w:fill="auto"/>
            <w:vAlign w:val="center"/>
            <w:hideMark/>
          </w:tcPr>
          <w:p w14:paraId="6AE0A0EF" w14:textId="18E4F71F" w:rsidR="00C57FDA" w:rsidRPr="00751A6E" w:rsidRDefault="00C57FDA" w:rsidP="00D12416">
            <w:pPr>
              <w:spacing w:after="0" w:line="360" w:lineRule="auto"/>
              <w:rPr>
                <w:rFonts w:eastAsia="Calibri"/>
                <w:noProof/>
                <w:color w:val="4C4747"/>
                <w:sz w:val="22"/>
                <w:szCs w:val="22"/>
              </w:rPr>
            </w:pPr>
            <w:r w:rsidRPr="00751A6E">
              <w:rPr>
                <w:rFonts w:eastAsia="Calibri"/>
                <w:noProof/>
                <w:color w:val="4C4747"/>
                <w:sz w:val="22"/>
                <w:szCs w:val="22"/>
              </w:rPr>
              <w:t>Dga Group Government Relations Llc</w:t>
            </w:r>
          </w:p>
        </w:tc>
        <w:tc>
          <w:tcPr>
            <w:tcW w:w="2061" w:type="dxa"/>
            <w:tcBorders>
              <w:top w:val="nil"/>
              <w:left w:val="nil"/>
              <w:bottom w:val="single" w:sz="4" w:space="0" w:color="auto"/>
              <w:right w:val="single" w:sz="4" w:space="0" w:color="auto"/>
            </w:tcBorders>
            <w:shd w:val="clear" w:color="auto" w:fill="auto"/>
            <w:noWrap/>
            <w:vAlign w:val="center"/>
            <w:hideMark/>
          </w:tcPr>
          <w:p w14:paraId="468AEA6F"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B17000000032</w:t>
            </w:r>
          </w:p>
        </w:tc>
        <w:tc>
          <w:tcPr>
            <w:tcW w:w="3057" w:type="dxa"/>
            <w:tcBorders>
              <w:top w:val="nil"/>
              <w:left w:val="nil"/>
              <w:bottom w:val="single" w:sz="4" w:space="0" w:color="auto"/>
              <w:right w:val="single" w:sz="4" w:space="0" w:color="auto"/>
            </w:tcBorders>
            <w:shd w:val="clear" w:color="auto" w:fill="auto"/>
            <w:vAlign w:val="center"/>
            <w:hideMark/>
          </w:tcPr>
          <w:p w14:paraId="5A5076AB" w14:textId="63F3246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de </w:t>
            </w:r>
            <w:r w:rsidR="00EC3308" w:rsidRPr="00723259">
              <w:rPr>
                <w:rFonts w:eastAsia="Calibri"/>
                <w:noProof/>
                <w:color w:val="4C4747"/>
                <w:sz w:val="22"/>
                <w:szCs w:val="22"/>
                <w:lang w:val="es-DO"/>
              </w:rPr>
              <w:t>asesoría</w:t>
            </w:r>
            <w:r w:rsidRPr="00723259">
              <w:rPr>
                <w:rFonts w:eastAsia="Calibri"/>
                <w:noProof/>
                <w:color w:val="4C4747"/>
                <w:sz w:val="22"/>
                <w:szCs w:val="22"/>
                <w:lang w:val="es-DO"/>
              </w:rPr>
              <w:t xml:space="preserve"> </w:t>
            </w:r>
            <w:r w:rsidR="00EC3308" w:rsidRPr="00723259">
              <w:rPr>
                <w:rFonts w:eastAsia="Calibri"/>
                <w:noProof/>
                <w:color w:val="4C4747"/>
                <w:sz w:val="22"/>
                <w:szCs w:val="22"/>
                <w:lang w:val="es-DO"/>
              </w:rPr>
              <w:t>técnica</w:t>
            </w:r>
            <w:r w:rsidRPr="00723259">
              <w:rPr>
                <w:rFonts w:eastAsia="Calibri"/>
                <w:noProof/>
                <w:color w:val="4C4747"/>
                <w:sz w:val="22"/>
                <w:szCs w:val="22"/>
                <w:lang w:val="es-DO"/>
              </w:rPr>
              <w:t xml:space="preserve"> especializada y </w:t>
            </w:r>
            <w:r w:rsidR="00EC3308" w:rsidRPr="00723259">
              <w:rPr>
                <w:rFonts w:eastAsia="Calibri"/>
                <w:noProof/>
                <w:color w:val="4C4747"/>
                <w:sz w:val="22"/>
                <w:szCs w:val="22"/>
                <w:lang w:val="es-DO"/>
              </w:rPr>
              <w:t>planificación</w:t>
            </w:r>
            <w:r w:rsidRPr="00723259">
              <w:rPr>
                <w:rFonts w:eastAsia="Calibri"/>
                <w:noProof/>
                <w:color w:val="4C4747"/>
                <w:sz w:val="22"/>
                <w:szCs w:val="22"/>
                <w:lang w:val="es-DO"/>
              </w:rPr>
              <w:t xml:space="preserve"> </w:t>
            </w:r>
            <w:r w:rsidR="00EC3308" w:rsidRPr="00723259">
              <w:rPr>
                <w:rFonts w:eastAsia="Calibri"/>
                <w:noProof/>
                <w:color w:val="4C4747"/>
                <w:sz w:val="22"/>
                <w:szCs w:val="22"/>
                <w:lang w:val="es-DO"/>
              </w:rPr>
              <w:t>estratégica</w:t>
            </w:r>
            <w:r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5BE56FDC" w14:textId="1F93A6F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8,576,931.25 </w:t>
            </w:r>
          </w:p>
        </w:tc>
        <w:tc>
          <w:tcPr>
            <w:tcW w:w="2247" w:type="dxa"/>
            <w:tcBorders>
              <w:top w:val="nil"/>
              <w:left w:val="nil"/>
              <w:bottom w:val="single" w:sz="4" w:space="0" w:color="auto"/>
              <w:right w:val="single" w:sz="4" w:space="0" w:color="auto"/>
            </w:tcBorders>
            <w:shd w:val="clear" w:color="auto" w:fill="auto"/>
            <w:vAlign w:val="center"/>
            <w:hideMark/>
          </w:tcPr>
          <w:p w14:paraId="0C0140CA" w14:textId="6051020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cuota </w:t>
            </w:r>
          </w:p>
        </w:tc>
      </w:tr>
      <w:tr w:rsidR="00723259" w:rsidRPr="007B6BCF" w14:paraId="7B8BD22F"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723A1416" w14:textId="6474769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11/17/2025</w:t>
            </w:r>
          </w:p>
        </w:tc>
        <w:tc>
          <w:tcPr>
            <w:tcW w:w="1768" w:type="dxa"/>
            <w:tcBorders>
              <w:top w:val="nil"/>
              <w:left w:val="nil"/>
              <w:bottom w:val="single" w:sz="4" w:space="0" w:color="auto"/>
              <w:right w:val="single" w:sz="4" w:space="0" w:color="auto"/>
            </w:tcBorders>
            <w:shd w:val="clear" w:color="auto" w:fill="auto"/>
            <w:vAlign w:val="center"/>
            <w:hideMark/>
          </w:tcPr>
          <w:p w14:paraId="3921773E" w14:textId="50FEC20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Camilo J.Hurtado C.Ingenieros Asociado, Srl</w:t>
            </w:r>
          </w:p>
        </w:tc>
        <w:tc>
          <w:tcPr>
            <w:tcW w:w="2061" w:type="dxa"/>
            <w:tcBorders>
              <w:top w:val="nil"/>
              <w:left w:val="nil"/>
              <w:bottom w:val="single" w:sz="4" w:space="0" w:color="auto"/>
              <w:right w:val="single" w:sz="4" w:space="0" w:color="auto"/>
            </w:tcBorders>
            <w:shd w:val="clear" w:color="auto" w:fill="auto"/>
            <w:noWrap/>
            <w:vAlign w:val="center"/>
            <w:hideMark/>
          </w:tcPr>
          <w:p w14:paraId="53E86B0D"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E450000000015</w:t>
            </w:r>
          </w:p>
        </w:tc>
        <w:tc>
          <w:tcPr>
            <w:tcW w:w="3057" w:type="dxa"/>
            <w:tcBorders>
              <w:top w:val="nil"/>
              <w:left w:val="nil"/>
              <w:bottom w:val="single" w:sz="4" w:space="0" w:color="auto"/>
              <w:right w:val="single" w:sz="4" w:space="0" w:color="auto"/>
            </w:tcBorders>
            <w:shd w:val="clear" w:color="auto" w:fill="auto"/>
            <w:vAlign w:val="center"/>
            <w:hideMark/>
          </w:tcPr>
          <w:p w14:paraId="165FB049" w14:textId="29E0CC49"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Readecuación</w:t>
            </w:r>
            <w:r w:rsidR="00C57FDA" w:rsidRPr="00723259">
              <w:rPr>
                <w:rFonts w:eastAsia="Calibri"/>
                <w:noProof/>
                <w:color w:val="4C4747"/>
                <w:sz w:val="22"/>
                <w:szCs w:val="22"/>
                <w:lang w:val="es-DO"/>
              </w:rPr>
              <w:t xml:space="preserve"> de edificios de oficinas </w:t>
            </w:r>
            <w:r w:rsidRPr="00723259">
              <w:rPr>
                <w:rFonts w:eastAsia="Calibri"/>
                <w:noProof/>
                <w:color w:val="4C4747"/>
                <w:sz w:val="22"/>
                <w:szCs w:val="22"/>
                <w:lang w:val="es-DO"/>
              </w:rPr>
              <w:t>MINPRE</w:t>
            </w:r>
            <w:r w:rsidR="00C57FDA"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6FFA9CD6" w14:textId="20231F7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21,834,927.63 </w:t>
            </w:r>
          </w:p>
        </w:tc>
        <w:tc>
          <w:tcPr>
            <w:tcW w:w="2247" w:type="dxa"/>
            <w:tcBorders>
              <w:top w:val="nil"/>
              <w:left w:val="nil"/>
              <w:bottom w:val="single" w:sz="4" w:space="0" w:color="auto"/>
              <w:right w:val="single" w:sz="4" w:space="0" w:color="auto"/>
            </w:tcBorders>
            <w:shd w:val="clear" w:color="auto" w:fill="auto"/>
            <w:vAlign w:val="center"/>
            <w:hideMark/>
          </w:tcPr>
          <w:p w14:paraId="7C5FA00B" w14:textId="099DA50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lib.3455</w:t>
            </w:r>
          </w:p>
        </w:tc>
      </w:tr>
      <w:tr w:rsidR="00723259" w:rsidRPr="007B6BCF" w14:paraId="1058435A"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3E0B4F95" w14:textId="6029AA7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11/17/2025</w:t>
            </w:r>
          </w:p>
        </w:tc>
        <w:tc>
          <w:tcPr>
            <w:tcW w:w="1768" w:type="dxa"/>
            <w:tcBorders>
              <w:top w:val="nil"/>
              <w:left w:val="nil"/>
              <w:bottom w:val="single" w:sz="4" w:space="0" w:color="auto"/>
              <w:right w:val="single" w:sz="4" w:space="0" w:color="auto"/>
            </w:tcBorders>
            <w:shd w:val="clear" w:color="auto" w:fill="auto"/>
            <w:vAlign w:val="center"/>
            <w:hideMark/>
          </w:tcPr>
          <w:p w14:paraId="52F8E05E" w14:textId="1249379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Eduardo Ramos Elias</w:t>
            </w:r>
          </w:p>
        </w:tc>
        <w:tc>
          <w:tcPr>
            <w:tcW w:w="2061" w:type="dxa"/>
            <w:tcBorders>
              <w:top w:val="nil"/>
              <w:left w:val="nil"/>
              <w:bottom w:val="single" w:sz="4" w:space="0" w:color="auto"/>
              <w:right w:val="single" w:sz="4" w:space="0" w:color="auto"/>
            </w:tcBorders>
            <w:shd w:val="clear" w:color="auto" w:fill="auto"/>
            <w:noWrap/>
            <w:vAlign w:val="center"/>
            <w:hideMark/>
          </w:tcPr>
          <w:p w14:paraId="30C45CCD"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B1500000097</w:t>
            </w:r>
          </w:p>
        </w:tc>
        <w:tc>
          <w:tcPr>
            <w:tcW w:w="3057" w:type="dxa"/>
            <w:tcBorders>
              <w:top w:val="nil"/>
              <w:left w:val="nil"/>
              <w:bottom w:val="single" w:sz="4" w:space="0" w:color="auto"/>
              <w:right w:val="single" w:sz="4" w:space="0" w:color="auto"/>
            </w:tcBorders>
            <w:shd w:val="clear" w:color="auto" w:fill="auto"/>
            <w:vAlign w:val="center"/>
            <w:hideMark/>
          </w:tcPr>
          <w:p w14:paraId="7828F877" w14:textId="528F2F3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Servicios legales especializados.</w:t>
            </w:r>
          </w:p>
        </w:tc>
        <w:tc>
          <w:tcPr>
            <w:tcW w:w="1775" w:type="dxa"/>
            <w:tcBorders>
              <w:top w:val="nil"/>
              <w:left w:val="nil"/>
              <w:bottom w:val="single" w:sz="4" w:space="0" w:color="auto"/>
              <w:right w:val="single" w:sz="4" w:space="0" w:color="auto"/>
            </w:tcBorders>
            <w:shd w:val="clear" w:color="auto" w:fill="auto"/>
            <w:noWrap/>
            <w:vAlign w:val="center"/>
            <w:hideMark/>
          </w:tcPr>
          <w:p w14:paraId="56D0DED2" w14:textId="339A6B9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250,000.00 </w:t>
            </w:r>
          </w:p>
        </w:tc>
        <w:tc>
          <w:tcPr>
            <w:tcW w:w="2247" w:type="dxa"/>
            <w:tcBorders>
              <w:top w:val="nil"/>
              <w:left w:val="nil"/>
              <w:bottom w:val="single" w:sz="4" w:space="0" w:color="auto"/>
              <w:right w:val="single" w:sz="4" w:space="0" w:color="auto"/>
            </w:tcBorders>
            <w:shd w:val="clear" w:color="auto" w:fill="auto"/>
            <w:vAlign w:val="center"/>
            <w:hideMark/>
          </w:tcPr>
          <w:p w14:paraId="26010637" w14:textId="5FED9F9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lib.3453</w:t>
            </w:r>
          </w:p>
        </w:tc>
      </w:tr>
      <w:tr w:rsidR="00723259" w:rsidRPr="007B6BCF" w14:paraId="4CB74B0A"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51C7F3B" w14:textId="015075E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11/17/2025</w:t>
            </w:r>
          </w:p>
        </w:tc>
        <w:tc>
          <w:tcPr>
            <w:tcW w:w="1768" w:type="dxa"/>
            <w:tcBorders>
              <w:top w:val="nil"/>
              <w:left w:val="nil"/>
              <w:bottom w:val="single" w:sz="4" w:space="0" w:color="auto"/>
              <w:right w:val="single" w:sz="4" w:space="0" w:color="auto"/>
            </w:tcBorders>
            <w:shd w:val="clear" w:color="auto" w:fill="auto"/>
            <w:vAlign w:val="center"/>
            <w:hideMark/>
          </w:tcPr>
          <w:p w14:paraId="5149C25D" w14:textId="2C386B1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Inversiones Gretmon Srl</w:t>
            </w:r>
          </w:p>
        </w:tc>
        <w:tc>
          <w:tcPr>
            <w:tcW w:w="2061" w:type="dxa"/>
            <w:tcBorders>
              <w:top w:val="nil"/>
              <w:left w:val="nil"/>
              <w:bottom w:val="single" w:sz="4" w:space="0" w:color="auto"/>
              <w:right w:val="single" w:sz="4" w:space="0" w:color="auto"/>
            </w:tcBorders>
            <w:shd w:val="clear" w:color="auto" w:fill="auto"/>
            <w:noWrap/>
            <w:vAlign w:val="center"/>
            <w:hideMark/>
          </w:tcPr>
          <w:p w14:paraId="15B25203"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B1500000500</w:t>
            </w:r>
          </w:p>
        </w:tc>
        <w:tc>
          <w:tcPr>
            <w:tcW w:w="3057" w:type="dxa"/>
            <w:tcBorders>
              <w:top w:val="nil"/>
              <w:left w:val="nil"/>
              <w:bottom w:val="single" w:sz="4" w:space="0" w:color="auto"/>
              <w:right w:val="single" w:sz="4" w:space="0" w:color="auto"/>
            </w:tcBorders>
            <w:shd w:val="clear" w:color="auto" w:fill="auto"/>
            <w:vAlign w:val="center"/>
            <w:hideMark/>
          </w:tcPr>
          <w:p w14:paraId="750109F7" w14:textId="051F5CE2"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insumos de higiene y limpieza.</w:t>
            </w:r>
          </w:p>
        </w:tc>
        <w:tc>
          <w:tcPr>
            <w:tcW w:w="1775" w:type="dxa"/>
            <w:tcBorders>
              <w:top w:val="nil"/>
              <w:left w:val="nil"/>
              <w:bottom w:val="single" w:sz="4" w:space="0" w:color="auto"/>
              <w:right w:val="single" w:sz="4" w:space="0" w:color="auto"/>
            </w:tcBorders>
            <w:shd w:val="clear" w:color="auto" w:fill="auto"/>
            <w:noWrap/>
            <w:vAlign w:val="center"/>
            <w:hideMark/>
          </w:tcPr>
          <w:p w14:paraId="43E83082" w14:textId="23CFD8E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179,006.00 </w:t>
            </w:r>
          </w:p>
        </w:tc>
        <w:tc>
          <w:tcPr>
            <w:tcW w:w="2247" w:type="dxa"/>
            <w:tcBorders>
              <w:top w:val="nil"/>
              <w:left w:val="nil"/>
              <w:bottom w:val="single" w:sz="4" w:space="0" w:color="auto"/>
              <w:right w:val="single" w:sz="4" w:space="0" w:color="auto"/>
            </w:tcBorders>
            <w:shd w:val="clear" w:color="auto" w:fill="auto"/>
            <w:vAlign w:val="center"/>
            <w:hideMark/>
          </w:tcPr>
          <w:p w14:paraId="3D99B4BB" w14:textId="76501AA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lib.3440</w:t>
            </w:r>
          </w:p>
        </w:tc>
      </w:tr>
      <w:tr w:rsidR="00723259" w:rsidRPr="007B6BCF" w14:paraId="3CD63C0F"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EC6A80F" w14:textId="5A107B3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11/17/2025</w:t>
            </w:r>
          </w:p>
        </w:tc>
        <w:tc>
          <w:tcPr>
            <w:tcW w:w="1768" w:type="dxa"/>
            <w:tcBorders>
              <w:top w:val="nil"/>
              <w:left w:val="nil"/>
              <w:bottom w:val="single" w:sz="4" w:space="0" w:color="auto"/>
              <w:right w:val="single" w:sz="4" w:space="0" w:color="auto"/>
            </w:tcBorders>
            <w:shd w:val="clear" w:color="auto" w:fill="auto"/>
            <w:vAlign w:val="center"/>
            <w:hideMark/>
          </w:tcPr>
          <w:p w14:paraId="162A10BB" w14:textId="548BCD5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Distribuidora Y Servicios </w:t>
            </w:r>
            <w:r w:rsidRPr="00723259">
              <w:rPr>
                <w:rFonts w:eastAsia="Calibri"/>
                <w:noProof/>
                <w:color w:val="4C4747"/>
                <w:sz w:val="22"/>
                <w:szCs w:val="22"/>
                <w:lang w:val="es-DO"/>
              </w:rPr>
              <w:lastRenderedPageBreak/>
              <w:t>Diversos Disope, Srl</w:t>
            </w:r>
          </w:p>
        </w:tc>
        <w:tc>
          <w:tcPr>
            <w:tcW w:w="2061" w:type="dxa"/>
            <w:tcBorders>
              <w:top w:val="nil"/>
              <w:left w:val="nil"/>
              <w:bottom w:val="single" w:sz="4" w:space="0" w:color="auto"/>
              <w:right w:val="single" w:sz="4" w:space="0" w:color="auto"/>
            </w:tcBorders>
            <w:shd w:val="clear" w:color="auto" w:fill="auto"/>
            <w:noWrap/>
            <w:vAlign w:val="center"/>
            <w:hideMark/>
          </w:tcPr>
          <w:p w14:paraId="66D0A222"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B1500000852</w:t>
            </w:r>
          </w:p>
        </w:tc>
        <w:tc>
          <w:tcPr>
            <w:tcW w:w="3057" w:type="dxa"/>
            <w:tcBorders>
              <w:top w:val="nil"/>
              <w:left w:val="nil"/>
              <w:bottom w:val="single" w:sz="4" w:space="0" w:color="auto"/>
              <w:right w:val="single" w:sz="4" w:space="0" w:color="auto"/>
            </w:tcBorders>
            <w:shd w:val="clear" w:color="auto" w:fill="auto"/>
            <w:vAlign w:val="center"/>
            <w:hideMark/>
          </w:tcPr>
          <w:p w14:paraId="6CE8E823" w14:textId="09BA9D8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Adquisición de material pop para el ministerio de </w:t>
            </w:r>
            <w:r w:rsidRPr="00723259">
              <w:rPr>
                <w:rFonts w:eastAsia="Calibri"/>
                <w:noProof/>
                <w:color w:val="4C4747"/>
                <w:sz w:val="22"/>
                <w:szCs w:val="22"/>
                <w:lang w:val="es-DO"/>
              </w:rPr>
              <w:lastRenderedPageBreak/>
              <w:t>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3E1E753C" w14:textId="41334C4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 xml:space="preserve">696,318.00 </w:t>
            </w:r>
          </w:p>
        </w:tc>
        <w:tc>
          <w:tcPr>
            <w:tcW w:w="2247" w:type="dxa"/>
            <w:tcBorders>
              <w:top w:val="nil"/>
              <w:left w:val="nil"/>
              <w:bottom w:val="single" w:sz="4" w:space="0" w:color="auto"/>
              <w:right w:val="single" w:sz="4" w:space="0" w:color="auto"/>
            </w:tcBorders>
            <w:shd w:val="clear" w:color="auto" w:fill="auto"/>
            <w:vAlign w:val="center"/>
            <w:hideMark/>
          </w:tcPr>
          <w:p w14:paraId="318455A4" w14:textId="7D00F5A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lib.3487</w:t>
            </w:r>
          </w:p>
        </w:tc>
      </w:tr>
      <w:tr w:rsidR="00723259" w:rsidRPr="007B6BCF" w14:paraId="5F01BB29"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01CAF03B" w14:textId="4F052CD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11/17/2025</w:t>
            </w:r>
          </w:p>
        </w:tc>
        <w:tc>
          <w:tcPr>
            <w:tcW w:w="1768" w:type="dxa"/>
            <w:tcBorders>
              <w:top w:val="nil"/>
              <w:left w:val="nil"/>
              <w:bottom w:val="single" w:sz="4" w:space="0" w:color="auto"/>
              <w:right w:val="single" w:sz="4" w:space="0" w:color="auto"/>
            </w:tcBorders>
            <w:shd w:val="clear" w:color="auto" w:fill="auto"/>
            <w:vAlign w:val="center"/>
            <w:hideMark/>
          </w:tcPr>
          <w:p w14:paraId="616EC6AC" w14:textId="451BCB7E"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Resolución</w:t>
            </w:r>
            <w:r w:rsidR="00C57FDA" w:rsidRPr="00723259">
              <w:rPr>
                <w:rFonts w:eastAsia="Calibri"/>
                <w:noProof/>
                <w:color w:val="4C4747"/>
                <w:sz w:val="22"/>
                <w:szCs w:val="22"/>
                <w:lang w:val="es-DO"/>
              </w:rPr>
              <w:t xml:space="preserve"> </w:t>
            </w:r>
            <w:r w:rsidRPr="00723259">
              <w:rPr>
                <w:rFonts w:eastAsia="Calibri"/>
                <w:noProof/>
                <w:color w:val="4C4747"/>
                <w:sz w:val="22"/>
                <w:szCs w:val="22"/>
                <w:lang w:val="es-DO"/>
              </w:rPr>
              <w:t>Técnica</w:t>
            </w:r>
            <w:r w:rsidR="00C57FDA" w:rsidRPr="00723259">
              <w:rPr>
                <w:rFonts w:eastAsia="Calibri"/>
                <w:noProof/>
                <w:color w:val="4C4747"/>
                <w:sz w:val="22"/>
                <w:szCs w:val="22"/>
                <w:lang w:val="es-DO"/>
              </w:rPr>
              <w:t xml:space="preserve"> Aldaso Eirl</w:t>
            </w:r>
          </w:p>
        </w:tc>
        <w:tc>
          <w:tcPr>
            <w:tcW w:w="2061" w:type="dxa"/>
            <w:tcBorders>
              <w:top w:val="nil"/>
              <w:left w:val="nil"/>
              <w:bottom w:val="single" w:sz="4" w:space="0" w:color="auto"/>
              <w:right w:val="single" w:sz="4" w:space="0" w:color="auto"/>
            </w:tcBorders>
            <w:shd w:val="clear" w:color="auto" w:fill="auto"/>
            <w:noWrap/>
            <w:vAlign w:val="center"/>
            <w:hideMark/>
          </w:tcPr>
          <w:p w14:paraId="71C89A03"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B1500000453</w:t>
            </w:r>
          </w:p>
        </w:tc>
        <w:tc>
          <w:tcPr>
            <w:tcW w:w="3057" w:type="dxa"/>
            <w:tcBorders>
              <w:top w:val="nil"/>
              <w:left w:val="nil"/>
              <w:bottom w:val="single" w:sz="4" w:space="0" w:color="auto"/>
              <w:right w:val="single" w:sz="4" w:space="0" w:color="auto"/>
            </w:tcBorders>
            <w:shd w:val="clear" w:color="auto" w:fill="auto"/>
            <w:vAlign w:val="center"/>
            <w:hideMark/>
          </w:tcPr>
          <w:p w14:paraId="37C95AA7" w14:textId="47C1EC9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Contratación servicios de mantenimiento y reparación de equipos informáticos y audiovisuales.</w:t>
            </w:r>
          </w:p>
        </w:tc>
        <w:tc>
          <w:tcPr>
            <w:tcW w:w="1775" w:type="dxa"/>
            <w:tcBorders>
              <w:top w:val="nil"/>
              <w:left w:val="nil"/>
              <w:bottom w:val="single" w:sz="4" w:space="0" w:color="auto"/>
              <w:right w:val="single" w:sz="4" w:space="0" w:color="auto"/>
            </w:tcBorders>
            <w:shd w:val="clear" w:color="auto" w:fill="auto"/>
            <w:noWrap/>
            <w:vAlign w:val="center"/>
            <w:hideMark/>
          </w:tcPr>
          <w:p w14:paraId="42A7925B" w14:textId="6F10259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34,220.00 </w:t>
            </w:r>
          </w:p>
        </w:tc>
        <w:tc>
          <w:tcPr>
            <w:tcW w:w="2247" w:type="dxa"/>
            <w:tcBorders>
              <w:top w:val="nil"/>
              <w:left w:val="nil"/>
              <w:bottom w:val="single" w:sz="4" w:space="0" w:color="auto"/>
              <w:right w:val="single" w:sz="4" w:space="0" w:color="auto"/>
            </w:tcBorders>
            <w:shd w:val="clear" w:color="auto" w:fill="auto"/>
            <w:vAlign w:val="center"/>
            <w:hideMark/>
          </w:tcPr>
          <w:p w14:paraId="31A69729" w14:textId="08ED76C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lib.3560</w:t>
            </w:r>
          </w:p>
        </w:tc>
      </w:tr>
      <w:tr w:rsidR="00723259" w:rsidRPr="007B6BCF" w14:paraId="104C7534"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607607BB" w14:textId="296F0BF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11/18/2025</w:t>
            </w:r>
          </w:p>
        </w:tc>
        <w:tc>
          <w:tcPr>
            <w:tcW w:w="1768" w:type="dxa"/>
            <w:tcBorders>
              <w:top w:val="nil"/>
              <w:left w:val="nil"/>
              <w:bottom w:val="single" w:sz="4" w:space="0" w:color="auto"/>
              <w:right w:val="single" w:sz="4" w:space="0" w:color="auto"/>
            </w:tcBorders>
            <w:shd w:val="clear" w:color="auto" w:fill="auto"/>
            <w:vAlign w:val="center"/>
            <w:hideMark/>
          </w:tcPr>
          <w:p w14:paraId="2B138A18" w14:textId="7A38D22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Omx Multiservicios Srl</w:t>
            </w:r>
          </w:p>
        </w:tc>
        <w:tc>
          <w:tcPr>
            <w:tcW w:w="2061" w:type="dxa"/>
            <w:tcBorders>
              <w:top w:val="nil"/>
              <w:left w:val="nil"/>
              <w:bottom w:val="single" w:sz="4" w:space="0" w:color="auto"/>
              <w:right w:val="single" w:sz="4" w:space="0" w:color="auto"/>
            </w:tcBorders>
            <w:shd w:val="clear" w:color="auto" w:fill="auto"/>
            <w:noWrap/>
            <w:vAlign w:val="center"/>
            <w:hideMark/>
          </w:tcPr>
          <w:p w14:paraId="27A5898C"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B1500000624</w:t>
            </w:r>
          </w:p>
        </w:tc>
        <w:tc>
          <w:tcPr>
            <w:tcW w:w="3057" w:type="dxa"/>
            <w:tcBorders>
              <w:top w:val="nil"/>
              <w:left w:val="nil"/>
              <w:bottom w:val="single" w:sz="4" w:space="0" w:color="auto"/>
              <w:right w:val="single" w:sz="4" w:space="0" w:color="auto"/>
            </w:tcBorders>
            <w:shd w:val="clear" w:color="auto" w:fill="auto"/>
            <w:vAlign w:val="center"/>
            <w:hideMark/>
          </w:tcPr>
          <w:p w14:paraId="149A76A3" w14:textId="6379C70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 de suministros de oficina para el ministerio 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04C5F63A" w14:textId="7BF2565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28,098.28 </w:t>
            </w:r>
          </w:p>
        </w:tc>
        <w:tc>
          <w:tcPr>
            <w:tcW w:w="2247" w:type="dxa"/>
            <w:tcBorders>
              <w:top w:val="nil"/>
              <w:left w:val="nil"/>
              <w:bottom w:val="single" w:sz="4" w:space="0" w:color="auto"/>
              <w:right w:val="single" w:sz="4" w:space="0" w:color="auto"/>
            </w:tcBorders>
            <w:shd w:val="clear" w:color="auto" w:fill="auto"/>
            <w:vAlign w:val="center"/>
            <w:hideMark/>
          </w:tcPr>
          <w:p w14:paraId="3983CC96" w14:textId="3B8D750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lib.3499</w:t>
            </w:r>
          </w:p>
        </w:tc>
      </w:tr>
      <w:tr w:rsidR="00723259" w:rsidRPr="007B6BCF" w14:paraId="1D5A8762" w14:textId="77777777" w:rsidTr="00234713">
        <w:trPr>
          <w:trHeight w:val="114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60391625" w14:textId="5AFBDAF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11/18/2025</w:t>
            </w:r>
          </w:p>
        </w:tc>
        <w:tc>
          <w:tcPr>
            <w:tcW w:w="1768" w:type="dxa"/>
            <w:tcBorders>
              <w:top w:val="nil"/>
              <w:left w:val="nil"/>
              <w:bottom w:val="single" w:sz="4" w:space="0" w:color="auto"/>
              <w:right w:val="single" w:sz="4" w:space="0" w:color="auto"/>
            </w:tcBorders>
            <w:shd w:val="clear" w:color="auto" w:fill="auto"/>
            <w:vAlign w:val="center"/>
            <w:hideMark/>
          </w:tcPr>
          <w:p w14:paraId="09136382" w14:textId="57AF07E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Consorcio De Tarjetas Dominicanas, S.A</w:t>
            </w:r>
          </w:p>
        </w:tc>
        <w:tc>
          <w:tcPr>
            <w:tcW w:w="2061" w:type="dxa"/>
            <w:tcBorders>
              <w:top w:val="nil"/>
              <w:left w:val="nil"/>
              <w:bottom w:val="single" w:sz="4" w:space="0" w:color="auto"/>
              <w:right w:val="single" w:sz="4" w:space="0" w:color="auto"/>
            </w:tcBorders>
            <w:shd w:val="clear" w:color="auto" w:fill="auto"/>
            <w:noWrap/>
            <w:vAlign w:val="center"/>
            <w:hideMark/>
          </w:tcPr>
          <w:p w14:paraId="47DD3271"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E450000000645</w:t>
            </w:r>
          </w:p>
        </w:tc>
        <w:tc>
          <w:tcPr>
            <w:tcW w:w="3057" w:type="dxa"/>
            <w:tcBorders>
              <w:top w:val="nil"/>
              <w:left w:val="nil"/>
              <w:bottom w:val="single" w:sz="4" w:space="0" w:color="auto"/>
              <w:right w:val="single" w:sz="4" w:space="0" w:color="auto"/>
            </w:tcBorders>
            <w:shd w:val="clear" w:color="auto" w:fill="auto"/>
            <w:vAlign w:val="center"/>
            <w:hideMark/>
          </w:tcPr>
          <w:p w14:paraId="0BE4E615" w14:textId="7A05199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 de recarga electrónica (paso rápido) para el uso de los vehículos del ministerio 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675B5C9D" w14:textId="30821E2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248,000.00 </w:t>
            </w:r>
          </w:p>
        </w:tc>
        <w:tc>
          <w:tcPr>
            <w:tcW w:w="2247" w:type="dxa"/>
            <w:tcBorders>
              <w:top w:val="nil"/>
              <w:left w:val="nil"/>
              <w:bottom w:val="single" w:sz="4" w:space="0" w:color="auto"/>
              <w:right w:val="single" w:sz="4" w:space="0" w:color="auto"/>
            </w:tcBorders>
            <w:shd w:val="clear" w:color="auto" w:fill="auto"/>
            <w:vAlign w:val="center"/>
            <w:hideMark/>
          </w:tcPr>
          <w:p w14:paraId="36FCDA96" w14:textId="7BA9CD2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lib.3518</w:t>
            </w:r>
          </w:p>
        </w:tc>
      </w:tr>
      <w:tr w:rsidR="00723259" w:rsidRPr="007B6BCF" w14:paraId="142CE24E"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35087ABE" w14:textId="5205C1A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11/18/2025</w:t>
            </w:r>
          </w:p>
        </w:tc>
        <w:tc>
          <w:tcPr>
            <w:tcW w:w="1768" w:type="dxa"/>
            <w:tcBorders>
              <w:top w:val="nil"/>
              <w:left w:val="nil"/>
              <w:bottom w:val="single" w:sz="4" w:space="0" w:color="auto"/>
              <w:right w:val="single" w:sz="4" w:space="0" w:color="auto"/>
            </w:tcBorders>
            <w:shd w:val="clear" w:color="auto" w:fill="auto"/>
            <w:vAlign w:val="center"/>
            <w:hideMark/>
          </w:tcPr>
          <w:p w14:paraId="21599115" w14:textId="681132C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Portafolio.Do Srl</w:t>
            </w:r>
          </w:p>
        </w:tc>
        <w:tc>
          <w:tcPr>
            <w:tcW w:w="2061" w:type="dxa"/>
            <w:tcBorders>
              <w:top w:val="nil"/>
              <w:left w:val="nil"/>
              <w:bottom w:val="single" w:sz="4" w:space="0" w:color="auto"/>
              <w:right w:val="single" w:sz="4" w:space="0" w:color="auto"/>
            </w:tcBorders>
            <w:shd w:val="clear" w:color="auto" w:fill="auto"/>
            <w:noWrap/>
            <w:vAlign w:val="center"/>
            <w:hideMark/>
          </w:tcPr>
          <w:p w14:paraId="041FA61A"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B1500000115</w:t>
            </w:r>
          </w:p>
        </w:tc>
        <w:tc>
          <w:tcPr>
            <w:tcW w:w="3057" w:type="dxa"/>
            <w:tcBorders>
              <w:top w:val="nil"/>
              <w:left w:val="nil"/>
              <w:bottom w:val="single" w:sz="4" w:space="0" w:color="auto"/>
              <w:right w:val="single" w:sz="4" w:space="0" w:color="auto"/>
            </w:tcBorders>
            <w:shd w:val="clear" w:color="auto" w:fill="auto"/>
            <w:vAlign w:val="center"/>
            <w:hideMark/>
          </w:tcPr>
          <w:p w14:paraId="4D33F442" w14:textId="5714B934"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suministros de oficina para el </w:t>
            </w:r>
            <w:r w:rsidRPr="00723259">
              <w:rPr>
                <w:rFonts w:eastAsia="Calibri"/>
                <w:noProof/>
                <w:color w:val="4C4747"/>
                <w:sz w:val="22"/>
                <w:szCs w:val="22"/>
                <w:lang w:val="es-DO"/>
              </w:rPr>
              <w:t>MINPRE</w:t>
            </w:r>
            <w:r w:rsidR="00C57FDA"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5D2E6662" w14:textId="4F97891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129,682.00 </w:t>
            </w:r>
          </w:p>
        </w:tc>
        <w:tc>
          <w:tcPr>
            <w:tcW w:w="2247" w:type="dxa"/>
            <w:tcBorders>
              <w:top w:val="nil"/>
              <w:left w:val="nil"/>
              <w:bottom w:val="single" w:sz="4" w:space="0" w:color="auto"/>
              <w:right w:val="single" w:sz="4" w:space="0" w:color="auto"/>
            </w:tcBorders>
            <w:shd w:val="clear" w:color="auto" w:fill="auto"/>
            <w:vAlign w:val="center"/>
            <w:hideMark/>
          </w:tcPr>
          <w:p w14:paraId="581AB8B5" w14:textId="45AE9F3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lib.3464</w:t>
            </w:r>
          </w:p>
        </w:tc>
      </w:tr>
      <w:tr w:rsidR="00723259" w:rsidRPr="007B6BCF" w14:paraId="397FBC82"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8F2890E" w14:textId="23EA30A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11/18/2025</w:t>
            </w:r>
          </w:p>
        </w:tc>
        <w:tc>
          <w:tcPr>
            <w:tcW w:w="1768" w:type="dxa"/>
            <w:tcBorders>
              <w:top w:val="nil"/>
              <w:left w:val="nil"/>
              <w:bottom w:val="single" w:sz="4" w:space="0" w:color="auto"/>
              <w:right w:val="single" w:sz="4" w:space="0" w:color="auto"/>
            </w:tcBorders>
            <w:shd w:val="clear" w:color="auto" w:fill="auto"/>
            <w:vAlign w:val="center"/>
            <w:hideMark/>
          </w:tcPr>
          <w:p w14:paraId="2B8092D6" w14:textId="79F6A19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Fudimat Srl</w:t>
            </w:r>
          </w:p>
        </w:tc>
        <w:tc>
          <w:tcPr>
            <w:tcW w:w="2061" w:type="dxa"/>
            <w:tcBorders>
              <w:top w:val="nil"/>
              <w:left w:val="nil"/>
              <w:bottom w:val="single" w:sz="4" w:space="0" w:color="auto"/>
              <w:right w:val="single" w:sz="4" w:space="0" w:color="auto"/>
            </w:tcBorders>
            <w:shd w:val="clear" w:color="auto" w:fill="auto"/>
            <w:noWrap/>
            <w:vAlign w:val="center"/>
            <w:hideMark/>
          </w:tcPr>
          <w:p w14:paraId="7E8DF0C8"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B1500000272</w:t>
            </w:r>
          </w:p>
        </w:tc>
        <w:tc>
          <w:tcPr>
            <w:tcW w:w="3057" w:type="dxa"/>
            <w:tcBorders>
              <w:top w:val="nil"/>
              <w:left w:val="nil"/>
              <w:bottom w:val="single" w:sz="4" w:space="0" w:color="auto"/>
              <w:right w:val="single" w:sz="4" w:space="0" w:color="auto"/>
            </w:tcBorders>
            <w:shd w:val="clear" w:color="auto" w:fill="auto"/>
            <w:vAlign w:val="center"/>
            <w:hideMark/>
          </w:tcPr>
          <w:p w14:paraId="265B2F14" w14:textId="37AF0C04"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insumos de higiene y limpieza.</w:t>
            </w:r>
          </w:p>
        </w:tc>
        <w:tc>
          <w:tcPr>
            <w:tcW w:w="1775" w:type="dxa"/>
            <w:tcBorders>
              <w:top w:val="nil"/>
              <w:left w:val="nil"/>
              <w:bottom w:val="single" w:sz="4" w:space="0" w:color="auto"/>
              <w:right w:val="single" w:sz="4" w:space="0" w:color="auto"/>
            </w:tcBorders>
            <w:shd w:val="clear" w:color="auto" w:fill="auto"/>
            <w:noWrap/>
            <w:vAlign w:val="center"/>
            <w:hideMark/>
          </w:tcPr>
          <w:p w14:paraId="1329E703" w14:textId="0B8B88B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81,179.60 </w:t>
            </w:r>
          </w:p>
        </w:tc>
        <w:tc>
          <w:tcPr>
            <w:tcW w:w="2247" w:type="dxa"/>
            <w:tcBorders>
              <w:top w:val="nil"/>
              <w:left w:val="nil"/>
              <w:bottom w:val="single" w:sz="4" w:space="0" w:color="auto"/>
              <w:right w:val="single" w:sz="4" w:space="0" w:color="auto"/>
            </w:tcBorders>
            <w:shd w:val="clear" w:color="auto" w:fill="auto"/>
            <w:vAlign w:val="center"/>
            <w:hideMark/>
          </w:tcPr>
          <w:p w14:paraId="49902246" w14:textId="01A7A22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lib.3466</w:t>
            </w:r>
          </w:p>
        </w:tc>
      </w:tr>
      <w:tr w:rsidR="00723259" w:rsidRPr="007B6BCF" w14:paraId="1C00E6FF"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746FA256" w14:textId="46169AD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11/18/2025</w:t>
            </w:r>
          </w:p>
        </w:tc>
        <w:tc>
          <w:tcPr>
            <w:tcW w:w="1768" w:type="dxa"/>
            <w:tcBorders>
              <w:top w:val="nil"/>
              <w:left w:val="nil"/>
              <w:bottom w:val="single" w:sz="4" w:space="0" w:color="auto"/>
              <w:right w:val="single" w:sz="4" w:space="0" w:color="auto"/>
            </w:tcBorders>
            <w:shd w:val="clear" w:color="auto" w:fill="auto"/>
            <w:vAlign w:val="center"/>
            <w:hideMark/>
          </w:tcPr>
          <w:p w14:paraId="79B3B8A5" w14:textId="317A3B7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Actividades Caoma Srl</w:t>
            </w:r>
          </w:p>
        </w:tc>
        <w:tc>
          <w:tcPr>
            <w:tcW w:w="2061" w:type="dxa"/>
            <w:tcBorders>
              <w:top w:val="nil"/>
              <w:left w:val="nil"/>
              <w:bottom w:val="single" w:sz="4" w:space="0" w:color="auto"/>
              <w:right w:val="single" w:sz="4" w:space="0" w:color="auto"/>
            </w:tcBorders>
            <w:shd w:val="clear" w:color="auto" w:fill="auto"/>
            <w:noWrap/>
            <w:vAlign w:val="center"/>
            <w:hideMark/>
          </w:tcPr>
          <w:p w14:paraId="7EBF986F"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B1500002229</w:t>
            </w:r>
          </w:p>
        </w:tc>
        <w:tc>
          <w:tcPr>
            <w:tcW w:w="3057" w:type="dxa"/>
            <w:tcBorders>
              <w:top w:val="nil"/>
              <w:left w:val="nil"/>
              <w:bottom w:val="single" w:sz="4" w:space="0" w:color="auto"/>
              <w:right w:val="single" w:sz="4" w:space="0" w:color="auto"/>
            </w:tcBorders>
            <w:shd w:val="clear" w:color="auto" w:fill="auto"/>
            <w:vAlign w:val="center"/>
            <w:hideMark/>
          </w:tcPr>
          <w:p w14:paraId="1747DC54" w14:textId="55E08759"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Contratación</w:t>
            </w:r>
            <w:r w:rsidR="00C57FDA" w:rsidRPr="00723259">
              <w:rPr>
                <w:rFonts w:eastAsia="Calibri"/>
                <w:noProof/>
                <w:color w:val="4C4747"/>
                <w:sz w:val="22"/>
                <w:szCs w:val="22"/>
                <w:lang w:val="es-DO"/>
              </w:rPr>
              <w:t xml:space="preserve"> de servicios de montaje.</w:t>
            </w:r>
          </w:p>
        </w:tc>
        <w:tc>
          <w:tcPr>
            <w:tcW w:w="1775" w:type="dxa"/>
            <w:tcBorders>
              <w:top w:val="nil"/>
              <w:left w:val="nil"/>
              <w:bottom w:val="single" w:sz="4" w:space="0" w:color="auto"/>
              <w:right w:val="single" w:sz="4" w:space="0" w:color="auto"/>
            </w:tcBorders>
            <w:shd w:val="clear" w:color="auto" w:fill="auto"/>
            <w:noWrap/>
            <w:vAlign w:val="center"/>
            <w:hideMark/>
          </w:tcPr>
          <w:p w14:paraId="3ADC3BB0" w14:textId="2C7E0E5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404,651.50 </w:t>
            </w:r>
          </w:p>
        </w:tc>
        <w:tc>
          <w:tcPr>
            <w:tcW w:w="2247" w:type="dxa"/>
            <w:tcBorders>
              <w:top w:val="nil"/>
              <w:left w:val="nil"/>
              <w:bottom w:val="single" w:sz="4" w:space="0" w:color="auto"/>
              <w:right w:val="single" w:sz="4" w:space="0" w:color="auto"/>
            </w:tcBorders>
            <w:shd w:val="clear" w:color="auto" w:fill="auto"/>
            <w:vAlign w:val="center"/>
            <w:hideMark/>
          </w:tcPr>
          <w:p w14:paraId="2DEA991E" w14:textId="4E5C249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lib.3583</w:t>
            </w:r>
          </w:p>
        </w:tc>
      </w:tr>
      <w:tr w:rsidR="00723259" w:rsidRPr="007B6BCF" w14:paraId="2F5E35D5"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69AA88F8" w14:textId="76B623D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11/18/2025</w:t>
            </w:r>
          </w:p>
        </w:tc>
        <w:tc>
          <w:tcPr>
            <w:tcW w:w="1768" w:type="dxa"/>
            <w:tcBorders>
              <w:top w:val="nil"/>
              <w:left w:val="nil"/>
              <w:bottom w:val="single" w:sz="4" w:space="0" w:color="auto"/>
              <w:right w:val="single" w:sz="4" w:space="0" w:color="auto"/>
            </w:tcBorders>
            <w:shd w:val="clear" w:color="auto" w:fill="auto"/>
            <w:vAlign w:val="center"/>
            <w:hideMark/>
          </w:tcPr>
          <w:p w14:paraId="4E55851C" w14:textId="351188B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Repuestos Chencho Srl</w:t>
            </w:r>
          </w:p>
        </w:tc>
        <w:tc>
          <w:tcPr>
            <w:tcW w:w="2061" w:type="dxa"/>
            <w:tcBorders>
              <w:top w:val="nil"/>
              <w:left w:val="nil"/>
              <w:bottom w:val="single" w:sz="4" w:space="0" w:color="auto"/>
              <w:right w:val="single" w:sz="4" w:space="0" w:color="auto"/>
            </w:tcBorders>
            <w:shd w:val="clear" w:color="auto" w:fill="auto"/>
            <w:noWrap/>
            <w:vAlign w:val="center"/>
            <w:hideMark/>
          </w:tcPr>
          <w:p w14:paraId="41E0560B"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B1500002110</w:t>
            </w:r>
          </w:p>
        </w:tc>
        <w:tc>
          <w:tcPr>
            <w:tcW w:w="3057" w:type="dxa"/>
            <w:tcBorders>
              <w:top w:val="nil"/>
              <w:left w:val="nil"/>
              <w:bottom w:val="single" w:sz="4" w:space="0" w:color="auto"/>
              <w:right w:val="single" w:sz="4" w:space="0" w:color="auto"/>
            </w:tcBorders>
            <w:shd w:val="clear" w:color="auto" w:fill="auto"/>
            <w:vAlign w:val="center"/>
            <w:hideMark/>
          </w:tcPr>
          <w:p w14:paraId="5651B9CA" w14:textId="438BB78D"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Reparación</w:t>
            </w:r>
            <w:r w:rsidR="00C57FDA" w:rsidRPr="00723259">
              <w:rPr>
                <w:rFonts w:eastAsia="Calibri"/>
                <w:noProof/>
                <w:color w:val="4C4747"/>
                <w:sz w:val="22"/>
                <w:szCs w:val="22"/>
                <w:lang w:val="es-DO"/>
              </w:rPr>
              <w:t xml:space="preserve"> y mantenimiento de motocicletas.</w:t>
            </w:r>
          </w:p>
        </w:tc>
        <w:tc>
          <w:tcPr>
            <w:tcW w:w="1775" w:type="dxa"/>
            <w:tcBorders>
              <w:top w:val="nil"/>
              <w:left w:val="nil"/>
              <w:bottom w:val="single" w:sz="4" w:space="0" w:color="auto"/>
              <w:right w:val="single" w:sz="4" w:space="0" w:color="auto"/>
            </w:tcBorders>
            <w:shd w:val="clear" w:color="auto" w:fill="auto"/>
            <w:noWrap/>
            <w:vAlign w:val="center"/>
            <w:hideMark/>
          </w:tcPr>
          <w:p w14:paraId="18515366" w14:textId="49E8F44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24,538.10 </w:t>
            </w:r>
          </w:p>
        </w:tc>
        <w:tc>
          <w:tcPr>
            <w:tcW w:w="2247" w:type="dxa"/>
            <w:tcBorders>
              <w:top w:val="nil"/>
              <w:left w:val="nil"/>
              <w:bottom w:val="single" w:sz="4" w:space="0" w:color="auto"/>
              <w:right w:val="single" w:sz="4" w:space="0" w:color="auto"/>
            </w:tcBorders>
            <w:shd w:val="clear" w:color="auto" w:fill="auto"/>
            <w:vAlign w:val="center"/>
            <w:hideMark/>
          </w:tcPr>
          <w:p w14:paraId="02F941CE" w14:textId="4F989F1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expediente de compras </w:t>
            </w:r>
          </w:p>
        </w:tc>
      </w:tr>
      <w:tr w:rsidR="00723259" w:rsidRPr="007B6BCF" w14:paraId="1A39BF8F" w14:textId="77777777" w:rsidTr="00234713">
        <w:trPr>
          <w:trHeight w:val="114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4C43F67C" w14:textId="204FC5F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11/19/2025</w:t>
            </w:r>
          </w:p>
        </w:tc>
        <w:tc>
          <w:tcPr>
            <w:tcW w:w="1768" w:type="dxa"/>
            <w:tcBorders>
              <w:top w:val="nil"/>
              <w:left w:val="nil"/>
              <w:bottom w:val="single" w:sz="4" w:space="0" w:color="auto"/>
              <w:right w:val="single" w:sz="4" w:space="0" w:color="auto"/>
            </w:tcBorders>
            <w:shd w:val="clear" w:color="auto" w:fill="auto"/>
            <w:vAlign w:val="center"/>
            <w:hideMark/>
          </w:tcPr>
          <w:p w14:paraId="6653D62D" w14:textId="136DA5A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Orox Inversiones Srl</w:t>
            </w:r>
          </w:p>
        </w:tc>
        <w:tc>
          <w:tcPr>
            <w:tcW w:w="2061" w:type="dxa"/>
            <w:tcBorders>
              <w:top w:val="nil"/>
              <w:left w:val="nil"/>
              <w:bottom w:val="single" w:sz="4" w:space="0" w:color="auto"/>
              <w:right w:val="single" w:sz="4" w:space="0" w:color="auto"/>
            </w:tcBorders>
            <w:shd w:val="clear" w:color="auto" w:fill="auto"/>
            <w:noWrap/>
            <w:vAlign w:val="center"/>
            <w:hideMark/>
          </w:tcPr>
          <w:p w14:paraId="394C621A"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E450000000548</w:t>
            </w:r>
          </w:p>
        </w:tc>
        <w:tc>
          <w:tcPr>
            <w:tcW w:w="3057" w:type="dxa"/>
            <w:tcBorders>
              <w:top w:val="nil"/>
              <w:left w:val="nil"/>
              <w:bottom w:val="single" w:sz="4" w:space="0" w:color="auto"/>
              <w:right w:val="single" w:sz="4" w:space="0" w:color="auto"/>
            </w:tcBorders>
            <w:shd w:val="clear" w:color="auto" w:fill="auto"/>
            <w:vAlign w:val="center"/>
            <w:hideMark/>
          </w:tcPr>
          <w:p w14:paraId="425C4C8C" w14:textId="4E3A67E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Servicio de almuerzos y cenas para colaboradores del ministerio de la presidencia y sus dependencias, mes de octubre del 2025.</w:t>
            </w:r>
          </w:p>
        </w:tc>
        <w:tc>
          <w:tcPr>
            <w:tcW w:w="1775" w:type="dxa"/>
            <w:tcBorders>
              <w:top w:val="nil"/>
              <w:left w:val="nil"/>
              <w:bottom w:val="single" w:sz="4" w:space="0" w:color="auto"/>
              <w:right w:val="single" w:sz="4" w:space="0" w:color="auto"/>
            </w:tcBorders>
            <w:shd w:val="clear" w:color="auto" w:fill="auto"/>
            <w:noWrap/>
            <w:vAlign w:val="center"/>
            <w:hideMark/>
          </w:tcPr>
          <w:p w14:paraId="69F16D2D" w14:textId="1818E3A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648,510.30 </w:t>
            </w:r>
          </w:p>
        </w:tc>
        <w:tc>
          <w:tcPr>
            <w:tcW w:w="2247" w:type="dxa"/>
            <w:tcBorders>
              <w:top w:val="nil"/>
              <w:left w:val="nil"/>
              <w:bottom w:val="single" w:sz="4" w:space="0" w:color="auto"/>
              <w:right w:val="single" w:sz="4" w:space="0" w:color="auto"/>
            </w:tcBorders>
            <w:shd w:val="clear" w:color="auto" w:fill="auto"/>
            <w:vAlign w:val="center"/>
            <w:hideMark/>
          </w:tcPr>
          <w:p w14:paraId="6DF63AC6" w14:textId="0993670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lib.3542</w:t>
            </w:r>
          </w:p>
        </w:tc>
      </w:tr>
      <w:tr w:rsidR="00723259" w:rsidRPr="007B6BCF" w14:paraId="5DAC9A0B"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34768DB8" w14:textId="1F1D3D7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11/19/2025</w:t>
            </w:r>
          </w:p>
        </w:tc>
        <w:tc>
          <w:tcPr>
            <w:tcW w:w="1768" w:type="dxa"/>
            <w:tcBorders>
              <w:top w:val="nil"/>
              <w:left w:val="nil"/>
              <w:bottom w:val="single" w:sz="4" w:space="0" w:color="auto"/>
              <w:right w:val="single" w:sz="4" w:space="0" w:color="auto"/>
            </w:tcBorders>
            <w:shd w:val="clear" w:color="auto" w:fill="auto"/>
            <w:vAlign w:val="center"/>
            <w:hideMark/>
          </w:tcPr>
          <w:p w14:paraId="43278B3C" w14:textId="70C63E4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Impresos Tres Tintas </w:t>
            </w:r>
          </w:p>
        </w:tc>
        <w:tc>
          <w:tcPr>
            <w:tcW w:w="2061" w:type="dxa"/>
            <w:tcBorders>
              <w:top w:val="nil"/>
              <w:left w:val="nil"/>
              <w:bottom w:val="single" w:sz="4" w:space="0" w:color="auto"/>
              <w:right w:val="single" w:sz="4" w:space="0" w:color="auto"/>
            </w:tcBorders>
            <w:shd w:val="clear" w:color="auto" w:fill="auto"/>
            <w:noWrap/>
            <w:vAlign w:val="center"/>
            <w:hideMark/>
          </w:tcPr>
          <w:p w14:paraId="5F1549E6"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B1500001698</w:t>
            </w:r>
          </w:p>
        </w:tc>
        <w:tc>
          <w:tcPr>
            <w:tcW w:w="3057" w:type="dxa"/>
            <w:tcBorders>
              <w:top w:val="nil"/>
              <w:left w:val="nil"/>
              <w:bottom w:val="single" w:sz="4" w:space="0" w:color="auto"/>
              <w:right w:val="single" w:sz="4" w:space="0" w:color="auto"/>
            </w:tcBorders>
            <w:shd w:val="clear" w:color="auto" w:fill="auto"/>
            <w:vAlign w:val="center"/>
            <w:hideMark/>
          </w:tcPr>
          <w:p w14:paraId="4EC0D2DF" w14:textId="4F319DA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 de material pop para el ministerio 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56669871" w14:textId="563F96A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5,900.00 </w:t>
            </w:r>
          </w:p>
        </w:tc>
        <w:tc>
          <w:tcPr>
            <w:tcW w:w="2247" w:type="dxa"/>
            <w:tcBorders>
              <w:top w:val="nil"/>
              <w:left w:val="nil"/>
              <w:bottom w:val="single" w:sz="4" w:space="0" w:color="auto"/>
              <w:right w:val="single" w:sz="4" w:space="0" w:color="auto"/>
            </w:tcBorders>
            <w:shd w:val="clear" w:color="auto" w:fill="auto"/>
            <w:vAlign w:val="center"/>
            <w:hideMark/>
          </w:tcPr>
          <w:p w14:paraId="38F30250" w14:textId="06D7C92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lib.3443</w:t>
            </w:r>
          </w:p>
        </w:tc>
      </w:tr>
      <w:tr w:rsidR="00723259" w:rsidRPr="007B6BCF" w14:paraId="08606275"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419E6FD0" w14:textId="6723995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11/19/2025</w:t>
            </w:r>
          </w:p>
        </w:tc>
        <w:tc>
          <w:tcPr>
            <w:tcW w:w="1768" w:type="dxa"/>
            <w:tcBorders>
              <w:top w:val="nil"/>
              <w:left w:val="nil"/>
              <w:bottom w:val="single" w:sz="4" w:space="0" w:color="auto"/>
              <w:right w:val="single" w:sz="4" w:space="0" w:color="auto"/>
            </w:tcBorders>
            <w:shd w:val="clear" w:color="auto" w:fill="auto"/>
            <w:vAlign w:val="center"/>
            <w:hideMark/>
          </w:tcPr>
          <w:p w14:paraId="763453E7" w14:textId="035E24C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Seguros Nacional De Salud </w:t>
            </w:r>
          </w:p>
        </w:tc>
        <w:tc>
          <w:tcPr>
            <w:tcW w:w="2061" w:type="dxa"/>
            <w:tcBorders>
              <w:top w:val="nil"/>
              <w:left w:val="nil"/>
              <w:bottom w:val="single" w:sz="4" w:space="0" w:color="auto"/>
              <w:right w:val="single" w:sz="4" w:space="0" w:color="auto"/>
            </w:tcBorders>
            <w:shd w:val="clear" w:color="auto" w:fill="auto"/>
            <w:noWrap/>
            <w:vAlign w:val="center"/>
            <w:hideMark/>
          </w:tcPr>
          <w:p w14:paraId="5083C0D9"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E4500000004596</w:t>
            </w:r>
          </w:p>
        </w:tc>
        <w:tc>
          <w:tcPr>
            <w:tcW w:w="3057" w:type="dxa"/>
            <w:tcBorders>
              <w:top w:val="nil"/>
              <w:left w:val="nil"/>
              <w:bottom w:val="single" w:sz="4" w:space="0" w:color="auto"/>
              <w:right w:val="single" w:sz="4" w:space="0" w:color="auto"/>
            </w:tcBorders>
            <w:shd w:val="clear" w:color="auto" w:fill="auto"/>
            <w:vAlign w:val="center"/>
            <w:hideMark/>
          </w:tcPr>
          <w:p w14:paraId="698A2F74" w14:textId="3685F75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Seguro </w:t>
            </w:r>
            <w:r w:rsidR="00EC3308" w:rsidRPr="00723259">
              <w:rPr>
                <w:rFonts w:eastAsia="Calibri"/>
                <w:noProof/>
                <w:color w:val="4C4747"/>
                <w:sz w:val="22"/>
                <w:szCs w:val="22"/>
                <w:lang w:val="es-DO"/>
              </w:rPr>
              <w:t>médico</w:t>
            </w:r>
            <w:r w:rsidRPr="00723259">
              <w:rPr>
                <w:rFonts w:eastAsia="Calibri"/>
                <w:noProof/>
                <w:color w:val="4C4747"/>
                <w:sz w:val="22"/>
                <w:szCs w:val="22"/>
                <w:lang w:val="es-DO"/>
              </w:rPr>
              <w:t xml:space="preserve"> de salud noviembre 2025</w:t>
            </w:r>
          </w:p>
        </w:tc>
        <w:tc>
          <w:tcPr>
            <w:tcW w:w="1775" w:type="dxa"/>
            <w:tcBorders>
              <w:top w:val="nil"/>
              <w:left w:val="nil"/>
              <w:bottom w:val="single" w:sz="4" w:space="0" w:color="auto"/>
              <w:right w:val="single" w:sz="4" w:space="0" w:color="auto"/>
            </w:tcBorders>
            <w:shd w:val="clear" w:color="auto" w:fill="auto"/>
            <w:noWrap/>
            <w:vAlign w:val="center"/>
            <w:hideMark/>
          </w:tcPr>
          <w:p w14:paraId="754B612F" w14:textId="285CEFF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481,929.40 </w:t>
            </w:r>
          </w:p>
        </w:tc>
        <w:tc>
          <w:tcPr>
            <w:tcW w:w="2247" w:type="dxa"/>
            <w:tcBorders>
              <w:top w:val="nil"/>
              <w:left w:val="nil"/>
              <w:bottom w:val="single" w:sz="4" w:space="0" w:color="auto"/>
              <w:right w:val="single" w:sz="4" w:space="0" w:color="auto"/>
            </w:tcBorders>
            <w:shd w:val="clear" w:color="auto" w:fill="auto"/>
            <w:vAlign w:val="center"/>
            <w:hideMark/>
          </w:tcPr>
          <w:p w14:paraId="67DC456D" w14:textId="6564B9B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lib.3575</w:t>
            </w:r>
          </w:p>
        </w:tc>
      </w:tr>
      <w:tr w:rsidR="00723259" w:rsidRPr="007B6BCF" w14:paraId="0A25890E"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74ADDFA4" w14:textId="3615FC5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11/21/2025</w:t>
            </w:r>
          </w:p>
        </w:tc>
        <w:tc>
          <w:tcPr>
            <w:tcW w:w="1768" w:type="dxa"/>
            <w:tcBorders>
              <w:top w:val="nil"/>
              <w:left w:val="nil"/>
              <w:bottom w:val="single" w:sz="4" w:space="0" w:color="auto"/>
              <w:right w:val="single" w:sz="4" w:space="0" w:color="auto"/>
            </w:tcBorders>
            <w:shd w:val="clear" w:color="auto" w:fill="auto"/>
            <w:vAlign w:val="center"/>
            <w:hideMark/>
          </w:tcPr>
          <w:p w14:paraId="4D699F2C" w14:textId="759B13E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Itcorp Gongloss Srl</w:t>
            </w:r>
          </w:p>
        </w:tc>
        <w:tc>
          <w:tcPr>
            <w:tcW w:w="2061" w:type="dxa"/>
            <w:tcBorders>
              <w:top w:val="nil"/>
              <w:left w:val="nil"/>
              <w:bottom w:val="single" w:sz="4" w:space="0" w:color="auto"/>
              <w:right w:val="single" w:sz="4" w:space="0" w:color="auto"/>
            </w:tcBorders>
            <w:shd w:val="clear" w:color="auto" w:fill="auto"/>
            <w:noWrap/>
            <w:vAlign w:val="center"/>
            <w:hideMark/>
          </w:tcPr>
          <w:p w14:paraId="680C39EB"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E450000000219</w:t>
            </w:r>
          </w:p>
        </w:tc>
        <w:tc>
          <w:tcPr>
            <w:tcW w:w="3057" w:type="dxa"/>
            <w:tcBorders>
              <w:top w:val="nil"/>
              <w:left w:val="nil"/>
              <w:bottom w:val="single" w:sz="4" w:space="0" w:color="auto"/>
              <w:right w:val="single" w:sz="4" w:space="0" w:color="auto"/>
            </w:tcBorders>
            <w:shd w:val="clear" w:color="auto" w:fill="auto"/>
            <w:vAlign w:val="center"/>
            <w:hideMark/>
          </w:tcPr>
          <w:p w14:paraId="3816CB88" w14:textId="73C2F4C9"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toners para las impresoras de este ministerio.</w:t>
            </w:r>
          </w:p>
        </w:tc>
        <w:tc>
          <w:tcPr>
            <w:tcW w:w="1775" w:type="dxa"/>
            <w:tcBorders>
              <w:top w:val="nil"/>
              <w:left w:val="nil"/>
              <w:bottom w:val="single" w:sz="4" w:space="0" w:color="auto"/>
              <w:right w:val="single" w:sz="4" w:space="0" w:color="auto"/>
            </w:tcBorders>
            <w:shd w:val="clear" w:color="auto" w:fill="auto"/>
            <w:noWrap/>
            <w:vAlign w:val="center"/>
            <w:hideMark/>
          </w:tcPr>
          <w:p w14:paraId="5D8AEE1B" w14:textId="00F8678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1,194,003.22 </w:t>
            </w:r>
          </w:p>
        </w:tc>
        <w:tc>
          <w:tcPr>
            <w:tcW w:w="2247" w:type="dxa"/>
            <w:tcBorders>
              <w:top w:val="nil"/>
              <w:left w:val="nil"/>
              <w:bottom w:val="single" w:sz="4" w:space="0" w:color="auto"/>
              <w:right w:val="single" w:sz="4" w:space="0" w:color="auto"/>
            </w:tcBorders>
            <w:shd w:val="clear" w:color="auto" w:fill="auto"/>
            <w:vAlign w:val="center"/>
            <w:hideMark/>
          </w:tcPr>
          <w:p w14:paraId="35DD6983" w14:textId="58E434A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lib.3434</w:t>
            </w:r>
          </w:p>
        </w:tc>
      </w:tr>
      <w:tr w:rsidR="00723259" w:rsidRPr="007B6BCF" w14:paraId="256D886C"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5D0795FB" w14:textId="3FC56B8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11/21/2025</w:t>
            </w:r>
          </w:p>
        </w:tc>
        <w:tc>
          <w:tcPr>
            <w:tcW w:w="1768" w:type="dxa"/>
            <w:tcBorders>
              <w:top w:val="nil"/>
              <w:left w:val="nil"/>
              <w:bottom w:val="single" w:sz="4" w:space="0" w:color="auto"/>
              <w:right w:val="single" w:sz="4" w:space="0" w:color="auto"/>
            </w:tcBorders>
            <w:shd w:val="clear" w:color="auto" w:fill="auto"/>
            <w:vAlign w:val="center"/>
            <w:hideMark/>
          </w:tcPr>
          <w:p w14:paraId="0711AB5C" w14:textId="12B98D0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Jose Pio Santana</w:t>
            </w:r>
          </w:p>
        </w:tc>
        <w:tc>
          <w:tcPr>
            <w:tcW w:w="2061" w:type="dxa"/>
            <w:tcBorders>
              <w:top w:val="nil"/>
              <w:left w:val="nil"/>
              <w:bottom w:val="single" w:sz="4" w:space="0" w:color="auto"/>
              <w:right w:val="single" w:sz="4" w:space="0" w:color="auto"/>
            </w:tcBorders>
            <w:shd w:val="clear" w:color="auto" w:fill="auto"/>
            <w:noWrap/>
            <w:vAlign w:val="center"/>
            <w:hideMark/>
          </w:tcPr>
          <w:p w14:paraId="4BE78E7C"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B1500000702</w:t>
            </w:r>
          </w:p>
        </w:tc>
        <w:tc>
          <w:tcPr>
            <w:tcW w:w="3057" w:type="dxa"/>
            <w:tcBorders>
              <w:top w:val="nil"/>
              <w:left w:val="nil"/>
              <w:bottom w:val="single" w:sz="4" w:space="0" w:color="auto"/>
              <w:right w:val="single" w:sz="4" w:space="0" w:color="auto"/>
            </w:tcBorders>
            <w:shd w:val="clear" w:color="auto" w:fill="auto"/>
            <w:vAlign w:val="center"/>
            <w:hideMark/>
          </w:tcPr>
          <w:p w14:paraId="0D520F61" w14:textId="3CBD886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de </w:t>
            </w:r>
            <w:r w:rsidR="00EC3308" w:rsidRPr="00723259">
              <w:rPr>
                <w:rFonts w:eastAsia="Calibri"/>
                <w:noProof/>
                <w:color w:val="4C4747"/>
                <w:sz w:val="22"/>
                <w:szCs w:val="22"/>
                <w:lang w:val="es-DO"/>
              </w:rPr>
              <w:t>legalización</w:t>
            </w:r>
            <w:r w:rsidRPr="00723259">
              <w:rPr>
                <w:rFonts w:eastAsia="Calibri"/>
                <w:noProof/>
                <w:color w:val="4C4747"/>
                <w:sz w:val="22"/>
                <w:szCs w:val="22"/>
                <w:lang w:val="es-DO"/>
              </w:rPr>
              <w:t xml:space="preserve"> de documentos.</w:t>
            </w:r>
          </w:p>
        </w:tc>
        <w:tc>
          <w:tcPr>
            <w:tcW w:w="1775" w:type="dxa"/>
            <w:tcBorders>
              <w:top w:val="nil"/>
              <w:left w:val="nil"/>
              <w:bottom w:val="single" w:sz="4" w:space="0" w:color="auto"/>
              <w:right w:val="single" w:sz="4" w:space="0" w:color="auto"/>
            </w:tcBorders>
            <w:shd w:val="clear" w:color="auto" w:fill="auto"/>
            <w:noWrap/>
            <w:vAlign w:val="center"/>
            <w:hideMark/>
          </w:tcPr>
          <w:p w14:paraId="2024B809" w14:textId="56911C2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28,000.00 </w:t>
            </w:r>
          </w:p>
        </w:tc>
        <w:tc>
          <w:tcPr>
            <w:tcW w:w="2247" w:type="dxa"/>
            <w:tcBorders>
              <w:top w:val="nil"/>
              <w:left w:val="nil"/>
              <w:bottom w:val="single" w:sz="4" w:space="0" w:color="auto"/>
              <w:right w:val="single" w:sz="4" w:space="0" w:color="auto"/>
            </w:tcBorders>
            <w:shd w:val="clear" w:color="auto" w:fill="auto"/>
            <w:vAlign w:val="center"/>
            <w:hideMark/>
          </w:tcPr>
          <w:p w14:paraId="3BB4E2CC" w14:textId="6404A9A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 esper de recibido conforme</w:t>
            </w:r>
          </w:p>
        </w:tc>
      </w:tr>
      <w:tr w:rsidR="00723259" w:rsidRPr="007B6BCF" w14:paraId="5A5570BE"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761768AE" w14:textId="3D35EFA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11/21/2025</w:t>
            </w:r>
          </w:p>
        </w:tc>
        <w:tc>
          <w:tcPr>
            <w:tcW w:w="1768" w:type="dxa"/>
            <w:tcBorders>
              <w:top w:val="nil"/>
              <w:left w:val="nil"/>
              <w:bottom w:val="single" w:sz="4" w:space="0" w:color="auto"/>
              <w:right w:val="single" w:sz="4" w:space="0" w:color="auto"/>
            </w:tcBorders>
            <w:shd w:val="clear" w:color="auto" w:fill="auto"/>
            <w:vAlign w:val="center"/>
            <w:hideMark/>
          </w:tcPr>
          <w:p w14:paraId="7B17C60E" w14:textId="5746292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Xavsha Multiservices, Srl</w:t>
            </w:r>
          </w:p>
        </w:tc>
        <w:tc>
          <w:tcPr>
            <w:tcW w:w="2061" w:type="dxa"/>
            <w:tcBorders>
              <w:top w:val="nil"/>
              <w:left w:val="nil"/>
              <w:bottom w:val="single" w:sz="4" w:space="0" w:color="auto"/>
              <w:right w:val="single" w:sz="4" w:space="0" w:color="auto"/>
            </w:tcBorders>
            <w:shd w:val="clear" w:color="auto" w:fill="auto"/>
            <w:noWrap/>
            <w:vAlign w:val="center"/>
            <w:hideMark/>
          </w:tcPr>
          <w:p w14:paraId="5A160830"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E450000000082</w:t>
            </w:r>
          </w:p>
        </w:tc>
        <w:tc>
          <w:tcPr>
            <w:tcW w:w="3057" w:type="dxa"/>
            <w:tcBorders>
              <w:top w:val="nil"/>
              <w:left w:val="nil"/>
              <w:bottom w:val="single" w:sz="4" w:space="0" w:color="auto"/>
              <w:right w:val="single" w:sz="4" w:space="0" w:color="auto"/>
            </w:tcBorders>
            <w:shd w:val="clear" w:color="auto" w:fill="auto"/>
            <w:vAlign w:val="center"/>
            <w:hideMark/>
          </w:tcPr>
          <w:p w14:paraId="1A44F215" w14:textId="7386F13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 de insumos para el ministerio de la 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6207BE88" w14:textId="5422E23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54,554.30 </w:t>
            </w:r>
          </w:p>
        </w:tc>
        <w:tc>
          <w:tcPr>
            <w:tcW w:w="2247" w:type="dxa"/>
            <w:tcBorders>
              <w:top w:val="nil"/>
              <w:left w:val="nil"/>
              <w:bottom w:val="single" w:sz="4" w:space="0" w:color="auto"/>
              <w:right w:val="single" w:sz="4" w:space="0" w:color="auto"/>
            </w:tcBorders>
            <w:shd w:val="clear" w:color="auto" w:fill="auto"/>
            <w:vAlign w:val="center"/>
            <w:hideMark/>
          </w:tcPr>
          <w:p w14:paraId="5E255C5E" w14:textId="3B2E077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lib.3514</w:t>
            </w:r>
          </w:p>
        </w:tc>
      </w:tr>
      <w:tr w:rsidR="00723259" w:rsidRPr="007B6BCF" w14:paraId="55C9E7DC"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AD306C3" w14:textId="1AFDD46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11/24/2025</w:t>
            </w:r>
          </w:p>
        </w:tc>
        <w:tc>
          <w:tcPr>
            <w:tcW w:w="1768" w:type="dxa"/>
            <w:tcBorders>
              <w:top w:val="nil"/>
              <w:left w:val="nil"/>
              <w:bottom w:val="single" w:sz="4" w:space="0" w:color="auto"/>
              <w:right w:val="single" w:sz="4" w:space="0" w:color="auto"/>
            </w:tcBorders>
            <w:shd w:val="clear" w:color="auto" w:fill="auto"/>
            <w:vAlign w:val="center"/>
            <w:hideMark/>
          </w:tcPr>
          <w:p w14:paraId="2CB7233C" w14:textId="0261F5A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Oliortiz Confort Supply Srl</w:t>
            </w:r>
          </w:p>
        </w:tc>
        <w:tc>
          <w:tcPr>
            <w:tcW w:w="2061" w:type="dxa"/>
            <w:tcBorders>
              <w:top w:val="nil"/>
              <w:left w:val="nil"/>
              <w:bottom w:val="single" w:sz="4" w:space="0" w:color="auto"/>
              <w:right w:val="single" w:sz="4" w:space="0" w:color="auto"/>
            </w:tcBorders>
            <w:shd w:val="clear" w:color="auto" w:fill="auto"/>
            <w:noWrap/>
            <w:vAlign w:val="center"/>
            <w:hideMark/>
          </w:tcPr>
          <w:p w14:paraId="08CF77B6"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B1500000046</w:t>
            </w:r>
          </w:p>
        </w:tc>
        <w:tc>
          <w:tcPr>
            <w:tcW w:w="3057" w:type="dxa"/>
            <w:tcBorders>
              <w:top w:val="nil"/>
              <w:left w:val="nil"/>
              <w:bottom w:val="single" w:sz="4" w:space="0" w:color="auto"/>
              <w:right w:val="single" w:sz="4" w:space="0" w:color="auto"/>
            </w:tcBorders>
            <w:shd w:val="clear" w:color="auto" w:fill="auto"/>
            <w:vAlign w:val="center"/>
            <w:hideMark/>
          </w:tcPr>
          <w:p w14:paraId="1A303C77" w14:textId="40B53CC2"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materiales de oficina </w:t>
            </w:r>
          </w:p>
        </w:tc>
        <w:tc>
          <w:tcPr>
            <w:tcW w:w="1775" w:type="dxa"/>
            <w:tcBorders>
              <w:top w:val="nil"/>
              <w:left w:val="nil"/>
              <w:bottom w:val="single" w:sz="4" w:space="0" w:color="auto"/>
              <w:right w:val="single" w:sz="4" w:space="0" w:color="auto"/>
            </w:tcBorders>
            <w:shd w:val="clear" w:color="auto" w:fill="auto"/>
            <w:noWrap/>
            <w:vAlign w:val="center"/>
            <w:hideMark/>
          </w:tcPr>
          <w:p w14:paraId="478C4F50" w14:textId="726ED7E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125,044.74 </w:t>
            </w:r>
          </w:p>
        </w:tc>
        <w:tc>
          <w:tcPr>
            <w:tcW w:w="2247" w:type="dxa"/>
            <w:tcBorders>
              <w:top w:val="nil"/>
              <w:left w:val="nil"/>
              <w:bottom w:val="single" w:sz="4" w:space="0" w:color="auto"/>
              <w:right w:val="single" w:sz="4" w:space="0" w:color="auto"/>
            </w:tcBorders>
            <w:shd w:val="clear" w:color="auto" w:fill="auto"/>
            <w:vAlign w:val="center"/>
            <w:hideMark/>
          </w:tcPr>
          <w:p w14:paraId="6CCB7EBC" w14:textId="260357D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expediente de compras </w:t>
            </w:r>
          </w:p>
        </w:tc>
      </w:tr>
      <w:tr w:rsidR="00723259" w:rsidRPr="007B6BCF" w14:paraId="4DB966FB"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3DD0BC9D" w14:textId="4BD5A08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11/24/2025</w:t>
            </w:r>
          </w:p>
        </w:tc>
        <w:tc>
          <w:tcPr>
            <w:tcW w:w="1768" w:type="dxa"/>
            <w:tcBorders>
              <w:top w:val="nil"/>
              <w:left w:val="nil"/>
              <w:bottom w:val="single" w:sz="4" w:space="0" w:color="auto"/>
              <w:right w:val="single" w:sz="4" w:space="0" w:color="auto"/>
            </w:tcBorders>
            <w:shd w:val="clear" w:color="auto" w:fill="auto"/>
            <w:vAlign w:val="center"/>
            <w:hideMark/>
          </w:tcPr>
          <w:p w14:paraId="0BE096C6" w14:textId="31410C9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Seguros Reservas Sa</w:t>
            </w:r>
          </w:p>
        </w:tc>
        <w:tc>
          <w:tcPr>
            <w:tcW w:w="2061" w:type="dxa"/>
            <w:tcBorders>
              <w:top w:val="nil"/>
              <w:left w:val="nil"/>
              <w:bottom w:val="single" w:sz="4" w:space="0" w:color="auto"/>
              <w:right w:val="single" w:sz="4" w:space="0" w:color="auto"/>
            </w:tcBorders>
            <w:shd w:val="clear" w:color="auto" w:fill="auto"/>
            <w:noWrap/>
            <w:vAlign w:val="center"/>
            <w:hideMark/>
          </w:tcPr>
          <w:p w14:paraId="4204E533"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E450000009176</w:t>
            </w:r>
          </w:p>
        </w:tc>
        <w:tc>
          <w:tcPr>
            <w:tcW w:w="3057" w:type="dxa"/>
            <w:tcBorders>
              <w:top w:val="nil"/>
              <w:left w:val="nil"/>
              <w:bottom w:val="single" w:sz="4" w:space="0" w:color="auto"/>
              <w:right w:val="single" w:sz="4" w:space="0" w:color="auto"/>
            </w:tcBorders>
            <w:shd w:val="clear" w:color="auto" w:fill="auto"/>
            <w:vAlign w:val="center"/>
            <w:hideMark/>
          </w:tcPr>
          <w:p w14:paraId="50D9A301" w14:textId="3B411AB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Pago </w:t>
            </w:r>
            <w:r w:rsidR="00EC3308" w:rsidRPr="00723259">
              <w:rPr>
                <w:rFonts w:eastAsia="Calibri"/>
                <w:noProof/>
                <w:color w:val="4C4747"/>
                <w:sz w:val="22"/>
                <w:szCs w:val="22"/>
                <w:lang w:val="es-DO"/>
              </w:rPr>
              <w:t>póliza</w:t>
            </w:r>
            <w:r w:rsidRPr="00723259">
              <w:rPr>
                <w:rFonts w:eastAsia="Calibri"/>
                <w:noProof/>
                <w:color w:val="4C4747"/>
                <w:sz w:val="22"/>
                <w:szCs w:val="22"/>
                <w:lang w:val="es-DO"/>
              </w:rPr>
              <w:t xml:space="preserve"> </w:t>
            </w:r>
            <w:r w:rsidR="00EC3308" w:rsidRPr="00723259">
              <w:rPr>
                <w:rFonts w:eastAsia="Calibri"/>
                <w:noProof/>
                <w:color w:val="4C4747"/>
                <w:sz w:val="22"/>
                <w:szCs w:val="22"/>
                <w:lang w:val="es-DO"/>
              </w:rPr>
              <w:t>vehículos</w:t>
            </w:r>
            <w:r w:rsidRPr="00723259">
              <w:rPr>
                <w:rFonts w:eastAsia="Calibri"/>
                <w:noProof/>
                <w:color w:val="4C4747"/>
                <w:sz w:val="22"/>
                <w:szCs w:val="22"/>
                <w:lang w:val="es-DO"/>
              </w:rPr>
              <w:t xml:space="preserve"> de motor </w:t>
            </w:r>
          </w:p>
        </w:tc>
        <w:tc>
          <w:tcPr>
            <w:tcW w:w="1775" w:type="dxa"/>
            <w:tcBorders>
              <w:top w:val="nil"/>
              <w:left w:val="nil"/>
              <w:bottom w:val="single" w:sz="4" w:space="0" w:color="auto"/>
              <w:right w:val="single" w:sz="4" w:space="0" w:color="auto"/>
            </w:tcBorders>
            <w:shd w:val="clear" w:color="auto" w:fill="auto"/>
            <w:noWrap/>
            <w:vAlign w:val="center"/>
            <w:hideMark/>
          </w:tcPr>
          <w:p w14:paraId="484F3029" w14:textId="14D9233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370,445.16 </w:t>
            </w:r>
          </w:p>
        </w:tc>
        <w:tc>
          <w:tcPr>
            <w:tcW w:w="2247" w:type="dxa"/>
            <w:tcBorders>
              <w:top w:val="nil"/>
              <w:left w:val="nil"/>
              <w:bottom w:val="single" w:sz="4" w:space="0" w:color="auto"/>
              <w:right w:val="single" w:sz="4" w:space="0" w:color="auto"/>
            </w:tcBorders>
            <w:shd w:val="clear" w:color="auto" w:fill="auto"/>
            <w:vAlign w:val="center"/>
            <w:hideMark/>
          </w:tcPr>
          <w:p w14:paraId="20F763B9" w14:textId="75B9C4B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lib.3537</w:t>
            </w:r>
          </w:p>
        </w:tc>
      </w:tr>
      <w:tr w:rsidR="00723259" w:rsidRPr="007B6BCF" w14:paraId="351A1461"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5CB07C8E" w14:textId="5C9F54F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11/25/2025</w:t>
            </w:r>
          </w:p>
        </w:tc>
        <w:tc>
          <w:tcPr>
            <w:tcW w:w="1768" w:type="dxa"/>
            <w:tcBorders>
              <w:top w:val="nil"/>
              <w:left w:val="nil"/>
              <w:bottom w:val="single" w:sz="4" w:space="0" w:color="auto"/>
              <w:right w:val="single" w:sz="4" w:space="0" w:color="auto"/>
            </w:tcBorders>
            <w:shd w:val="clear" w:color="auto" w:fill="auto"/>
            <w:vAlign w:val="center"/>
            <w:hideMark/>
          </w:tcPr>
          <w:p w14:paraId="79A73776" w14:textId="5CDB520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Seguros Reservas Sa</w:t>
            </w:r>
          </w:p>
        </w:tc>
        <w:tc>
          <w:tcPr>
            <w:tcW w:w="2061" w:type="dxa"/>
            <w:tcBorders>
              <w:top w:val="nil"/>
              <w:left w:val="nil"/>
              <w:bottom w:val="single" w:sz="4" w:space="0" w:color="auto"/>
              <w:right w:val="single" w:sz="4" w:space="0" w:color="auto"/>
            </w:tcBorders>
            <w:shd w:val="clear" w:color="auto" w:fill="auto"/>
            <w:noWrap/>
            <w:vAlign w:val="center"/>
            <w:hideMark/>
          </w:tcPr>
          <w:p w14:paraId="1F07AEF1"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E450000009193</w:t>
            </w:r>
          </w:p>
        </w:tc>
        <w:tc>
          <w:tcPr>
            <w:tcW w:w="3057" w:type="dxa"/>
            <w:tcBorders>
              <w:top w:val="nil"/>
              <w:left w:val="nil"/>
              <w:bottom w:val="single" w:sz="4" w:space="0" w:color="auto"/>
              <w:right w:val="single" w:sz="4" w:space="0" w:color="auto"/>
            </w:tcBorders>
            <w:shd w:val="clear" w:color="auto" w:fill="auto"/>
            <w:vAlign w:val="center"/>
            <w:hideMark/>
          </w:tcPr>
          <w:p w14:paraId="04CF1DCF" w14:textId="6D059F1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Seguro de vida colectivo mes de diciembre</w:t>
            </w:r>
          </w:p>
        </w:tc>
        <w:tc>
          <w:tcPr>
            <w:tcW w:w="1775" w:type="dxa"/>
            <w:tcBorders>
              <w:top w:val="nil"/>
              <w:left w:val="nil"/>
              <w:bottom w:val="single" w:sz="4" w:space="0" w:color="auto"/>
              <w:right w:val="single" w:sz="4" w:space="0" w:color="auto"/>
            </w:tcBorders>
            <w:shd w:val="clear" w:color="auto" w:fill="auto"/>
            <w:noWrap/>
            <w:vAlign w:val="center"/>
            <w:hideMark/>
          </w:tcPr>
          <w:p w14:paraId="18B741E7" w14:textId="5F5981D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35,789.48 </w:t>
            </w:r>
          </w:p>
        </w:tc>
        <w:tc>
          <w:tcPr>
            <w:tcW w:w="2247" w:type="dxa"/>
            <w:tcBorders>
              <w:top w:val="nil"/>
              <w:left w:val="nil"/>
              <w:bottom w:val="single" w:sz="4" w:space="0" w:color="auto"/>
              <w:right w:val="single" w:sz="4" w:space="0" w:color="auto"/>
            </w:tcBorders>
            <w:shd w:val="clear" w:color="auto" w:fill="auto"/>
            <w:vAlign w:val="center"/>
            <w:hideMark/>
          </w:tcPr>
          <w:p w14:paraId="4967FB22" w14:textId="5F74ED9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lib.3577</w:t>
            </w:r>
          </w:p>
        </w:tc>
      </w:tr>
      <w:tr w:rsidR="00723259" w:rsidRPr="007B6BCF" w14:paraId="135A8394"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448C9C96" w14:textId="3D7E5CB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11/25/2025</w:t>
            </w:r>
          </w:p>
        </w:tc>
        <w:tc>
          <w:tcPr>
            <w:tcW w:w="1768" w:type="dxa"/>
            <w:tcBorders>
              <w:top w:val="nil"/>
              <w:left w:val="nil"/>
              <w:bottom w:val="single" w:sz="4" w:space="0" w:color="auto"/>
              <w:right w:val="single" w:sz="4" w:space="0" w:color="auto"/>
            </w:tcBorders>
            <w:shd w:val="clear" w:color="auto" w:fill="auto"/>
            <w:vAlign w:val="center"/>
            <w:hideMark/>
          </w:tcPr>
          <w:p w14:paraId="61600E0B" w14:textId="75D72AE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G3 Industriall, Srl</w:t>
            </w:r>
          </w:p>
        </w:tc>
        <w:tc>
          <w:tcPr>
            <w:tcW w:w="2061" w:type="dxa"/>
            <w:tcBorders>
              <w:top w:val="nil"/>
              <w:left w:val="nil"/>
              <w:bottom w:val="single" w:sz="4" w:space="0" w:color="auto"/>
              <w:right w:val="single" w:sz="4" w:space="0" w:color="auto"/>
            </w:tcBorders>
            <w:shd w:val="clear" w:color="auto" w:fill="auto"/>
            <w:noWrap/>
            <w:vAlign w:val="center"/>
            <w:hideMark/>
          </w:tcPr>
          <w:p w14:paraId="3D0796E2"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B1500000047</w:t>
            </w:r>
          </w:p>
        </w:tc>
        <w:tc>
          <w:tcPr>
            <w:tcW w:w="3057" w:type="dxa"/>
            <w:tcBorders>
              <w:top w:val="nil"/>
              <w:left w:val="nil"/>
              <w:bottom w:val="single" w:sz="4" w:space="0" w:color="auto"/>
              <w:right w:val="single" w:sz="4" w:space="0" w:color="auto"/>
            </w:tcBorders>
            <w:shd w:val="clear" w:color="auto" w:fill="auto"/>
            <w:vAlign w:val="center"/>
            <w:hideMark/>
          </w:tcPr>
          <w:p w14:paraId="6734429A" w14:textId="2362DDE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Adquisición de suministros de oficina para el ministerio de la </w:t>
            </w:r>
            <w:r w:rsidRPr="00723259">
              <w:rPr>
                <w:rFonts w:eastAsia="Calibri"/>
                <w:noProof/>
                <w:color w:val="4C4747"/>
                <w:sz w:val="22"/>
                <w:szCs w:val="22"/>
                <w:lang w:val="es-DO"/>
              </w:rPr>
              <w:lastRenderedPageBreak/>
              <w:t>presidencia y sus dependencias.</w:t>
            </w:r>
          </w:p>
        </w:tc>
        <w:tc>
          <w:tcPr>
            <w:tcW w:w="1775" w:type="dxa"/>
            <w:tcBorders>
              <w:top w:val="nil"/>
              <w:left w:val="nil"/>
              <w:bottom w:val="single" w:sz="4" w:space="0" w:color="auto"/>
              <w:right w:val="single" w:sz="4" w:space="0" w:color="auto"/>
            </w:tcBorders>
            <w:shd w:val="clear" w:color="auto" w:fill="auto"/>
            <w:noWrap/>
            <w:vAlign w:val="center"/>
            <w:hideMark/>
          </w:tcPr>
          <w:p w14:paraId="5AEBFA5D" w14:textId="3D63528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 xml:space="preserve">1,468.11 </w:t>
            </w:r>
          </w:p>
        </w:tc>
        <w:tc>
          <w:tcPr>
            <w:tcW w:w="2247" w:type="dxa"/>
            <w:tcBorders>
              <w:top w:val="nil"/>
              <w:left w:val="nil"/>
              <w:bottom w:val="single" w:sz="4" w:space="0" w:color="auto"/>
              <w:right w:val="single" w:sz="4" w:space="0" w:color="auto"/>
            </w:tcBorders>
            <w:shd w:val="clear" w:color="auto" w:fill="auto"/>
            <w:vAlign w:val="center"/>
            <w:hideMark/>
          </w:tcPr>
          <w:p w14:paraId="29F0BB9F" w14:textId="4ACA0E9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lib.3478</w:t>
            </w:r>
          </w:p>
        </w:tc>
      </w:tr>
      <w:tr w:rsidR="00723259" w:rsidRPr="00EC3308" w14:paraId="5D85599C"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2767CD1" w14:textId="33D1046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11/25/2025</w:t>
            </w:r>
          </w:p>
        </w:tc>
        <w:tc>
          <w:tcPr>
            <w:tcW w:w="1768" w:type="dxa"/>
            <w:tcBorders>
              <w:top w:val="nil"/>
              <w:left w:val="nil"/>
              <w:bottom w:val="single" w:sz="4" w:space="0" w:color="auto"/>
              <w:right w:val="single" w:sz="4" w:space="0" w:color="auto"/>
            </w:tcBorders>
            <w:shd w:val="clear" w:color="auto" w:fill="auto"/>
            <w:vAlign w:val="center"/>
            <w:hideMark/>
          </w:tcPr>
          <w:p w14:paraId="669F0C4E" w14:textId="38F0A81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Edgar Ega Ideas Visuales Srl</w:t>
            </w:r>
          </w:p>
        </w:tc>
        <w:tc>
          <w:tcPr>
            <w:tcW w:w="2061" w:type="dxa"/>
            <w:tcBorders>
              <w:top w:val="nil"/>
              <w:left w:val="nil"/>
              <w:bottom w:val="single" w:sz="4" w:space="0" w:color="auto"/>
              <w:right w:val="single" w:sz="4" w:space="0" w:color="auto"/>
            </w:tcBorders>
            <w:shd w:val="clear" w:color="auto" w:fill="auto"/>
            <w:noWrap/>
            <w:vAlign w:val="center"/>
            <w:hideMark/>
          </w:tcPr>
          <w:p w14:paraId="7EA7F6E1"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B1500000088</w:t>
            </w:r>
          </w:p>
        </w:tc>
        <w:tc>
          <w:tcPr>
            <w:tcW w:w="3057" w:type="dxa"/>
            <w:tcBorders>
              <w:top w:val="nil"/>
              <w:left w:val="nil"/>
              <w:bottom w:val="single" w:sz="4" w:space="0" w:color="auto"/>
              <w:right w:val="single" w:sz="4" w:space="0" w:color="auto"/>
            </w:tcBorders>
            <w:shd w:val="clear" w:color="auto" w:fill="auto"/>
            <w:vAlign w:val="center"/>
            <w:hideMark/>
          </w:tcPr>
          <w:p w14:paraId="0CB7212F" w14:textId="14A189DA"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materiales de oficina.</w:t>
            </w:r>
          </w:p>
        </w:tc>
        <w:tc>
          <w:tcPr>
            <w:tcW w:w="1775" w:type="dxa"/>
            <w:tcBorders>
              <w:top w:val="nil"/>
              <w:left w:val="nil"/>
              <w:bottom w:val="single" w:sz="4" w:space="0" w:color="auto"/>
              <w:right w:val="single" w:sz="4" w:space="0" w:color="auto"/>
            </w:tcBorders>
            <w:shd w:val="clear" w:color="auto" w:fill="auto"/>
            <w:noWrap/>
            <w:vAlign w:val="center"/>
            <w:hideMark/>
          </w:tcPr>
          <w:p w14:paraId="6880BCE6" w14:textId="64074BE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21,240.00 </w:t>
            </w:r>
          </w:p>
        </w:tc>
        <w:tc>
          <w:tcPr>
            <w:tcW w:w="2247" w:type="dxa"/>
            <w:tcBorders>
              <w:top w:val="nil"/>
              <w:left w:val="nil"/>
              <w:bottom w:val="single" w:sz="4" w:space="0" w:color="auto"/>
              <w:right w:val="single" w:sz="4" w:space="0" w:color="auto"/>
            </w:tcBorders>
            <w:shd w:val="clear" w:color="auto" w:fill="auto"/>
            <w:vAlign w:val="center"/>
            <w:hideMark/>
          </w:tcPr>
          <w:p w14:paraId="2DDB9F91" w14:textId="20E5D724"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w:t>
            </w:r>
            <w:r w:rsidR="00EC3308" w:rsidRPr="00723259">
              <w:rPr>
                <w:rFonts w:eastAsia="Calibri"/>
                <w:noProof/>
                <w:color w:val="4C4747"/>
                <w:sz w:val="22"/>
                <w:szCs w:val="22"/>
                <w:lang w:val="es-DO"/>
              </w:rPr>
              <w:t>recepción</w:t>
            </w:r>
            <w:r w:rsidRPr="00723259">
              <w:rPr>
                <w:rFonts w:eastAsia="Calibri"/>
                <w:noProof/>
                <w:color w:val="4C4747"/>
                <w:sz w:val="22"/>
                <w:szCs w:val="22"/>
                <w:lang w:val="es-DO"/>
              </w:rPr>
              <w:t xml:space="preserve"> </w:t>
            </w:r>
          </w:p>
        </w:tc>
      </w:tr>
      <w:tr w:rsidR="00723259" w:rsidRPr="007B6BCF" w14:paraId="479EC0D2"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5FCBB101" w14:textId="6C6A710F"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11/27/2025</w:t>
            </w:r>
          </w:p>
        </w:tc>
        <w:tc>
          <w:tcPr>
            <w:tcW w:w="1768" w:type="dxa"/>
            <w:tcBorders>
              <w:top w:val="nil"/>
              <w:left w:val="nil"/>
              <w:bottom w:val="single" w:sz="4" w:space="0" w:color="auto"/>
              <w:right w:val="single" w:sz="4" w:space="0" w:color="auto"/>
            </w:tcBorders>
            <w:shd w:val="clear" w:color="auto" w:fill="auto"/>
            <w:vAlign w:val="center"/>
            <w:hideMark/>
          </w:tcPr>
          <w:p w14:paraId="24524C74" w14:textId="19E9B2CA"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Gtg Industrial Srl</w:t>
            </w:r>
          </w:p>
        </w:tc>
        <w:tc>
          <w:tcPr>
            <w:tcW w:w="2061" w:type="dxa"/>
            <w:tcBorders>
              <w:top w:val="nil"/>
              <w:left w:val="nil"/>
              <w:bottom w:val="single" w:sz="4" w:space="0" w:color="auto"/>
              <w:right w:val="single" w:sz="4" w:space="0" w:color="auto"/>
            </w:tcBorders>
            <w:shd w:val="clear" w:color="auto" w:fill="auto"/>
            <w:noWrap/>
            <w:vAlign w:val="center"/>
            <w:hideMark/>
          </w:tcPr>
          <w:p w14:paraId="044BD6DC"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E450000000057</w:t>
            </w:r>
          </w:p>
        </w:tc>
        <w:tc>
          <w:tcPr>
            <w:tcW w:w="3057" w:type="dxa"/>
            <w:tcBorders>
              <w:top w:val="nil"/>
              <w:left w:val="nil"/>
              <w:bottom w:val="single" w:sz="4" w:space="0" w:color="auto"/>
              <w:right w:val="single" w:sz="4" w:space="0" w:color="auto"/>
            </w:tcBorders>
            <w:shd w:val="clear" w:color="auto" w:fill="auto"/>
            <w:vAlign w:val="center"/>
            <w:hideMark/>
          </w:tcPr>
          <w:p w14:paraId="6C7E6BCB" w14:textId="6518F1ED"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insumos de higiene y limpieza.</w:t>
            </w:r>
          </w:p>
        </w:tc>
        <w:tc>
          <w:tcPr>
            <w:tcW w:w="1775" w:type="dxa"/>
            <w:tcBorders>
              <w:top w:val="nil"/>
              <w:left w:val="nil"/>
              <w:bottom w:val="single" w:sz="4" w:space="0" w:color="auto"/>
              <w:right w:val="single" w:sz="4" w:space="0" w:color="auto"/>
            </w:tcBorders>
            <w:shd w:val="clear" w:color="auto" w:fill="auto"/>
            <w:noWrap/>
            <w:vAlign w:val="center"/>
            <w:hideMark/>
          </w:tcPr>
          <w:p w14:paraId="48FA3B97" w14:textId="071FAFA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65,687.06 </w:t>
            </w:r>
          </w:p>
        </w:tc>
        <w:tc>
          <w:tcPr>
            <w:tcW w:w="2247" w:type="dxa"/>
            <w:tcBorders>
              <w:top w:val="nil"/>
              <w:left w:val="nil"/>
              <w:bottom w:val="single" w:sz="4" w:space="0" w:color="auto"/>
              <w:right w:val="single" w:sz="4" w:space="0" w:color="auto"/>
            </w:tcBorders>
            <w:shd w:val="clear" w:color="auto" w:fill="auto"/>
            <w:vAlign w:val="center"/>
            <w:hideMark/>
          </w:tcPr>
          <w:p w14:paraId="42CCD89C" w14:textId="611DAAF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expediente de compras </w:t>
            </w:r>
          </w:p>
        </w:tc>
      </w:tr>
      <w:tr w:rsidR="00723259" w:rsidRPr="00EC3308" w14:paraId="4CCA173F" w14:textId="77777777" w:rsidTr="00234713">
        <w:trPr>
          <w:trHeight w:val="574"/>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30582490" w14:textId="1C77A65D"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11/27/2025</w:t>
            </w:r>
          </w:p>
        </w:tc>
        <w:tc>
          <w:tcPr>
            <w:tcW w:w="1768" w:type="dxa"/>
            <w:tcBorders>
              <w:top w:val="nil"/>
              <w:left w:val="nil"/>
              <w:bottom w:val="single" w:sz="4" w:space="0" w:color="auto"/>
              <w:right w:val="single" w:sz="4" w:space="0" w:color="auto"/>
            </w:tcBorders>
            <w:shd w:val="clear" w:color="auto" w:fill="auto"/>
            <w:vAlign w:val="center"/>
            <w:hideMark/>
          </w:tcPr>
          <w:p w14:paraId="407F6DD9" w14:textId="093E869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Sdhh Consultores Srl</w:t>
            </w:r>
          </w:p>
        </w:tc>
        <w:tc>
          <w:tcPr>
            <w:tcW w:w="2061" w:type="dxa"/>
            <w:tcBorders>
              <w:top w:val="nil"/>
              <w:left w:val="nil"/>
              <w:bottom w:val="single" w:sz="4" w:space="0" w:color="auto"/>
              <w:right w:val="single" w:sz="4" w:space="0" w:color="auto"/>
            </w:tcBorders>
            <w:shd w:val="clear" w:color="auto" w:fill="auto"/>
            <w:noWrap/>
            <w:vAlign w:val="center"/>
            <w:hideMark/>
          </w:tcPr>
          <w:p w14:paraId="73A5E6E2"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E450000000001</w:t>
            </w:r>
          </w:p>
        </w:tc>
        <w:tc>
          <w:tcPr>
            <w:tcW w:w="3057" w:type="dxa"/>
            <w:tcBorders>
              <w:top w:val="nil"/>
              <w:left w:val="nil"/>
              <w:bottom w:val="single" w:sz="4" w:space="0" w:color="auto"/>
              <w:right w:val="single" w:sz="4" w:space="0" w:color="auto"/>
            </w:tcBorders>
            <w:shd w:val="clear" w:color="auto" w:fill="auto"/>
            <w:vAlign w:val="center"/>
            <w:hideMark/>
          </w:tcPr>
          <w:p w14:paraId="3E977020" w14:textId="37285C18"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de </w:t>
            </w:r>
            <w:r w:rsidR="00EC3308" w:rsidRPr="00723259">
              <w:rPr>
                <w:rFonts w:eastAsia="Calibri"/>
                <w:noProof/>
                <w:color w:val="4C4747"/>
                <w:sz w:val="22"/>
                <w:szCs w:val="22"/>
                <w:lang w:val="es-DO"/>
              </w:rPr>
              <w:t>asesoría</w:t>
            </w:r>
            <w:r w:rsidRPr="00723259">
              <w:rPr>
                <w:rFonts w:eastAsia="Calibri"/>
                <w:noProof/>
                <w:color w:val="4C4747"/>
                <w:sz w:val="22"/>
                <w:szCs w:val="22"/>
                <w:lang w:val="es-DO"/>
              </w:rPr>
              <w:t xml:space="preserve"> </w:t>
            </w:r>
            <w:r w:rsidR="00EC3308" w:rsidRPr="00723259">
              <w:rPr>
                <w:rFonts w:eastAsia="Calibri"/>
                <w:noProof/>
                <w:color w:val="4C4747"/>
                <w:sz w:val="22"/>
                <w:szCs w:val="22"/>
                <w:lang w:val="es-DO"/>
              </w:rPr>
              <w:t>técnica</w:t>
            </w:r>
            <w:r w:rsidRPr="00723259">
              <w:rPr>
                <w:rFonts w:eastAsia="Calibri"/>
                <w:noProof/>
                <w:color w:val="4C4747"/>
                <w:sz w:val="22"/>
                <w:szCs w:val="22"/>
                <w:lang w:val="es-DO"/>
              </w:rPr>
              <w:t xml:space="preserve"> legal.</w:t>
            </w:r>
          </w:p>
        </w:tc>
        <w:tc>
          <w:tcPr>
            <w:tcW w:w="1775" w:type="dxa"/>
            <w:tcBorders>
              <w:top w:val="nil"/>
              <w:left w:val="nil"/>
              <w:bottom w:val="single" w:sz="4" w:space="0" w:color="auto"/>
              <w:right w:val="single" w:sz="4" w:space="0" w:color="auto"/>
            </w:tcBorders>
            <w:shd w:val="clear" w:color="auto" w:fill="auto"/>
            <w:noWrap/>
            <w:vAlign w:val="center"/>
            <w:hideMark/>
          </w:tcPr>
          <w:p w14:paraId="52B55790" w14:textId="419F3B8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424,800.00 </w:t>
            </w:r>
          </w:p>
        </w:tc>
        <w:tc>
          <w:tcPr>
            <w:tcW w:w="2247" w:type="dxa"/>
            <w:tcBorders>
              <w:top w:val="nil"/>
              <w:left w:val="nil"/>
              <w:bottom w:val="single" w:sz="4" w:space="0" w:color="auto"/>
              <w:right w:val="single" w:sz="4" w:space="0" w:color="auto"/>
            </w:tcBorders>
            <w:shd w:val="clear" w:color="auto" w:fill="auto"/>
            <w:vAlign w:val="center"/>
            <w:hideMark/>
          </w:tcPr>
          <w:p w14:paraId="11ED0449" w14:textId="0D36631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w:t>
            </w:r>
            <w:r w:rsidR="00EC3308" w:rsidRPr="00723259">
              <w:rPr>
                <w:rFonts w:eastAsia="Calibri"/>
                <w:noProof/>
                <w:color w:val="4C4747"/>
                <w:sz w:val="22"/>
                <w:szCs w:val="22"/>
                <w:lang w:val="es-DO"/>
              </w:rPr>
              <w:t>recepción</w:t>
            </w:r>
          </w:p>
        </w:tc>
      </w:tr>
      <w:tr w:rsidR="00723259" w:rsidRPr="00EC3308" w14:paraId="726FEC76" w14:textId="77777777" w:rsidTr="00234713">
        <w:trPr>
          <w:trHeight w:val="229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7FEAA499" w14:textId="76DC384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11/27/2025</w:t>
            </w:r>
          </w:p>
        </w:tc>
        <w:tc>
          <w:tcPr>
            <w:tcW w:w="1768" w:type="dxa"/>
            <w:tcBorders>
              <w:top w:val="nil"/>
              <w:left w:val="nil"/>
              <w:bottom w:val="single" w:sz="4" w:space="0" w:color="auto"/>
              <w:right w:val="single" w:sz="4" w:space="0" w:color="auto"/>
            </w:tcBorders>
            <w:shd w:val="clear" w:color="auto" w:fill="auto"/>
            <w:vAlign w:val="center"/>
            <w:hideMark/>
          </w:tcPr>
          <w:p w14:paraId="67B9842E" w14:textId="6506F743"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Compañía Dominicana De </w:t>
            </w:r>
            <w:r w:rsidR="00EC3308" w:rsidRPr="00723259">
              <w:rPr>
                <w:rFonts w:eastAsia="Calibri"/>
                <w:noProof/>
                <w:color w:val="4C4747"/>
                <w:sz w:val="22"/>
                <w:szCs w:val="22"/>
                <w:lang w:val="es-DO"/>
              </w:rPr>
              <w:t>Teléfonos</w:t>
            </w:r>
            <w:r w:rsidRPr="00723259">
              <w:rPr>
                <w:rFonts w:eastAsia="Calibri"/>
                <w:noProof/>
                <w:color w:val="4C4747"/>
                <w:sz w:val="22"/>
                <w:szCs w:val="22"/>
                <w:lang w:val="es-DO"/>
              </w:rPr>
              <w:t xml:space="preserve"> Sa</w:t>
            </w:r>
          </w:p>
        </w:tc>
        <w:tc>
          <w:tcPr>
            <w:tcW w:w="2061" w:type="dxa"/>
            <w:tcBorders>
              <w:top w:val="nil"/>
              <w:left w:val="nil"/>
              <w:bottom w:val="single" w:sz="4" w:space="0" w:color="auto"/>
              <w:right w:val="single" w:sz="4" w:space="0" w:color="auto"/>
            </w:tcBorders>
            <w:shd w:val="clear" w:color="auto" w:fill="auto"/>
            <w:vAlign w:val="center"/>
            <w:hideMark/>
          </w:tcPr>
          <w:p w14:paraId="5310C9A1" w14:textId="42DC091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E45000096917, E45000096919, E45000096918, E45000096613, E45000097070, E45000097040, E45000097353 Y E45000097253</w:t>
            </w:r>
          </w:p>
        </w:tc>
        <w:tc>
          <w:tcPr>
            <w:tcW w:w="3057" w:type="dxa"/>
            <w:tcBorders>
              <w:top w:val="nil"/>
              <w:left w:val="nil"/>
              <w:bottom w:val="single" w:sz="4" w:space="0" w:color="auto"/>
              <w:right w:val="single" w:sz="4" w:space="0" w:color="auto"/>
            </w:tcBorders>
            <w:shd w:val="clear" w:color="auto" w:fill="auto"/>
            <w:vAlign w:val="center"/>
            <w:hideMark/>
          </w:tcPr>
          <w:p w14:paraId="4613F510" w14:textId="525748E9"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Servicios </w:t>
            </w:r>
            <w:r w:rsidR="00EC3308" w:rsidRPr="00723259">
              <w:rPr>
                <w:rFonts w:eastAsia="Calibri"/>
                <w:noProof/>
                <w:color w:val="4C4747"/>
                <w:sz w:val="22"/>
                <w:szCs w:val="22"/>
                <w:lang w:val="es-DO"/>
              </w:rPr>
              <w:t>telefónicos</w:t>
            </w:r>
            <w:r w:rsidRPr="00723259">
              <w:rPr>
                <w:rFonts w:eastAsia="Calibri"/>
                <w:noProof/>
                <w:color w:val="4C4747"/>
                <w:sz w:val="22"/>
                <w:szCs w:val="22"/>
                <w:lang w:val="es-DO"/>
              </w:rPr>
              <w:t xml:space="preserve"> e internet.</w:t>
            </w:r>
          </w:p>
        </w:tc>
        <w:tc>
          <w:tcPr>
            <w:tcW w:w="1775" w:type="dxa"/>
            <w:tcBorders>
              <w:top w:val="nil"/>
              <w:left w:val="nil"/>
              <w:bottom w:val="single" w:sz="4" w:space="0" w:color="auto"/>
              <w:right w:val="single" w:sz="4" w:space="0" w:color="auto"/>
            </w:tcBorders>
            <w:shd w:val="clear" w:color="auto" w:fill="auto"/>
            <w:noWrap/>
            <w:vAlign w:val="center"/>
            <w:hideMark/>
          </w:tcPr>
          <w:p w14:paraId="06AD3CE9" w14:textId="6F170586"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688,370.38 </w:t>
            </w:r>
          </w:p>
        </w:tc>
        <w:tc>
          <w:tcPr>
            <w:tcW w:w="2247" w:type="dxa"/>
            <w:tcBorders>
              <w:top w:val="nil"/>
              <w:left w:val="nil"/>
              <w:bottom w:val="single" w:sz="4" w:space="0" w:color="auto"/>
              <w:right w:val="single" w:sz="4" w:space="0" w:color="auto"/>
            </w:tcBorders>
            <w:shd w:val="clear" w:color="auto" w:fill="auto"/>
            <w:vAlign w:val="center"/>
            <w:hideMark/>
          </w:tcPr>
          <w:p w14:paraId="3F065ECE" w14:textId="1D39BDE5"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w:t>
            </w:r>
            <w:r w:rsidR="00EC3308" w:rsidRPr="00723259">
              <w:rPr>
                <w:rFonts w:eastAsia="Calibri"/>
                <w:noProof/>
                <w:color w:val="4C4747"/>
                <w:sz w:val="22"/>
                <w:szCs w:val="22"/>
                <w:lang w:val="es-DO"/>
              </w:rPr>
              <w:t>validación</w:t>
            </w:r>
            <w:r w:rsidRPr="00723259">
              <w:rPr>
                <w:rFonts w:eastAsia="Calibri"/>
                <w:noProof/>
                <w:color w:val="4C4747"/>
                <w:sz w:val="22"/>
                <w:szCs w:val="22"/>
                <w:lang w:val="es-DO"/>
              </w:rPr>
              <w:t xml:space="preserve"> </w:t>
            </w:r>
          </w:p>
        </w:tc>
      </w:tr>
      <w:tr w:rsidR="00723259" w:rsidRPr="007B6BCF" w14:paraId="40AC0E27"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4ACF4CB9" w14:textId="36766F3E"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lastRenderedPageBreak/>
              <w:t>11/28/2025</w:t>
            </w:r>
          </w:p>
        </w:tc>
        <w:tc>
          <w:tcPr>
            <w:tcW w:w="1768" w:type="dxa"/>
            <w:tcBorders>
              <w:top w:val="nil"/>
              <w:left w:val="nil"/>
              <w:bottom w:val="single" w:sz="4" w:space="0" w:color="auto"/>
              <w:right w:val="single" w:sz="4" w:space="0" w:color="auto"/>
            </w:tcBorders>
            <w:shd w:val="clear" w:color="auto" w:fill="auto"/>
            <w:vAlign w:val="center"/>
            <w:hideMark/>
          </w:tcPr>
          <w:p w14:paraId="0DBF37BE" w14:textId="212ACB8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Evelmar Comercial Srl</w:t>
            </w:r>
          </w:p>
        </w:tc>
        <w:tc>
          <w:tcPr>
            <w:tcW w:w="2061" w:type="dxa"/>
            <w:tcBorders>
              <w:top w:val="nil"/>
              <w:left w:val="nil"/>
              <w:bottom w:val="single" w:sz="4" w:space="0" w:color="auto"/>
              <w:right w:val="single" w:sz="4" w:space="0" w:color="auto"/>
            </w:tcBorders>
            <w:shd w:val="clear" w:color="auto" w:fill="auto"/>
            <w:noWrap/>
            <w:vAlign w:val="center"/>
            <w:hideMark/>
          </w:tcPr>
          <w:p w14:paraId="7BCA2207" w14:textId="3B7A29FB"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 B1500000623 </w:t>
            </w:r>
          </w:p>
        </w:tc>
        <w:tc>
          <w:tcPr>
            <w:tcW w:w="3057" w:type="dxa"/>
            <w:tcBorders>
              <w:top w:val="nil"/>
              <w:left w:val="nil"/>
              <w:bottom w:val="single" w:sz="4" w:space="0" w:color="auto"/>
              <w:right w:val="single" w:sz="4" w:space="0" w:color="auto"/>
            </w:tcBorders>
            <w:shd w:val="clear" w:color="auto" w:fill="auto"/>
            <w:vAlign w:val="center"/>
            <w:hideMark/>
          </w:tcPr>
          <w:p w14:paraId="1488549E" w14:textId="7781538D" w:rsidR="00C57FDA"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Adquisición</w:t>
            </w:r>
            <w:r w:rsidR="00C57FDA" w:rsidRPr="00723259">
              <w:rPr>
                <w:rFonts w:eastAsia="Calibri"/>
                <w:noProof/>
                <w:color w:val="4C4747"/>
                <w:sz w:val="22"/>
                <w:szCs w:val="22"/>
                <w:lang w:val="es-DO"/>
              </w:rPr>
              <w:t xml:space="preserve"> de uniformes para el personal del </w:t>
            </w:r>
            <w:r w:rsidRPr="00723259">
              <w:rPr>
                <w:rFonts w:eastAsia="Calibri"/>
                <w:noProof/>
                <w:color w:val="4C4747"/>
                <w:sz w:val="22"/>
                <w:szCs w:val="22"/>
                <w:lang w:val="es-DO"/>
              </w:rPr>
              <w:t>MINPRE</w:t>
            </w:r>
            <w:r w:rsidR="00C57FDA" w:rsidRPr="00723259">
              <w:rPr>
                <w:rFonts w:eastAsia="Calibri"/>
                <w:noProof/>
                <w:color w:val="4C4747"/>
                <w:sz w:val="22"/>
                <w:szCs w:val="22"/>
                <w:lang w:val="es-DO"/>
              </w:rPr>
              <w:t>.</w:t>
            </w:r>
          </w:p>
        </w:tc>
        <w:tc>
          <w:tcPr>
            <w:tcW w:w="1775" w:type="dxa"/>
            <w:tcBorders>
              <w:top w:val="nil"/>
              <w:left w:val="nil"/>
              <w:bottom w:val="single" w:sz="4" w:space="0" w:color="auto"/>
              <w:right w:val="single" w:sz="4" w:space="0" w:color="auto"/>
            </w:tcBorders>
            <w:shd w:val="clear" w:color="auto" w:fill="auto"/>
            <w:noWrap/>
            <w:vAlign w:val="center"/>
            <w:hideMark/>
          </w:tcPr>
          <w:p w14:paraId="4D22DE6E" w14:textId="3522D4A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372,231.00 </w:t>
            </w:r>
          </w:p>
        </w:tc>
        <w:tc>
          <w:tcPr>
            <w:tcW w:w="2247" w:type="dxa"/>
            <w:tcBorders>
              <w:top w:val="nil"/>
              <w:left w:val="nil"/>
              <w:bottom w:val="single" w:sz="4" w:space="0" w:color="auto"/>
              <w:right w:val="single" w:sz="4" w:space="0" w:color="auto"/>
            </w:tcBorders>
            <w:shd w:val="clear" w:color="auto" w:fill="auto"/>
            <w:vAlign w:val="center"/>
            <w:hideMark/>
          </w:tcPr>
          <w:p w14:paraId="4DBC022B" w14:textId="63E231D2"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 espera de expediente de compras</w:t>
            </w:r>
          </w:p>
        </w:tc>
      </w:tr>
      <w:tr w:rsidR="00723259" w:rsidRPr="007B6BCF" w14:paraId="61D6652A" w14:textId="77777777" w:rsidTr="00234713">
        <w:trPr>
          <w:trHeight w:val="86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23A7C28A" w14:textId="46ACB870"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11/28/2025</w:t>
            </w:r>
          </w:p>
        </w:tc>
        <w:tc>
          <w:tcPr>
            <w:tcW w:w="1768" w:type="dxa"/>
            <w:tcBorders>
              <w:top w:val="nil"/>
              <w:left w:val="nil"/>
              <w:bottom w:val="single" w:sz="4" w:space="0" w:color="auto"/>
              <w:right w:val="single" w:sz="4" w:space="0" w:color="auto"/>
            </w:tcBorders>
            <w:shd w:val="clear" w:color="auto" w:fill="auto"/>
            <w:vAlign w:val="center"/>
            <w:hideMark/>
          </w:tcPr>
          <w:p w14:paraId="75DEEFD6" w14:textId="0A2A15E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Oliortiz Confort Supply Srl</w:t>
            </w:r>
          </w:p>
        </w:tc>
        <w:tc>
          <w:tcPr>
            <w:tcW w:w="2061" w:type="dxa"/>
            <w:tcBorders>
              <w:top w:val="nil"/>
              <w:left w:val="nil"/>
              <w:bottom w:val="single" w:sz="4" w:space="0" w:color="auto"/>
              <w:right w:val="single" w:sz="4" w:space="0" w:color="auto"/>
            </w:tcBorders>
            <w:shd w:val="clear" w:color="auto" w:fill="auto"/>
            <w:noWrap/>
            <w:vAlign w:val="center"/>
            <w:hideMark/>
          </w:tcPr>
          <w:p w14:paraId="04A3DE6E" w14:textId="26148B5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 B1500000048 </w:t>
            </w:r>
          </w:p>
        </w:tc>
        <w:tc>
          <w:tcPr>
            <w:tcW w:w="3057" w:type="dxa"/>
            <w:tcBorders>
              <w:top w:val="nil"/>
              <w:left w:val="nil"/>
              <w:bottom w:val="single" w:sz="4" w:space="0" w:color="auto"/>
              <w:right w:val="single" w:sz="4" w:space="0" w:color="auto"/>
            </w:tcBorders>
            <w:shd w:val="clear" w:color="auto" w:fill="auto"/>
            <w:vAlign w:val="center"/>
            <w:hideMark/>
          </w:tcPr>
          <w:p w14:paraId="1D98D4D7" w14:textId="77777777"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E450000004859</w:t>
            </w:r>
          </w:p>
        </w:tc>
        <w:tc>
          <w:tcPr>
            <w:tcW w:w="1775" w:type="dxa"/>
            <w:tcBorders>
              <w:top w:val="nil"/>
              <w:left w:val="nil"/>
              <w:bottom w:val="single" w:sz="4" w:space="0" w:color="auto"/>
              <w:right w:val="single" w:sz="4" w:space="0" w:color="auto"/>
            </w:tcBorders>
            <w:shd w:val="clear" w:color="auto" w:fill="auto"/>
            <w:noWrap/>
            <w:vAlign w:val="center"/>
            <w:hideMark/>
          </w:tcPr>
          <w:p w14:paraId="0B29FC66" w14:textId="3A9ED3EC"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8,717.35 </w:t>
            </w:r>
          </w:p>
        </w:tc>
        <w:tc>
          <w:tcPr>
            <w:tcW w:w="2247" w:type="dxa"/>
            <w:tcBorders>
              <w:top w:val="nil"/>
              <w:left w:val="nil"/>
              <w:bottom w:val="single" w:sz="4" w:space="0" w:color="auto"/>
              <w:right w:val="single" w:sz="4" w:space="0" w:color="auto"/>
            </w:tcBorders>
            <w:shd w:val="clear" w:color="auto" w:fill="auto"/>
            <w:vAlign w:val="center"/>
            <w:hideMark/>
          </w:tcPr>
          <w:p w14:paraId="64C482AF" w14:textId="35440BD1" w:rsidR="00C57FDA" w:rsidRPr="00723259" w:rsidRDefault="00C57FDA"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En espera de expediente de compras </w:t>
            </w:r>
          </w:p>
        </w:tc>
      </w:tr>
      <w:tr w:rsidR="00723259" w:rsidRPr="00EC3308" w14:paraId="31130C77" w14:textId="77777777" w:rsidTr="00234713">
        <w:trPr>
          <w:trHeight w:val="287"/>
        </w:trPr>
        <w:tc>
          <w:tcPr>
            <w:tcW w:w="1419" w:type="dxa"/>
            <w:tcBorders>
              <w:top w:val="nil"/>
              <w:left w:val="nil"/>
              <w:bottom w:val="nil"/>
              <w:right w:val="nil"/>
            </w:tcBorders>
            <w:shd w:val="clear" w:color="auto" w:fill="auto"/>
            <w:noWrap/>
            <w:vAlign w:val="center"/>
            <w:hideMark/>
          </w:tcPr>
          <w:p w14:paraId="78F3E42E" w14:textId="77777777" w:rsidR="00A044CA" w:rsidRPr="00EC3308" w:rsidRDefault="00A044CA" w:rsidP="00886F32">
            <w:pPr>
              <w:spacing w:after="0" w:line="360" w:lineRule="auto"/>
              <w:ind w:left="720"/>
              <w:rPr>
                <w:rFonts w:eastAsia="Times New Roman"/>
                <w:color w:val="000000"/>
                <w:spacing w:val="0"/>
                <w:lang w:val="es-DO"/>
              </w:rPr>
            </w:pPr>
          </w:p>
        </w:tc>
        <w:tc>
          <w:tcPr>
            <w:tcW w:w="1768" w:type="dxa"/>
            <w:tcBorders>
              <w:top w:val="nil"/>
              <w:left w:val="nil"/>
              <w:bottom w:val="nil"/>
              <w:right w:val="nil"/>
            </w:tcBorders>
            <w:shd w:val="clear" w:color="auto" w:fill="auto"/>
            <w:vAlign w:val="center"/>
            <w:hideMark/>
          </w:tcPr>
          <w:p w14:paraId="3F85B671" w14:textId="77777777" w:rsidR="00A044CA" w:rsidRPr="00EC3308" w:rsidRDefault="00A044CA" w:rsidP="00886F32">
            <w:pPr>
              <w:spacing w:after="0" w:line="360" w:lineRule="auto"/>
              <w:ind w:left="720"/>
              <w:rPr>
                <w:rFonts w:eastAsia="Times New Roman"/>
                <w:color w:val="auto"/>
                <w:spacing w:val="0"/>
                <w:lang w:val="es-DO"/>
              </w:rPr>
            </w:pPr>
          </w:p>
        </w:tc>
        <w:tc>
          <w:tcPr>
            <w:tcW w:w="2061" w:type="dxa"/>
            <w:tcBorders>
              <w:top w:val="nil"/>
              <w:left w:val="nil"/>
              <w:bottom w:val="nil"/>
              <w:right w:val="nil"/>
            </w:tcBorders>
            <w:shd w:val="clear" w:color="auto" w:fill="auto"/>
            <w:noWrap/>
            <w:vAlign w:val="center"/>
            <w:hideMark/>
          </w:tcPr>
          <w:p w14:paraId="07B4DF1A" w14:textId="77777777" w:rsidR="00A044CA" w:rsidRPr="00EC3308" w:rsidRDefault="00A044CA" w:rsidP="00886F32">
            <w:pPr>
              <w:spacing w:after="0" w:line="360" w:lineRule="auto"/>
              <w:ind w:left="720"/>
              <w:jc w:val="center"/>
              <w:rPr>
                <w:rFonts w:eastAsia="Times New Roman"/>
                <w:color w:val="auto"/>
                <w:spacing w:val="0"/>
                <w:lang w:val="es-DO"/>
              </w:rPr>
            </w:pPr>
          </w:p>
        </w:tc>
        <w:tc>
          <w:tcPr>
            <w:tcW w:w="3057" w:type="dxa"/>
            <w:tcBorders>
              <w:top w:val="nil"/>
              <w:left w:val="nil"/>
              <w:bottom w:val="nil"/>
              <w:right w:val="nil"/>
            </w:tcBorders>
            <w:shd w:val="clear" w:color="auto" w:fill="auto"/>
            <w:vAlign w:val="center"/>
            <w:hideMark/>
          </w:tcPr>
          <w:p w14:paraId="40DF97F3" w14:textId="77777777" w:rsidR="00A044CA" w:rsidRPr="00EC3308" w:rsidRDefault="00A044CA" w:rsidP="00D12416">
            <w:pPr>
              <w:spacing w:after="0" w:line="360" w:lineRule="auto"/>
              <w:rPr>
                <w:rFonts w:eastAsia="Times New Roman"/>
                <w:b/>
                <w:bCs/>
                <w:color w:val="000000"/>
                <w:spacing w:val="0"/>
                <w:lang w:val="es-DO"/>
              </w:rPr>
            </w:pPr>
            <w:r w:rsidRPr="00EC3308">
              <w:rPr>
                <w:rFonts w:eastAsia="Times New Roman"/>
                <w:b/>
                <w:bCs/>
                <w:color w:val="000000"/>
                <w:spacing w:val="0"/>
                <w:lang w:val="es-DO"/>
              </w:rPr>
              <w:t>TOTAL</w:t>
            </w:r>
          </w:p>
        </w:tc>
        <w:tc>
          <w:tcPr>
            <w:tcW w:w="1775" w:type="dxa"/>
            <w:tcBorders>
              <w:top w:val="nil"/>
              <w:left w:val="nil"/>
              <w:bottom w:val="nil"/>
              <w:right w:val="nil"/>
            </w:tcBorders>
            <w:shd w:val="clear" w:color="auto" w:fill="auto"/>
            <w:noWrap/>
            <w:vAlign w:val="center"/>
            <w:hideMark/>
          </w:tcPr>
          <w:p w14:paraId="5CD52542" w14:textId="0AB407CA" w:rsidR="00A044CA" w:rsidRPr="00EC3308" w:rsidRDefault="00C57FDA" w:rsidP="00D12416">
            <w:pPr>
              <w:spacing w:after="0" w:line="360" w:lineRule="auto"/>
              <w:ind w:left="720"/>
              <w:rPr>
                <w:rFonts w:eastAsia="Times New Roman"/>
                <w:b/>
                <w:bCs/>
                <w:color w:val="000000"/>
                <w:spacing w:val="0"/>
                <w:lang w:val="es-DO"/>
              </w:rPr>
            </w:pPr>
            <w:r w:rsidRPr="00EC3308">
              <w:rPr>
                <w:rFonts w:eastAsia="Times New Roman"/>
                <w:b/>
                <w:bCs/>
                <w:color w:val="000000"/>
                <w:spacing w:val="0"/>
                <w:lang w:val="es-DO"/>
              </w:rPr>
              <w:t xml:space="preserve">40,253,584.11 </w:t>
            </w:r>
          </w:p>
        </w:tc>
        <w:tc>
          <w:tcPr>
            <w:tcW w:w="2247" w:type="dxa"/>
            <w:tcBorders>
              <w:top w:val="nil"/>
              <w:left w:val="nil"/>
              <w:bottom w:val="nil"/>
              <w:right w:val="nil"/>
            </w:tcBorders>
            <w:shd w:val="clear" w:color="auto" w:fill="auto"/>
            <w:vAlign w:val="center"/>
            <w:hideMark/>
          </w:tcPr>
          <w:p w14:paraId="780348F6" w14:textId="77777777" w:rsidR="00A044CA" w:rsidRPr="00EC3308" w:rsidRDefault="00A044CA" w:rsidP="00886F32">
            <w:pPr>
              <w:spacing w:after="0" w:line="360" w:lineRule="auto"/>
              <w:ind w:left="720"/>
              <w:jc w:val="center"/>
              <w:rPr>
                <w:rFonts w:eastAsia="Times New Roman"/>
                <w:b/>
                <w:bCs/>
                <w:color w:val="000000"/>
                <w:spacing w:val="0"/>
                <w:lang w:val="es-DO"/>
              </w:rPr>
            </w:pPr>
          </w:p>
        </w:tc>
      </w:tr>
    </w:tbl>
    <w:p w14:paraId="59CB8466" w14:textId="552AAFB3" w:rsidR="00A30CE6" w:rsidRPr="007F6395" w:rsidRDefault="00A30CE6" w:rsidP="00886F32">
      <w:pPr>
        <w:spacing w:after="0" w:line="360" w:lineRule="auto"/>
        <w:ind w:left="720"/>
        <w:jc w:val="both"/>
        <w:rPr>
          <w:rFonts w:eastAsia="Calibri"/>
          <w:i/>
          <w:iCs/>
          <w:noProof/>
          <w:color w:val="4C4747"/>
          <w:lang w:val="es-DO"/>
        </w:rPr>
      </w:pPr>
      <w:r w:rsidRPr="007F6395">
        <w:rPr>
          <w:rFonts w:eastAsia="Calibri"/>
          <w:i/>
          <w:iCs/>
          <w:noProof/>
          <w:color w:val="4C4747"/>
          <w:lang w:val="es-DO"/>
        </w:rPr>
        <w:t xml:space="preserve">Tabla </w:t>
      </w:r>
      <w:r w:rsidR="007F6395">
        <w:rPr>
          <w:rFonts w:eastAsia="Calibri"/>
          <w:i/>
          <w:iCs/>
          <w:noProof/>
          <w:color w:val="4C4747"/>
          <w:lang w:val="es-DO"/>
        </w:rPr>
        <w:t>2</w:t>
      </w:r>
      <w:r w:rsidRPr="007F6395">
        <w:rPr>
          <w:rFonts w:eastAsia="Calibri"/>
          <w:i/>
          <w:iCs/>
          <w:noProof/>
          <w:color w:val="4C4747"/>
          <w:lang w:val="es-DO"/>
        </w:rPr>
        <w:t>.</w:t>
      </w:r>
      <w:r w:rsidR="007F6395" w:rsidRPr="007F6395">
        <w:rPr>
          <w:rFonts w:eastAsia="Calibri"/>
          <w:i/>
          <w:iCs/>
          <w:noProof/>
          <w:color w:val="4C4747"/>
          <w:lang w:val="es-DO"/>
        </w:rPr>
        <w:t xml:space="preserve"> Cuentas por pagar RD$</w:t>
      </w:r>
    </w:p>
    <w:tbl>
      <w:tblPr>
        <w:tblW w:w="12216" w:type="dxa"/>
        <w:tblInd w:w="-5" w:type="dxa"/>
        <w:tblLook w:val="04A0" w:firstRow="1" w:lastRow="0" w:firstColumn="1" w:lastColumn="0" w:noHBand="0" w:noVBand="1"/>
      </w:tblPr>
      <w:tblGrid>
        <w:gridCol w:w="2296"/>
        <w:gridCol w:w="2019"/>
        <w:gridCol w:w="3817"/>
        <w:gridCol w:w="1982"/>
        <w:gridCol w:w="2102"/>
      </w:tblGrid>
      <w:tr w:rsidR="00EC3308" w:rsidRPr="00EC3308" w14:paraId="747910A7" w14:textId="77777777" w:rsidTr="00234713">
        <w:trPr>
          <w:trHeight w:val="763"/>
          <w:tblHeader/>
        </w:trPr>
        <w:tc>
          <w:tcPr>
            <w:tcW w:w="2296" w:type="dxa"/>
            <w:tcBorders>
              <w:top w:val="nil"/>
              <w:left w:val="single" w:sz="4" w:space="0" w:color="auto"/>
              <w:bottom w:val="single" w:sz="4" w:space="0" w:color="auto"/>
              <w:right w:val="single" w:sz="4" w:space="0" w:color="auto"/>
            </w:tcBorders>
            <w:shd w:val="clear" w:color="000000" w:fill="203764"/>
            <w:vAlign w:val="center"/>
            <w:hideMark/>
          </w:tcPr>
          <w:p w14:paraId="2866FD86" w14:textId="77777777" w:rsidR="00EC3308" w:rsidRPr="00EC3308" w:rsidRDefault="00EC3308" w:rsidP="00D12416">
            <w:pPr>
              <w:spacing w:after="0" w:line="360" w:lineRule="auto"/>
              <w:rPr>
                <w:rFonts w:eastAsia="Times New Roman"/>
                <w:b/>
                <w:bCs/>
                <w:color w:val="FFFFFF"/>
                <w:spacing w:val="0"/>
                <w:lang w:val="es-DO"/>
              </w:rPr>
            </w:pPr>
            <w:r w:rsidRPr="00EC3308">
              <w:rPr>
                <w:rFonts w:eastAsia="Times New Roman"/>
                <w:b/>
                <w:bCs/>
                <w:color w:val="FFFFFF"/>
                <w:spacing w:val="0"/>
                <w:lang w:val="es-DO"/>
              </w:rPr>
              <w:t>PROVEEDOR</w:t>
            </w:r>
          </w:p>
        </w:tc>
        <w:tc>
          <w:tcPr>
            <w:tcW w:w="2019" w:type="dxa"/>
            <w:tcBorders>
              <w:top w:val="nil"/>
              <w:left w:val="nil"/>
              <w:bottom w:val="single" w:sz="4" w:space="0" w:color="auto"/>
              <w:right w:val="single" w:sz="4" w:space="0" w:color="auto"/>
            </w:tcBorders>
            <w:shd w:val="clear" w:color="000000" w:fill="203764"/>
            <w:vAlign w:val="center"/>
            <w:hideMark/>
          </w:tcPr>
          <w:p w14:paraId="1218B308" w14:textId="77777777" w:rsidR="00EC3308" w:rsidRPr="00EC3308" w:rsidRDefault="00EC3308" w:rsidP="00D12416">
            <w:pPr>
              <w:spacing w:after="0" w:line="360" w:lineRule="auto"/>
              <w:rPr>
                <w:rFonts w:eastAsia="Times New Roman"/>
                <w:b/>
                <w:bCs/>
                <w:color w:val="FFFFFF"/>
                <w:spacing w:val="0"/>
                <w:lang w:val="es-DO"/>
              </w:rPr>
            </w:pPr>
            <w:r w:rsidRPr="00EC3308">
              <w:rPr>
                <w:rFonts w:eastAsia="Times New Roman"/>
                <w:b/>
                <w:bCs/>
                <w:color w:val="FFFFFF"/>
                <w:spacing w:val="0"/>
                <w:lang w:val="es-DO"/>
              </w:rPr>
              <w:t>NCF</w:t>
            </w:r>
          </w:p>
        </w:tc>
        <w:tc>
          <w:tcPr>
            <w:tcW w:w="3817" w:type="dxa"/>
            <w:tcBorders>
              <w:top w:val="nil"/>
              <w:left w:val="nil"/>
              <w:bottom w:val="single" w:sz="4" w:space="0" w:color="auto"/>
              <w:right w:val="single" w:sz="4" w:space="0" w:color="auto"/>
            </w:tcBorders>
            <w:shd w:val="clear" w:color="000000" w:fill="203764"/>
            <w:noWrap/>
            <w:vAlign w:val="center"/>
            <w:hideMark/>
          </w:tcPr>
          <w:p w14:paraId="5898F9F8" w14:textId="77777777" w:rsidR="00EC3308" w:rsidRPr="00EC3308" w:rsidRDefault="00EC3308" w:rsidP="00D12416">
            <w:pPr>
              <w:spacing w:after="0" w:line="360" w:lineRule="auto"/>
              <w:rPr>
                <w:rFonts w:eastAsia="Times New Roman"/>
                <w:b/>
                <w:bCs/>
                <w:color w:val="FFFFFF"/>
                <w:spacing w:val="0"/>
                <w:lang w:val="es-DO"/>
              </w:rPr>
            </w:pPr>
            <w:r w:rsidRPr="00EC3308">
              <w:rPr>
                <w:rFonts w:eastAsia="Times New Roman"/>
                <w:b/>
                <w:bCs/>
                <w:color w:val="FFFFFF"/>
                <w:spacing w:val="0"/>
                <w:lang w:val="es-DO"/>
              </w:rPr>
              <w:t>CONCEPTO</w:t>
            </w:r>
          </w:p>
        </w:tc>
        <w:tc>
          <w:tcPr>
            <w:tcW w:w="1982" w:type="dxa"/>
            <w:tcBorders>
              <w:top w:val="nil"/>
              <w:left w:val="nil"/>
              <w:bottom w:val="single" w:sz="4" w:space="0" w:color="auto"/>
              <w:right w:val="single" w:sz="4" w:space="0" w:color="auto"/>
            </w:tcBorders>
            <w:shd w:val="clear" w:color="000000" w:fill="203764"/>
            <w:vAlign w:val="center"/>
            <w:hideMark/>
          </w:tcPr>
          <w:p w14:paraId="7FBA848B" w14:textId="379B7998" w:rsidR="00EC3308" w:rsidRPr="00EC3308" w:rsidRDefault="00EC3308" w:rsidP="00D12416">
            <w:pPr>
              <w:spacing w:after="0" w:line="360" w:lineRule="auto"/>
              <w:rPr>
                <w:rFonts w:eastAsia="Times New Roman"/>
                <w:b/>
                <w:bCs/>
                <w:color w:val="FFFFFF"/>
                <w:spacing w:val="0"/>
                <w:lang w:val="es-DO"/>
              </w:rPr>
            </w:pPr>
            <w:r w:rsidRPr="00EC3308">
              <w:rPr>
                <w:rFonts w:eastAsia="Times New Roman"/>
                <w:b/>
                <w:bCs/>
                <w:color w:val="FFFFFF"/>
                <w:spacing w:val="0"/>
                <w:lang w:val="es-DO"/>
              </w:rPr>
              <w:t>MONTO (US$)</w:t>
            </w:r>
          </w:p>
        </w:tc>
        <w:tc>
          <w:tcPr>
            <w:tcW w:w="2102" w:type="dxa"/>
            <w:tcBorders>
              <w:top w:val="nil"/>
              <w:left w:val="nil"/>
              <w:bottom w:val="single" w:sz="4" w:space="0" w:color="auto"/>
              <w:right w:val="single" w:sz="4" w:space="0" w:color="auto"/>
            </w:tcBorders>
            <w:shd w:val="clear" w:color="000000" w:fill="203764"/>
            <w:vAlign w:val="center"/>
            <w:hideMark/>
          </w:tcPr>
          <w:p w14:paraId="317BC674" w14:textId="77777777" w:rsidR="00EC3308" w:rsidRPr="00EC3308" w:rsidRDefault="00EC3308" w:rsidP="00D12416">
            <w:pPr>
              <w:spacing w:after="0" w:line="360" w:lineRule="auto"/>
              <w:rPr>
                <w:rFonts w:eastAsia="Times New Roman"/>
                <w:b/>
                <w:bCs/>
                <w:color w:val="FFFFFF"/>
                <w:spacing w:val="0"/>
                <w:lang w:val="es-DO"/>
              </w:rPr>
            </w:pPr>
            <w:r w:rsidRPr="00EC3308">
              <w:rPr>
                <w:rFonts w:eastAsia="Times New Roman"/>
                <w:b/>
                <w:bCs/>
                <w:color w:val="FFFFFF"/>
                <w:spacing w:val="0"/>
                <w:lang w:val="es-DO"/>
              </w:rPr>
              <w:t xml:space="preserve">OBSERVACION </w:t>
            </w:r>
          </w:p>
        </w:tc>
      </w:tr>
      <w:tr w:rsidR="00EC3308" w:rsidRPr="007B6BCF" w14:paraId="61A2C3FC" w14:textId="77777777" w:rsidTr="00234713">
        <w:trPr>
          <w:trHeight w:val="1794"/>
        </w:trPr>
        <w:tc>
          <w:tcPr>
            <w:tcW w:w="22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202E7" w14:textId="7A9920F8"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Joel Inmobiliaria Sa</w:t>
            </w:r>
          </w:p>
        </w:tc>
        <w:tc>
          <w:tcPr>
            <w:tcW w:w="2019" w:type="dxa"/>
            <w:tcBorders>
              <w:top w:val="nil"/>
              <w:left w:val="nil"/>
              <w:bottom w:val="single" w:sz="4" w:space="0" w:color="auto"/>
              <w:right w:val="single" w:sz="4" w:space="0" w:color="auto"/>
            </w:tcBorders>
            <w:shd w:val="clear" w:color="auto" w:fill="auto"/>
            <w:vAlign w:val="bottom"/>
            <w:hideMark/>
          </w:tcPr>
          <w:p w14:paraId="487640F8" w14:textId="77777777"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B1500000368</w:t>
            </w:r>
          </w:p>
        </w:tc>
        <w:tc>
          <w:tcPr>
            <w:tcW w:w="3817" w:type="dxa"/>
            <w:tcBorders>
              <w:top w:val="nil"/>
              <w:left w:val="nil"/>
              <w:bottom w:val="single" w:sz="4" w:space="0" w:color="auto"/>
              <w:right w:val="single" w:sz="4" w:space="0" w:color="auto"/>
            </w:tcBorders>
            <w:shd w:val="clear" w:color="auto" w:fill="auto"/>
            <w:vAlign w:val="center"/>
            <w:hideMark/>
          </w:tcPr>
          <w:p w14:paraId="7BA736E4" w14:textId="42DDB179"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Alquiler del local no.45, ubicado en Unicentro plaza, que aloja la oficina de la dirección de metas presidenciales y la dirección de inteligencia de datos.</w:t>
            </w:r>
          </w:p>
        </w:tc>
        <w:tc>
          <w:tcPr>
            <w:tcW w:w="1982" w:type="dxa"/>
            <w:tcBorders>
              <w:top w:val="nil"/>
              <w:left w:val="nil"/>
              <w:bottom w:val="single" w:sz="4" w:space="0" w:color="auto"/>
              <w:right w:val="single" w:sz="4" w:space="0" w:color="auto"/>
            </w:tcBorders>
            <w:shd w:val="clear" w:color="auto" w:fill="auto"/>
            <w:vAlign w:val="bottom"/>
            <w:hideMark/>
          </w:tcPr>
          <w:p w14:paraId="58F1CFFF" w14:textId="480C5BC2"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4,130.00 </w:t>
            </w:r>
          </w:p>
        </w:tc>
        <w:tc>
          <w:tcPr>
            <w:tcW w:w="2102" w:type="dxa"/>
            <w:tcBorders>
              <w:top w:val="nil"/>
              <w:left w:val="nil"/>
              <w:bottom w:val="single" w:sz="4" w:space="0" w:color="auto"/>
              <w:right w:val="single" w:sz="4" w:space="0" w:color="auto"/>
            </w:tcBorders>
            <w:shd w:val="clear" w:color="auto" w:fill="auto"/>
            <w:vAlign w:val="bottom"/>
            <w:hideMark/>
          </w:tcPr>
          <w:p w14:paraId="4FC55D8D" w14:textId="0C108EC7"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lib.3379</w:t>
            </w:r>
          </w:p>
        </w:tc>
      </w:tr>
      <w:tr w:rsidR="00EC3308" w:rsidRPr="007B6BCF" w14:paraId="63BB85CB" w14:textId="77777777" w:rsidTr="00234713">
        <w:trPr>
          <w:trHeight w:val="1664"/>
        </w:trPr>
        <w:tc>
          <w:tcPr>
            <w:tcW w:w="2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9E38B" w14:textId="1E7E6ABD"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Worldwide Seguros Sa</w:t>
            </w:r>
          </w:p>
        </w:tc>
        <w:tc>
          <w:tcPr>
            <w:tcW w:w="2019" w:type="dxa"/>
            <w:tcBorders>
              <w:top w:val="nil"/>
              <w:left w:val="nil"/>
              <w:bottom w:val="single" w:sz="4" w:space="0" w:color="auto"/>
              <w:right w:val="single" w:sz="4" w:space="0" w:color="auto"/>
            </w:tcBorders>
            <w:shd w:val="clear" w:color="auto" w:fill="auto"/>
            <w:noWrap/>
            <w:vAlign w:val="bottom"/>
            <w:hideMark/>
          </w:tcPr>
          <w:p w14:paraId="3D6B3FB6" w14:textId="77777777"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E450000000244</w:t>
            </w:r>
          </w:p>
        </w:tc>
        <w:tc>
          <w:tcPr>
            <w:tcW w:w="3817" w:type="dxa"/>
            <w:tcBorders>
              <w:top w:val="nil"/>
              <w:left w:val="nil"/>
              <w:bottom w:val="single" w:sz="4" w:space="0" w:color="auto"/>
              <w:right w:val="single" w:sz="4" w:space="0" w:color="auto"/>
            </w:tcBorders>
            <w:shd w:val="clear" w:color="auto" w:fill="auto"/>
            <w:vAlign w:val="bottom"/>
            <w:hideMark/>
          </w:tcPr>
          <w:p w14:paraId="5677F864" w14:textId="3C7BDE90"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Correspondiente a seguro médico internacional del 01 diciembre 2025 al 1 de junio 2026.</w:t>
            </w:r>
          </w:p>
        </w:tc>
        <w:tc>
          <w:tcPr>
            <w:tcW w:w="1982" w:type="dxa"/>
            <w:tcBorders>
              <w:top w:val="nil"/>
              <w:left w:val="nil"/>
              <w:bottom w:val="single" w:sz="4" w:space="0" w:color="auto"/>
              <w:right w:val="single" w:sz="4" w:space="0" w:color="auto"/>
            </w:tcBorders>
            <w:shd w:val="clear" w:color="auto" w:fill="auto"/>
            <w:noWrap/>
            <w:vAlign w:val="bottom"/>
            <w:hideMark/>
          </w:tcPr>
          <w:p w14:paraId="5380F4E9" w14:textId="5064830C"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9,298.70</w:t>
            </w:r>
          </w:p>
        </w:tc>
        <w:tc>
          <w:tcPr>
            <w:tcW w:w="2102" w:type="dxa"/>
            <w:tcBorders>
              <w:top w:val="nil"/>
              <w:left w:val="nil"/>
              <w:bottom w:val="single" w:sz="4" w:space="0" w:color="auto"/>
              <w:right w:val="single" w:sz="4" w:space="0" w:color="auto"/>
            </w:tcBorders>
            <w:shd w:val="clear" w:color="auto" w:fill="auto"/>
            <w:vAlign w:val="bottom"/>
            <w:hideMark/>
          </w:tcPr>
          <w:p w14:paraId="15406DA8" w14:textId="6C588FEF"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lib.3540</w:t>
            </w:r>
          </w:p>
        </w:tc>
      </w:tr>
      <w:tr w:rsidR="00EC3308" w:rsidRPr="007B6BCF" w14:paraId="0BDB0A76" w14:textId="77777777" w:rsidTr="00234713">
        <w:trPr>
          <w:trHeight w:val="1230"/>
        </w:trPr>
        <w:tc>
          <w:tcPr>
            <w:tcW w:w="22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D5C403" w14:textId="6EA4F2C0" w:rsidR="00EC3308" w:rsidRPr="00D12416" w:rsidRDefault="00EC3308" w:rsidP="00D12416">
            <w:pPr>
              <w:spacing w:after="0" w:line="360" w:lineRule="auto"/>
              <w:rPr>
                <w:rFonts w:eastAsia="Calibri"/>
                <w:noProof/>
                <w:color w:val="4C4747"/>
                <w:sz w:val="22"/>
                <w:szCs w:val="22"/>
                <w:lang w:val="pt-BR"/>
              </w:rPr>
            </w:pPr>
            <w:r w:rsidRPr="00D12416">
              <w:rPr>
                <w:rFonts w:eastAsia="Calibri"/>
                <w:noProof/>
                <w:color w:val="4C4747"/>
                <w:sz w:val="22"/>
                <w:szCs w:val="22"/>
                <w:lang w:val="pt-BR"/>
              </w:rPr>
              <w:lastRenderedPageBreak/>
              <w:t>Beatriz Cassa Bernaldo De Quiros</w:t>
            </w:r>
          </w:p>
        </w:tc>
        <w:tc>
          <w:tcPr>
            <w:tcW w:w="2019" w:type="dxa"/>
            <w:tcBorders>
              <w:top w:val="nil"/>
              <w:left w:val="nil"/>
              <w:bottom w:val="single" w:sz="4" w:space="0" w:color="auto"/>
              <w:right w:val="single" w:sz="4" w:space="0" w:color="auto"/>
            </w:tcBorders>
            <w:shd w:val="clear" w:color="auto" w:fill="auto"/>
            <w:noWrap/>
            <w:vAlign w:val="bottom"/>
            <w:hideMark/>
          </w:tcPr>
          <w:p w14:paraId="1ACD8C65" w14:textId="77777777"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B1500000013</w:t>
            </w:r>
          </w:p>
        </w:tc>
        <w:tc>
          <w:tcPr>
            <w:tcW w:w="3817" w:type="dxa"/>
            <w:tcBorders>
              <w:top w:val="nil"/>
              <w:left w:val="nil"/>
              <w:bottom w:val="single" w:sz="4" w:space="0" w:color="auto"/>
              <w:right w:val="single" w:sz="4" w:space="0" w:color="auto"/>
            </w:tcBorders>
            <w:shd w:val="clear" w:color="auto" w:fill="auto"/>
            <w:vAlign w:val="bottom"/>
            <w:hideMark/>
          </w:tcPr>
          <w:p w14:paraId="5A8FC858" w14:textId="0B1A6624"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Arrendamiento de inmueble para albergar la oficina nacional de apoyo a la reforma penitenciaria (ONAPREP).</w:t>
            </w:r>
          </w:p>
        </w:tc>
        <w:tc>
          <w:tcPr>
            <w:tcW w:w="1982" w:type="dxa"/>
            <w:tcBorders>
              <w:top w:val="nil"/>
              <w:left w:val="nil"/>
              <w:bottom w:val="single" w:sz="4" w:space="0" w:color="auto"/>
              <w:right w:val="single" w:sz="4" w:space="0" w:color="auto"/>
            </w:tcBorders>
            <w:shd w:val="clear" w:color="auto" w:fill="auto"/>
            <w:noWrap/>
            <w:vAlign w:val="bottom"/>
            <w:hideMark/>
          </w:tcPr>
          <w:p w14:paraId="5905C703" w14:textId="75C7E5C9"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 xml:space="preserve">6,490.00 </w:t>
            </w:r>
          </w:p>
        </w:tc>
        <w:tc>
          <w:tcPr>
            <w:tcW w:w="2102" w:type="dxa"/>
            <w:tcBorders>
              <w:top w:val="nil"/>
              <w:left w:val="nil"/>
              <w:bottom w:val="single" w:sz="4" w:space="0" w:color="auto"/>
              <w:right w:val="single" w:sz="4" w:space="0" w:color="auto"/>
            </w:tcBorders>
            <w:shd w:val="clear" w:color="auto" w:fill="auto"/>
            <w:vAlign w:val="bottom"/>
            <w:hideMark/>
          </w:tcPr>
          <w:p w14:paraId="4DB09F45" w14:textId="5177767E" w:rsidR="00EC3308" w:rsidRPr="00723259" w:rsidRDefault="00EC3308" w:rsidP="00D12416">
            <w:pPr>
              <w:spacing w:after="0" w:line="360" w:lineRule="auto"/>
              <w:rPr>
                <w:rFonts w:eastAsia="Calibri"/>
                <w:noProof/>
                <w:color w:val="4C4747"/>
                <w:sz w:val="22"/>
                <w:szCs w:val="22"/>
                <w:lang w:val="es-DO"/>
              </w:rPr>
            </w:pPr>
            <w:r w:rsidRPr="00723259">
              <w:rPr>
                <w:rFonts w:eastAsia="Calibri"/>
                <w:noProof/>
                <w:color w:val="4C4747"/>
                <w:sz w:val="22"/>
                <w:szCs w:val="22"/>
                <w:lang w:val="es-DO"/>
              </w:rPr>
              <w:t>Enviado a pago con el lib.3572</w:t>
            </w:r>
          </w:p>
        </w:tc>
      </w:tr>
      <w:tr w:rsidR="00EC3308" w:rsidRPr="00EC3308" w14:paraId="5227183B" w14:textId="77777777" w:rsidTr="00234713">
        <w:trPr>
          <w:trHeight w:val="553"/>
        </w:trPr>
        <w:tc>
          <w:tcPr>
            <w:tcW w:w="2296" w:type="dxa"/>
            <w:tcBorders>
              <w:top w:val="nil"/>
              <w:left w:val="nil"/>
              <w:bottom w:val="nil"/>
              <w:right w:val="nil"/>
            </w:tcBorders>
            <w:shd w:val="clear" w:color="auto" w:fill="auto"/>
            <w:vAlign w:val="bottom"/>
            <w:hideMark/>
          </w:tcPr>
          <w:p w14:paraId="75B2D71E" w14:textId="77777777" w:rsidR="00EC3308" w:rsidRPr="00EC3308" w:rsidRDefault="00EC3308" w:rsidP="00886F32">
            <w:pPr>
              <w:spacing w:after="0" w:line="360" w:lineRule="auto"/>
              <w:ind w:left="720"/>
              <w:rPr>
                <w:rFonts w:eastAsia="Times New Roman"/>
                <w:color w:val="auto"/>
                <w:spacing w:val="0"/>
                <w:lang w:val="es-DO"/>
              </w:rPr>
            </w:pPr>
          </w:p>
        </w:tc>
        <w:tc>
          <w:tcPr>
            <w:tcW w:w="2019" w:type="dxa"/>
            <w:tcBorders>
              <w:top w:val="nil"/>
              <w:left w:val="nil"/>
              <w:bottom w:val="nil"/>
              <w:right w:val="nil"/>
            </w:tcBorders>
            <w:shd w:val="clear" w:color="auto" w:fill="auto"/>
            <w:noWrap/>
            <w:vAlign w:val="bottom"/>
            <w:hideMark/>
          </w:tcPr>
          <w:p w14:paraId="68F38C50" w14:textId="77777777" w:rsidR="00EC3308" w:rsidRPr="00EC3308" w:rsidRDefault="00EC3308" w:rsidP="00886F32">
            <w:pPr>
              <w:spacing w:after="0" w:line="360" w:lineRule="auto"/>
              <w:ind w:left="720"/>
              <w:jc w:val="center"/>
              <w:rPr>
                <w:rFonts w:eastAsia="Times New Roman"/>
                <w:color w:val="auto"/>
                <w:spacing w:val="0"/>
                <w:lang w:val="es-DO"/>
              </w:rPr>
            </w:pPr>
          </w:p>
        </w:tc>
        <w:tc>
          <w:tcPr>
            <w:tcW w:w="3817" w:type="dxa"/>
            <w:tcBorders>
              <w:top w:val="nil"/>
              <w:left w:val="nil"/>
              <w:bottom w:val="nil"/>
              <w:right w:val="nil"/>
            </w:tcBorders>
            <w:shd w:val="clear" w:color="auto" w:fill="auto"/>
            <w:vAlign w:val="bottom"/>
            <w:hideMark/>
          </w:tcPr>
          <w:p w14:paraId="625AC0FC" w14:textId="77777777" w:rsidR="00EC3308" w:rsidRPr="00EC3308" w:rsidRDefault="00EC3308" w:rsidP="00D12416">
            <w:pPr>
              <w:spacing w:after="0" w:line="360" w:lineRule="auto"/>
              <w:rPr>
                <w:rFonts w:eastAsia="Times New Roman"/>
                <w:b/>
                <w:bCs/>
                <w:color w:val="000000"/>
                <w:spacing w:val="0"/>
                <w:lang w:val="es-DO"/>
              </w:rPr>
            </w:pPr>
            <w:r w:rsidRPr="00EC3308">
              <w:rPr>
                <w:rFonts w:eastAsia="Times New Roman"/>
                <w:b/>
                <w:bCs/>
                <w:color w:val="000000"/>
                <w:spacing w:val="0"/>
                <w:lang w:val="es-DO"/>
              </w:rPr>
              <w:t>TOTAL</w:t>
            </w:r>
          </w:p>
        </w:tc>
        <w:tc>
          <w:tcPr>
            <w:tcW w:w="1982" w:type="dxa"/>
            <w:tcBorders>
              <w:top w:val="nil"/>
              <w:left w:val="nil"/>
              <w:bottom w:val="nil"/>
              <w:right w:val="nil"/>
            </w:tcBorders>
            <w:shd w:val="clear" w:color="auto" w:fill="auto"/>
            <w:noWrap/>
            <w:vAlign w:val="bottom"/>
            <w:hideMark/>
          </w:tcPr>
          <w:p w14:paraId="4EAA8147" w14:textId="4FDBAD34" w:rsidR="00EC3308" w:rsidRPr="00EC3308" w:rsidRDefault="00EC3308" w:rsidP="00886F32">
            <w:pPr>
              <w:spacing w:after="0" w:line="360" w:lineRule="auto"/>
              <w:ind w:left="720"/>
              <w:jc w:val="center"/>
              <w:rPr>
                <w:rFonts w:eastAsia="Times New Roman"/>
                <w:b/>
                <w:bCs/>
                <w:color w:val="000000"/>
                <w:spacing w:val="0"/>
                <w:lang w:val="es-DO"/>
              </w:rPr>
            </w:pPr>
            <w:r w:rsidRPr="00EC3308">
              <w:rPr>
                <w:rFonts w:eastAsia="Times New Roman"/>
                <w:b/>
                <w:bCs/>
                <w:color w:val="000000"/>
                <w:spacing w:val="0"/>
                <w:lang w:val="es-DO"/>
              </w:rPr>
              <w:t xml:space="preserve">     19,918.70 </w:t>
            </w:r>
          </w:p>
        </w:tc>
        <w:tc>
          <w:tcPr>
            <w:tcW w:w="2102" w:type="dxa"/>
            <w:tcBorders>
              <w:top w:val="nil"/>
              <w:left w:val="nil"/>
              <w:bottom w:val="nil"/>
              <w:right w:val="nil"/>
            </w:tcBorders>
            <w:shd w:val="clear" w:color="auto" w:fill="auto"/>
            <w:vAlign w:val="bottom"/>
            <w:hideMark/>
          </w:tcPr>
          <w:p w14:paraId="7E2E52B0" w14:textId="77777777" w:rsidR="00EC3308" w:rsidRPr="00EC3308" w:rsidRDefault="00EC3308" w:rsidP="00886F32">
            <w:pPr>
              <w:spacing w:after="0" w:line="360" w:lineRule="auto"/>
              <w:ind w:left="720"/>
              <w:jc w:val="center"/>
              <w:rPr>
                <w:rFonts w:eastAsia="Times New Roman"/>
                <w:b/>
                <w:bCs/>
                <w:color w:val="000000"/>
                <w:spacing w:val="0"/>
                <w:lang w:val="es-DO"/>
              </w:rPr>
            </w:pPr>
          </w:p>
        </w:tc>
      </w:tr>
    </w:tbl>
    <w:p w14:paraId="39A1EA07" w14:textId="7E1808A3" w:rsidR="00EC3308" w:rsidRPr="00723259" w:rsidRDefault="007F6395" w:rsidP="00886F32">
      <w:pPr>
        <w:spacing w:after="0" w:line="360" w:lineRule="auto"/>
        <w:ind w:left="720"/>
        <w:jc w:val="both"/>
        <w:rPr>
          <w:rFonts w:eastAsia="Calibri"/>
          <w:i/>
          <w:iCs/>
          <w:noProof/>
          <w:color w:val="4C4747"/>
          <w:lang w:val="es-DO"/>
        </w:rPr>
        <w:sectPr w:rsidR="00EC3308" w:rsidRPr="00723259" w:rsidSect="00886F32">
          <w:type w:val="nextColumn"/>
          <w:pgSz w:w="15840" w:h="12240" w:orient="landscape"/>
          <w:pgMar w:top="1440" w:right="2160" w:bottom="1440" w:left="2160" w:header="720" w:footer="720" w:gutter="0"/>
          <w:cols w:space="720"/>
          <w:docGrid w:linePitch="360"/>
        </w:sectPr>
      </w:pPr>
      <w:r w:rsidRPr="007F6395">
        <w:rPr>
          <w:rFonts w:eastAsia="Calibri"/>
          <w:i/>
          <w:iCs/>
          <w:noProof/>
          <w:color w:val="4C4747"/>
          <w:lang w:val="es-DO"/>
        </w:rPr>
        <w:t xml:space="preserve">Tabla </w:t>
      </w:r>
      <w:r>
        <w:rPr>
          <w:rFonts w:eastAsia="Calibri"/>
          <w:i/>
          <w:iCs/>
          <w:noProof/>
          <w:color w:val="4C4747"/>
          <w:lang w:val="es-DO"/>
        </w:rPr>
        <w:t>3</w:t>
      </w:r>
      <w:r w:rsidRPr="007F6395">
        <w:rPr>
          <w:rFonts w:eastAsia="Calibri"/>
          <w:i/>
          <w:iCs/>
          <w:noProof/>
          <w:color w:val="4C4747"/>
          <w:lang w:val="es-DO"/>
        </w:rPr>
        <w:t>. Cuentas por pagar</w:t>
      </w:r>
      <w:bookmarkEnd w:id="97"/>
    </w:p>
    <w:p w14:paraId="13BB2163" w14:textId="0991CE3F" w:rsidR="00947851" w:rsidRPr="00947851" w:rsidRDefault="00947851" w:rsidP="00D12416">
      <w:pPr>
        <w:spacing w:after="0" w:line="360" w:lineRule="auto"/>
        <w:jc w:val="both"/>
        <w:rPr>
          <w:rFonts w:eastAsia="Calibri"/>
          <w:noProof/>
          <w:color w:val="4C4747"/>
          <w:lang w:val="es-DO"/>
        </w:rPr>
      </w:pPr>
      <w:r w:rsidRPr="00947851">
        <w:rPr>
          <w:rFonts w:eastAsia="Calibri"/>
          <w:noProof/>
          <w:color w:val="4C4747"/>
          <w:lang w:val="es-DO"/>
        </w:rPr>
        <w:lastRenderedPageBreak/>
        <w:fldChar w:fldCharType="begin"/>
      </w:r>
      <w:r w:rsidRPr="00947851">
        <w:rPr>
          <w:rFonts w:eastAsia="Calibri"/>
          <w:noProof/>
          <w:color w:val="4C4747"/>
          <w:lang w:val="es-DO"/>
        </w:rPr>
        <w:instrText xml:space="preserve"> LINK Excel.Sheet.12 "C:\\Users\\gloria contreras.MINPRE\\Desktop\\Cuentas por pagar Noviembre (Memoria).xlsx" Sheet1!R6C1:R84C3 \a \f 4 \h  \* MERGEFORMAT </w:instrText>
      </w:r>
      <w:r w:rsidRPr="00947851">
        <w:rPr>
          <w:rFonts w:eastAsia="Calibri"/>
          <w:noProof/>
          <w:color w:val="4C4747"/>
          <w:lang w:val="es-DO"/>
        </w:rPr>
        <w:fldChar w:fldCharType="separate"/>
      </w:r>
    </w:p>
    <w:p w14:paraId="0CFC9BA6" w14:textId="27EAE4C7" w:rsidR="00947851" w:rsidRPr="006228A7" w:rsidRDefault="00947851" w:rsidP="00751A6E">
      <w:pPr>
        <w:pStyle w:val="ListParagraph"/>
        <w:numPr>
          <w:ilvl w:val="2"/>
          <w:numId w:val="96"/>
        </w:numPr>
        <w:spacing w:after="0" w:line="360" w:lineRule="auto"/>
        <w:rPr>
          <w:rFonts w:eastAsia="Calibri"/>
          <w:b/>
          <w:bCs/>
          <w:noProof/>
          <w:color w:val="4C4747"/>
        </w:rPr>
      </w:pPr>
      <w:r w:rsidRPr="00947851">
        <w:rPr>
          <w:rFonts w:eastAsia="Calibri"/>
          <w:noProof/>
          <w:color w:val="4C4747"/>
        </w:rPr>
        <w:fldChar w:fldCharType="end"/>
      </w:r>
      <w:r w:rsidRPr="006228A7">
        <w:rPr>
          <w:rFonts w:eastAsia="Calibri"/>
          <w:b/>
          <w:bCs/>
          <w:noProof/>
          <w:color w:val="4C4747"/>
        </w:rPr>
        <w:t>Cumplimiento de la política de pagos</w:t>
      </w:r>
    </w:p>
    <w:p w14:paraId="628197A7" w14:textId="77777777" w:rsidR="00947851" w:rsidRP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En el transcurso del año 2025, el Ministerio de la Presidencia fortaleció sus mecanismos de gestión financiera para asegurar el estricto cumplimiento de la política de pagos, la cual establece que las obligaciones con proveedores de bienes y servicios deben ser procesadas y pagadas en un plazo no mayor de 30 días, conforme a las disposiciones de la normativa vigente y a los lineamientos de la Dirección General de Contabilidad Gubernamental (DIGECOG), la Tesorería Nacional y la Dirección General de Compras y Contrataciones (DGCP).</w:t>
      </w:r>
    </w:p>
    <w:p w14:paraId="20A3CD31" w14:textId="77777777" w:rsidR="00947851" w:rsidRPr="00947851" w:rsidRDefault="00947851" w:rsidP="00886F32">
      <w:pPr>
        <w:spacing w:after="0" w:line="360" w:lineRule="auto"/>
        <w:ind w:left="720"/>
        <w:jc w:val="both"/>
        <w:rPr>
          <w:rFonts w:eastAsia="Calibri"/>
          <w:noProof/>
          <w:color w:val="4C4747"/>
          <w:lang w:val="es-DO"/>
        </w:rPr>
      </w:pPr>
      <w:r w:rsidRPr="00947851">
        <w:rPr>
          <w:rFonts w:eastAsia="Calibri"/>
          <w:noProof/>
          <w:color w:val="4C4747"/>
          <w:lang w:val="es-DO"/>
        </w:rPr>
        <w:t xml:space="preserve">Para garantizar el cumplimiento de este estándar, el Ministerio implementó acciones orientadas a mejorar la trazabilidad y eficiencia del ciclo de pagos, priorizando la coordinación entre las áreas de Compras, Contabilidad, Presupuesto y Tesorería. </w:t>
      </w:r>
    </w:p>
    <w:p w14:paraId="2BDF0557" w14:textId="77777777" w:rsidR="00DE7620" w:rsidRDefault="00DE7620" w:rsidP="00886F32">
      <w:pPr>
        <w:spacing w:after="0" w:line="360" w:lineRule="auto"/>
        <w:ind w:left="720"/>
        <w:jc w:val="both"/>
        <w:rPr>
          <w:rFonts w:eastAsia="Calibri"/>
          <w:noProof/>
          <w:color w:val="4C4747"/>
          <w:lang w:val="es-DO"/>
        </w:rPr>
      </w:pPr>
    </w:p>
    <w:p w14:paraId="5F6AEAC0" w14:textId="213790D8" w:rsidR="00947851" w:rsidRPr="0036247D" w:rsidRDefault="00947851" w:rsidP="00751A6E">
      <w:pPr>
        <w:pStyle w:val="ListParagraph"/>
        <w:numPr>
          <w:ilvl w:val="2"/>
          <w:numId w:val="96"/>
        </w:numPr>
        <w:spacing w:after="0" w:line="360" w:lineRule="auto"/>
        <w:rPr>
          <w:rFonts w:eastAsia="Calibri"/>
          <w:b/>
          <w:bCs/>
          <w:noProof/>
          <w:color w:val="4C4747"/>
        </w:rPr>
      </w:pPr>
      <w:r w:rsidRPr="0036247D">
        <w:rPr>
          <w:rFonts w:eastAsia="Calibri"/>
          <w:b/>
          <w:bCs/>
          <w:noProof/>
          <w:color w:val="4C4747"/>
        </w:rPr>
        <w:t>Indicadores de Gestión</w:t>
      </w:r>
    </w:p>
    <w:p w14:paraId="4A12D596" w14:textId="77777777" w:rsidR="008F6447" w:rsidRPr="00947851"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Entre los esfuerzos más relevantes se destacan:</w:t>
      </w:r>
    </w:p>
    <w:p w14:paraId="4F98BAA7" w14:textId="77777777" w:rsidR="008F6447" w:rsidRPr="00947851" w:rsidRDefault="008F6447" w:rsidP="00886F32">
      <w:pPr>
        <w:pStyle w:val="Bullet"/>
        <w:numPr>
          <w:ilvl w:val="0"/>
          <w:numId w:val="25"/>
        </w:numPr>
        <w:tabs>
          <w:tab w:val="left" w:pos="1260"/>
        </w:tabs>
        <w:spacing w:after="0" w:line="360" w:lineRule="auto"/>
        <w:rPr>
          <w:rFonts w:eastAsia="Calibri"/>
          <w:noProof/>
          <w:color w:val="4C4747"/>
          <w:spacing w:val="20"/>
        </w:rPr>
      </w:pPr>
      <w:r w:rsidRPr="00947851">
        <w:rPr>
          <w:rFonts w:eastAsia="Calibri"/>
          <w:noProof/>
          <w:color w:val="4C4747"/>
          <w:spacing w:val="20"/>
        </w:rPr>
        <w:t>Optimización del flujo de revisión y conformidad de facturas y expedientes de pago, garantizando una validación oportuna de los servicios recibidos.</w:t>
      </w:r>
    </w:p>
    <w:p w14:paraId="313D665F" w14:textId="77777777" w:rsidR="008F6447" w:rsidRPr="00947851" w:rsidRDefault="008F6447" w:rsidP="00886F32">
      <w:pPr>
        <w:pStyle w:val="Bullet"/>
        <w:numPr>
          <w:ilvl w:val="0"/>
          <w:numId w:val="25"/>
        </w:numPr>
        <w:tabs>
          <w:tab w:val="left" w:pos="1260"/>
        </w:tabs>
        <w:spacing w:after="0" w:line="360" w:lineRule="auto"/>
        <w:rPr>
          <w:rFonts w:eastAsia="Calibri"/>
          <w:noProof/>
          <w:color w:val="4C4747"/>
          <w:spacing w:val="20"/>
        </w:rPr>
      </w:pPr>
      <w:r w:rsidRPr="00947851">
        <w:rPr>
          <w:rFonts w:eastAsia="Calibri"/>
          <w:noProof/>
          <w:color w:val="4C4747"/>
          <w:spacing w:val="20"/>
        </w:rPr>
        <w:t>Actualización y depuración continua de las cuentas por pagar, fortaleciendo la oportunidad del registro en el Litesyt y SIGEF para reducir los tiempos administrativos.</w:t>
      </w:r>
    </w:p>
    <w:p w14:paraId="1B8D0BDA" w14:textId="77777777" w:rsidR="008F6447" w:rsidRPr="00947851" w:rsidRDefault="008F6447" w:rsidP="00886F32">
      <w:pPr>
        <w:pStyle w:val="Bullet"/>
        <w:numPr>
          <w:ilvl w:val="0"/>
          <w:numId w:val="25"/>
        </w:numPr>
        <w:tabs>
          <w:tab w:val="left" w:pos="1260"/>
        </w:tabs>
        <w:spacing w:after="0" w:line="360" w:lineRule="auto"/>
        <w:rPr>
          <w:rFonts w:eastAsia="Calibri"/>
          <w:noProof/>
          <w:color w:val="4C4747"/>
          <w:spacing w:val="20"/>
        </w:rPr>
      </w:pPr>
      <w:r w:rsidRPr="00947851">
        <w:rPr>
          <w:rFonts w:eastAsia="Calibri"/>
          <w:noProof/>
          <w:color w:val="4C4747"/>
          <w:spacing w:val="20"/>
        </w:rPr>
        <w:t>Programación financiera anticipada, lo que permitió asegurar la disponibilidad presupuestaria y de caja necesaria para atender cada obligación dentro del plazo establecido.</w:t>
      </w:r>
    </w:p>
    <w:p w14:paraId="0D0C6CA9" w14:textId="77777777" w:rsidR="008F6447" w:rsidRPr="00947851" w:rsidRDefault="008F6447" w:rsidP="00886F32">
      <w:pPr>
        <w:pStyle w:val="Bullet"/>
        <w:numPr>
          <w:ilvl w:val="0"/>
          <w:numId w:val="25"/>
        </w:numPr>
        <w:tabs>
          <w:tab w:val="left" w:pos="1260"/>
        </w:tabs>
        <w:spacing w:after="0" w:line="360" w:lineRule="auto"/>
        <w:rPr>
          <w:rFonts w:eastAsia="Calibri"/>
          <w:noProof/>
          <w:color w:val="4C4747"/>
          <w:spacing w:val="20"/>
        </w:rPr>
      </w:pPr>
      <w:r w:rsidRPr="00947851">
        <w:rPr>
          <w:rFonts w:eastAsia="Calibri"/>
          <w:noProof/>
          <w:color w:val="4C4747"/>
          <w:spacing w:val="20"/>
        </w:rPr>
        <w:lastRenderedPageBreak/>
        <w:t>Seguimiento sistemático de los plazos mediante controles internos y reportes periódicos, evitando retrasos y promoviendo la responsabilidad institucional.</w:t>
      </w:r>
    </w:p>
    <w:p w14:paraId="30B1474B" w14:textId="77777777" w:rsidR="008F6447" w:rsidRDefault="008F6447" w:rsidP="00886F32">
      <w:pPr>
        <w:pStyle w:val="Bullet"/>
        <w:tabs>
          <w:tab w:val="left" w:pos="1260"/>
        </w:tabs>
        <w:spacing w:after="0" w:line="360" w:lineRule="auto"/>
        <w:ind w:left="720"/>
        <w:rPr>
          <w:rFonts w:eastAsia="Calibri"/>
          <w:noProof/>
          <w:color w:val="4C4747"/>
          <w:spacing w:val="20"/>
        </w:rPr>
      </w:pPr>
      <w:r w:rsidRPr="00947851">
        <w:rPr>
          <w:rFonts w:eastAsia="Calibri"/>
          <w:noProof/>
          <w:color w:val="4C4747"/>
          <w:spacing w:val="20"/>
        </w:rPr>
        <w:t>Como resultado de estas acciones, el Ministerio de la Presidencia mantuvo durante el período una ejecución financiera alineada a las mejores prácticas de la administración pública, garantizando que la mayoría de los pagos fueran realizados dentro del límite de 30 días. Esto contribuyó a fortalecer la confianza de los proveedores, mejorar la transparencia institucional y apoyar el buen desempeño del Sistema Nacional de Compras y Contrataciones.</w:t>
      </w:r>
    </w:p>
    <w:p w14:paraId="5BBDADD5" w14:textId="77777777" w:rsidR="008F6447" w:rsidRPr="00947851" w:rsidRDefault="008F6447" w:rsidP="00886F32">
      <w:pPr>
        <w:pStyle w:val="Bullet"/>
        <w:tabs>
          <w:tab w:val="left" w:pos="1260"/>
        </w:tabs>
        <w:spacing w:after="0" w:line="360" w:lineRule="auto"/>
        <w:ind w:left="720"/>
        <w:rPr>
          <w:rFonts w:eastAsia="Calibri"/>
          <w:noProof/>
          <w:color w:val="4C4747"/>
          <w:spacing w:val="20"/>
        </w:rPr>
      </w:pPr>
    </w:p>
    <w:p w14:paraId="1C08CF0E" w14:textId="77777777" w:rsidR="008F6447" w:rsidRPr="00DE7620" w:rsidRDefault="008F6447" w:rsidP="00751A6E">
      <w:pPr>
        <w:pStyle w:val="ListParagraph"/>
        <w:numPr>
          <w:ilvl w:val="2"/>
          <w:numId w:val="96"/>
        </w:numPr>
        <w:tabs>
          <w:tab w:val="left" w:pos="1260"/>
        </w:tabs>
        <w:spacing w:after="0" w:line="360" w:lineRule="auto"/>
        <w:ind w:left="1260"/>
        <w:rPr>
          <w:rFonts w:eastAsia="Calibri"/>
          <w:b/>
          <w:bCs/>
          <w:noProof/>
          <w:color w:val="4C4747"/>
        </w:rPr>
      </w:pPr>
      <w:r w:rsidRPr="00DE7620">
        <w:rPr>
          <w:rFonts w:eastAsia="Calibri"/>
          <w:b/>
          <w:bCs/>
          <w:noProof/>
          <w:color w:val="4C4747"/>
        </w:rPr>
        <w:t>Gestión de Compras y Contrataciones</w:t>
      </w:r>
    </w:p>
    <w:p w14:paraId="18FC1884" w14:textId="77777777" w:rsidR="008F6447" w:rsidRPr="00947851"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La gestión de compras y contrataciones del Ministerio de la Presidencia (MINPRE) durante el 2025 se llevó a cabo en estricto cumplimiento de las leyes, reglamentos y normativas vigentes que rigen los procesos de adquisición del Estado.</w:t>
      </w:r>
    </w:p>
    <w:p w14:paraId="1A453DEC" w14:textId="77777777" w:rsidR="008F6447"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En todo momento, se respetaron los umbrales establecidos para cada modalidad, garantizando transparencia y eficiencia en la ejecución de los recursos públicos.</w:t>
      </w:r>
    </w:p>
    <w:p w14:paraId="6D654286" w14:textId="77777777" w:rsidR="008F6447" w:rsidRPr="00947851" w:rsidRDefault="008F6447" w:rsidP="00886F32">
      <w:pPr>
        <w:pStyle w:val="Bullet"/>
        <w:numPr>
          <w:ilvl w:val="0"/>
          <w:numId w:val="24"/>
        </w:numPr>
        <w:tabs>
          <w:tab w:val="left" w:pos="1260"/>
        </w:tabs>
        <w:spacing w:after="0" w:line="360" w:lineRule="auto"/>
        <w:rPr>
          <w:rFonts w:eastAsia="Calibri"/>
          <w:noProof/>
          <w:color w:val="4C4747"/>
          <w:spacing w:val="20"/>
        </w:rPr>
      </w:pPr>
      <w:r w:rsidRPr="00947851">
        <w:rPr>
          <w:rFonts w:eastAsia="Calibri"/>
          <w:noProof/>
          <w:color w:val="4C4747"/>
          <w:spacing w:val="20"/>
        </w:rPr>
        <w:t>Cumplimos el 93.16% del Plan Anual de Compras (PAC) al 30 de noviembre.</w:t>
      </w:r>
    </w:p>
    <w:p w14:paraId="60B60CEF" w14:textId="77777777" w:rsidR="008F6447" w:rsidRPr="00947851" w:rsidRDefault="008F6447" w:rsidP="00886F32">
      <w:pPr>
        <w:pStyle w:val="Bullet"/>
        <w:numPr>
          <w:ilvl w:val="0"/>
          <w:numId w:val="24"/>
        </w:numPr>
        <w:tabs>
          <w:tab w:val="left" w:pos="1260"/>
        </w:tabs>
        <w:spacing w:after="0" w:line="360" w:lineRule="auto"/>
        <w:rPr>
          <w:rFonts w:eastAsia="Calibri"/>
          <w:noProof/>
          <w:color w:val="4C4747"/>
          <w:spacing w:val="20"/>
        </w:rPr>
      </w:pPr>
      <w:r w:rsidRPr="00947851">
        <w:rPr>
          <w:rFonts w:eastAsia="Calibri"/>
          <w:noProof/>
          <w:color w:val="4C4747"/>
          <w:spacing w:val="20"/>
        </w:rPr>
        <w:t>Obtuvimos mayor participación de oferentes gracias a procesos transparentes y abiertos.</w:t>
      </w:r>
    </w:p>
    <w:p w14:paraId="431B0936" w14:textId="77777777" w:rsidR="008F6447" w:rsidRPr="00947851" w:rsidRDefault="008F6447" w:rsidP="00886F32">
      <w:pPr>
        <w:pStyle w:val="Bullet"/>
        <w:numPr>
          <w:ilvl w:val="0"/>
          <w:numId w:val="24"/>
        </w:numPr>
        <w:tabs>
          <w:tab w:val="left" w:pos="1260"/>
        </w:tabs>
        <w:spacing w:after="0" w:line="360" w:lineRule="auto"/>
        <w:rPr>
          <w:rFonts w:eastAsia="Calibri"/>
          <w:noProof/>
          <w:color w:val="4C4747"/>
          <w:spacing w:val="20"/>
        </w:rPr>
      </w:pPr>
      <w:r w:rsidRPr="00947851">
        <w:rPr>
          <w:rFonts w:eastAsia="Calibri"/>
          <w:noProof/>
          <w:color w:val="4C4747"/>
          <w:spacing w:val="20"/>
        </w:rPr>
        <w:t>No tuvimos observaciones significativas en procesos verificados por el órgano rector.</w:t>
      </w:r>
    </w:p>
    <w:p w14:paraId="7F3D3507" w14:textId="77777777" w:rsidR="008F6447" w:rsidRPr="00947851" w:rsidRDefault="008F6447" w:rsidP="00886F32">
      <w:pPr>
        <w:pStyle w:val="Bullet"/>
        <w:numPr>
          <w:ilvl w:val="0"/>
          <w:numId w:val="24"/>
        </w:numPr>
        <w:tabs>
          <w:tab w:val="left" w:pos="1260"/>
        </w:tabs>
        <w:spacing w:after="0" w:line="360" w:lineRule="auto"/>
        <w:rPr>
          <w:rFonts w:eastAsia="Calibri"/>
          <w:noProof/>
          <w:color w:val="4C4747"/>
          <w:spacing w:val="20"/>
        </w:rPr>
      </w:pPr>
      <w:r w:rsidRPr="00947851">
        <w:rPr>
          <w:rFonts w:eastAsia="Calibri"/>
          <w:noProof/>
          <w:color w:val="4C4747"/>
          <w:spacing w:val="20"/>
        </w:rPr>
        <w:t>Realizamos la publicación oportuna de procesos en el portal transaccional para garantizar trazabilidad.</w:t>
      </w:r>
    </w:p>
    <w:p w14:paraId="6A285AA1" w14:textId="77777777" w:rsidR="008F6447" w:rsidRPr="00947851" w:rsidRDefault="008F6447" w:rsidP="00886F32">
      <w:pPr>
        <w:tabs>
          <w:tab w:val="left" w:pos="1260"/>
        </w:tabs>
        <w:spacing w:after="0" w:line="360" w:lineRule="auto"/>
        <w:ind w:left="720"/>
        <w:jc w:val="both"/>
        <w:rPr>
          <w:rFonts w:eastAsia="Calibri"/>
          <w:noProof/>
          <w:color w:val="4C4747"/>
          <w:lang w:val="es-DO"/>
        </w:rPr>
      </w:pPr>
    </w:p>
    <w:p w14:paraId="2929D3E4" w14:textId="77777777" w:rsidR="008F6447"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lastRenderedPageBreak/>
        <w:t>El Ministerio de la Presidencia desarrolló una gestión de adquisiciones alineada con los principios de eficiencia, transparencia y cumplimiento normativo establecidos por la Ley 340-06 y su reglamento de aplicación. Durante este período se adjudicaron 91 procesos de compras y contrataciones, distribuidos en diferentes modalidades según las características y necesidades institucionales.</w:t>
      </w:r>
    </w:p>
    <w:p w14:paraId="6689AB54" w14:textId="77777777" w:rsidR="008F6447" w:rsidRPr="00947851" w:rsidRDefault="008F6447" w:rsidP="00886F32">
      <w:pPr>
        <w:tabs>
          <w:tab w:val="left" w:pos="1260"/>
        </w:tabs>
        <w:spacing w:after="0" w:line="360" w:lineRule="auto"/>
        <w:ind w:left="720"/>
        <w:jc w:val="both"/>
        <w:rPr>
          <w:rFonts w:eastAsia="Calibri"/>
          <w:noProof/>
          <w:color w:val="4C4747"/>
          <w:lang w:val="es-DO"/>
        </w:rPr>
      </w:pPr>
    </w:p>
    <w:p w14:paraId="13AD451A" w14:textId="77777777" w:rsidR="008F6447"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Del total ejecutado, 40 procesos correspondieron a Compras por Debajo del Umbral, orientados a la adquisición oportuna de bienes y servicios de bajo volumen económico pero esenciales para el funcionamiento operativo. Asimismo, se realizaron 38 Compras Menores, las cuales permitieron atender requerimientos inmediatos de las distintas áreas sustantivas y de apoyo, garantizando continuidad en las operaciones institucionales.</w:t>
      </w:r>
    </w:p>
    <w:p w14:paraId="775684CF" w14:textId="77777777" w:rsidR="008F6447" w:rsidRPr="00947851" w:rsidRDefault="008F6447" w:rsidP="00886F32">
      <w:pPr>
        <w:tabs>
          <w:tab w:val="left" w:pos="1260"/>
        </w:tabs>
        <w:spacing w:after="0" w:line="360" w:lineRule="auto"/>
        <w:ind w:left="720"/>
        <w:jc w:val="both"/>
        <w:rPr>
          <w:rFonts w:eastAsia="Calibri"/>
          <w:noProof/>
          <w:color w:val="4C4747"/>
          <w:lang w:val="es-DO"/>
        </w:rPr>
      </w:pPr>
    </w:p>
    <w:p w14:paraId="3FEBFE1B" w14:textId="77777777" w:rsidR="008F6447"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En cumplimiento de las disposiciones que promueven la competencia y la transparencia, se llevaron a cabo 4 procesos mediante Comparación de Precios, asegurando la selección de ofertas más ventajosas para el Estado. De igual manera, se ejecutaron 8 Compras por Excepción, fundamentadas en causas debidamente justificadas conforme a la normativa vigente y orientadas a responder situaciones específicas que requerían atención inmediata.</w:t>
      </w:r>
    </w:p>
    <w:p w14:paraId="1AC87AE2" w14:textId="77777777" w:rsidR="008F6447" w:rsidRPr="00947851" w:rsidRDefault="008F6447" w:rsidP="00886F32">
      <w:pPr>
        <w:tabs>
          <w:tab w:val="left" w:pos="1260"/>
        </w:tabs>
        <w:spacing w:after="0" w:line="360" w:lineRule="auto"/>
        <w:ind w:left="720"/>
        <w:jc w:val="both"/>
        <w:rPr>
          <w:rFonts w:eastAsia="Calibri"/>
          <w:noProof/>
          <w:color w:val="4C4747"/>
          <w:lang w:val="es-DO"/>
        </w:rPr>
      </w:pPr>
    </w:p>
    <w:p w14:paraId="5B802D72" w14:textId="77777777" w:rsidR="008F6447" w:rsidRPr="00947851"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Finalmente, el Ministerio realizó 1 Subasta Inversa, modalidad que fomenta la participación amplia de proveedores y permite obtener mejores condiciones de precio en bienes y servicios estandarizados.</w:t>
      </w:r>
    </w:p>
    <w:p w14:paraId="5F5C4DDF" w14:textId="77777777" w:rsidR="008F6447" w:rsidRDefault="008F6447" w:rsidP="00886F32">
      <w:pPr>
        <w:tabs>
          <w:tab w:val="left" w:pos="1260"/>
        </w:tabs>
        <w:spacing w:after="0" w:line="360" w:lineRule="auto"/>
        <w:ind w:left="720"/>
        <w:jc w:val="both"/>
        <w:rPr>
          <w:rFonts w:eastAsia="Calibri"/>
          <w:noProof/>
          <w:color w:val="4C4747"/>
          <w:lang w:val="es-DO"/>
        </w:rPr>
      </w:pPr>
    </w:p>
    <w:p w14:paraId="73244D95" w14:textId="77777777" w:rsidR="008F6447" w:rsidRPr="00947851"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lastRenderedPageBreak/>
        <w:t xml:space="preserve">En la </w:t>
      </w:r>
      <w:r>
        <w:rPr>
          <w:rFonts w:eastAsia="Calibri"/>
          <w:noProof/>
          <w:color w:val="4C4747"/>
          <w:lang w:val="es-DO"/>
        </w:rPr>
        <w:t>siguiente gráfica</w:t>
      </w:r>
      <w:r w:rsidRPr="00947851">
        <w:rPr>
          <w:rFonts w:eastAsia="Calibri"/>
          <w:noProof/>
          <w:color w:val="4C4747"/>
          <w:lang w:val="es-DO"/>
        </w:rPr>
        <w:t>, se puede visualizar con más detalles los referidos procesos.</w:t>
      </w:r>
    </w:p>
    <w:p w14:paraId="52C14AB5" w14:textId="283C4FE6" w:rsidR="008F6447" w:rsidRDefault="008F6447" w:rsidP="00886F32">
      <w:pPr>
        <w:tabs>
          <w:tab w:val="left" w:pos="1260"/>
        </w:tabs>
        <w:spacing w:after="0" w:line="360" w:lineRule="auto"/>
        <w:ind w:left="720"/>
        <w:jc w:val="both"/>
        <w:rPr>
          <w:rFonts w:eastAsia="Calibri"/>
          <w:noProof/>
          <w:color w:val="4C4747"/>
          <w:lang w:val="es-DO"/>
        </w:rPr>
      </w:pPr>
      <w:r>
        <w:rPr>
          <w:noProof/>
        </w:rPr>
        <w:drawing>
          <wp:inline distT="0" distB="0" distL="0" distR="0" wp14:anchorId="77F3FEAF" wp14:editId="283A8982">
            <wp:extent cx="4492978" cy="2551289"/>
            <wp:effectExtent l="0" t="0" r="3175" b="1905"/>
            <wp:docPr id="1836801958" name="Chart 1836801958">
              <a:extLst xmlns:a="http://schemas.openxmlformats.org/drawingml/2006/main">
                <a:ext uri="{FF2B5EF4-FFF2-40B4-BE49-F238E27FC236}">
                  <a16:creationId xmlns:a16="http://schemas.microsoft.com/office/drawing/2014/main" id="{5BCF6867-5D75-8820-57BF-C7C95279F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D20179" w14:textId="4851C28D" w:rsidR="00623FB3" w:rsidRPr="00623FB3" w:rsidRDefault="00623FB3" w:rsidP="00886F32">
      <w:pPr>
        <w:tabs>
          <w:tab w:val="left" w:pos="1260"/>
        </w:tabs>
        <w:spacing w:after="0" w:line="360" w:lineRule="auto"/>
        <w:ind w:left="720"/>
        <w:jc w:val="both"/>
        <w:rPr>
          <w:rFonts w:eastAsia="Calibri"/>
          <w:i/>
          <w:iCs/>
          <w:noProof/>
          <w:color w:val="4C4747"/>
          <w:lang w:val="es-DO"/>
        </w:rPr>
      </w:pPr>
      <w:r w:rsidRPr="00623FB3">
        <w:rPr>
          <w:rFonts w:eastAsia="Calibri"/>
          <w:i/>
          <w:iCs/>
          <w:noProof/>
          <w:color w:val="4C4747"/>
          <w:lang w:val="es-DO"/>
        </w:rPr>
        <w:t>Gráfica 2. P</w:t>
      </w:r>
      <w:r w:rsidR="00921AE4">
        <w:rPr>
          <w:rFonts w:eastAsia="Calibri"/>
          <w:i/>
          <w:iCs/>
          <w:noProof/>
          <w:color w:val="4C4747"/>
          <w:lang w:val="es-DO"/>
        </w:rPr>
        <w:t>r</w:t>
      </w:r>
      <w:r w:rsidRPr="00623FB3">
        <w:rPr>
          <w:rFonts w:eastAsia="Calibri"/>
          <w:i/>
          <w:iCs/>
          <w:noProof/>
          <w:color w:val="4C4747"/>
          <w:lang w:val="es-DO"/>
        </w:rPr>
        <w:t>ocesos de Compras</w:t>
      </w:r>
    </w:p>
    <w:p w14:paraId="5C5BEC13" w14:textId="77777777" w:rsidR="008F6447" w:rsidRDefault="008F6447" w:rsidP="00886F32">
      <w:pPr>
        <w:tabs>
          <w:tab w:val="left" w:pos="1260"/>
        </w:tabs>
        <w:spacing w:after="0" w:line="360" w:lineRule="auto"/>
        <w:ind w:left="720"/>
        <w:jc w:val="both"/>
        <w:rPr>
          <w:rFonts w:eastAsia="Calibri"/>
          <w:noProof/>
          <w:color w:val="4C4747"/>
          <w:lang w:val="es-DO"/>
        </w:rPr>
      </w:pPr>
    </w:p>
    <w:p w14:paraId="4D7C8B70" w14:textId="77777777" w:rsidR="008F6447" w:rsidRPr="00947851"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El gráfico circular presenta la proporción de cada tipo de proceso respecto al total de 91 procesos realizados. Se puede apreciar que las Compras por Debajo del Umbral y las Compras Menores juntas representan aproximadamente el 86% del total de procesos.</w:t>
      </w:r>
    </w:p>
    <w:p w14:paraId="3DFE2F2A" w14:textId="64056FC6" w:rsidR="008F6447" w:rsidRDefault="008F6447" w:rsidP="00886F32">
      <w:pPr>
        <w:tabs>
          <w:tab w:val="left" w:pos="1260"/>
        </w:tabs>
        <w:spacing w:after="0" w:line="360" w:lineRule="auto"/>
        <w:ind w:left="720"/>
        <w:jc w:val="both"/>
        <w:rPr>
          <w:rFonts w:eastAsia="Calibri"/>
          <w:noProof/>
          <w:color w:val="4C4747"/>
          <w:lang w:val="es-DO"/>
        </w:rPr>
      </w:pPr>
      <w:r>
        <w:rPr>
          <w:noProof/>
        </w:rPr>
        <w:drawing>
          <wp:inline distT="0" distB="0" distL="0" distR="0" wp14:anchorId="0F61289B" wp14:editId="651FE69D">
            <wp:extent cx="4538133" cy="2585156"/>
            <wp:effectExtent l="0" t="0" r="15240" b="5715"/>
            <wp:docPr id="1836801959" name="Chart 1836801959">
              <a:extLst xmlns:a="http://schemas.openxmlformats.org/drawingml/2006/main">
                <a:ext uri="{FF2B5EF4-FFF2-40B4-BE49-F238E27FC236}">
                  <a16:creationId xmlns:a16="http://schemas.microsoft.com/office/drawing/2014/main" id="{7EC0D553-48EB-4FBF-3CC5-B9B9E4EF9D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F5912A" w14:textId="23EC5813" w:rsidR="00921AE4" w:rsidRPr="00623FB3" w:rsidRDefault="00921AE4" w:rsidP="00886F32">
      <w:pPr>
        <w:tabs>
          <w:tab w:val="left" w:pos="1260"/>
        </w:tabs>
        <w:spacing w:after="0" w:line="360" w:lineRule="auto"/>
        <w:ind w:left="720"/>
        <w:jc w:val="both"/>
        <w:rPr>
          <w:rFonts w:eastAsia="Calibri"/>
          <w:i/>
          <w:iCs/>
          <w:noProof/>
          <w:color w:val="4C4747"/>
          <w:lang w:val="es-DO"/>
        </w:rPr>
      </w:pPr>
      <w:r w:rsidRPr="00623FB3">
        <w:rPr>
          <w:rFonts w:eastAsia="Calibri"/>
          <w:i/>
          <w:iCs/>
          <w:noProof/>
          <w:color w:val="4C4747"/>
          <w:lang w:val="es-DO"/>
        </w:rPr>
        <w:t xml:space="preserve">Gráfica </w:t>
      </w:r>
      <w:r>
        <w:rPr>
          <w:rFonts w:eastAsia="Calibri"/>
          <w:i/>
          <w:iCs/>
          <w:noProof/>
          <w:color w:val="4C4747"/>
          <w:lang w:val="es-DO"/>
        </w:rPr>
        <w:t>3</w:t>
      </w:r>
      <w:r w:rsidRPr="00623FB3">
        <w:rPr>
          <w:rFonts w:eastAsia="Calibri"/>
          <w:i/>
          <w:iCs/>
          <w:noProof/>
          <w:color w:val="4C4747"/>
          <w:lang w:val="es-DO"/>
        </w:rPr>
        <w:t xml:space="preserve">. </w:t>
      </w:r>
      <w:r>
        <w:rPr>
          <w:rFonts w:eastAsia="Calibri"/>
          <w:i/>
          <w:iCs/>
          <w:noProof/>
          <w:color w:val="4C4747"/>
          <w:lang w:val="es-DO"/>
        </w:rPr>
        <w:t>Distribución por Tipo</w:t>
      </w:r>
      <w:r w:rsidRPr="00623FB3">
        <w:rPr>
          <w:rFonts w:eastAsia="Calibri"/>
          <w:i/>
          <w:iCs/>
          <w:noProof/>
          <w:color w:val="4C4747"/>
          <w:lang w:val="es-DO"/>
        </w:rPr>
        <w:t xml:space="preserve"> de</w:t>
      </w:r>
      <w:r>
        <w:rPr>
          <w:rFonts w:eastAsia="Calibri"/>
          <w:i/>
          <w:iCs/>
          <w:noProof/>
          <w:color w:val="4C4747"/>
          <w:lang w:val="es-DO"/>
        </w:rPr>
        <w:t xml:space="preserve"> Proceso de</w:t>
      </w:r>
      <w:r w:rsidRPr="00623FB3">
        <w:rPr>
          <w:rFonts w:eastAsia="Calibri"/>
          <w:i/>
          <w:iCs/>
          <w:noProof/>
          <w:color w:val="4C4747"/>
          <w:lang w:val="es-DO"/>
        </w:rPr>
        <w:t xml:space="preserve"> Compras</w:t>
      </w:r>
    </w:p>
    <w:p w14:paraId="3F9DFCBC" w14:textId="77777777" w:rsidR="00921AE4" w:rsidRPr="00947851" w:rsidRDefault="00921AE4" w:rsidP="00886F32">
      <w:pPr>
        <w:tabs>
          <w:tab w:val="left" w:pos="1260"/>
        </w:tabs>
        <w:spacing w:after="0" w:line="360" w:lineRule="auto"/>
        <w:ind w:left="720"/>
        <w:jc w:val="both"/>
        <w:rPr>
          <w:rFonts w:eastAsia="Calibri"/>
          <w:noProof/>
          <w:color w:val="4C4747"/>
          <w:lang w:val="es-DO"/>
        </w:rPr>
      </w:pPr>
    </w:p>
    <w:p w14:paraId="5B64322D" w14:textId="77777777" w:rsidR="008F6447" w:rsidRPr="00947851" w:rsidRDefault="008F6447" w:rsidP="00886F32">
      <w:pPr>
        <w:tabs>
          <w:tab w:val="left" w:pos="1260"/>
        </w:tabs>
        <w:spacing w:after="0" w:line="360" w:lineRule="auto"/>
        <w:ind w:left="720"/>
        <w:jc w:val="both"/>
        <w:rPr>
          <w:rFonts w:eastAsia="Calibri"/>
          <w:noProof/>
          <w:color w:val="4C4747"/>
          <w:lang w:val="es-DO"/>
        </w:rPr>
      </w:pPr>
    </w:p>
    <w:p w14:paraId="2DE5D2F9" w14:textId="77777777" w:rsidR="008F6447" w:rsidRDefault="008F6447"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La correcta aplicación de estas modalidades refleja el compromiso institucional con la gestión responsable de los recursos públicos, el fortalecimiento de los controles internos y la mejora continua de los procesos de compras y contrataciones, garantizando así una administración eficiente y transparente durante el período 2025.</w:t>
      </w:r>
    </w:p>
    <w:p w14:paraId="2306563F" w14:textId="77777777" w:rsidR="008F6447" w:rsidRDefault="008F6447" w:rsidP="00886F32">
      <w:pPr>
        <w:tabs>
          <w:tab w:val="left" w:pos="1260"/>
        </w:tabs>
        <w:spacing w:after="0" w:line="360" w:lineRule="auto"/>
        <w:ind w:left="720"/>
        <w:jc w:val="both"/>
        <w:rPr>
          <w:rFonts w:eastAsia="Calibri"/>
          <w:noProof/>
          <w:color w:val="4C4747"/>
          <w:lang w:val="es-DO"/>
        </w:rPr>
      </w:pPr>
    </w:p>
    <w:p w14:paraId="19A38C18" w14:textId="53EA15DF"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Mantenemos el compromiso en el cumplimiento de</w:t>
      </w:r>
      <w:r w:rsidR="0036247D">
        <w:rPr>
          <w:rFonts w:eastAsia="Calibri"/>
          <w:noProof/>
          <w:color w:val="4C4747"/>
          <w:lang w:val="es-DO"/>
        </w:rPr>
        <w:t xml:space="preserve"> lo</w:t>
      </w:r>
      <w:r w:rsidRPr="00947851">
        <w:rPr>
          <w:rFonts w:eastAsia="Calibri"/>
          <w:noProof/>
          <w:color w:val="4C4747"/>
          <w:lang w:val="es-DO"/>
        </w:rPr>
        <w:t xml:space="preserve"> planificado para este año 2025 de manera satisfactoria, y los resultados de las mediciones de los órganos rectores que impactan esta Dirección Administrativa y Financiera, indican el buen desempeño del Dirección, estos son el SISCOMPRAS, el SISACNOC y Compras Verdes.</w:t>
      </w:r>
    </w:p>
    <w:p w14:paraId="15EC3951" w14:textId="77777777" w:rsidR="008F6447" w:rsidRDefault="008F6447" w:rsidP="00886F32">
      <w:pPr>
        <w:tabs>
          <w:tab w:val="left" w:pos="1260"/>
        </w:tabs>
        <w:spacing w:after="0" w:line="360" w:lineRule="auto"/>
        <w:ind w:left="720"/>
        <w:jc w:val="both"/>
        <w:rPr>
          <w:rFonts w:eastAsia="Calibri"/>
          <w:noProof/>
          <w:color w:val="4C4747"/>
          <w:lang w:val="es-DO"/>
        </w:rPr>
      </w:pPr>
    </w:p>
    <w:p w14:paraId="32423D7A" w14:textId="77777777" w:rsidR="00947851" w:rsidRDefault="00947851" w:rsidP="00886F32">
      <w:pPr>
        <w:tabs>
          <w:tab w:val="left" w:pos="1260"/>
        </w:tabs>
        <w:spacing w:after="0" w:line="360" w:lineRule="auto"/>
        <w:ind w:left="720"/>
        <w:jc w:val="both"/>
        <w:rPr>
          <w:rFonts w:eastAsia="Calibri"/>
          <w:noProof/>
          <w:color w:val="4C4747"/>
          <w:lang w:val="es-DO"/>
        </w:rPr>
      </w:pPr>
      <w:r w:rsidRPr="006B177F">
        <w:rPr>
          <w:rFonts w:eastAsia="Calibri"/>
          <w:b/>
          <w:bCs/>
          <w:noProof/>
          <w:color w:val="4C4747"/>
          <w:lang w:val="es-DO"/>
        </w:rPr>
        <w:t>SISCOMPRAS:</w:t>
      </w:r>
      <w:r w:rsidRPr="00947851">
        <w:rPr>
          <w:rFonts w:eastAsia="Calibri"/>
          <w:noProof/>
          <w:color w:val="4C4747"/>
          <w:lang w:val="es-DO"/>
        </w:rPr>
        <w:t xml:space="preserve"> es el Indicador de uso del Sistema Nacional de Contrataciones Públicas. En él se mide: planificación de compras, publicación y gestión de procesos, administración de contratos, compra MiPymes, personas físicas y MiPymes mujeres.</w:t>
      </w:r>
    </w:p>
    <w:p w14:paraId="11716387" w14:textId="4AD00E84" w:rsidR="006B177F" w:rsidRDefault="006B177F"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drawing>
          <wp:inline distT="0" distB="0" distL="0" distR="0" wp14:anchorId="1E1F75EE" wp14:editId="0F58E54B">
            <wp:extent cx="4580679" cy="2269067"/>
            <wp:effectExtent l="0" t="0" r="0" b="0"/>
            <wp:docPr id="56" name="Picture 56" descr="cid:e6290986-8dc5-4b3d-b7e4-b8eddee5ea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6290986-8dc5-4b3d-b7e4-b8eddee5ea64"/>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4587977" cy="2272682"/>
                    </a:xfrm>
                    <a:prstGeom prst="rect">
                      <a:avLst/>
                    </a:prstGeom>
                    <a:noFill/>
                    <a:ln>
                      <a:noFill/>
                    </a:ln>
                  </pic:spPr>
                </pic:pic>
              </a:graphicData>
            </a:graphic>
          </wp:inline>
        </w:drawing>
      </w:r>
    </w:p>
    <w:p w14:paraId="2AC9B82B" w14:textId="7B84B2EB" w:rsidR="00434604" w:rsidRPr="00434604" w:rsidRDefault="00434604" w:rsidP="00886F32">
      <w:pPr>
        <w:tabs>
          <w:tab w:val="left" w:pos="1260"/>
        </w:tabs>
        <w:spacing w:after="0" w:line="360" w:lineRule="auto"/>
        <w:ind w:left="720"/>
        <w:jc w:val="both"/>
        <w:rPr>
          <w:rFonts w:eastAsia="Calibri"/>
          <w:i/>
          <w:iCs/>
          <w:noProof/>
          <w:color w:val="4C4747"/>
          <w:lang w:val="es-DO"/>
        </w:rPr>
      </w:pPr>
      <w:r w:rsidRPr="00434604">
        <w:rPr>
          <w:rFonts w:eastAsia="Calibri"/>
          <w:i/>
          <w:iCs/>
          <w:noProof/>
          <w:color w:val="4C4747"/>
          <w:lang w:val="es-DO"/>
        </w:rPr>
        <w:t>Imágen 1. SISCOMPRAS T1</w:t>
      </w:r>
    </w:p>
    <w:p w14:paraId="58B207CE" w14:textId="426BBB23" w:rsidR="006B177F" w:rsidRDefault="006B177F"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lastRenderedPageBreak/>
        <w:drawing>
          <wp:inline distT="0" distB="0" distL="0" distR="0" wp14:anchorId="25AA8827" wp14:editId="51E055C3">
            <wp:extent cx="4598839" cy="2302933"/>
            <wp:effectExtent l="0" t="0" r="0" b="2540"/>
            <wp:docPr id="57" name="Picture 57" descr="cid:b3e71508-583b-4231-9eba-19e82e9603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descr="cid:b3e71508-583b-4231-9eba-19e82e9603eb"/>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4605318" cy="2306178"/>
                    </a:xfrm>
                    <a:prstGeom prst="rect">
                      <a:avLst/>
                    </a:prstGeom>
                    <a:noFill/>
                    <a:ln>
                      <a:noFill/>
                    </a:ln>
                  </pic:spPr>
                </pic:pic>
              </a:graphicData>
            </a:graphic>
          </wp:inline>
        </w:drawing>
      </w:r>
    </w:p>
    <w:p w14:paraId="43860F8E" w14:textId="77777777" w:rsidR="004A02B3" w:rsidRDefault="004A02B3" w:rsidP="00886F32">
      <w:pPr>
        <w:tabs>
          <w:tab w:val="left" w:pos="1260"/>
        </w:tabs>
        <w:spacing w:after="0" w:line="360" w:lineRule="auto"/>
        <w:ind w:left="720"/>
        <w:jc w:val="both"/>
        <w:rPr>
          <w:rFonts w:eastAsia="Calibri"/>
          <w:i/>
          <w:iCs/>
          <w:noProof/>
          <w:color w:val="4C4747"/>
          <w:lang w:val="es-DO"/>
        </w:rPr>
      </w:pPr>
      <w:r w:rsidRPr="00434604">
        <w:rPr>
          <w:rFonts w:eastAsia="Calibri"/>
          <w:i/>
          <w:iCs/>
          <w:noProof/>
          <w:color w:val="4C4747"/>
          <w:lang w:val="es-DO"/>
        </w:rPr>
        <w:t xml:space="preserve">Imágen </w:t>
      </w:r>
      <w:r>
        <w:rPr>
          <w:rFonts w:eastAsia="Calibri"/>
          <w:i/>
          <w:iCs/>
          <w:noProof/>
          <w:color w:val="4C4747"/>
          <w:lang w:val="es-DO"/>
        </w:rPr>
        <w:t>2</w:t>
      </w:r>
      <w:r w:rsidRPr="00434604">
        <w:rPr>
          <w:rFonts w:eastAsia="Calibri"/>
          <w:i/>
          <w:iCs/>
          <w:noProof/>
          <w:color w:val="4C4747"/>
          <w:lang w:val="es-DO"/>
        </w:rPr>
        <w:t>. SISCOMPRAS T</w:t>
      </w:r>
      <w:r>
        <w:rPr>
          <w:rFonts w:eastAsia="Calibri"/>
          <w:i/>
          <w:iCs/>
          <w:noProof/>
          <w:color w:val="4C4747"/>
          <w:lang w:val="es-DO"/>
        </w:rPr>
        <w:t>2</w:t>
      </w:r>
    </w:p>
    <w:p w14:paraId="5A305EFC" w14:textId="393D6E53" w:rsidR="006B177F" w:rsidRDefault="00D12416"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drawing>
          <wp:anchor distT="0" distB="0" distL="114300" distR="114300" simplePos="0" relativeHeight="251714560" behindDoc="1" locked="0" layoutInCell="1" allowOverlap="1" wp14:anchorId="339F287D" wp14:editId="17BED0CA">
            <wp:simplePos x="0" y="0"/>
            <wp:positionH relativeFrom="column">
              <wp:posOffset>435892</wp:posOffset>
            </wp:positionH>
            <wp:positionV relativeFrom="paragraph">
              <wp:posOffset>189230</wp:posOffset>
            </wp:positionV>
            <wp:extent cx="4619625" cy="2663825"/>
            <wp:effectExtent l="0" t="0" r="9525" b="3175"/>
            <wp:wrapTight wrapText="bothSides">
              <wp:wrapPolygon edited="0">
                <wp:start x="0" y="0"/>
                <wp:lineTo x="0" y="21471"/>
                <wp:lineTo x="21555" y="21471"/>
                <wp:lineTo x="21555" y="0"/>
                <wp:lineTo x="0" y="0"/>
              </wp:wrapPolygon>
            </wp:wrapTight>
            <wp:docPr id="58" name="Picture 58" descr="cid:b2729d99-127c-4081-b94f-83594bf326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b2729d99-127c-4081-b94f-83594bf326f4"/>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619625" cy="2663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6A020E" w14:textId="08108524" w:rsidR="004A02B3" w:rsidRPr="00434604" w:rsidRDefault="004A02B3" w:rsidP="00886F32">
      <w:pPr>
        <w:tabs>
          <w:tab w:val="left" w:pos="1260"/>
        </w:tabs>
        <w:spacing w:after="0" w:line="360" w:lineRule="auto"/>
        <w:ind w:left="720"/>
        <w:jc w:val="both"/>
        <w:rPr>
          <w:rFonts w:eastAsia="Calibri"/>
          <w:i/>
          <w:iCs/>
          <w:noProof/>
          <w:color w:val="4C4747"/>
          <w:lang w:val="es-DO"/>
        </w:rPr>
      </w:pPr>
      <w:r w:rsidRPr="00434604">
        <w:rPr>
          <w:rFonts w:eastAsia="Calibri"/>
          <w:i/>
          <w:iCs/>
          <w:noProof/>
          <w:color w:val="4C4747"/>
          <w:lang w:val="es-DO"/>
        </w:rPr>
        <w:t xml:space="preserve">Imágen </w:t>
      </w:r>
      <w:r w:rsidR="007175E1">
        <w:rPr>
          <w:rFonts w:eastAsia="Calibri"/>
          <w:i/>
          <w:iCs/>
          <w:noProof/>
          <w:color w:val="4C4747"/>
          <w:lang w:val="es-DO"/>
        </w:rPr>
        <w:t>3</w:t>
      </w:r>
      <w:r w:rsidRPr="00434604">
        <w:rPr>
          <w:rFonts w:eastAsia="Calibri"/>
          <w:i/>
          <w:iCs/>
          <w:noProof/>
          <w:color w:val="4C4747"/>
          <w:lang w:val="es-DO"/>
        </w:rPr>
        <w:t>. SISCOMPRAS T</w:t>
      </w:r>
      <w:r w:rsidR="007175E1">
        <w:rPr>
          <w:rFonts w:eastAsia="Calibri"/>
          <w:i/>
          <w:iCs/>
          <w:noProof/>
          <w:color w:val="4C4747"/>
          <w:lang w:val="es-DO"/>
        </w:rPr>
        <w:t>3</w:t>
      </w:r>
    </w:p>
    <w:p w14:paraId="6C2B83A5" w14:textId="18DDC308" w:rsidR="004A02B3" w:rsidRPr="004A02B3" w:rsidRDefault="004A02B3" w:rsidP="00886F32">
      <w:pPr>
        <w:tabs>
          <w:tab w:val="left" w:pos="2025"/>
        </w:tabs>
        <w:spacing w:after="0" w:line="360" w:lineRule="auto"/>
        <w:ind w:left="720"/>
        <w:rPr>
          <w:rFonts w:eastAsia="Calibri"/>
          <w:lang w:val="es-DO"/>
        </w:rPr>
      </w:pPr>
    </w:p>
    <w:p w14:paraId="0CB8D12D" w14:textId="77777777" w:rsidR="006B177F" w:rsidRPr="00947851" w:rsidRDefault="006B177F" w:rsidP="00886F32">
      <w:pPr>
        <w:tabs>
          <w:tab w:val="left" w:pos="1260"/>
        </w:tabs>
        <w:spacing w:after="0" w:line="360" w:lineRule="auto"/>
        <w:ind w:left="720"/>
        <w:jc w:val="center"/>
        <w:rPr>
          <w:rFonts w:eastAsia="Calibri"/>
          <w:noProof/>
          <w:color w:val="4C4747"/>
          <w:lang w:val="es-DO"/>
        </w:rPr>
      </w:pPr>
      <w:r w:rsidRPr="00947851">
        <w:rPr>
          <w:rFonts w:eastAsia="Calibri"/>
          <w:noProof/>
          <w:color w:val="4C4747"/>
          <w:lang w:val="es-DO"/>
        </w:rPr>
        <w:lastRenderedPageBreak/>
        <w:drawing>
          <wp:inline distT="0" distB="0" distL="0" distR="0" wp14:anchorId="0343736C" wp14:editId="3523B3E2">
            <wp:extent cx="4413956" cy="2641808"/>
            <wp:effectExtent l="0" t="0" r="5715" b="6350"/>
            <wp:docPr id="59" name="Picture 59" descr="cid:15c03e60-3db3-49b8-89fd-5a28f8c67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15c03e60-3db3-49b8-89fd-5a28f8c6727b"/>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4479604" cy="2681099"/>
                    </a:xfrm>
                    <a:prstGeom prst="rect">
                      <a:avLst/>
                    </a:prstGeom>
                    <a:noFill/>
                    <a:ln>
                      <a:noFill/>
                    </a:ln>
                  </pic:spPr>
                </pic:pic>
              </a:graphicData>
            </a:graphic>
          </wp:inline>
        </w:drawing>
      </w:r>
    </w:p>
    <w:p w14:paraId="7CD06A73" w14:textId="55C989D6" w:rsidR="007175E1" w:rsidRPr="00434604" w:rsidRDefault="007175E1" w:rsidP="00886F32">
      <w:pPr>
        <w:tabs>
          <w:tab w:val="left" w:pos="1260"/>
        </w:tabs>
        <w:spacing w:after="0" w:line="360" w:lineRule="auto"/>
        <w:ind w:left="720"/>
        <w:jc w:val="both"/>
        <w:rPr>
          <w:rFonts w:eastAsia="Calibri"/>
          <w:i/>
          <w:iCs/>
          <w:noProof/>
          <w:color w:val="4C4747"/>
          <w:lang w:val="es-DO"/>
        </w:rPr>
      </w:pPr>
      <w:r w:rsidRPr="00434604">
        <w:rPr>
          <w:rFonts w:eastAsia="Calibri"/>
          <w:i/>
          <w:iCs/>
          <w:noProof/>
          <w:color w:val="4C4747"/>
          <w:lang w:val="es-DO"/>
        </w:rPr>
        <w:t xml:space="preserve">Imágen </w:t>
      </w:r>
      <w:r>
        <w:rPr>
          <w:rFonts w:eastAsia="Calibri"/>
          <w:i/>
          <w:iCs/>
          <w:noProof/>
          <w:color w:val="4C4747"/>
          <w:lang w:val="es-DO"/>
        </w:rPr>
        <w:t>4</w:t>
      </w:r>
      <w:r w:rsidRPr="00434604">
        <w:rPr>
          <w:rFonts w:eastAsia="Calibri"/>
          <w:i/>
          <w:iCs/>
          <w:noProof/>
          <w:color w:val="4C4747"/>
          <w:lang w:val="es-DO"/>
        </w:rPr>
        <w:t>. SISCOMPRAS T</w:t>
      </w:r>
      <w:r>
        <w:rPr>
          <w:rFonts w:eastAsia="Calibri"/>
          <w:i/>
          <w:iCs/>
          <w:noProof/>
          <w:color w:val="4C4747"/>
          <w:lang w:val="es-DO"/>
        </w:rPr>
        <w:t>4</w:t>
      </w:r>
    </w:p>
    <w:p w14:paraId="3E55F0CF" w14:textId="77777777" w:rsidR="006B177F" w:rsidRDefault="006B177F" w:rsidP="00886F32">
      <w:pPr>
        <w:pStyle w:val="Bullet"/>
        <w:tabs>
          <w:tab w:val="left" w:pos="1260"/>
        </w:tabs>
        <w:spacing w:afterLines="20" w:after="48" w:line="360" w:lineRule="auto"/>
        <w:ind w:left="720"/>
        <w:rPr>
          <w:rFonts w:eastAsia="Calibri"/>
          <w:b/>
          <w:bCs/>
          <w:noProof/>
          <w:color w:val="4C4747"/>
          <w:spacing w:val="20"/>
        </w:rPr>
      </w:pPr>
    </w:p>
    <w:p w14:paraId="323D331C" w14:textId="2F828C87" w:rsidR="00947851" w:rsidRDefault="00947851" w:rsidP="00886F32">
      <w:pPr>
        <w:pStyle w:val="Bullet"/>
        <w:tabs>
          <w:tab w:val="left" w:pos="1260"/>
        </w:tabs>
        <w:spacing w:afterLines="20" w:after="48" w:line="360" w:lineRule="auto"/>
        <w:ind w:left="720"/>
        <w:rPr>
          <w:rFonts w:eastAsia="Calibri"/>
          <w:noProof/>
          <w:color w:val="4C4747"/>
          <w:spacing w:val="20"/>
        </w:rPr>
      </w:pPr>
      <w:r w:rsidRPr="006B177F">
        <w:rPr>
          <w:rFonts w:eastAsia="Calibri"/>
          <w:b/>
          <w:bCs/>
          <w:noProof/>
          <w:color w:val="4C4747"/>
          <w:spacing w:val="20"/>
        </w:rPr>
        <w:t>SISACNOC:</w:t>
      </w:r>
      <w:r w:rsidRPr="00947851">
        <w:rPr>
          <w:rFonts w:eastAsia="Calibri"/>
          <w:noProof/>
          <w:color w:val="4C4747"/>
          <w:spacing w:val="20"/>
        </w:rPr>
        <w:t xml:space="preserve"> indicador que respalda la existencia de calidad y consistencia en las informaciones contables, remitidas por las instituciones, según las normas emitidas por la Dirección General de Contabilidad Gubernamental (DIGECOG), basadas en estándares nacionales e internacionales. </w:t>
      </w:r>
    </w:p>
    <w:p w14:paraId="6807C254" w14:textId="77777777" w:rsidR="008F6447" w:rsidRPr="00947851" w:rsidRDefault="008F6447" w:rsidP="00886F32">
      <w:pPr>
        <w:pStyle w:val="Bullet"/>
        <w:tabs>
          <w:tab w:val="left" w:pos="1260"/>
        </w:tabs>
        <w:spacing w:afterLines="20" w:after="48" w:line="360" w:lineRule="auto"/>
        <w:ind w:left="720"/>
        <w:rPr>
          <w:rFonts w:eastAsia="Calibri"/>
          <w:noProof/>
          <w:color w:val="4C4747"/>
          <w:spacing w:val="20"/>
        </w:rPr>
      </w:pPr>
    </w:p>
    <w:p w14:paraId="7EE0F47E" w14:textId="33CC1817"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Presentamos la calificacion del periodo 2024 que fue evaluado en enero del 2025 y el primer semestre del mismo año. DIGECOG evalua el segundo semestre los primero 15 días del año siguente.</w:t>
      </w:r>
    </w:p>
    <w:p w14:paraId="171074E5" w14:textId="77777777" w:rsidR="00947851" w:rsidRPr="006B177F" w:rsidRDefault="00947851" w:rsidP="00886F32">
      <w:pPr>
        <w:tabs>
          <w:tab w:val="left" w:pos="1260"/>
        </w:tabs>
        <w:spacing w:after="0" w:line="360" w:lineRule="auto"/>
        <w:ind w:left="720"/>
        <w:rPr>
          <w:rFonts w:eastAsia="Calibri"/>
          <w:b/>
          <w:bCs/>
          <w:noProof/>
          <w:color w:val="4C4747"/>
          <w:lang w:val="es-DO"/>
        </w:rPr>
      </w:pPr>
      <w:r w:rsidRPr="006B177F">
        <w:rPr>
          <w:rFonts w:eastAsia="Calibri"/>
          <w:b/>
          <w:bCs/>
          <w:noProof/>
          <w:color w:val="4C4747"/>
          <w:lang w:val="es-DO"/>
        </w:rPr>
        <w:t>2024</w:t>
      </w:r>
    </w:p>
    <w:p w14:paraId="6D61370D" w14:textId="2FB9B8C0"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drawing>
          <wp:inline distT="0" distB="0" distL="0" distR="0" wp14:anchorId="593CC3C3" wp14:editId="217DB45B">
            <wp:extent cx="4504267" cy="1469684"/>
            <wp:effectExtent l="0" t="0" r="0" b="0"/>
            <wp:docPr id="60" name="Picture 60" descr="cid:image001.png@01DC6447.1C9C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C6447.1C9C1940"/>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4520986" cy="1475139"/>
                    </a:xfrm>
                    <a:prstGeom prst="rect">
                      <a:avLst/>
                    </a:prstGeom>
                    <a:noFill/>
                    <a:ln>
                      <a:noFill/>
                    </a:ln>
                  </pic:spPr>
                </pic:pic>
              </a:graphicData>
            </a:graphic>
          </wp:inline>
        </w:drawing>
      </w:r>
    </w:p>
    <w:p w14:paraId="022448F3" w14:textId="61DF6CA9" w:rsidR="007175E1" w:rsidRPr="00434604" w:rsidRDefault="007175E1" w:rsidP="00886F32">
      <w:pPr>
        <w:tabs>
          <w:tab w:val="left" w:pos="1260"/>
        </w:tabs>
        <w:spacing w:after="0" w:line="360" w:lineRule="auto"/>
        <w:ind w:left="720"/>
        <w:jc w:val="both"/>
        <w:rPr>
          <w:rFonts w:eastAsia="Calibri"/>
          <w:i/>
          <w:iCs/>
          <w:noProof/>
          <w:color w:val="4C4747"/>
          <w:lang w:val="es-DO"/>
        </w:rPr>
      </w:pPr>
      <w:r w:rsidRPr="00434604">
        <w:rPr>
          <w:rFonts w:eastAsia="Calibri"/>
          <w:i/>
          <w:iCs/>
          <w:noProof/>
          <w:color w:val="4C4747"/>
          <w:lang w:val="es-DO"/>
        </w:rPr>
        <w:t xml:space="preserve">Imágen </w:t>
      </w:r>
      <w:r>
        <w:rPr>
          <w:rFonts w:eastAsia="Calibri"/>
          <w:i/>
          <w:iCs/>
          <w:noProof/>
          <w:color w:val="4C4747"/>
          <w:lang w:val="es-DO"/>
        </w:rPr>
        <w:t>5</w:t>
      </w:r>
      <w:r w:rsidRPr="00434604">
        <w:rPr>
          <w:rFonts w:eastAsia="Calibri"/>
          <w:i/>
          <w:iCs/>
          <w:noProof/>
          <w:color w:val="4C4747"/>
          <w:lang w:val="es-DO"/>
        </w:rPr>
        <w:t>. SI</w:t>
      </w:r>
      <w:r>
        <w:rPr>
          <w:rFonts w:eastAsia="Calibri"/>
          <w:i/>
          <w:iCs/>
          <w:noProof/>
          <w:color w:val="4C4747"/>
          <w:lang w:val="es-DO"/>
        </w:rPr>
        <w:t>SANOC 2024</w:t>
      </w:r>
    </w:p>
    <w:p w14:paraId="4589E0F6" w14:textId="6F5338A4" w:rsidR="00947851" w:rsidRPr="006B177F" w:rsidRDefault="00947851" w:rsidP="00886F32">
      <w:pPr>
        <w:tabs>
          <w:tab w:val="left" w:pos="1260"/>
        </w:tabs>
        <w:spacing w:after="0" w:line="360" w:lineRule="auto"/>
        <w:ind w:left="720"/>
        <w:rPr>
          <w:rFonts w:eastAsia="Calibri"/>
          <w:b/>
          <w:bCs/>
          <w:noProof/>
          <w:color w:val="4C4747"/>
          <w:lang w:val="es-DO"/>
        </w:rPr>
      </w:pPr>
      <w:r w:rsidRPr="006B177F">
        <w:rPr>
          <w:rFonts w:eastAsia="Calibri"/>
          <w:b/>
          <w:bCs/>
          <w:noProof/>
          <w:color w:val="4C4747"/>
          <w:lang w:val="es-DO"/>
        </w:rPr>
        <w:lastRenderedPageBreak/>
        <w:t>2025</w:t>
      </w:r>
    </w:p>
    <w:p w14:paraId="5588254B" w14:textId="056D48A4"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drawing>
          <wp:inline distT="0" distB="0" distL="0" distR="0" wp14:anchorId="22180644" wp14:editId="249B3368">
            <wp:extent cx="4515556" cy="1379281"/>
            <wp:effectExtent l="0" t="0" r="0" b="0"/>
            <wp:docPr id="61" name="Picture 61"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close-up of a card&#10;&#10;Description automatically generated"/>
                    <pic:cNvPicPr/>
                  </pic:nvPicPr>
                  <pic:blipFill>
                    <a:blip r:embed="rId40"/>
                    <a:stretch>
                      <a:fillRect/>
                    </a:stretch>
                  </pic:blipFill>
                  <pic:spPr>
                    <a:xfrm>
                      <a:off x="0" y="0"/>
                      <a:ext cx="4545297" cy="1388365"/>
                    </a:xfrm>
                    <a:prstGeom prst="rect">
                      <a:avLst/>
                    </a:prstGeom>
                  </pic:spPr>
                </pic:pic>
              </a:graphicData>
            </a:graphic>
          </wp:inline>
        </w:drawing>
      </w:r>
    </w:p>
    <w:p w14:paraId="2641FE7B" w14:textId="51E8B602" w:rsidR="00DD2C5B" w:rsidRPr="00434604" w:rsidRDefault="00DD2C5B" w:rsidP="00886F32">
      <w:pPr>
        <w:tabs>
          <w:tab w:val="left" w:pos="1260"/>
        </w:tabs>
        <w:spacing w:after="0" w:line="360" w:lineRule="auto"/>
        <w:ind w:left="720"/>
        <w:jc w:val="both"/>
        <w:rPr>
          <w:rFonts w:eastAsia="Calibri"/>
          <w:i/>
          <w:iCs/>
          <w:noProof/>
          <w:color w:val="4C4747"/>
          <w:lang w:val="es-DO"/>
        </w:rPr>
      </w:pPr>
      <w:r w:rsidRPr="00434604">
        <w:rPr>
          <w:rFonts w:eastAsia="Calibri"/>
          <w:i/>
          <w:iCs/>
          <w:noProof/>
          <w:color w:val="4C4747"/>
          <w:lang w:val="es-DO"/>
        </w:rPr>
        <w:t xml:space="preserve">Imágen </w:t>
      </w:r>
      <w:r>
        <w:rPr>
          <w:rFonts w:eastAsia="Calibri"/>
          <w:i/>
          <w:iCs/>
          <w:noProof/>
          <w:color w:val="4C4747"/>
          <w:lang w:val="es-DO"/>
        </w:rPr>
        <w:t>6.</w:t>
      </w:r>
      <w:r w:rsidRPr="00434604">
        <w:rPr>
          <w:rFonts w:eastAsia="Calibri"/>
          <w:i/>
          <w:iCs/>
          <w:noProof/>
          <w:color w:val="4C4747"/>
          <w:lang w:val="es-DO"/>
        </w:rPr>
        <w:t xml:space="preserve"> SI</w:t>
      </w:r>
      <w:r>
        <w:rPr>
          <w:rFonts w:eastAsia="Calibri"/>
          <w:i/>
          <w:iCs/>
          <w:noProof/>
          <w:color w:val="4C4747"/>
          <w:lang w:val="es-DO"/>
        </w:rPr>
        <w:t>SANOC 2025</w:t>
      </w:r>
    </w:p>
    <w:p w14:paraId="4C885C19" w14:textId="77777777" w:rsidR="00DD2C5B" w:rsidRPr="00947851" w:rsidRDefault="00DD2C5B" w:rsidP="00886F32">
      <w:pPr>
        <w:tabs>
          <w:tab w:val="left" w:pos="1260"/>
        </w:tabs>
        <w:spacing w:after="0" w:line="360" w:lineRule="auto"/>
        <w:ind w:left="720"/>
        <w:jc w:val="both"/>
        <w:rPr>
          <w:rFonts w:eastAsia="Calibri"/>
          <w:noProof/>
          <w:color w:val="4C4747"/>
          <w:lang w:val="es-DO"/>
        </w:rPr>
      </w:pPr>
    </w:p>
    <w:p w14:paraId="4C11A9EE" w14:textId="77777777"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La Dirección Administrativa y Financiera ratifica su compromiso con el uso responsable de los recursos públicos, la transparencia, la ética institucional y la rendición permanente de cuentas.</w:t>
      </w:r>
    </w:p>
    <w:p w14:paraId="0A333D6F" w14:textId="77777777" w:rsidR="00D12416" w:rsidRPr="00947851" w:rsidRDefault="00D12416" w:rsidP="00886F32">
      <w:pPr>
        <w:tabs>
          <w:tab w:val="left" w:pos="1260"/>
        </w:tabs>
        <w:spacing w:after="0" w:line="360" w:lineRule="auto"/>
        <w:ind w:left="720"/>
        <w:jc w:val="both"/>
        <w:rPr>
          <w:rFonts w:eastAsia="Calibri"/>
          <w:noProof/>
          <w:color w:val="4C4747"/>
          <w:lang w:val="es-DO"/>
        </w:rPr>
      </w:pPr>
    </w:p>
    <w:p w14:paraId="0D03BD58" w14:textId="77777777"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Los resultados presentados reflejan la dedicación del equipo de trabajo, la madurez administrativa alcanzada y el enfoque permanente en la mejora continua. Esta Memoria Institucional representa un paso firme hacia la consolidación de una gestión íntegra, eficiente y alineada con los más altos estándares del servicio público.</w:t>
      </w:r>
    </w:p>
    <w:p w14:paraId="264E2BD2" w14:textId="77777777" w:rsidR="00D12416" w:rsidRPr="00947851" w:rsidRDefault="00D12416" w:rsidP="00886F32">
      <w:pPr>
        <w:tabs>
          <w:tab w:val="left" w:pos="1260"/>
        </w:tabs>
        <w:spacing w:after="0" w:line="360" w:lineRule="auto"/>
        <w:ind w:left="720"/>
        <w:jc w:val="both"/>
        <w:rPr>
          <w:rFonts w:eastAsia="Calibri"/>
          <w:noProof/>
          <w:color w:val="4C4747"/>
          <w:lang w:val="es-DO"/>
        </w:rPr>
      </w:pPr>
    </w:p>
    <w:p w14:paraId="46BE7976" w14:textId="77777777" w:rsidR="00947851" w:rsidRDefault="00947851" w:rsidP="00886F32">
      <w:pPr>
        <w:tabs>
          <w:tab w:val="left" w:pos="1260"/>
        </w:tabs>
        <w:spacing w:after="0" w:line="360" w:lineRule="auto"/>
        <w:ind w:left="720"/>
        <w:jc w:val="both"/>
        <w:rPr>
          <w:rFonts w:eastAsia="Calibri"/>
          <w:noProof/>
          <w:color w:val="4C4747"/>
          <w:lang w:val="es-DO"/>
        </w:rPr>
      </w:pPr>
      <w:r w:rsidRPr="00947851">
        <w:rPr>
          <w:rFonts w:eastAsia="Calibri"/>
          <w:noProof/>
          <w:color w:val="4C4747"/>
          <w:lang w:val="es-DO"/>
        </w:rPr>
        <w:t>El cumplimiento sostenido de esta política reafirma el compromiso del Ministerio con la eficiencia administrativa, la rendición de cuentas y la mejora continua de los procesos financieros, en coherencia con los principios de gobernanza y servicio público que rigen su gestión.</w:t>
      </w:r>
    </w:p>
    <w:p w14:paraId="7228BB97" w14:textId="77777777" w:rsidR="003131B6" w:rsidRDefault="003131B6" w:rsidP="00886F32">
      <w:pPr>
        <w:tabs>
          <w:tab w:val="left" w:pos="1260"/>
        </w:tabs>
        <w:spacing w:after="0" w:line="360" w:lineRule="auto"/>
        <w:ind w:left="720"/>
        <w:jc w:val="both"/>
        <w:rPr>
          <w:rFonts w:eastAsia="Calibri"/>
          <w:noProof/>
          <w:color w:val="4C4747"/>
          <w:lang w:val="es-DO"/>
        </w:rPr>
      </w:pPr>
    </w:p>
    <w:p w14:paraId="76024E75" w14:textId="26484D34" w:rsidR="003131B6" w:rsidRDefault="008421F6" w:rsidP="00886F32">
      <w:pPr>
        <w:pStyle w:val="ListParagraph"/>
        <w:numPr>
          <w:ilvl w:val="1"/>
          <w:numId w:val="96"/>
        </w:numPr>
        <w:tabs>
          <w:tab w:val="left" w:pos="1260"/>
        </w:tabs>
        <w:spacing w:after="0" w:line="360" w:lineRule="auto"/>
        <w:ind w:left="720"/>
        <w:jc w:val="center"/>
        <w:outlineLvl w:val="1"/>
        <w:rPr>
          <w:b/>
          <w:bCs/>
        </w:rPr>
      </w:pPr>
      <w:bookmarkStart w:id="98" w:name="_Toc185843634"/>
      <w:r>
        <w:rPr>
          <w:b/>
          <w:bCs/>
        </w:rPr>
        <w:t xml:space="preserve"> </w:t>
      </w:r>
      <w:bookmarkStart w:id="99" w:name="_Toc217382619"/>
      <w:r w:rsidRPr="00ED1F27">
        <w:rPr>
          <w:rFonts w:eastAsia="Calibri"/>
          <w:b/>
          <w:bCs/>
          <w:noProof/>
          <w:color w:val="4C4747"/>
        </w:rPr>
        <w:t>Desempeño de los Recursos Humanos</w:t>
      </w:r>
      <w:bookmarkEnd w:id="98"/>
      <w:bookmarkEnd w:id="99"/>
    </w:p>
    <w:p w14:paraId="191AB87E" w14:textId="123D80B0" w:rsidR="00E4678B" w:rsidRDefault="00E4678B" w:rsidP="00886F32">
      <w:pPr>
        <w:tabs>
          <w:tab w:val="left" w:pos="1260"/>
        </w:tabs>
        <w:spacing w:after="0" w:line="360" w:lineRule="auto"/>
        <w:ind w:left="720"/>
        <w:jc w:val="both"/>
        <w:rPr>
          <w:rFonts w:eastAsia="Times New Roman"/>
          <w:color w:val="4C4747"/>
          <w:lang w:val="es-DO" w:eastAsia="es-DO"/>
        </w:rPr>
      </w:pPr>
      <w:r w:rsidRPr="004A7743">
        <w:rPr>
          <w:rFonts w:eastAsia="Calibri"/>
          <w:noProof/>
          <w:color w:val="4C4747"/>
          <w:lang w:val="es-419"/>
        </w:rPr>
        <w:t xml:space="preserve">La Direccion de Recursos Humanos del Ministerio de la Presidencia mantuvo su enfoque en apoyar los objetivos y estrategias </w:t>
      </w:r>
      <w:r>
        <w:rPr>
          <w:rFonts w:eastAsia="Calibri"/>
          <w:noProof/>
          <w:color w:val="4C4747"/>
          <w:lang w:val="es-419"/>
        </w:rPr>
        <w:t>i</w:t>
      </w:r>
      <w:r w:rsidRPr="004A7743">
        <w:rPr>
          <w:rFonts w:eastAsia="Calibri"/>
          <w:noProof/>
          <w:color w:val="4C4747"/>
          <w:lang w:val="es-419"/>
        </w:rPr>
        <w:t xml:space="preserve">nstitucionales a través de  promover una cultura </w:t>
      </w:r>
      <w:r w:rsidRPr="004A7743">
        <w:rPr>
          <w:rFonts w:eastAsia="Calibri"/>
          <w:noProof/>
          <w:color w:val="4C4747"/>
          <w:lang w:val="es-419"/>
        </w:rPr>
        <w:lastRenderedPageBreak/>
        <w:t xml:space="preserve">organizacional sólida, fortaleciendo las capacidades del personal, mejorando y optimizando los procesos y  formentando un ambiente laboral seguro y motivador. Hemos realizado acciones en los diferentes subsistemas, alcanzando mejores niveles de satisfaccion de parte de nuestros talentos. </w:t>
      </w:r>
      <w:r>
        <w:rPr>
          <w:rFonts w:eastAsia="Calibri"/>
          <w:noProof/>
          <w:color w:val="4C4747"/>
          <w:lang w:val="es-419"/>
        </w:rPr>
        <w:t>Todo</w:t>
      </w:r>
      <w:r w:rsidRPr="004A7743">
        <w:rPr>
          <w:rFonts w:eastAsia="Times New Roman"/>
          <w:color w:val="4C4747"/>
          <w:lang w:val="es-DO" w:eastAsia="es-DO"/>
        </w:rPr>
        <w:t xml:space="preserve"> esto apegado al cumplimiento mandatorio de la ley 41-08 de función pública y sus distintos reglamentos de aplicación, avalados por el Ministerio de Administración Pública (MAP) como órgano rector.</w:t>
      </w:r>
    </w:p>
    <w:p w14:paraId="6C53D236" w14:textId="77777777" w:rsidR="00D12416" w:rsidRDefault="00D12416" w:rsidP="00886F32">
      <w:pPr>
        <w:tabs>
          <w:tab w:val="left" w:pos="1260"/>
        </w:tabs>
        <w:spacing w:after="0" w:line="360" w:lineRule="auto"/>
        <w:ind w:left="720"/>
        <w:jc w:val="both"/>
        <w:rPr>
          <w:rFonts w:eastAsia="Times New Roman"/>
          <w:color w:val="4C4747"/>
          <w:lang w:val="es-DO" w:eastAsia="es-DO"/>
        </w:rPr>
      </w:pPr>
    </w:p>
    <w:p w14:paraId="31248334" w14:textId="77777777" w:rsidR="00E4678B" w:rsidRPr="00ED1F27" w:rsidRDefault="00E4678B" w:rsidP="00D12416">
      <w:pPr>
        <w:pStyle w:val="ListParagraph"/>
        <w:numPr>
          <w:ilvl w:val="2"/>
          <w:numId w:val="96"/>
        </w:numPr>
        <w:tabs>
          <w:tab w:val="left" w:pos="1260"/>
          <w:tab w:val="left" w:pos="2250"/>
        </w:tabs>
        <w:spacing w:after="0" w:line="360" w:lineRule="auto"/>
        <w:ind w:left="720" w:hanging="90"/>
        <w:rPr>
          <w:rFonts w:eastAsia="Calibri"/>
          <w:b/>
          <w:bCs/>
          <w:noProof/>
          <w:color w:val="4C4747"/>
        </w:rPr>
      </w:pPr>
      <w:r w:rsidRPr="00ED1F27">
        <w:rPr>
          <w:rFonts w:eastAsia="Calibri"/>
          <w:b/>
          <w:bCs/>
          <w:noProof/>
          <w:color w:val="4C4747"/>
        </w:rPr>
        <w:t xml:space="preserve">Subsistemas de Recursos Humanos </w:t>
      </w:r>
    </w:p>
    <w:p w14:paraId="60CA3C07" w14:textId="77777777" w:rsidR="00E4678B" w:rsidRDefault="00E4678B" w:rsidP="00886F32">
      <w:pPr>
        <w:tabs>
          <w:tab w:val="left" w:pos="1260"/>
        </w:tabs>
        <w:spacing w:after="0" w:line="360" w:lineRule="auto"/>
        <w:ind w:left="720"/>
        <w:jc w:val="both"/>
        <w:rPr>
          <w:rFonts w:eastAsia="Calibri"/>
          <w:noProof/>
          <w:color w:val="4C4747"/>
          <w:lang w:val="es-419"/>
        </w:rPr>
      </w:pPr>
      <w:r w:rsidRPr="004A7743">
        <w:rPr>
          <w:rFonts w:eastAsia="Calibri"/>
          <w:noProof/>
          <w:color w:val="4C4747"/>
          <w:lang w:val="es-419"/>
        </w:rPr>
        <w:t>La Dirección de Recursos Humanos está conformada por vários Subsistemas los cuales dan respuesta a todos los procesos y necesidades de la Administracion y Gestión del Talento.</w:t>
      </w:r>
      <w:r>
        <w:rPr>
          <w:rFonts w:eastAsia="Calibri"/>
          <w:noProof/>
          <w:color w:val="4C4747"/>
          <w:lang w:val="es-419"/>
        </w:rPr>
        <w:t xml:space="preserve"> Con </w:t>
      </w:r>
      <w:r w:rsidRPr="004A7743">
        <w:rPr>
          <w:rFonts w:eastAsia="Calibri"/>
          <w:noProof/>
          <w:color w:val="4C4747"/>
          <w:lang w:val="es-419"/>
        </w:rPr>
        <w:t>la finalidad de acogernos a los agrupamientos que propone el Ministerio de Administraci</w:t>
      </w:r>
      <w:r>
        <w:rPr>
          <w:rFonts w:eastAsia="Calibri"/>
          <w:noProof/>
          <w:color w:val="4C4747"/>
          <w:lang w:val="es-419"/>
        </w:rPr>
        <w:t>ó</w:t>
      </w:r>
      <w:r w:rsidRPr="004A7743">
        <w:rPr>
          <w:rFonts w:eastAsia="Calibri"/>
          <w:noProof/>
          <w:color w:val="4C4747"/>
          <w:lang w:val="es-419"/>
        </w:rPr>
        <w:t>n P</w:t>
      </w:r>
      <w:r>
        <w:rPr>
          <w:rFonts w:eastAsia="Calibri"/>
          <w:noProof/>
          <w:color w:val="4C4747"/>
          <w:lang w:val="es-419"/>
        </w:rPr>
        <w:t>ú</w:t>
      </w:r>
      <w:r w:rsidRPr="004A7743">
        <w:rPr>
          <w:rFonts w:eastAsia="Calibri"/>
          <w:noProof/>
          <w:color w:val="4C4747"/>
          <w:lang w:val="es-419"/>
        </w:rPr>
        <w:t xml:space="preserve">blica MAP, </w:t>
      </w:r>
      <w:r>
        <w:rPr>
          <w:rFonts w:eastAsia="Calibri"/>
          <w:noProof/>
          <w:color w:val="4C4747"/>
          <w:lang w:val="es-419"/>
        </w:rPr>
        <w:t>f</w:t>
      </w:r>
      <w:r w:rsidRPr="004A7743">
        <w:rPr>
          <w:rFonts w:eastAsia="Calibri"/>
          <w:noProof/>
          <w:color w:val="4C4747"/>
          <w:lang w:val="es-419"/>
        </w:rPr>
        <w:t>ue presentada una propuesta de modificaci</w:t>
      </w:r>
      <w:r>
        <w:rPr>
          <w:rFonts w:eastAsia="Calibri"/>
          <w:noProof/>
          <w:color w:val="4C4747"/>
          <w:lang w:val="es-419"/>
        </w:rPr>
        <w:t>ó</w:t>
      </w:r>
      <w:r w:rsidRPr="004A7743">
        <w:rPr>
          <w:rFonts w:eastAsia="Calibri"/>
          <w:noProof/>
          <w:color w:val="4C4747"/>
          <w:lang w:val="es-419"/>
        </w:rPr>
        <w:t>n en los actuales subsistemas</w:t>
      </w:r>
      <w:r>
        <w:rPr>
          <w:rFonts w:eastAsia="Calibri"/>
          <w:noProof/>
          <w:color w:val="4C4747"/>
          <w:lang w:val="es-419"/>
        </w:rPr>
        <w:t>,</w:t>
      </w:r>
      <w:r w:rsidRPr="004A7743">
        <w:rPr>
          <w:rFonts w:eastAsia="Calibri"/>
          <w:noProof/>
          <w:color w:val="4C4747"/>
          <w:lang w:val="es-419"/>
        </w:rPr>
        <w:t xml:space="preserve"> con</w:t>
      </w:r>
      <w:r>
        <w:rPr>
          <w:rFonts w:eastAsia="Calibri"/>
          <w:noProof/>
          <w:color w:val="4C4747"/>
          <w:lang w:val="es-419"/>
        </w:rPr>
        <w:t xml:space="preserve">siderando el crecimiento de  nuestro Head Count, a raíz de la fusión Mepyd-Minpre, </w:t>
      </w:r>
      <w:r w:rsidRPr="004A7743">
        <w:rPr>
          <w:rFonts w:eastAsia="Calibri"/>
          <w:noProof/>
          <w:color w:val="4C4747"/>
          <w:lang w:val="es-419"/>
        </w:rPr>
        <w:t xml:space="preserve">logrando con ello una Gestión </w:t>
      </w:r>
      <w:r>
        <w:rPr>
          <w:rFonts w:eastAsia="Calibri"/>
          <w:noProof/>
          <w:color w:val="4C4747"/>
          <w:lang w:val="es-419"/>
        </w:rPr>
        <w:t>I</w:t>
      </w:r>
      <w:r w:rsidRPr="004A7743">
        <w:rPr>
          <w:rFonts w:eastAsia="Calibri"/>
          <w:noProof/>
          <w:color w:val="4C4747"/>
          <w:lang w:val="es-419"/>
        </w:rPr>
        <w:t>ntegral.</w:t>
      </w:r>
      <w:r>
        <w:rPr>
          <w:rFonts w:eastAsia="Calibri"/>
          <w:noProof/>
          <w:color w:val="4C4747"/>
          <w:lang w:val="es-419"/>
        </w:rPr>
        <w:t xml:space="preserve"> </w:t>
      </w:r>
    </w:p>
    <w:p w14:paraId="516DBF83" w14:textId="77777777" w:rsidR="00D12416" w:rsidRDefault="00D12416" w:rsidP="00886F32">
      <w:pPr>
        <w:tabs>
          <w:tab w:val="left" w:pos="1260"/>
        </w:tabs>
        <w:spacing w:after="0" w:line="360" w:lineRule="auto"/>
        <w:ind w:left="720"/>
        <w:jc w:val="both"/>
        <w:rPr>
          <w:rFonts w:eastAsia="Calibri"/>
          <w:noProof/>
          <w:color w:val="4C4747"/>
          <w:lang w:val="es-419"/>
        </w:rPr>
      </w:pPr>
    </w:p>
    <w:p w14:paraId="7ADAACD7" w14:textId="3458DE8D" w:rsidR="00E4678B" w:rsidRPr="009C7FB9" w:rsidRDefault="00E4678B" w:rsidP="00D12416">
      <w:pPr>
        <w:pStyle w:val="ListParagraph"/>
        <w:numPr>
          <w:ilvl w:val="2"/>
          <w:numId w:val="96"/>
        </w:numPr>
        <w:tabs>
          <w:tab w:val="left" w:pos="1260"/>
          <w:tab w:val="left" w:pos="2250"/>
        </w:tabs>
        <w:spacing w:after="0" w:line="360" w:lineRule="auto"/>
        <w:ind w:left="720" w:hanging="90"/>
        <w:rPr>
          <w:rFonts w:eastAsia="Calibri"/>
          <w:b/>
          <w:bCs/>
          <w:noProof/>
          <w:color w:val="4C4747"/>
        </w:rPr>
      </w:pPr>
      <w:r w:rsidRPr="009C7FB9">
        <w:rPr>
          <w:rFonts w:eastAsia="Calibri"/>
          <w:b/>
          <w:bCs/>
          <w:noProof/>
          <w:color w:val="4C4747"/>
        </w:rPr>
        <w:t xml:space="preserve">Desarrollo del Personal </w:t>
      </w:r>
    </w:p>
    <w:p w14:paraId="6894CE46"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Para la elaboración del plan de capacitación 2025, nos apegamos a lo establecido por el órgano rector en cuanto a levantar las necesidades de capacitación mediante un proceso de Detección de Necesidades de Capacitación, lo cual permitió que los supervisores identificaran las capacitaciones requeridas para su equipo. Este proceso fue realizado incorporando en el Sistema de Evaluación del Desempeño (SED) una opción para el registro de las necesidades de capacitación de los colaboradores, permitiendo tener </w:t>
      </w:r>
      <w:r w:rsidRPr="00E4678B">
        <w:rPr>
          <w:rFonts w:eastAsia="Calibri"/>
          <w:noProof/>
          <w:color w:val="4C4747"/>
          <w:lang w:val="es-419"/>
        </w:rPr>
        <w:lastRenderedPageBreak/>
        <w:t xml:space="preserve">información estandarizada y de fácil manejo para su consolidación.  Partiendo de estos requerimientos se diseñó un Plan de Capacitación cerrando las brechas existentes y fortaleciendo las competencias de los colaboradores. </w:t>
      </w:r>
    </w:p>
    <w:p w14:paraId="2FBA3C2E"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El Plan de Capacitacion  incluye programas focalizados para los niveles de  alta Direccion,   programas normativos, de especialización técnica, programas de desarrollo, capacitaciones blandas y otros.</w:t>
      </w:r>
    </w:p>
    <w:p w14:paraId="4C9B504F"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16A38801"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Para el período enero-diciembre 2025 han sido ejecutadas 63 capacitaciones, así como otras a requerimientos, lo cual representa el 82% de la programación  del  2025, con una inversión de RD$3,372,901.6.</w:t>
      </w:r>
    </w:p>
    <w:p w14:paraId="3CD30539"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545F5E4C" w14:textId="26EC8D84" w:rsidR="00E4678B" w:rsidRPr="009C7FB9" w:rsidRDefault="00E4678B" w:rsidP="00D12416">
      <w:pPr>
        <w:pStyle w:val="ListParagraph"/>
        <w:numPr>
          <w:ilvl w:val="2"/>
          <w:numId w:val="96"/>
        </w:numPr>
        <w:tabs>
          <w:tab w:val="left" w:pos="1260"/>
          <w:tab w:val="left" w:pos="2250"/>
        </w:tabs>
        <w:spacing w:after="0" w:line="360" w:lineRule="auto"/>
        <w:ind w:left="720" w:hanging="90"/>
        <w:rPr>
          <w:rFonts w:eastAsia="Calibri"/>
          <w:b/>
          <w:bCs/>
          <w:noProof/>
          <w:color w:val="4C4747"/>
        </w:rPr>
      </w:pPr>
      <w:r w:rsidRPr="009C7FB9">
        <w:rPr>
          <w:rFonts w:eastAsia="Calibri"/>
          <w:b/>
          <w:bCs/>
          <w:noProof/>
          <w:color w:val="4C4747"/>
        </w:rPr>
        <w:t>Evaluación de Desempeño</w:t>
      </w:r>
    </w:p>
    <w:p w14:paraId="69B17175"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Durante el año 2025 el proceso de evaluación del Desempeño se llevó a cabo utilizando la herramienta tecnológica Sed.minpre.gob.do, en un modelo de 90 grados, complementada por dos componentes:  Logro sobre Metas y Competencias del puesto.</w:t>
      </w:r>
    </w:p>
    <w:p w14:paraId="1E0756A0"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575A8C44"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El funcionamiento de la plataforma da respuesta de manera eficiente y segura para realizar un proceso robusto de evaluación del desempeño. Esto responde a todas las mejoras realizadas en el pasado año 2024, tales como la incorporación del monitoreo de los acuerdos de desempeño, la detección de necesidades de capacitación, así como la aprobación por parte de la Dirección de Planificación y Desarrollo de las metas POA.</w:t>
      </w:r>
    </w:p>
    <w:p w14:paraId="137BEC91"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47C3E2B8"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lastRenderedPageBreak/>
        <w:t>Resaltamos que dentro del marco de colaboración interinstitucional el Ministerio de Administración Pública, órgano rector, solicitó se le comparta esta solución tecnológica, con la finalidad de implementarla en las instituciones de la Administración Pública con miras a fortalecer este Subsistema de la gestión del capital humano.</w:t>
      </w:r>
    </w:p>
    <w:p w14:paraId="707C6B52" w14:textId="77777777" w:rsidR="00D12416" w:rsidRDefault="00D12416" w:rsidP="00886F32">
      <w:pPr>
        <w:tabs>
          <w:tab w:val="left" w:pos="1260"/>
        </w:tabs>
        <w:spacing w:after="0" w:line="360" w:lineRule="auto"/>
        <w:ind w:left="720"/>
        <w:jc w:val="both"/>
        <w:rPr>
          <w:rFonts w:eastAsia="Calibri"/>
          <w:noProof/>
          <w:color w:val="4C4747"/>
          <w:lang w:val="es-419"/>
        </w:rPr>
      </w:pPr>
    </w:p>
    <w:p w14:paraId="10871697" w14:textId="0084F8FE" w:rsidR="00E4678B" w:rsidRPr="009C7FB9" w:rsidRDefault="00E4678B" w:rsidP="00D12416">
      <w:pPr>
        <w:pStyle w:val="ListParagraph"/>
        <w:numPr>
          <w:ilvl w:val="2"/>
          <w:numId w:val="96"/>
        </w:numPr>
        <w:tabs>
          <w:tab w:val="left" w:pos="1260"/>
          <w:tab w:val="left" w:pos="2250"/>
        </w:tabs>
        <w:spacing w:after="0" w:line="360" w:lineRule="auto"/>
        <w:ind w:left="720" w:hanging="90"/>
        <w:rPr>
          <w:rFonts w:eastAsia="Calibri"/>
          <w:b/>
          <w:bCs/>
          <w:noProof/>
          <w:color w:val="4C4747"/>
        </w:rPr>
      </w:pPr>
      <w:r w:rsidRPr="009C7FB9">
        <w:rPr>
          <w:rFonts w:eastAsia="Calibri"/>
          <w:b/>
          <w:bCs/>
          <w:noProof/>
          <w:color w:val="4C4747"/>
        </w:rPr>
        <w:t>Reclutamiento y Selección de Personal y Organización del trabajo.</w:t>
      </w:r>
    </w:p>
    <w:p w14:paraId="297A59FA"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Para la gestión del talento humano las funciones del subsistema de Reclutamiento y Selección son claves y estratégicas. Seleccionar los mejores talentos y retenerlos se convierte en una ventaja competitiva, garantizando el logro de los objetivos institucionales. Es por ello que durante el año 2025 seguimos alineándonos a las mejores prácticas y cumpliendo con las disposiciones de la Ley de Función Pública 41-08 y el compendio de normas sobre la profesionalización de la función pública. </w:t>
      </w:r>
    </w:p>
    <w:p w14:paraId="797EF19F"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55DA8B5C"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Durante el año 2025 el enfoque principal estuvo dirigido a los proyectos Fusión MEPYD-MINPRE y al Proyecto de Respuestas a Emergencias y Resiliencia de la Republica Dominicana. </w:t>
      </w:r>
    </w:p>
    <w:p w14:paraId="5954A2B9"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3C212376"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El proyecto de Fusión MEPYD-MINPRE ha implicado formar parte de la Comisión de Recursos Humanos, en todo lo relacionado al análisis de la información del personal que pasará al Ministerio de la Presidencia, presentando constantemente los avances y proyecciones a la máxima autoridad, para fines de trazar los lineamientos y la toma de decisiones según corresponda. De igual manera realizar todas </w:t>
      </w:r>
      <w:r w:rsidRPr="00E4678B">
        <w:rPr>
          <w:rFonts w:eastAsia="Calibri"/>
          <w:noProof/>
          <w:color w:val="4C4747"/>
          <w:lang w:val="es-419"/>
        </w:rPr>
        <w:lastRenderedPageBreak/>
        <w:t>las gestiones administrativas resultantes del proceso de fusión. Se estima que 259 colaboradores se estarán incorporando a la plantilla de MINPRE.</w:t>
      </w:r>
    </w:p>
    <w:p w14:paraId="7BF8D389"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5E5A33F1"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Por otro lado, para el Proyecto de Respuestas a Emergencias y Resiliencia de la Republica Dominicana, se realizó todo el proceso de entrevistas a los candidatos aplicantes, en total 115 y los respectivos informes para la elección de 13 candidatos, para 13 cargos.</w:t>
      </w:r>
    </w:p>
    <w:p w14:paraId="6810324F"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458788BB"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Durante el año 2025 han sido incorporados en la plantilla del personal 52 colaboradores para la nómina fija, 10 en nómina militar y 86 servidores bajo otras modalidades de contratación. De igual manera acciones como ajustes salariales, reclasificaciones y otros.</w:t>
      </w:r>
    </w:p>
    <w:p w14:paraId="15BDC797" w14:textId="77777777" w:rsidR="00D12416" w:rsidRDefault="00D12416" w:rsidP="00886F32">
      <w:pPr>
        <w:tabs>
          <w:tab w:val="left" w:pos="1260"/>
        </w:tabs>
        <w:spacing w:after="0" w:line="360" w:lineRule="auto"/>
        <w:ind w:left="720"/>
        <w:jc w:val="both"/>
        <w:rPr>
          <w:rFonts w:eastAsia="Calibri"/>
          <w:noProof/>
          <w:color w:val="4C4747"/>
          <w:lang w:val="es-419"/>
        </w:rPr>
      </w:pPr>
    </w:p>
    <w:p w14:paraId="7B954226" w14:textId="77777777" w:rsidR="00E4678B" w:rsidRPr="008F3F8D" w:rsidRDefault="00E4678B" w:rsidP="00D12416">
      <w:pPr>
        <w:pStyle w:val="ListParagraph"/>
        <w:numPr>
          <w:ilvl w:val="2"/>
          <w:numId w:val="96"/>
        </w:numPr>
        <w:tabs>
          <w:tab w:val="left" w:pos="1260"/>
        </w:tabs>
        <w:spacing w:after="0" w:line="360" w:lineRule="auto"/>
        <w:ind w:left="1350"/>
        <w:rPr>
          <w:rFonts w:eastAsia="Calibri"/>
          <w:b/>
          <w:bCs/>
          <w:noProof/>
          <w:color w:val="4C4747"/>
        </w:rPr>
      </w:pPr>
      <w:r w:rsidRPr="008F3F8D">
        <w:rPr>
          <w:rFonts w:eastAsia="Calibri"/>
          <w:b/>
          <w:bCs/>
          <w:noProof/>
          <w:color w:val="4C4747"/>
        </w:rPr>
        <w:t xml:space="preserve">Promociones internas </w:t>
      </w:r>
    </w:p>
    <w:p w14:paraId="2817B24E"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Como una forma de motivar, retener el talento y reducir costos en el proceso de reclutamiento, se ha establecido como una práctica tomar en cuenta a los colaboradores cuando se genera una vacante. Durante el 2025 se realizaron 6 promociones internas. Los candidatos promovidos han tenido excelente desempeño en sus nuevas funciones, evidenciado en el proceso de evaluación del periodo de adaptación.</w:t>
      </w:r>
    </w:p>
    <w:p w14:paraId="7E12A5C2"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30200F9C" w14:textId="77777777" w:rsidR="00E4678B" w:rsidRPr="00537C51" w:rsidRDefault="00E4678B" w:rsidP="00D12416">
      <w:pPr>
        <w:pStyle w:val="ListParagraph"/>
        <w:numPr>
          <w:ilvl w:val="2"/>
          <w:numId w:val="96"/>
        </w:numPr>
        <w:tabs>
          <w:tab w:val="left" w:pos="1260"/>
        </w:tabs>
        <w:spacing w:after="0" w:line="360" w:lineRule="auto"/>
        <w:ind w:left="1350"/>
        <w:rPr>
          <w:rFonts w:eastAsia="Calibri"/>
          <w:b/>
          <w:bCs/>
          <w:noProof/>
          <w:color w:val="4C4747"/>
        </w:rPr>
      </w:pPr>
      <w:r w:rsidRPr="00537C51">
        <w:rPr>
          <w:rFonts w:eastAsia="Calibri"/>
          <w:b/>
          <w:bCs/>
          <w:noProof/>
          <w:color w:val="4C4747"/>
        </w:rPr>
        <w:t>Programa de Pasantías</w:t>
      </w:r>
    </w:p>
    <w:p w14:paraId="5903B321"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El apoyo a la educación es un aspecto importante para el Ministerio de la Presidencia. Desde la Dirección de Recursos Humanos se ha dado continuidad a los acuerdos firmados con entidades educativas como</w:t>
      </w:r>
      <w:r w:rsidRPr="004A7743">
        <w:rPr>
          <w:rFonts w:eastAsia="Calibri"/>
          <w:noProof/>
          <w:color w:val="4C4747"/>
          <w:lang w:val="es-419"/>
        </w:rPr>
        <w:t xml:space="preserve"> </w:t>
      </w:r>
      <w:r w:rsidRPr="00E4678B">
        <w:rPr>
          <w:rFonts w:eastAsia="Calibri"/>
          <w:noProof/>
          <w:color w:val="4C4747"/>
          <w:lang w:val="es-419"/>
        </w:rPr>
        <w:t xml:space="preserve">el Instituto Tecnológico de Las Américas ITLA y con el Instituto Tecnológico de Santo </w:t>
      </w:r>
      <w:r w:rsidRPr="00E4678B">
        <w:rPr>
          <w:rFonts w:eastAsia="Calibri"/>
          <w:noProof/>
          <w:color w:val="4C4747"/>
          <w:lang w:val="es-419"/>
        </w:rPr>
        <w:lastRenderedPageBreak/>
        <w:t>Domingo INTEC ambas entidades especializadas en tecnología y ciberseguridad. Se procura con estos acuerdos dar oportunidad a los estudiantes de realizar sus prácticas profesionales poniendo al servicio sus conocimientos y al mismo tiempo recibiendo experiencias prácticas, que fortalecen de manera integral sus habilidades.</w:t>
      </w:r>
    </w:p>
    <w:p w14:paraId="7DFBE28F"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El año 2025 recibimos en la Dirección de Tecnología de la Información 01 estudiante de la carrera Tecnólogo de Desarrollo de Software.</w:t>
      </w:r>
    </w:p>
    <w:p w14:paraId="11FAAE45"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432F8587" w14:textId="77777777" w:rsidR="00E4678B" w:rsidRPr="00537C51" w:rsidRDefault="00E4678B" w:rsidP="00D12416">
      <w:pPr>
        <w:pStyle w:val="ListParagraph"/>
        <w:numPr>
          <w:ilvl w:val="2"/>
          <w:numId w:val="96"/>
        </w:numPr>
        <w:tabs>
          <w:tab w:val="left" w:pos="1260"/>
        </w:tabs>
        <w:spacing w:after="0" w:line="360" w:lineRule="auto"/>
        <w:ind w:left="1350"/>
        <w:rPr>
          <w:rFonts w:eastAsia="Calibri"/>
          <w:b/>
          <w:bCs/>
          <w:noProof/>
          <w:color w:val="4C4747"/>
        </w:rPr>
      </w:pPr>
      <w:r w:rsidRPr="00537C51">
        <w:rPr>
          <w:rFonts w:eastAsia="Calibri"/>
          <w:b/>
          <w:bCs/>
          <w:noProof/>
          <w:color w:val="4C4747"/>
        </w:rPr>
        <w:t xml:space="preserve">Programa de Inducción </w:t>
      </w:r>
    </w:p>
    <w:p w14:paraId="1122765F"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Reviste mucha importancia para la institución el proceso de bienvenida a los nuevos colaboradores, es por ello que permanentemente se actualizan las informaciones compartidas al personal de nuevo ingreso. Durante este año fue introducido el proceso de inducción al puesto, el cual se realiza mediante un check list que permite que el supervisor y el equipo que recibirá el nuevo colaborador se prepare en lo relativo a mobiliario, herramientas de trabajo, informaciones generales y otros. Esto genera una integración y adaptación más rápida.</w:t>
      </w:r>
    </w:p>
    <w:p w14:paraId="7223C452"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Durante el año 2025 participaron en el Programa de Inducción 55 nuevos colaboradores de los diferentes grupos ocupacionales.</w:t>
      </w:r>
    </w:p>
    <w:p w14:paraId="01EAD99A"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03E35F42" w14:textId="77777777" w:rsidR="00E4678B" w:rsidRPr="0051693B" w:rsidRDefault="00E4678B" w:rsidP="00D12416">
      <w:pPr>
        <w:pStyle w:val="ListParagraph"/>
        <w:numPr>
          <w:ilvl w:val="2"/>
          <w:numId w:val="96"/>
        </w:numPr>
        <w:tabs>
          <w:tab w:val="left" w:pos="1260"/>
        </w:tabs>
        <w:spacing w:after="0" w:line="360" w:lineRule="auto"/>
        <w:ind w:left="1350"/>
        <w:rPr>
          <w:rFonts w:eastAsia="Calibri"/>
          <w:b/>
          <w:bCs/>
          <w:noProof/>
          <w:color w:val="4C4747"/>
        </w:rPr>
      </w:pPr>
      <w:r w:rsidRPr="0051693B">
        <w:rPr>
          <w:rFonts w:eastAsia="Calibri"/>
          <w:b/>
          <w:bCs/>
          <w:noProof/>
          <w:color w:val="4C4747"/>
        </w:rPr>
        <w:t>Enfoque de Genero</w:t>
      </w:r>
    </w:p>
    <w:p w14:paraId="44CA288A"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El MINPRE, en cumplimiento con su misión institucional de apoyar al Presidente de la República en la coordinación y seguimiento de políticas públicas, se ha enfocado en la transversalización del enfoque de género como parte de la nueva metodología de Evaluación de Desempeño Institucional. </w:t>
      </w:r>
    </w:p>
    <w:p w14:paraId="1A820D80"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lastRenderedPageBreak/>
        <w:t xml:space="preserve">El Ministerio de la Presidencia es una de las 45 instituciones priorizadas que impulsan y dan respuesta al mandato de la Ley 1-12 Estrategia Nacional de Desarrollo y en alineación con los lineamientos y requerimientos del Ministerio de la Mujer. </w:t>
      </w:r>
    </w:p>
    <w:p w14:paraId="360D474C"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0A4CB966"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Como cada año se realizó la recopilación de datos y análisis relacionadas con las Brechas de Genero del Ministerio, considerando las variables o indicadores citados a continuación: </w:t>
      </w:r>
    </w:p>
    <w:p w14:paraId="6096BCC5" w14:textId="2EB6E6F2" w:rsidR="00E4678B" w:rsidRDefault="00E4678B" w:rsidP="00886F32">
      <w:pPr>
        <w:tabs>
          <w:tab w:val="left" w:pos="1260"/>
        </w:tabs>
        <w:spacing w:after="0" w:line="360" w:lineRule="auto"/>
        <w:ind w:left="720"/>
        <w:jc w:val="both"/>
        <w:rPr>
          <w:rFonts w:eastAsia="Calibri"/>
          <w:noProof/>
          <w:color w:val="4C4747"/>
          <w:lang w:val="es-419"/>
        </w:rPr>
      </w:pPr>
      <w:r w:rsidRPr="00D12594">
        <w:rPr>
          <w:rFonts w:eastAsia="Calibri"/>
          <w:b/>
          <w:bCs/>
          <w:noProof/>
          <w:color w:val="4C4747"/>
          <w:lang w:val="es-419"/>
        </w:rPr>
        <w:t>Proporción de mujeres y hombres</w:t>
      </w:r>
      <w:r w:rsidR="00D12594">
        <w:rPr>
          <w:rFonts w:eastAsia="Calibri"/>
          <w:b/>
          <w:bCs/>
          <w:noProof/>
          <w:color w:val="4C4747"/>
          <w:lang w:val="es-419"/>
        </w:rPr>
        <w:t xml:space="preserve">: </w:t>
      </w:r>
      <w:r w:rsidRPr="00E4678B">
        <w:rPr>
          <w:rFonts w:eastAsia="Calibri"/>
          <w:noProof/>
          <w:color w:val="4C4747"/>
          <w:lang w:val="es-419"/>
        </w:rPr>
        <w:t xml:space="preserve">La representación general en la institución es del 48% de mujeres y 52% de hombres, representando una ligera diferencia a favor de la participación de los hombres.  </w:t>
      </w:r>
    </w:p>
    <w:p w14:paraId="414DE6E9" w14:textId="77777777" w:rsidR="00D12416" w:rsidRPr="00D12594" w:rsidRDefault="00D12416" w:rsidP="00886F32">
      <w:pPr>
        <w:tabs>
          <w:tab w:val="left" w:pos="1260"/>
        </w:tabs>
        <w:spacing w:after="0" w:line="360" w:lineRule="auto"/>
        <w:ind w:left="720"/>
        <w:jc w:val="both"/>
        <w:rPr>
          <w:rFonts w:eastAsia="Calibri"/>
          <w:b/>
          <w:bCs/>
          <w:noProof/>
          <w:color w:val="4C4747"/>
          <w:lang w:val="es-419"/>
        </w:rPr>
      </w:pPr>
    </w:p>
    <w:p w14:paraId="2A8EFA9D" w14:textId="4EBF84E0" w:rsidR="00E4678B" w:rsidRDefault="00E4678B" w:rsidP="00886F32">
      <w:pPr>
        <w:tabs>
          <w:tab w:val="left" w:pos="1260"/>
        </w:tabs>
        <w:spacing w:after="0" w:line="360" w:lineRule="auto"/>
        <w:ind w:left="720"/>
        <w:jc w:val="both"/>
        <w:rPr>
          <w:rFonts w:eastAsia="Calibri"/>
          <w:noProof/>
          <w:color w:val="4C4747"/>
          <w:lang w:val="es-419"/>
        </w:rPr>
      </w:pPr>
      <w:r w:rsidRPr="00D12594">
        <w:rPr>
          <w:rFonts w:eastAsia="Calibri"/>
          <w:b/>
          <w:bCs/>
          <w:noProof/>
          <w:color w:val="4C4747"/>
          <w:lang w:val="es-419"/>
        </w:rPr>
        <w:t>Proporción en puestos de liderazgo</w:t>
      </w:r>
      <w:r w:rsidR="00D12594">
        <w:rPr>
          <w:rFonts w:eastAsia="Calibri"/>
          <w:b/>
          <w:bCs/>
          <w:noProof/>
          <w:color w:val="4C4747"/>
          <w:lang w:val="es-419"/>
        </w:rPr>
        <w:t xml:space="preserve">: </w:t>
      </w:r>
      <w:r w:rsidRPr="00E4678B">
        <w:rPr>
          <w:rFonts w:eastAsia="Calibri"/>
          <w:noProof/>
          <w:color w:val="4C4747"/>
          <w:lang w:val="es-419"/>
        </w:rPr>
        <w:t xml:space="preserve">La proporción en puestos de liderazgo para Hombres es de un 58% y de un 42% para las Mujeres. Existe una brecha moderada, lo que indica que la mujer tiene menor participación en la toma de decisiones. </w:t>
      </w:r>
    </w:p>
    <w:p w14:paraId="729AF278"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55399D91" w14:textId="26D8C1EF" w:rsidR="00E4678B" w:rsidRDefault="00E4678B" w:rsidP="00886F32">
      <w:pPr>
        <w:tabs>
          <w:tab w:val="left" w:pos="1260"/>
        </w:tabs>
        <w:spacing w:after="0" w:line="360" w:lineRule="auto"/>
        <w:ind w:left="720"/>
        <w:jc w:val="both"/>
        <w:rPr>
          <w:rFonts w:eastAsia="Calibri"/>
          <w:noProof/>
          <w:color w:val="4C4747"/>
          <w:lang w:val="es-419"/>
        </w:rPr>
      </w:pPr>
      <w:r w:rsidRPr="00D12594">
        <w:rPr>
          <w:rFonts w:eastAsia="Calibri"/>
          <w:b/>
          <w:bCs/>
          <w:noProof/>
          <w:color w:val="4C4747"/>
          <w:lang w:val="es-419"/>
        </w:rPr>
        <w:t>Brecha salarial de género global y por grupo ocupacional</w:t>
      </w:r>
      <w:r w:rsidR="00D12594">
        <w:rPr>
          <w:rFonts w:eastAsia="Calibri"/>
          <w:b/>
          <w:bCs/>
          <w:noProof/>
          <w:color w:val="4C4747"/>
          <w:lang w:val="es-419"/>
        </w:rPr>
        <w:t xml:space="preserve">: </w:t>
      </w:r>
      <w:r w:rsidRPr="00E4678B">
        <w:rPr>
          <w:rFonts w:eastAsia="Calibri"/>
          <w:noProof/>
          <w:color w:val="4C4747"/>
          <w:lang w:val="es-419"/>
        </w:rPr>
        <w:t xml:space="preserve">El salario promedio general es de RD$ 103,863.64 para los hombres y RD$ 96, 975.49 para las mujeres, lo que da una brecha salarial de 6.63%, favoreciendo a los hombres. </w:t>
      </w:r>
    </w:p>
    <w:p w14:paraId="7E612B5E"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1E5EB9C4"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Al analizar los datos por grupo ocupacional se aprecia que en el Grupo Ocupacional II, las mujeres que ocupan cargos administrativos tienen una mejor remuneración. </w:t>
      </w:r>
    </w:p>
    <w:p w14:paraId="7D25F319"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330951DF"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Aunque la diferencia no es amplia, este resultado sugiere la existencia de desigualdades salariales moderadas que podrían estar vinculadas a la distribución de los cargos por género.</w:t>
      </w:r>
    </w:p>
    <w:p w14:paraId="38438B9F" w14:textId="28515AD9" w:rsidR="00E4678B" w:rsidRDefault="00E4678B" w:rsidP="00886F32">
      <w:pPr>
        <w:tabs>
          <w:tab w:val="left" w:pos="1260"/>
        </w:tabs>
        <w:spacing w:after="0" w:line="360" w:lineRule="auto"/>
        <w:ind w:left="720"/>
        <w:jc w:val="both"/>
        <w:rPr>
          <w:rFonts w:eastAsia="Calibri"/>
          <w:noProof/>
          <w:color w:val="4C4747"/>
          <w:lang w:val="es-419"/>
        </w:rPr>
      </w:pPr>
      <w:r w:rsidRPr="00D12594">
        <w:rPr>
          <w:rFonts w:eastAsia="Calibri"/>
          <w:b/>
          <w:bCs/>
          <w:noProof/>
          <w:color w:val="4C4747"/>
          <w:lang w:val="es-419"/>
        </w:rPr>
        <w:lastRenderedPageBreak/>
        <w:t>Tasa de retención de empleados por género</w:t>
      </w:r>
      <w:r w:rsidR="00D12594">
        <w:rPr>
          <w:rFonts w:eastAsia="Calibri"/>
          <w:noProof/>
          <w:color w:val="4C4747"/>
          <w:lang w:val="es-419"/>
        </w:rPr>
        <w:t xml:space="preserve">: </w:t>
      </w:r>
      <w:r w:rsidRPr="00E4678B">
        <w:rPr>
          <w:rFonts w:eastAsia="Calibri"/>
          <w:noProof/>
          <w:color w:val="4C4747"/>
          <w:lang w:val="es-419"/>
        </w:rPr>
        <w:t>La tasa de retención es del 86% para mujeres y del 85% para hombres. La tasa de retención es similar entre mujeres y hombres, lo que refleja una estabilidad laboral equilibrada en la institución.</w:t>
      </w:r>
    </w:p>
    <w:p w14:paraId="041CBC95"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4A2EA45E" w14:textId="5A49F6BF"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Tasa de promoción</w:t>
      </w:r>
      <w:r w:rsidR="00397AC0">
        <w:rPr>
          <w:rFonts w:eastAsia="Calibri"/>
          <w:b/>
          <w:bCs/>
          <w:noProof/>
          <w:color w:val="4C4747"/>
          <w:lang w:val="es-419"/>
        </w:rPr>
        <w:t xml:space="preserve">: </w:t>
      </w:r>
      <w:r w:rsidRPr="00E4678B">
        <w:rPr>
          <w:rFonts w:eastAsia="Calibri"/>
          <w:noProof/>
          <w:color w:val="4C4747"/>
          <w:lang w:val="es-419"/>
        </w:rPr>
        <w:t>La tasa de promoción es del 3% para las mujeres y del 1% para los hombres.</w:t>
      </w:r>
      <w:r w:rsidR="00397AC0">
        <w:rPr>
          <w:rFonts w:eastAsia="Calibri"/>
          <w:noProof/>
          <w:color w:val="4C4747"/>
          <w:lang w:val="es-419"/>
        </w:rPr>
        <w:t xml:space="preserve"> </w:t>
      </w:r>
      <w:r w:rsidRPr="00E4678B">
        <w:rPr>
          <w:rFonts w:eastAsia="Calibri"/>
          <w:noProof/>
          <w:color w:val="4C4747"/>
          <w:lang w:val="es-419"/>
        </w:rPr>
        <w:t>Las mujeres han tenido mayores oportunidades de promoción en comparación con los hombres. Esto podría estar relacionado con su alta participación en capacitaciones y programas de desarrollo.</w:t>
      </w:r>
    </w:p>
    <w:p w14:paraId="606E2587"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6AA0D689" w14:textId="0FA81367"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Tasa de participación en programas de capacitación por género</w:t>
      </w:r>
      <w:r w:rsidR="00397AC0">
        <w:rPr>
          <w:rFonts w:eastAsia="Calibri"/>
          <w:b/>
          <w:bCs/>
          <w:noProof/>
          <w:color w:val="4C4747"/>
          <w:lang w:val="es-419"/>
        </w:rPr>
        <w:t xml:space="preserve">: </w:t>
      </w:r>
      <w:r w:rsidRPr="00E4678B">
        <w:rPr>
          <w:rFonts w:eastAsia="Calibri"/>
          <w:noProof/>
          <w:color w:val="4C4747"/>
          <w:lang w:val="es-419"/>
        </w:rPr>
        <w:t>La participación en capacitaciones es del 93% para mujeres y del 60% para hombres.</w:t>
      </w:r>
      <w:r w:rsidR="00397AC0">
        <w:rPr>
          <w:rFonts w:eastAsia="Calibri"/>
          <w:noProof/>
          <w:color w:val="4C4747"/>
          <w:lang w:val="es-419"/>
        </w:rPr>
        <w:t xml:space="preserve"> </w:t>
      </w:r>
      <w:r w:rsidRPr="00E4678B">
        <w:rPr>
          <w:rFonts w:eastAsia="Calibri"/>
          <w:noProof/>
          <w:color w:val="4C4747"/>
          <w:lang w:val="es-419"/>
        </w:rPr>
        <w:t>La alta participación femenina en capacitaciones refleja un acceso significativo a oportunidades de desarrollo profesional, lo cual es un factor que contribuye a su mayor tasa de promoción.</w:t>
      </w:r>
    </w:p>
    <w:p w14:paraId="06A88AB8"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0F882074"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Partiendo de los resultados obtenidos en los diferentes indicadores y con miras a elevar la equidad de género en el Ministerio, se han definido algunas acciones para cerrar las brechas existentes.</w:t>
      </w:r>
    </w:p>
    <w:p w14:paraId="237839C4" w14:textId="77777777" w:rsidR="001E494B" w:rsidRPr="00E4678B" w:rsidRDefault="001E494B" w:rsidP="00886F32">
      <w:pPr>
        <w:tabs>
          <w:tab w:val="left" w:pos="1260"/>
        </w:tabs>
        <w:spacing w:after="0" w:line="360" w:lineRule="auto"/>
        <w:ind w:left="720"/>
        <w:rPr>
          <w:rFonts w:eastAsia="Calibri"/>
          <w:noProof/>
          <w:color w:val="4C4747"/>
          <w:lang w:val="es-419"/>
        </w:rPr>
      </w:pPr>
    </w:p>
    <w:p w14:paraId="7DFEDC93" w14:textId="135AA898" w:rsidR="00E4678B" w:rsidRPr="00397AC0" w:rsidRDefault="00E4678B" w:rsidP="00D12416">
      <w:pPr>
        <w:pStyle w:val="ListParagraph"/>
        <w:numPr>
          <w:ilvl w:val="2"/>
          <w:numId w:val="96"/>
        </w:numPr>
        <w:tabs>
          <w:tab w:val="left" w:pos="1260"/>
        </w:tabs>
        <w:spacing w:after="0" w:line="360" w:lineRule="auto"/>
        <w:ind w:left="1350"/>
        <w:rPr>
          <w:rFonts w:eastAsia="Calibri"/>
          <w:b/>
          <w:bCs/>
          <w:noProof/>
          <w:color w:val="4C4747"/>
        </w:rPr>
      </w:pPr>
      <w:r w:rsidRPr="00397AC0">
        <w:rPr>
          <w:rFonts w:eastAsia="Calibri"/>
          <w:b/>
          <w:bCs/>
          <w:noProof/>
          <w:color w:val="4C4747"/>
        </w:rPr>
        <w:t>Políticas y Procedimientos de Recursos Humanos</w:t>
      </w:r>
    </w:p>
    <w:p w14:paraId="3560F70D"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Es una práctica continua la revisión y actualización de los procedimientos de la gestión humana, siempre alineándonos a mejores prácticas y cambios que se generan en los diferentes procesos. </w:t>
      </w:r>
    </w:p>
    <w:p w14:paraId="1C0ABC67"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63F28D1B"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lastRenderedPageBreak/>
        <w:t xml:space="preserve">Durante el año 2025 fue actualizado el Procedimiento de Compensaciones y Beneficios, introduciendo el beneficio Bono Escolar, así como el Seguro Internacional. </w:t>
      </w:r>
    </w:p>
    <w:p w14:paraId="5687BA8B"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3220E8D9" w14:textId="6DF4B174"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Revisión Escala Salarial</w:t>
      </w:r>
      <w:r w:rsidR="00397AC0">
        <w:rPr>
          <w:rFonts w:eastAsia="Calibri"/>
          <w:b/>
          <w:bCs/>
          <w:noProof/>
          <w:color w:val="4C4747"/>
          <w:lang w:val="es-419"/>
        </w:rPr>
        <w:t xml:space="preserve">: </w:t>
      </w:r>
      <w:r w:rsidRPr="00E4678B">
        <w:rPr>
          <w:rFonts w:eastAsia="Calibri"/>
          <w:noProof/>
          <w:color w:val="4C4747"/>
          <w:lang w:val="es-419"/>
        </w:rPr>
        <w:t xml:space="preserve">A raíz del proceso de fusión MEPYD-MINPRE surge la necesidad de revisar y alinear la escala salarial vigente, con miras a que el personal técnico y especializado que pasará de MEPYD al Ministerio de la Presidencia conserve sus niveles salariales, sin que esto entre en conflicto con la ley 105-13 de regulación salarial para el sector público Dominicano.   </w:t>
      </w:r>
    </w:p>
    <w:p w14:paraId="63433B6F"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3391907E"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El Ministerio de Administración Pública, órgano rector, acogió la propuesta realizando pequeños ajustes, lo cuales fueron acogidos satisfactoriamente. La nueva escala será aplicada en una primera etapa a los colaboradores que se encuentran por debajo del salario minino requerido, así como también al personal de los puestos de la Dirección de Tecnología, en cumplimiento al nuevo esquema propuesto por el Ministerio de Administración Pública MAP.</w:t>
      </w:r>
    </w:p>
    <w:p w14:paraId="71496539"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41C32104" w14:textId="4D644556"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Implementación Lectores Control Asistencia</w:t>
      </w:r>
      <w:r w:rsidR="00397AC0">
        <w:rPr>
          <w:rFonts w:eastAsia="Calibri"/>
          <w:b/>
          <w:bCs/>
          <w:noProof/>
          <w:color w:val="4C4747"/>
          <w:lang w:val="es-419"/>
        </w:rPr>
        <w:t xml:space="preserve">: </w:t>
      </w:r>
      <w:r w:rsidRPr="00E4678B">
        <w:rPr>
          <w:rFonts w:eastAsia="Calibri"/>
          <w:noProof/>
          <w:color w:val="4C4747"/>
          <w:lang w:val="es-419"/>
        </w:rPr>
        <w:t xml:space="preserve">Dando continuidad </w:t>
      </w:r>
      <w:r w:rsidRPr="004A7743">
        <w:rPr>
          <w:rFonts w:eastAsia="Calibri"/>
          <w:noProof/>
          <w:color w:val="4C4747"/>
          <w:lang w:val="es-419"/>
        </w:rPr>
        <w:t>al plan de acción y mejora resultante del informe de Auditoria de la Contraloría en lo relacionado al control de asistencia del personal, fue instalado un dispositivo de control en la localidad Casa Blanca, donde se aloja un equipo de trabajo del Viceministerio de Seguimiento y Coordinación Gubernamental.</w:t>
      </w:r>
    </w:p>
    <w:p w14:paraId="1F182931" w14:textId="77777777" w:rsidR="00D12416" w:rsidRPr="004A7743" w:rsidRDefault="00D12416" w:rsidP="00886F32">
      <w:pPr>
        <w:tabs>
          <w:tab w:val="left" w:pos="1260"/>
        </w:tabs>
        <w:spacing w:after="0" w:line="360" w:lineRule="auto"/>
        <w:ind w:left="720"/>
        <w:jc w:val="both"/>
        <w:rPr>
          <w:rFonts w:eastAsia="Calibri"/>
          <w:noProof/>
          <w:color w:val="4C4747"/>
          <w:lang w:val="es-419"/>
        </w:rPr>
      </w:pPr>
    </w:p>
    <w:p w14:paraId="67223199" w14:textId="11370F41"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Proceso Auditado Pago con Cheques</w:t>
      </w:r>
      <w:r w:rsidR="00397AC0">
        <w:rPr>
          <w:rFonts w:eastAsia="Calibri"/>
          <w:b/>
          <w:bCs/>
          <w:noProof/>
          <w:color w:val="4C4747"/>
          <w:lang w:val="es-419"/>
        </w:rPr>
        <w:t xml:space="preserve">: </w:t>
      </w:r>
      <w:r w:rsidRPr="00E4678B">
        <w:rPr>
          <w:rFonts w:eastAsia="Calibri"/>
          <w:noProof/>
          <w:color w:val="4C4747"/>
          <w:lang w:val="es-419"/>
        </w:rPr>
        <w:t xml:space="preserve">A requerimiento de la máxima autoridad del Ministerio de la Presidencia y con el </w:t>
      </w:r>
      <w:r w:rsidRPr="00E4678B">
        <w:rPr>
          <w:rFonts w:eastAsia="Calibri"/>
          <w:noProof/>
          <w:color w:val="4C4747"/>
          <w:lang w:val="es-419"/>
        </w:rPr>
        <w:lastRenderedPageBreak/>
        <w:t xml:space="preserve">objetivo de fortalecer y optimizar continuamente los aspectos financieros de la gestión de nómina, coordinamos el proceso de pago auditado mediante la entrega de cheques, correspondiente a la nómina de la Oficina Metropolitana de Autobuses OMSA. </w:t>
      </w:r>
    </w:p>
    <w:p w14:paraId="46DC1050"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25D5B385"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La entrega se llevó a cabo del 21 al 23 de mayo del 2025, en los 8 módulos, ubicados en Santo Domingo, Santiago y Barahona.</w:t>
      </w:r>
    </w:p>
    <w:p w14:paraId="2CA60832"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1254AF3D"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Fueron entregados de manera presencial 2,788 cheques, de un total de 2,793, equivalente al 90% de la plantilla laboral. El porcentaje restante correspondía al personal de vacaciones y licencias médicas.</w:t>
      </w:r>
    </w:p>
    <w:p w14:paraId="0F9A457D"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14A71102" w14:textId="2DDA8710" w:rsidR="00E4678B" w:rsidRP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Encuesta de Clima Laboral</w:t>
      </w:r>
      <w:r w:rsidR="00397AC0">
        <w:rPr>
          <w:rFonts w:eastAsia="Calibri"/>
          <w:b/>
          <w:bCs/>
          <w:noProof/>
          <w:color w:val="4C4747"/>
          <w:lang w:val="es-419"/>
        </w:rPr>
        <w:t xml:space="preserve">: </w:t>
      </w:r>
      <w:r w:rsidRPr="00E4678B">
        <w:rPr>
          <w:rFonts w:eastAsia="Calibri"/>
          <w:noProof/>
          <w:color w:val="4C4747"/>
          <w:lang w:val="es-419"/>
        </w:rPr>
        <w:t xml:space="preserve">Durante el periodo enero-febrero 2025, fue aplicada la Encuesta de Clima Laboral. Este proceso se llevó a cabo con el acompañamiento del Ministerio de Administración Pública MAP, utilizando el sistema de Evaluación de Clima de la Administración Pública SECAP. Participaron en la encuesta 167 colaboradores de un total de 188, lo que representa el 79% de la plantilla laboral.           </w:t>
      </w:r>
    </w:p>
    <w:p w14:paraId="68442329"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El resultado obtenido fue de un 86% de nivel de satisfacción, con una brecha de 14% como oportunidad de mejora.</w:t>
      </w:r>
    </w:p>
    <w:p w14:paraId="40F06E46"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1905C6E5"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xml:space="preserve">Partiendo de estos resultados la Dirección de Recursos Humanos ha diseñado un Plan de Acción aplicable para el periodo 2025-2026 orientado a cerrar las brechas y oportunidades resultantes del proceso. El plan incluye continuidad de algunos programas como el de reconocimiento al buen trabajo, excelencia académica, programa veranito </w:t>
      </w:r>
      <w:r w:rsidRPr="00E4678B">
        <w:rPr>
          <w:rFonts w:eastAsia="Calibri"/>
          <w:noProof/>
          <w:color w:val="4C4747"/>
          <w:lang w:val="es-419"/>
        </w:rPr>
        <w:lastRenderedPageBreak/>
        <w:t xml:space="preserve">Minpre, así como la implementación del beneficio del bono Escolar y la nivelación de la carga laboral a través de ampliar la estructura organizativa en las áreas que lo requieran. </w:t>
      </w:r>
    </w:p>
    <w:p w14:paraId="79446410" w14:textId="77777777" w:rsidR="00D12416" w:rsidRPr="00E4678B" w:rsidRDefault="00D12416" w:rsidP="00886F32">
      <w:pPr>
        <w:tabs>
          <w:tab w:val="left" w:pos="1260"/>
        </w:tabs>
        <w:spacing w:after="0" w:line="360" w:lineRule="auto"/>
        <w:ind w:left="720"/>
        <w:jc w:val="both"/>
        <w:rPr>
          <w:rFonts w:eastAsia="Calibri"/>
          <w:noProof/>
          <w:color w:val="4C4747"/>
          <w:lang w:val="es-419"/>
        </w:rPr>
      </w:pPr>
    </w:p>
    <w:p w14:paraId="4985A917" w14:textId="05680969" w:rsidR="00E4678B" w:rsidRPr="00397AC0" w:rsidRDefault="00E4678B" w:rsidP="00D12416">
      <w:pPr>
        <w:pStyle w:val="ListParagraph"/>
        <w:numPr>
          <w:ilvl w:val="2"/>
          <w:numId w:val="96"/>
        </w:numPr>
        <w:tabs>
          <w:tab w:val="left" w:pos="1260"/>
        </w:tabs>
        <w:spacing w:after="0" w:line="360" w:lineRule="auto"/>
        <w:rPr>
          <w:rFonts w:eastAsia="Calibri"/>
          <w:b/>
          <w:bCs/>
          <w:noProof/>
          <w:color w:val="4C4747"/>
        </w:rPr>
      </w:pPr>
      <w:r w:rsidRPr="00397AC0">
        <w:rPr>
          <w:rFonts w:eastAsia="Calibri"/>
          <w:b/>
          <w:bCs/>
          <w:noProof/>
          <w:color w:val="4C4747"/>
        </w:rPr>
        <w:t xml:space="preserve"> Plan de Bienestar y Beneficios</w:t>
      </w:r>
    </w:p>
    <w:p w14:paraId="27B4A941" w14:textId="77777777"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Para el Ministerio de la Presidencia reviste mucha importancia retener los buenos talentos a través de propiciar un clima laboral saludable y beneficios atractivos para sus colaboradores. Es por ello que son analizadas y consideradas las acciones de mejora que resultan de la encuesta de clima laboral aplicada bianualmente.</w:t>
      </w:r>
    </w:p>
    <w:p w14:paraId="6BEE11FE" w14:textId="77777777" w:rsidR="00EE53A6" w:rsidRPr="00E4678B" w:rsidRDefault="00EE53A6" w:rsidP="00886F32">
      <w:pPr>
        <w:tabs>
          <w:tab w:val="left" w:pos="1260"/>
        </w:tabs>
        <w:spacing w:after="0" w:line="360" w:lineRule="auto"/>
        <w:ind w:left="720"/>
        <w:jc w:val="both"/>
        <w:rPr>
          <w:rFonts w:eastAsia="Calibri"/>
          <w:noProof/>
          <w:color w:val="4C4747"/>
          <w:lang w:val="es-419"/>
        </w:rPr>
      </w:pPr>
    </w:p>
    <w:p w14:paraId="58CDEA8B" w14:textId="77777777"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Durante el año 2025 se dio continuidad a varias iniciativas y fueron introducidos otros beneficios.</w:t>
      </w:r>
    </w:p>
    <w:p w14:paraId="6ECAE98D" w14:textId="4CA37F09"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Bono Escolar</w:t>
      </w:r>
      <w:r w:rsidR="00397AC0">
        <w:rPr>
          <w:rFonts w:eastAsia="Calibri"/>
          <w:b/>
          <w:bCs/>
          <w:noProof/>
          <w:color w:val="4C4747"/>
          <w:lang w:val="es-419"/>
        </w:rPr>
        <w:t xml:space="preserve">: </w:t>
      </w:r>
      <w:r w:rsidRPr="00E4678B">
        <w:rPr>
          <w:rFonts w:eastAsia="Calibri"/>
          <w:noProof/>
          <w:color w:val="4C4747"/>
          <w:lang w:val="es-419"/>
        </w:rPr>
        <w:t>El Ministerio de la Presidencia en alineación con la estrategia del Gobierno relacionada a fortalecer la educación, aprobó el bono escolar para los colaboradores con hijos en edad escolar. En total 96 colaboradores recibieron un bono de RD$20,000.00 por cada hijo inscrito en un centro educativo, sea este público o privado. Los de centros privados la ayuda está destinada al pago de colegiatura en cambio los de centros públicos para la compra de útiles y materiales.</w:t>
      </w:r>
    </w:p>
    <w:p w14:paraId="3BD74FA6" w14:textId="77777777" w:rsidR="00EE53A6" w:rsidRPr="00E4678B" w:rsidRDefault="00EE53A6" w:rsidP="00886F32">
      <w:pPr>
        <w:tabs>
          <w:tab w:val="left" w:pos="1260"/>
        </w:tabs>
        <w:spacing w:after="0" w:line="360" w:lineRule="auto"/>
        <w:ind w:left="720"/>
        <w:jc w:val="both"/>
        <w:rPr>
          <w:rFonts w:eastAsia="Calibri"/>
          <w:noProof/>
          <w:color w:val="4C4747"/>
          <w:lang w:val="es-419"/>
        </w:rPr>
      </w:pPr>
    </w:p>
    <w:p w14:paraId="296039B0" w14:textId="45DA6181" w:rsidR="00E4678B" w:rsidRP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Programa Excelencia Estudiantil</w:t>
      </w:r>
      <w:r w:rsidR="00397AC0">
        <w:rPr>
          <w:rFonts w:eastAsia="Calibri"/>
          <w:b/>
          <w:bCs/>
          <w:noProof/>
          <w:color w:val="4C4747"/>
          <w:lang w:val="es-419"/>
        </w:rPr>
        <w:t xml:space="preserve">: </w:t>
      </w:r>
      <w:r w:rsidRPr="00E4678B">
        <w:rPr>
          <w:rFonts w:eastAsia="Calibri"/>
          <w:noProof/>
          <w:color w:val="4C4747"/>
          <w:lang w:val="es-419"/>
        </w:rPr>
        <w:t>En el mes de septiembre se llevó a cabo la premiación a la excelencia estudiantil, la cual tiene como finalidad estimular el buen desempeño escolar de los hijos de los colaboradores, a partir del sexto grado de primaria. Fueron premiados 18 jóvenes con altas calificaciones dentro del rango 90-100. Estos recibieron un obsequio y palabras inspiradoras por parte del Ministro de la Presidencia.</w:t>
      </w:r>
    </w:p>
    <w:p w14:paraId="57ECA0B0" w14:textId="286883C4"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lastRenderedPageBreak/>
        <w:t>Programa Veranito Minpre</w:t>
      </w:r>
      <w:r w:rsidR="00397AC0">
        <w:rPr>
          <w:rFonts w:eastAsia="Calibri"/>
          <w:b/>
          <w:bCs/>
          <w:noProof/>
          <w:color w:val="4C4747"/>
          <w:lang w:val="es-419"/>
        </w:rPr>
        <w:t xml:space="preserve">: </w:t>
      </w:r>
      <w:r w:rsidRPr="00E4678B">
        <w:rPr>
          <w:rFonts w:eastAsia="Calibri"/>
          <w:noProof/>
          <w:color w:val="4C4747"/>
          <w:lang w:val="es-419"/>
        </w:rPr>
        <w:t xml:space="preserve">Con la finalidad de que los hijos de los colaboradores tengan una experiencia laboral, que les ayude a definir su vocación profesional, a fortalecer las habilidades interpersonales al relacionarse con otras personas y aprender a vivir los valores y disciplina institucional, como cada año durante el mes de Julio 2025, se llevó a cabo el programa "Veranito Minpre 2025". El mismo está diseñado para los hijos de nuestros colaboradores en edad comprendida entre 15-18 años. Participaron 11 jóvenes, los cuales realizaron tareas simples en las diferentes direcciones y dependencias. El programa incluyó visitas al Congreso Nacional, al Sistema Nacional de Atención a Emergencias 911, al Centro Nacional de Ciberseguridad y al Centro Cultural Banreservas, así como varias charlas educativas, permitiendo una experiencia integral de los jóvenes participantes. </w:t>
      </w:r>
    </w:p>
    <w:p w14:paraId="7019F746" w14:textId="77777777" w:rsidR="00EE53A6" w:rsidRPr="00E4678B" w:rsidRDefault="00EE53A6" w:rsidP="00886F32">
      <w:pPr>
        <w:tabs>
          <w:tab w:val="left" w:pos="1260"/>
        </w:tabs>
        <w:spacing w:after="0" w:line="360" w:lineRule="auto"/>
        <w:ind w:left="720"/>
        <w:jc w:val="both"/>
        <w:rPr>
          <w:rFonts w:eastAsia="Calibri"/>
          <w:noProof/>
          <w:color w:val="4C4747"/>
          <w:lang w:val="es-419"/>
        </w:rPr>
      </w:pPr>
    </w:p>
    <w:p w14:paraId="11CB64C2" w14:textId="038185AC" w:rsidR="00E4678B" w:rsidRP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Jornadas de Salud</w:t>
      </w:r>
      <w:r w:rsidR="00397AC0">
        <w:rPr>
          <w:rFonts w:eastAsia="Calibri"/>
          <w:b/>
          <w:bCs/>
          <w:noProof/>
          <w:color w:val="4C4747"/>
          <w:lang w:val="es-419"/>
        </w:rPr>
        <w:t xml:space="preserve">: </w:t>
      </w:r>
      <w:r w:rsidRPr="00E4678B">
        <w:rPr>
          <w:rFonts w:eastAsia="Calibri"/>
          <w:noProof/>
          <w:color w:val="4C4747"/>
          <w:lang w:val="es-419"/>
        </w:rPr>
        <w:t xml:space="preserve">Como parte de las iniciativas orientadas al bienestar integral de los colaboradores coordinamos con el acompañamiento del Servicio Nacional de Salud (SENASA), diferentes charlas y jornada a modo de concienciación y prevención. En el mes de Junio se llevó a cabo una charla sobre Manejo del estrés, en la que se compartieron herramientas prácticas para mantener el equilibrio y estabilidad emocional en todos los ámbitos. De igual manera en el mes de agosto se realizó una jornada de evaluación cardiovascular y pruebas de Glicemia, perfil lipídico y PSA. En el mes de octubre se ofreció una charla sobre Prevención del Cáncer de Mama. Estas actividades representan una facilidad y ahorro al colaborador, ya que pueden recibir en el espacio laboral analíticas, evaluaciones y recomendaciones para mejorar su salud y bienestar, sin copago. </w:t>
      </w:r>
    </w:p>
    <w:p w14:paraId="49B5928B" w14:textId="72D764F9"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lastRenderedPageBreak/>
        <w:t>Conoce tu Paquete Salarial</w:t>
      </w:r>
      <w:r w:rsidR="00397AC0">
        <w:rPr>
          <w:rFonts w:eastAsia="Calibri"/>
          <w:b/>
          <w:bCs/>
          <w:noProof/>
          <w:color w:val="4C4747"/>
          <w:lang w:val="es-419"/>
        </w:rPr>
        <w:t xml:space="preserve">: </w:t>
      </w:r>
      <w:r w:rsidRPr="00E4678B">
        <w:rPr>
          <w:rFonts w:eastAsia="Calibri"/>
          <w:noProof/>
          <w:color w:val="4C4747"/>
          <w:lang w:val="es-419"/>
        </w:rPr>
        <w:t>Con miras a promover y fomentar la transparencia como un valor institucional, fue implementada la iniciativa Conoce tu Paquete Salarial, cuya finalidad es la de dar a conocer a los colaboradores del Ministerio, su paquete salarial. A través de una plantilla disponible en el Intranet en la sesión Mi Perfil, cada colaborador podrá consultar de manera individual su paquete de beneficios.   La misma contiene el detalle de todos los componentes tales como salarios, bonos, beneficios monetarios y no monetarios y los conceptos que son cubiertos por la institución. Con esta iniciativa se genera mayor compromiso, retención del talento y fortalecimiento del clima laboral.</w:t>
      </w:r>
    </w:p>
    <w:p w14:paraId="66A91FCD" w14:textId="77777777" w:rsidR="00EE53A6" w:rsidRPr="00E4678B" w:rsidRDefault="00EE53A6" w:rsidP="00886F32">
      <w:pPr>
        <w:tabs>
          <w:tab w:val="left" w:pos="1260"/>
        </w:tabs>
        <w:spacing w:after="0" w:line="360" w:lineRule="auto"/>
        <w:ind w:left="720"/>
        <w:jc w:val="both"/>
        <w:rPr>
          <w:rFonts w:eastAsia="Calibri"/>
          <w:noProof/>
          <w:color w:val="4C4747"/>
          <w:lang w:val="es-419"/>
        </w:rPr>
      </w:pPr>
    </w:p>
    <w:p w14:paraId="15E0ADD8" w14:textId="6507BE54" w:rsidR="00E4678B" w:rsidRDefault="00E4678B" w:rsidP="00886F32">
      <w:pPr>
        <w:tabs>
          <w:tab w:val="left" w:pos="1260"/>
        </w:tabs>
        <w:spacing w:after="0" w:line="360" w:lineRule="auto"/>
        <w:ind w:left="720"/>
        <w:jc w:val="both"/>
        <w:rPr>
          <w:rFonts w:eastAsia="Calibri"/>
          <w:noProof/>
          <w:color w:val="4C4747"/>
          <w:lang w:val="es-419"/>
        </w:rPr>
      </w:pPr>
      <w:r w:rsidRPr="00397AC0">
        <w:rPr>
          <w:rFonts w:eastAsia="Calibri"/>
          <w:b/>
          <w:bCs/>
          <w:noProof/>
          <w:color w:val="4C4747"/>
          <w:lang w:val="es-419"/>
        </w:rPr>
        <w:t>Actividades Fechas Especiales</w:t>
      </w:r>
      <w:r w:rsidR="00397AC0">
        <w:rPr>
          <w:rFonts w:eastAsia="Calibri"/>
          <w:b/>
          <w:bCs/>
          <w:noProof/>
          <w:color w:val="4C4747"/>
          <w:lang w:val="es-419"/>
        </w:rPr>
        <w:t xml:space="preserve">: </w:t>
      </w:r>
      <w:r w:rsidRPr="00E4678B">
        <w:rPr>
          <w:rFonts w:eastAsia="Calibri"/>
          <w:noProof/>
          <w:color w:val="4C4747"/>
          <w:lang w:val="es-419"/>
        </w:rPr>
        <w:t>Durante todo el año se realizan actividades y publicaciones para conmemorar fechas especiales tales como el Día de San Valentín; Semana Santa; Día de la Secretaria; Día de las Madres; Día de los Padres y celebraciones de Navidad. Con esto se fortalece la cultura institucional y se fomenta las relaciones entre los colaboradores, impactando positivamente el clima laboral. </w:t>
      </w:r>
    </w:p>
    <w:p w14:paraId="0E8F12D3" w14:textId="77777777" w:rsidR="00EE53A6" w:rsidRPr="00E4678B" w:rsidRDefault="00EE53A6" w:rsidP="00886F32">
      <w:pPr>
        <w:tabs>
          <w:tab w:val="left" w:pos="1260"/>
        </w:tabs>
        <w:spacing w:after="0" w:line="360" w:lineRule="auto"/>
        <w:ind w:left="720"/>
        <w:jc w:val="both"/>
        <w:rPr>
          <w:rFonts w:eastAsia="Calibri"/>
          <w:noProof/>
          <w:color w:val="4C4747"/>
          <w:lang w:val="es-419"/>
        </w:rPr>
      </w:pPr>
    </w:p>
    <w:p w14:paraId="4A0F04E8" w14:textId="2A2F8775" w:rsidR="00E4678B" w:rsidRPr="00397AC0" w:rsidRDefault="00397AC0" w:rsidP="00EE53A6">
      <w:pPr>
        <w:pStyle w:val="ListParagraph"/>
        <w:numPr>
          <w:ilvl w:val="2"/>
          <w:numId w:val="96"/>
        </w:numPr>
        <w:tabs>
          <w:tab w:val="left" w:pos="1260"/>
        </w:tabs>
        <w:spacing w:after="0" w:line="360" w:lineRule="auto"/>
        <w:ind w:left="1350"/>
        <w:rPr>
          <w:rFonts w:eastAsia="Calibri"/>
          <w:b/>
          <w:bCs/>
          <w:noProof/>
          <w:color w:val="4C4747"/>
        </w:rPr>
      </w:pPr>
      <w:r>
        <w:rPr>
          <w:rFonts w:eastAsia="Calibri"/>
          <w:b/>
          <w:bCs/>
          <w:noProof/>
          <w:color w:val="4C4747"/>
        </w:rPr>
        <w:t xml:space="preserve"> </w:t>
      </w:r>
      <w:r w:rsidR="00E4678B" w:rsidRPr="00397AC0">
        <w:rPr>
          <w:rFonts w:eastAsia="Calibri"/>
          <w:b/>
          <w:bCs/>
          <w:noProof/>
          <w:color w:val="4C4747"/>
        </w:rPr>
        <w:t>Plan 3R y Sostenibilidad Ambiental</w:t>
      </w:r>
    </w:p>
    <w:p w14:paraId="44DD9D71" w14:textId="77777777" w:rsidR="00E4678B" w:rsidRDefault="00E4678B" w:rsidP="00886F32">
      <w:pPr>
        <w:tabs>
          <w:tab w:val="left" w:pos="1260"/>
        </w:tabs>
        <w:spacing w:after="0" w:line="360" w:lineRule="auto"/>
        <w:ind w:left="720"/>
        <w:jc w:val="both"/>
        <w:rPr>
          <w:rFonts w:eastAsia="Calibri"/>
          <w:noProof/>
          <w:color w:val="4C4747"/>
          <w:lang w:val="es-419"/>
        </w:rPr>
      </w:pPr>
      <w:r w:rsidRPr="00882850">
        <w:rPr>
          <w:rFonts w:eastAsia="Calibri"/>
          <w:noProof/>
          <w:color w:val="4C4747"/>
          <w:lang w:val="es-419"/>
        </w:rPr>
        <w:t>El Ministerio de la Presidencia</w:t>
      </w:r>
      <w:r>
        <w:rPr>
          <w:rFonts w:eastAsia="Calibri"/>
          <w:noProof/>
          <w:color w:val="4C4747"/>
          <w:lang w:val="es-419"/>
        </w:rPr>
        <w:t xml:space="preserve"> está comprometido con la sostenibilidad ambiental y el cuidado del medio ambiente. Es por ello que en nuestro Plan Operativo anual se incluyen iniciativas en este orden. Una práctica constante y recurrente en todas las localidades tiene que ver con el</w:t>
      </w:r>
      <w:r w:rsidRPr="00882850">
        <w:rPr>
          <w:rFonts w:eastAsia="Calibri"/>
          <w:noProof/>
          <w:color w:val="4C4747"/>
          <w:lang w:val="es-419"/>
        </w:rPr>
        <w:t xml:space="preserve"> manejo de </w:t>
      </w:r>
      <w:r>
        <w:rPr>
          <w:rFonts w:eastAsia="Calibri"/>
          <w:noProof/>
          <w:color w:val="4C4747"/>
          <w:lang w:val="es-419"/>
        </w:rPr>
        <w:t xml:space="preserve">los </w:t>
      </w:r>
      <w:r w:rsidRPr="00882850">
        <w:rPr>
          <w:rFonts w:eastAsia="Calibri"/>
          <w:noProof/>
          <w:color w:val="4C4747"/>
          <w:lang w:val="es-419"/>
        </w:rPr>
        <w:t>desechos</w:t>
      </w:r>
      <w:r>
        <w:rPr>
          <w:rFonts w:eastAsia="Calibri"/>
          <w:noProof/>
          <w:color w:val="4C4747"/>
          <w:lang w:val="es-419"/>
        </w:rPr>
        <w:t>. Una vez recolectados y clasificados, los desechos son llevados al punto limpio disponible en el Palacio Nacional.</w:t>
      </w:r>
    </w:p>
    <w:p w14:paraId="04EDD544" w14:textId="77777777" w:rsidR="00E4678B" w:rsidRDefault="00E4678B" w:rsidP="00886F32">
      <w:pPr>
        <w:tabs>
          <w:tab w:val="left" w:pos="1260"/>
        </w:tabs>
        <w:spacing w:after="0" w:line="360" w:lineRule="auto"/>
        <w:ind w:left="720"/>
        <w:jc w:val="both"/>
        <w:rPr>
          <w:rFonts w:eastAsia="Calibri"/>
          <w:noProof/>
          <w:color w:val="4C4747"/>
          <w:lang w:val="es-419"/>
        </w:rPr>
      </w:pPr>
    </w:p>
    <w:p w14:paraId="331B43AE" w14:textId="77777777" w:rsidR="00E4678B" w:rsidRDefault="00E4678B" w:rsidP="00886F32">
      <w:pPr>
        <w:tabs>
          <w:tab w:val="left" w:pos="1260"/>
        </w:tabs>
        <w:spacing w:after="0" w:line="360" w:lineRule="auto"/>
        <w:ind w:left="720"/>
        <w:jc w:val="both"/>
        <w:rPr>
          <w:rFonts w:eastAsia="Calibri"/>
          <w:noProof/>
          <w:color w:val="4C4747"/>
          <w:lang w:val="es-419"/>
        </w:rPr>
      </w:pPr>
      <w:r>
        <w:rPr>
          <w:rFonts w:eastAsia="Calibri"/>
          <w:noProof/>
          <w:color w:val="4C4747"/>
          <w:lang w:val="es-419"/>
        </w:rPr>
        <w:lastRenderedPageBreak/>
        <w:t xml:space="preserve">Del mismo modo en el mes de marzo se llevó a cabo una charla de concienciación sobre la Importancia de la Reforestación y posteriormente en el mes de mayo 2025 se realizó en la ciudad de Monte Plata una jornada de reforestación, ambas actividades con el apoyo del Ministerio de Medio Ambiente. Fueron </w:t>
      </w:r>
      <w:r w:rsidRPr="00E4678B">
        <w:rPr>
          <w:rFonts w:eastAsia="Calibri"/>
          <w:noProof/>
          <w:color w:val="4C4747"/>
          <w:lang w:val="es-419"/>
        </w:rPr>
        <w:t xml:space="preserve">plantadas 1,300.00 unidades de Cedros. </w:t>
      </w:r>
    </w:p>
    <w:p w14:paraId="247F9EE6" w14:textId="77777777" w:rsidR="00EE53A6" w:rsidRPr="00E4678B" w:rsidRDefault="00EE53A6" w:rsidP="00886F32">
      <w:pPr>
        <w:tabs>
          <w:tab w:val="left" w:pos="1260"/>
        </w:tabs>
        <w:spacing w:after="0" w:line="360" w:lineRule="auto"/>
        <w:ind w:left="720"/>
        <w:jc w:val="both"/>
        <w:rPr>
          <w:rFonts w:eastAsia="Calibri"/>
          <w:noProof/>
          <w:color w:val="4C4747"/>
          <w:lang w:val="es-419"/>
        </w:rPr>
      </w:pPr>
    </w:p>
    <w:p w14:paraId="7E228E2D" w14:textId="77777777" w:rsidR="00E4678B" w:rsidRDefault="00E4678B" w:rsidP="00886F32">
      <w:pPr>
        <w:tabs>
          <w:tab w:val="left" w:pos="1260"/>
        </w:tabs>
        <w:spacing w:after="0" w:line="360" w:lineRule="auto"/>
        <w:ind w:left="720"/>
        <w:jc w:val="both"/>
        <w:rPr>
          <w:rFonts w:eastAsia="Calibri"/>
          <w:noProof/>
          <w:color w:val="4C4747"/>
          <w:lang w:val="es-419"/>
        </w:rPr>
      </w:pPr>
      <w:r>
        <w:rPr>
          <w:rFonts w:eastAsia="Calibri"/>
          <w:noProof/>
          <w:color w:val="4C4747"/>
          <w:lang w:val="es-419"/>
        </w:rPr>
        <w:t xml:space="preserve">Igualmente, con el apoyo del Ministerio de Medio Ambiente en el mes de octubre se realizó una charla sobre Vida Eco amigable, en la que se mostraron datos e imágenes que promueven e invitan a la reflexión sobre la necesidad de cambiar los hábitos y mejor uso de los recursos para preservar el planeta.  </w:t>
      </w:r>
    </w:p>
    <w:p w14:paraId="3D6311F7" w14:textId="77777777" w:rsidR="00EE53A6" w:rsidRDefault="00EE53A6" w:rsidP="00886F32">
      <w:pPr>
        <w:tabs>
          <w:tab w:val="left" w:pos="1260"/>
        </w:tabs>
        <w:spacing w:after="0" w:line="360" w:lineRule="auto"/>
        <w:ind w:left="720"/>
        <w:jc w:val="both"/>
        <w:rPr>
          <w:rFonts w:eastAsia="Calibri"/>
          <w:noProof/>
          <w:color w:val="4C4747"/>
          <w:lang w:val="es-419"/>
        </w:rPr>
      </w:pPr>
    </w:p>
    <w:p w14:paraId="5A9C77DF" w14:textId="77777777" w:rsidR="00E4678B" w:rsidRDefault="00E4678B" w:rsidP="00886F32">
      <w:pPr>
        <w:tabs>
          <w:tab w:val="left" w:pos="1260"/>
        </w:tabs>
        <w:spacing w:after="0" w:line="360" w:lineRule="auto"/>
        <w:ind w:left="720"/>
        <w:jc w:val="both"/>
        <w:rPr>
          <w:rFonts w:eastAsia="Calibri"/>
          <w:noProof/>
          <w:color w:val="4C4747"/>
          <w:lang w:val="es-419"/>
        </w:rPr>
      </w:pPr>
      <w:r w:rsidRPr="00D13E91">
        <w:rPr>
          <w:rFonts w:eastAsia="Calibri"/>
          <w:noProof/>
          <w:color w:val="4C4747"/>
          <w:lang w:val="es-419"/>
        </w:rPr>
        <w:t xml:space="preserve">En el mes de </w:t>
      </w:r>
      <w:r>
        <w:rPr>
          <w:rFonts w:eastAsia="Calibri"/>
          <w:noProof/>
          <w:color w:val="4C4747"/>
          <w:lang w:val="es-419"/>
        </w:rPr>
        <w:t>noviembre</w:t>
      </w:r>
      <w:r w:rsidRPr="00D13E91">
        <w:rPr>
          <w:rFonts w:eastAsia="Calibri"/>
          <w:noProof/>
          <w:color w:val="4C4747"/>
          <w:lang w:val="es-419"/>
        </w:rPr>
        <w:t xml:space="preserve"> se realizó una jornada de Limpieza de Playa, con el acompañamiento de la Fundación 3Rs. La misma se llevó a cabo en la playa </w:t>
      </w:r>
      <w:r>
        <w:rPr>
          <w:rFonts w:eastAsia="Calibri"/>
          <w:noProof/>
          <w:color w:val="4C4747"/>
          <w:lang w:val="es-419"/>
        </w:rPr>
        <w:t>Las Tortugas, de la Av. George Washington,</w:t>
      </w:r>
      <w:r w:rsidRPr="00D13E91">
        <w:rPr>
          <w:rFonts w:eastAsia="Calibri"/>
          <w:noProof/>
          <w:color w:val="4C4747"/>
          <w:lang w:val="es-419"/>
        </w:rPr>
        <w:t xml:space="preserve"> con la asistencia de colaboradores de las diferentes áreas. Fueron </w:t>
      </w:r>
      <w:r w:rsidRPr="009567A3">
        <w:rPr>
          <w:rFonts w:eastAsia="Calibri"/>
          <w:noProof/>
          <w:color w:val="4C4747"/>
          <w:lang w:val="es-419"/>
        </w:rPr>
        <w:t>recuperadas</w:t>
      </w:r>
      <w:r w:rsidRPr="00E4678B">
        <w:rPr>
          <w:rFonts w:eastAsia="Calibri"/>
          <w:noProof/>
          <w:color w:val="4C4747"/>
          <w:lang w:val="es-419"/>
        </w:rPr>
        <w:t xml:space="preserve"> 603 </w:t>
      </w:r>
      <w:r w:rsidRPr="00D13E91">
        <w:rPr>
          <w:rFonts w:eastAsia="Calibri"/>
          <w:noProof/>
          <w:color w:val="4C4747"/>
          <w:lang w:val="es-419"/>
        </w:rPr>
        <w:t>libras de residuos sólido</w:t>
      </w:r>
      <w:r>
        <w:rPr>
          <w:rFonts w:eastAsia="Calibri"/>
          <w:noProof/>
          <w:color w:val="4C4747"/>
          <w:lang w:val="es-419"/>
        </w:rPr>
        <w:t>s. Durante la actividad se pudo apreciar el nivel de conciencia y compromiso asumido por los colaboradores, para ser parte de la solución a este mal que pone en riesgo la calidad de vida de las futuras generaciones.</w:t>
      </w:r>
    </w:p>
    <w:p w14:paraId="6A2C6025" w14:textId="77777777" w:rsidR="00EE53A6" w:rsidRDefault="00EE53A6" w:rsidP="00886F32">
      <w:pPr>
        <w:tabs>
          <w:tab w:val="left" w:pos="1260"/>
        </w:tabs>
        <w:spacing w:after="0" w:line="360" w:lineRule="auto"/>
        <w:ind w:left="720"/>
        <w:jc w:val="both"/>
        <w:rPr>
          <w:rFonts w:eastAsia="Calibri"/>
          <w:noProof/>
          <w:color w:val="4C4747"/>
          <w:lang w:val="es-419"/>
        </w:rPr>
      </w:pPr>
    </w:p>
    <w:p w14:paraId="4CF926A6" w14:textId="77777777" w:rsidR="00E4678B" w:rsidRPr="00B34332" w:rsidRDefault="00E4678B" w:rsidP="00886F32">
      <w:pPr>
        <w:tabs>
          <w:tab w:val="left" w:pos="1260"/>
        </w:tabs>
        <w:spacing w:after="0" w:line="360" w:lineRule="auto"/>
        <w:ind w:left="720"/>
        <w:jc w:val="both"/>
        <w:rPr>
          <w:rFonts w:eastAsia="Calibri"/>
          <w:noProof/>
          <w:color w:val="4C4747"/>
          <w:lang w:val="es-419"/>
        </w:rPr>
      </w:pPr>
      <w:r>
        <w:rPr>
          <w:rFonts w:eastAsia="Calibri"/>
          <w:noProof/>
          <w:color w:val="4C4747"/>
          <w:lang w:val="es-419"/>
        </w:rPr>
        <w:t xml:space="preserve">Durante este año 2025 seguimos apoyando la iniciativa de sostenibilidad con </w:t>
      </w:r>
      <w:r w:rsidRPr="00B34332">
        <w:rPr>
          <w:rFonts w:eastAsia="Calibri"/>
          <w:noProof/>
          <w:color w:val="4C4747"/>
          <w:lang w:val="es-419"/>
        </w:rPr>
        <w:t xml:space="preserve">la campaña Tapitas por Quimio. Esta iniciativa busca recolectar millones de tapitas que afectan al país en forma de contaminación convirtiéndolas en ayuda para niños con cáncer. A través de las tapitas recolectadas, se busca ayudar a los niños con sus sesiones de quimioterapia y en otras áreas en las que pueda necesitar durante este proceso. Estas </w:t>
      </w:r>
      <w:r w:rsidRPr="00B34332">
        <w:rPr>
          <w:rFonts w:eastAsia="Calibri"/>
          <w:noProof/>
          <w:color w:val="4C4747"/>
          <w:lang w:val="es-419"/>
        </w:rPr>
        <w:lastRenderedPageBreak/>
        <w:t>pueden incluir exámenes de diagnóstico, consultas, medicamentos, gastos generales y necesidades básicas, como la seguridad alimentaria.</w:t>
      </w:r>
    </w:p>
    <w:p w14:paraId="4C4C2266" w14:textId="2A00CD1E" w:rsidR="00E4678B" w:rsidRP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 </w:t>
      </w:r>
    </w:p>
    <w:p w14:paraId="1FD072A1" w14:textId="7BC9C4D9" w:rsidR="00E4678B" w:rsidRPr="00397AC0" w:rsidRDefault="00397AC0" w:rsidP="0024709B">
      <w:pPr>
        <w:pStyle w:val="ListParagraph"/>
        <w:numPr>
          <w:ilvl w:val="2"/>
          <w:numId w:val="96"/>
        </w:numPr>
        <w:tabs>
          <w:tab w:val="left" w:pos="1260"/>
        </w:tabs>
        <w:spacing w:after="0" w:line="360" w:lineRule="auto"/>
        <w:rPr>
          <w:rFonts w:eastAsia="Calibri"/>
          <w:b/>
          <w:bCs/>
          <w:noProof/>
          <w:color w:val="4C4747"/>
        </w:rPr>
      </w:pPr>
      <w:r>
        <w:rPr>
          <w:rFonts w:eastAsia="Calibri"/>
          <w:b/>
          <w:bCs/>
          <w:noProof/>
          <w:color w:val="4C4747"/>
        </w:rPr>
        <w:t xml:space="preserve"> </w:t>
      </w:r>
      <w:r w:rsidR="00E4678B" w:rsidRPr="00397AC0">
        <w:rPr>
          <w:rFonts w:eastAsia="Calibri"/>
          <w:b/>
          <w:bCs/>
          <w:noProof/>
          <w:color w:val="4C4747"/>
        </w:rPr>
        <w:t>Resultados del SISMAP-EDI</w:t>
      </w:r>
    </w:p>
    <w:p w14:paraId="60E802A7" w14:textId="40F97121" w:rsidR="00E4678B" w:rsidRDefault="00E4678B" w:rsidP="00886F32">
      <w:pPr>
        <w:tabs>
          <w:tab w:val="left" w:pos="1260"/>
        </w:tabs>
        <w:spacing w:after="0" w:line="360" w:lineRule="auto"/>
        <w:ind w:left="720"/>
        <w:jc w:val="both"/>
        <w:rPr>
          <w:rFonts w:eastAsia="Calibri"/>
          <w:noProof/>
          <w:color w:val="4C4747"/>
          <w:lang w:val="es-419"/>
        </w:rPr>
      </w:pPr>
      <w:r w:rsidRPr="00E4678B">
        <w:rPr>
          <w:rFonts w:eastAsia="Calibri"/>
          <w:noProof/>
          <w:color w:val="4C4747"/>
          <w:lang w:val="es-419"/>
        </w:rPr>
        <w:t>Para el</w:t>
      </w:r>
      <w:r w:rsidRPr="00FC7B3A">
        <w:rPr>
          <w:rFonts w:eastAsia="Calibri"/>
          <w:noProof/>
          <w:color w:val="4C4747"/>
          <w:lang w:val="es-419"/>
        </w:rPr>
        <w:t xml:space="preserve"> Ministerio de la Presidencia </w:t>
      </w:r>
      <w:r>
        <w:rPr>
          <w:rFonts w:eastAsia="Calibri"/>
          <w:noProof/>
          <w:color w:val="4C4747"/>
          <w:lang w:val="es-419"/>
        </w:rPr>
        <w:t>reviste mucha importancia el mantener en niveles óptimos</w:t>
      </w:r>
      <w:r w:rsidRPr="00FC7B3A">
        <w:rPr>
          <w:rFonts w:eastAsia="Calibri"/>
          <w:noProof/>
          <w:color w:val="4C4747"/>
          <w:lang w:val="es-419"/>
        </w:rPr>
        <w:t xml:space="preserve"> los indicadores del Sistema</w:t>
      </w:r>
      <w:r>
        <w:rPr>
          <w:rFonts w:eastAsia="Calibri"/>
          <w:noProof/>
          <w:color w:val="4C4747"/>
          <w:lang w:val="es-419"/>
        </w:rPr>
        <w:t xml:space="preserve"> </w:t>
      </w:r>
      <w:r w:rsidRPr="00E4678B">
        <w:rPr>
          <w:rFonts w:eastAsia="Calibri"/>
          <w:noProof/>
          <w:color w:val="4C4747"/>
          <w:lang w:val="es-419"/>
        </w:rPr>
        <w:t>Evaluación de Desempeño Institucional</w:t>
      </w:r>
      <w:r w:rsidRPr="00FC7B3A">
        <w:rPr>
          <w:rFonts w:eastAsia="Calibri"/>
          <w:noProof/>
          <w:color w:val="4C4747"/>
          <w:lang w:val="es-419"/>
        </w:rPr>
        <w:t xml:space="preserve"> </w:t>
      </w:r>
      <w:r>
        <w:rPr>
          <w:rFonts w:eastAsia="Calibri"/>
          <w:noProof/>
          <w:color w:val="4C4747"/>
          <w:lang w:val="es-419"/>
        </w:rPr>
        <w:t xml:space="preserve">EDI, el cual abarca los indicadores del </w:t>
      </w:r>
      <w:r w:rsidRPr="00FC7B3A">
        <w:rPr>
          <w:rFonts w:eastAsia="Calibri"/>
          <w:noProof/>
          <w:color w:val="4C4747"/>
          <w:lang w:val="es-419"/>
        </w:rPr>
        <w:t>SISMAP</w:t>
      </w:r>
      <w:r>
        <w:rPr>
          <w:rFonts w:eastAsia="Calibri"/>
          <w:noProof/>
          <w:color w:val="4C4747"/>
          <w:lang w:val="es-419"/>
        </w:rPr>
        <w:t>. Para lograr estos resultados se presta especial atención a cumplir con cada una de las acciones que requieren los indicadores y en las actualizaciones en los plazos establecidos</w:t>
      </w:r>
      <w:r w:rsidRPr="00FC7B3A">
        <w:rPr>
          <w:rFonts w:eastAsia="Calibri"/>
          <w:noProof/>
          <w:color w:val="4C4747"/>
          <w:lang w:val="es-419"/>
        </w:rPr>
        <w:t xml:space="preserve">. </w:t>
      </w:r>
      <w:r>
        <w:rPr>
          <w:rFonts w:eastAsia="Calibri"/>
          <w:noProof/>
          <w:color w:val="4C4747"/>
          <w:lang w:val="es-419"/>
        </w:rPr>
        <w:t>Durante el año 2025 logramos un incremento en comparación con el año anterior,</w:t>
      </w:r>
      <w:r w:rsidR="004A0313">
        <w:rPr>
          <w:rFonts w:eastAsia="Calibri"/>
          <w:noProof/>
          <w:color w:val="4C4747"/>
          <w:lang w:val="es-419"/>
        </w:rPr>
        <w:t xml:space="preserve"> obteniendo una calificación de 8</w:t>
      </w:r>
      <w:r w:rsidR="00BA51E7">
        <w:rPr>
          <w:rFonts w:eastAsia="Calibri"/>
          <w:noProof/>
          <w:color w:val="4C4747"/>
          <w:lang w:val="es-419"/>
        </w:rPr>
        <w:t>5.31%,</w:t>
      </w:r>
      <w:r>
        <w:rPr>
          <w:rFonts w:eastAsia="Calibri"/>
          <w:noProof/>
          <w:color w:val="4C4747"/>
          <w:lang w:val="es-419"/>
        </w:rPr>
        <w:t xml:space="preserve"> convirtiéndose esto en un compromiso permanente para alcanzar mayores niveles.</w:t>
      </w:r>
      <w:r w:rsidRPr="00FC7B3A">
        <w:rPr>
          <w:rFonts w:eastAsia="Calibri"/>
          <w:noProof/>
          <w:color w:val="4C4747"/>
          <w:lang w:val="es-419"/>
        </w:rPr>
        <w:t xml:space="preserve"> </w:t>
      </w:r>
    </w:p>
    <w:p w14:paraId="7D550721" w14:textId="77777777" w:rsidR="00DD0A46" w:rsidRDefault="00DD0A46" w:rsidP="00886F32">
      <w:pPr>
        <w:tabs>
          <w:tab w:val="left" w:pos="1260"/>
        </w:tabs>
        <w:spacing w:after="0" w:line="360" w:lineRule="auto"/>
        <w:ind w:left="720"/>
        <w:jc w:val="both"/>
        <w:rPr>
          <w:rFonts w:eastAsia="Calibri"/>
          <w:noProof/>
          <w:color w:val="4C4747"/>
          <w:lang w:val="es-419"/>
        </w:rPr>
      </w:pPr>
    </w:p>
    <w:p w14:paraId="4ED1565D" w14:textId="3A743981" w:rsidR="0042578D" w:rsidRPr="00C11A13" w:rsidRDefault="0042578D" w:rsidP="00886F32">
      <w:pPr>
        <w:pStyle w:val="ListParagraph"/>
        <w:numPr>
          <w:ilvl w:val="1"/>
          <w:numId w:val="96"/>
        </w:numPr>
        <w:tabs>
          <w:tab w:val="left" w:pos="1260"/>
        </w:tabs>
        <w:spacing w:after="0" w:line="360" w:lineRule="auto"/>
        <w:ind w:left="720"/>
        <w:jc w:val="center"/>
        <w:outlineLvl w:val="1"/>
        <w:rPr>
          <w:b/>
          <w:bCs/>
        </w:rPr>
      </w:pPr>
      <w:bookmarkStart w:id="100" w:name="_Toc185843635"/>
      <w:r>
        <w:rPr>
          <w:b/>
          <w:bCs/>
        </w:rPr>
        <w:t xml:space="preserve"> </w:t>
      </w:r>
      <w:bookmarkStart w:id="101" w:name="_Toc217382620"/>
      <w:r w:rsidR="009D72C1" w:rsidRPr="0042578D">
        <w:rPr>
          <w:rFonts w:eastAsia="Calibri"/>
          <w:b/>
          <w:bCs/>
          <w:noProof/>
          <w:color w:val="4C4747"/>
        </w:rPr>
        <w:t>Desempeño de los Procesos Jurídicos</w:t>
      </w:r>
      <w:bookmarkEnd w:id="100"/>
      <w:bookmarkEnd w:id="101"/>
    </w:p>
    <w:p w14:paraId="1502BDFB" w14:textId="77777777" w:rsidR="00C11A13" w:rsidRDefault="00C11A13" w:rsidP="00886F32">
      <w:pPr>
        <w:pStyle w:val="ListParagraph"/>
        <w:tabs>
          <w:tab w:val="left" w:pos="1260"/>
        </w:tabs>
        <w:spacing w:after="0" w:line="360" w:lineRule="auto"/>
        <w:rPr>
          <w:b/>
          <w:bCs/>
        </w:rPr>
      </w:pPr>
    </w:p>
    <w:p w14:paraId="53A5AF68" w14:textId="7CB7B5BD" w:rsidR="00C11A13" w:rsidRPr="00C11A13" w:rsidRDefault="00C11A13" w:rsidP="0024709B">
      <w:pPr>
        <w:pStyle w:val="ListParagraph"/>
        <w:numPr>
          <w:ilvl w:val="2"/>
          <w:numId w:val="96"/>
        </w:numPr>
        <w:tabs>
          <w:tab w:val="left" w:pos="1260"/>
          <w:tab w:val="left" w:pos="1980"/>
        </w:tabs>
        <w:spacing w:after="0" w:line="360" w:lineRule="auto"/>
        <w:ind w:left="1350"/>
        <w:rPr>
          <w:rFonts w:eastAsia="Calibri"/>
          <w:b/>
          <w:noProof/>
          <w:color w:val="4C4747"/>
          <w:lang w:val="es-419"/>
        </w:rPr>
      </w:pPr>
      <w:bookmarkStart w:id="102" w:name="_Toc215586136"/>
      <w:r w:rsidRPr="00C11A13">
        <w:rPr>
          <w:rFonts w:eastAsia="Calibri"/>
          <w:b/>
          <w:noProof/>
          <w:color w:val="4C4747"/>
          <w:lang w:val="es-419"/>
        </w:rPr>
        <w:t>Departamento de Elaboración de Documentos Legales</w:t>
      </w:r>
      <w:bookmarkEnd w:id="102"/>
    </w:p>
    <w:p w14:paraId="3CD20438"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de Elaboración de Documentos Legales desarrolló una amplia labor de apoyo jurídico y técnico a los diferentes procesos administrativos, incluyendo la elaboración y revisión de actas de compras y contrataciones, contratos, convenios interinstitucionales, adendas, resoluciones, poderes y oficios.</w:t>
      </w:r>
    </w:p>
    <w:p w14:paraId="547F454E" w14:textId="77777777" w:rsidR="00DD0A46" w:rsidRPr="00C11A13" w:rsidRDefault="00DD0A46" w:rsidP="00886F32">
      <w:pPr>
        <w:tabs>
          <w:tab w:val="left" w:pos="1260"/>
        </w:tabs>
        <w:spacing w:after="0" w:line="360" w:lineRule="auto"/>
        <w:ind w:left="720"/>
        <w:jc w:val="both"/>
        <w:rPr>
          <w:rFonts w:eastAsia="Calibri"/>
          <w:noProof/>
          <w:color w:val="4C4747"/>
          <w:lang w:val="es-419"/>
        </w:rPr>
      </w:pPr>
    </w:p>
    <w:p w14:paraId="5FF8B0C2" w14:textId="7A308B68" w:rsidR="00C11A13" w:rsidRPr="00C11A13" w:rsidRDefault="00C11A13" w:rsidP="00886F32">
      <w:pPr>
        <w:tabs>
          <w:tab w:val="left" w:pos="1260"/>
        </w:tabs>
        <w:spacing w:after="0" w:line="360" w:lineRule="auto"/>
        <w:ind w:left="720"/>
        <w:rPr>
          <w:rFonts w:eastAsia="Calibri"/>
          <w:b/>
          <w:noProof/>
          <w:color w:val="4C4747"/>
          <w:lang w:val="es-419"/>
        </w:rPr>
      </w:pPr>
      <w:bookmarkStart w:id="103" w:name="_Toc215586137"/>
      <w:r w:rsidRPr="00C11A13">
        <w:rPr>
          <w:rFonts w:eastAsia="Calibri"/>
          <w:b/>
          <w:noProof/>
          <w:color w:val="4C4747"/>
          <w:lang w:val="es-419"/>
        </w:rPr>
        <w:t>Actas de Compras y Contrataciones</w:t>
      </w:r>
      <w:bookmarkEnd w:id="103"/>
      <w:r w:rsidR="00A00FE0">
        <w:rPr>
          <w:rFonts w:eastAsia="Calibri"/>
          <w:b/>
          <w:noProof/>
          <w:color w:val="4C4747"/>
          <w:lang w:val="es-419"/>
        </w:rPr>
        <w:t xml:space="preserve">: </w:t>
      </w:r>
    </w:p>
    <w:p w14:paraId="787C4ADA"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En el presente período, el Departamento de Elaboración de Documentos Legales generó un total de quince (15) actas vinculadas a los distintos procedimientos de compras y contrataciones realizados por el Ministerio de la Presidencia.</w:t>
      </w:r>
    </w:p>
    <w:tbl>
      <w:tblPr>
        <w:tblStyle w:val="GridTable1Light-Accent3"/>
        <w:tblW w:w="7016" w:type="dxa"/>
        <w:tblInd w:w="910" w:type="dxa"/>
        <w:tblLook w:val="04A0" w:firstRow="1" w:lastRow="0" w:firstColumn="1" w:lastColumn="0" w:noHBand="0" w:noVBand="1"/>
      </w:tblPr>
      <w:tblGrid>
        <w:gridCol w:w="5339"/>
        <w:gridCol w:w="1677"/>
      </w:tblGrid>
      <w:tr w:rsidR="00C11A13" w:rsidRPr="00C11A13" w14:paraId="04D1572B" w14:textId="77777777" w:rsidTr="0024709B">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shd w:val="clear" w:color="auto" w:fill="1F3864" w:themeFill="accent1" w:themeFillShade="80"/>
            <w:hideMark/>
          </w:tcPr>
          <w:p w14:paraId="53507AAA" w14:textId="77777777" w:rsidR="00C11A13" w:rsidRPr="003532BD" w:rsidRDefault="00C11A13" w:rsidP="0024709B">
            <w:pPr>
              <w:tabs>
                <w:tab w:val="left" w:pos="1260"/>
              </w:tabs>
              <w:spacing w:line="360" w:lineRule="auto"/>
              <w:jc w:val="center"/>
              <w:rPr>
                <w:rFonts w:eastAsia="Calibri"/>
                <w:noProof/>
                <w:color w:val="FFFFFF" w:themeColor="background1"/>
                <w:lang w:val="es-419"/>
              </w:rPr>
            </w:pPr>
            <w:r w:rsidRPr="003532BD">
              <w:rPr>
                <w:rFonts w:eastAsia="Calibri"/>
                <w:noProof/>
                <w:color w:val="FFFFFF" w:themeColor="background1"/>
                <w:lang w:val="es-419"/>
              </w:rPr>
              <w:lastRenderedPageBreak/>
              <w:t>Tipo de Acta</w:t>
            </w:r>
          </w:p>
        </w:tc>
        <w:tc>
          <w:tcPr>
            <w:tcW w:w="0" w:type="auto"/>
            <w:shd w:val="clear" w:color="auto" w:fill="1F3864" w:themeFill="accent1" w:themeFillShade="80"/>
            <w:hideMark/>
          </w:tcPr>
          <w:p w14:paraId="517EB422" w14:textId="77777777" w:rsidR="00C11A13" w:rsidRPr="003532BD" w:rsidRDefault="00C11A13" w:rsidP="0024709B">
            <w:pPr>
              <w:tabs>
                <w:tab w:val="left" w:pos="1260"/>
              </w:tabs>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3532BD">
              <w:rPr>
                <w:rFonts w:eastAsia="Calibri"/>
                <w:noProof/>
                <w:color w:val="FFFFFF" w:themeColor="background1"/>
                <w:lang w:val="es-419"/>
              </w:rPr>
              <w:t>Cantidad</w:t>
            </w:r>
          </w:p>
        </w:tc>
      </w:tr>
      <w:tr w:rsidR="00C11A13" w:rsidRPr="00C11A13" w14:paraId="7ADD4557" w14:textId="77777777" w:rsidTr="0024709B">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6E09C5CA" w14:textId="77777777" w:rsidR="00C11A13" w:rsidRPr="003532BD" w:rsidRDefault="00C11A13" w:rsidP="0024709B">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Actas de Inicio de Procedimiento</w:t>
            </w:r>
          </w:p>
        </w:tc>
        <w:tc>
          <w:tcPr>
            <w:tcW w:w="0" w:type="auto"/>
            <w:hideMark/>
          </w:tcPr>
          <w:p w14:paraId="07F5C6EE" w14:textId="77777777" w:rsidR="00C11A13" w:rsidRPr="00C11A13" w:rsidRDefault="00C11A13" w:rsidP="0024709B">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11A13">
              <w:rPr>
                <w:rFonts w:eastAsia="Calibri"/>
                <w:noProof/>
                <w:color w:val="4C4747"/>
                <w:lang w:val="es-419"/>
              </w:rPr>
              <w:t>6</w:t>
            </w:r>
          </w:p>
        </w:tc>
      </w:tr>
      <w:tr w:rsidR="00C11A13" w:rsidRPr="00C11A13" w14:paraId="546D652F" w14:textId="77777777" w:rsidTr="0024709B">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15BA133E" w14:textId="77777777" w:rsidR="00C11A13" w:rsidRPr="003532BD" w:rsidRDefault="00C11A13" w:rsidP="0024709B">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Actas de Habilitación de Oferentes</w:t>
            </w:r>
          </w:p>
        </w:tc>
        <w:tc>
          <w:tcPr>
            <w:tcW w:w="0" w:type="auto"/>
            <w:hideMark/>
          </w:tcPr>
          <w:p w14:paraId="1E80F616" w14:textId="77777777" w:rsidR="00C11A13" w:rsidRPr="00C11A13" w:rsidRDefault="00C11A13" w:rsidP="0024709B">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11A13">
              <w:rPr>
                <w:rFonts w:eastAsia="Calibri"/>
                <w:noProof/>
                <w:color w:val="4C4747"/>
                <w:lang w:val="es-419"/>
              </w:rPr>
              <w:t>4</w:t>
            </w:r>
          </w:p>
        </w:tc>
      </w:tr>
      <w:tr w:rsidR="00C11A13" w:rsidRPr="00C11A13" w14:paraId="6AF213D4" w14:textId="77777777" w:rsidTr="0024709B">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03CFA8F3" w14:textId="77777777" w:rsidR="00C11A13" w:rsidRPr="003532BD" w:rsidRDefault="00C11A13" w:rsidP="0024709B">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Actas de Adjudicación</w:t>
            </w:r>
          </w:p>
        </w:tc>
        <w:tc>
          <w:tcPr>
            <w:tcW w:w="0" w:type="auto"/>
            <w:hideMark/>
          </w:tcPr>
          <w:p w14:paraId="509122D5" w14:textId="77777777" w:rsidR="00C11A13" w:rsidRPr="00C11A13" w:rsidRDefault="00C11A13" w:rsidP="0024709B">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11A13">
              <w:rPr>
                <w:rFonts w:eastAsia="Calibri"/>
                <w:noProof/>
                <w:color w:val="4C4747"/>
                <w:lang w:val="es-419"/>
              </w:rPr>
              <w:t>4</w:t>
            </w:r>
          </w:p>
        </w:tc>
      </w:tr>
      <w:tr w:rsidR="00C11A13" w:rsidRPr="00C11A13" w14:paraId="7B29B89D" w14:textId="77777777" w:rsidTr="0024709B">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63EF8CAC" w14:textId="77777777" w:rsidR="00C11A13" w:rsidRPr="003532BD" w:rsidRDefault="00C11A13" w:rsidP="0024709B">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Actas de Enmienda a Pliego</w:t>
            </w:r>
          </w:p>
        </w:tc>
        <w:tc>
          <w:tcPr>
            <w:tcW w:w="0" w:type="auto"/>
            <w:hideMark/>
          </w:tcPr>
          <w:p w14:paraId="77F4889C" w14:textId="77777777" w:rsidR="00C11A13" w:rsidRPr="00C11A13" w:rsidRDefault="00C11A13" w:rsidP="0024709B">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11A13">
              <w:rPr>
                <w:rFonts w:eastAsia="Calibri"/>
                <w:noProof/>
                <w:color w:val="4C4747"/>
                <w:lang w:val="es-419"/>
              </w:rPr>
              <w:t>1</w:t>
            </w:r>
          </w:p>
        </w:tc>
      </w:tr>
      <w:tr w:rsidR="00C11A13" w:rsidRPr="00C11A13" w14:paraId="046CDFA1" w14:textId="77777777" w:rsidTr="0024709B">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0A9C4744" w14:textId="79614C1F" w:rsidR="00C11A13" w:rsidRPr="003532BD" w:rsidRDefault="009316F1" w:rsidP="0024709B">
            <w:pPr>
              <w:tabs>
                <w:tab w:val="left" w:pos="1260"/>
              </w:tabs>
              <w:spacing w:line="360" w:lineRule="auto"/>
              <w:rPr>
                <w:rFonts w:eastAsia="Calibri"/>
                <w:b w:val="0"/>
                <w:bCs w:val="0"/>
                <w:noProof/>
                <w:color w:val="4C4747"/>
                <w:lang w:val="es-419"/>
              </w:rPr>
            </w:pPr>
            <w:r w:rsidRPr="003532BD">
              <w:rPr>
                <w:rFonts w:eastAsia="Calibri"/>
                <w:b w:val="0"/>
                <w:bCs w:val="0"/>
                <w:noProof/>
                <w:color w:val="4C4747"/>
                <w:lang w:val="es-419"/>
              </w:rPr>
              <w:t>TOTAL</w:t>
            </w:r>
          </w:p>
        </w:tc>
        <w:tc>
          <w:tcPr>
            <w:tcW w:w="0" w:type="auto"/>
            <w:hideMark/>
          </w:tcPr>
          <w:p w14:paraId="2866A24B" w14:textId="7393F881" w:rsidR="00C11A13" w:rsidRPr="009316F1" w:rsidRDefault="009316F1" w:rsidP="0024709B">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Pr>
                <w:rFonts w:eastAsia="Calibri"/>
                <w:noProof/>
                <w:color w:val="4C4747"/>
                <w:lang w:val="es-419"/>
              </w:rPr>
              <w:t xml:space="preserve">15 </w:t>
            </w:r>
            <w:r w:rsidR="003532BD" w:rsidRPr="009316F1">
              <w:rPr>
                <w:rFonts w:eastAsia="Calibri"/>
                <w:noProof/>
                <w:color w:val="4C4747"/>
                <w:lang w:val="es-419"/>
              </w:rPr>
              <w:t>a</w:t>
            </w:r>
            <w:r w:rsidR="00C11A13" w:rsidRPr="009316F1">
              <w:rPr>
                <w:rFonts w:eastAsia="Calibri"/>
                <w:noProof/>
                <w:color w:val="4C4747"/>
                <w:lang w:val="es-419"/>
              </w:rPr>
              <w:t>ctas</w:t>
            </w:r>
          </w:p>
        </w:tc>
      </w:tr>
    </w:tbl>
    <w:p w14:paraId="5FCBE8CC" w14:textId="5EE6E161" w:rsidR="00C11A13" w:rsidRDefault="00DD2C5B" w:rsidP="00886F32">
      <w:pPr>
        <w:tabs>
          <w:tab w:val="left" w:pos="1260"/>
        </w:tabs>
        <w:spacing w:after="0" w:line="360" w:lineRule="auto"/>
        <w:ind w:left="720"/>
        <w:rPr>
          <w:rFonts w:eastAsia="Calibri"/>
          <w:i/>
          <w:iCs/>
          <w:noProof/>
          <w:color w:val="4C4747"/>
          <w:lang w:val="es-DO"/>
        </w:rPr>
      </w:pPr>
      <w:r w:rsidRPr="00E327FC">
        <w:rPr>
          <w:rFonts w:eastAsia="Calibri"/>
          <w:i/>
          <w:iCs/>
          <w:noProof/>
          <w:color w:val="4C4747"/>
          <w:lang w:val="es-DO"/>
        </w:rPr>
        <w:t>Tabla 4.</w:t>
      </w:r>
      <w:r w:rsidR="00E327FC" w:rsidRPr="00E327FC">
        <w:rPr>
          <w:rFonts w:eastAsia="Calibri"/>
          <w:i/>
          <w:iCs/>
          <w:noProof/>
          <w:color w:val="4C4747"/>
          <w:lang w:val="es-DO"/>
        </w:rPr>
        <w:t xml:space="preserve"> Resumen ejecución de actas</w:t>
      </w:r>
    </w:p>
    <w:p w14:paraId="5F6669E2" w14:textId="77777777" w:rsidR="00DD0A46" w:rsidRPr="00E327FC" w:rsidRDefault="00DD0A46" w:rsidP="00886F32">
      <w:pPr>
        <w:tabs>
          <w:tab w:val="left" w:pos="1260"/>
        </w:tabs>
        <w:spacing w:after="0" w:line="360" w:lineRule="auto"/>
        <w:ind w:left="720"/>
        <w:rPr>
          <w:rFonts w:eastAsia="Calibri"/>
          <w:i/>
          <w:iCs/>
          <w:noProof/>
          <w:color w:val="4C4747"/>
          <w:lang w:val="es-DO"/>
        </w:rPr>
      </w:pPr>
    </w:p>
    <w:p w14:paraId="2CAEB4A0" w14:textId="0E87421A" w:rsidR="00C11A13" w:rsidRPr="003532BD" w:rsidRDefault="00C11A13" w:rsidP="00886F32">
      <w:pPr>
        <w:tabs>
          <w:tab w:val="left" w:pos="1260"/>
        </w:tabs>
        <w:spacing w:after="0" w:line="360" w:lineRule="auto"/>
        <w:ind w:left="720"/>
        <w:rPr>
          <w:rFonts w:eastAsia="Calibri"/>
          <w:b/>
          <w:bCs/>
          <w:noProof/>
          <w:color w:val="4C4747"/>
          <w:lang w:val="es-419"/>
        </w:rPr>
      </w:pPr>
      <w:bookmarkStart w:id="104" w:name="_Toc215586138"/>
      <w:r w:rsidRPr="003532BD">
        <w:rPr>
          <w:rFonts w:eastAsia="Calibri"/>
          <w:b/>
          <w:bCs/>
          <w:noProof/>
          <w:color w:val="4C4747"/>
          <w:lang w:val="es-419"/>
        </w:rPr>
        <w:t>Contratos Elaborados</w:t>
      </w:r>
      <w:bookmarkEnd w:id="104"/>
      <w:r w:rsidR="003532BD">
        <w:rPr>
          <w:rFonts w:eastAsia="Calibri"/>
          <w:b/>
          <w:bCs/>
          <w:noProof/>
          <w:color w:val="4C4747"/>
          <w:lang w:val="es-419"/>
        </w:rPr>
        <w:t>:</w:t>
      </w:r>
    </w:p>
    <w:tbl>
      <w:tblPr>
        <w:tblStyle w:val="GridTable1Light-Accent3"/>
        <w:tblpPr w:leftFromText="180" w:rightFromText="180" w:vertAnchor="text" w:horzAnchor="margin" w:tblpXSpec="right" w:tblpY="1298"/>
        <w:tblW w:w="6379" w:type="dxa"/>
        <w:tblLook w:val="04A0" w:firstRow="1" w:lastRow="0" w:firstColumn="1" w:lastColumn="0" w:noHBand="0" w:noVBand="1"/>
      </w:tblPr>
      <w:tblGrid>
        <w:gridCol w:w="4111"/>
        <w:gridCol w:w="2268"/>
      </w:tblGrid>
      <w:tr w:rsidR="00751A6E" w:rsidRPr="003532BD" w14:paraId="71C0BEC5" w14:textId="77777777" w:rsidTr="00751A6E">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4111" w:type="dxa"/>
            <w:shd w:val="clear" w:color="auto" w:fill="1F3864" w:themeFill="accent1" w:themeFillShade="80"/>
            <w:hideMark/>
          </w:tcPr>
          <w:p w14:paraId="037F6020" w14:textId="77777777" w:rsidR="00751A6E" w:rsidRPr="003532BD" w:rsidRDefault="00751A6E" w:rsidP="00751A6E">
            <w:pPr>
              <w:tabs>
                <w:tab w:val="left" w:pos="1260"/>
              </w:tabs>
              <w:spacing w:line="360" w:lineRule="auto"/>
              <w:jc w:val="center"/>
              <w:rPr>
                <w:rFonts w:eastAsia="Calibri"/>
                <w:noProof/>
                <w:color w:val="FFFFFF" w:themeColor="background1"/>
                <w:lang w:val="es-419"/>
              </w:rPr>
            </w:pPr>
            <w:r w:rsidRPr="003532BD">
              <w:rPr>
                <w:rFonts w:eastAsia="Calibri"/>
                <w:noProof/>
                <w:color w:val="FFFFFF" w:themeColor="background1"/>
                <w:lang w:val="es-419"/>
              </w:rPr>
              <w:t>Categoría</w:t>
            </w:r>
          </w:p>
        </w:tc>
        <w:tc>
          <w:tcPr>
            <w:tcW w:w="2268" w:type="dxa"/>
            <w:shd w:val="clear" w:color="auto" w:fill="1F3864" w:themeFill="accent1" w:themeFillShade="80"/>
            <w:hideMark/>
          </w:tcPr>
          <w:p w14:paraId="48975C67" w14:textId="77777777" w:rsidR="00751A6E" w:rsidRPr="003532BD" w:rsidRDefault="00751A6E" w:rsidP="00751A6E">
            <w:pPr>
              <w:tabs>
                <w:tab w:val="left" w:pos="1260"/>
              </w:tabs>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3532BD">
              <w:rPr>
                <w:rFonts w:eastAsia="Calibri"/>
                <w:noProof/>
                <w:color w:val="FFFFFF" w:themeColor="background1"/>
                <w:lang w:val="es-419"/>
              </w:rPr>
              <w:t>Cantidad</w:t>
            </w:r>
          </w:p>
        </w:tc>
      </w:tr>
      <w:tr w:rsidR="00751A6E" w:rsidRPr="003532BD" w14:paraId="3CD0FF83" w14:textId="77777777" w:rsidTr="00751A6E">
        <w:trPr>
          <w:trHeight w:val="339"/>
        </w:trPr>
        <w:tc>
          <w:tcPr>
            <w:cnfStyle w:val="001000000000" w:firstRow="0" w:lastRow="0" w:firstColumn="1" w:lastColumn="0" w:oddVBand="0" w:evenVBand="0" w:oddHBand="0" w:evenHBand="0" w:firstRowFirstColumn="0" w:firstRowLastColumn="0" w:lastRowFirstColumn="0" w:lastRowLastColumn="0"/>
            <w:tcW w:w="4111" w:type="dxa"/>
            <w:hideMark/>
          </w:tcPr>
          <w:p w14:paraId="0A63863A" w14:textId="77777777" w:rsidR="00751A6E" w:rsidRPr="003532BD" w:rsidRDefault="00751A6E" w:rsidP="00751A6E">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 xml:space="preserve">Servicios </w:t>
            </w:r>
          </w:p>
        </w:tc>
        <w:tc>
          <w:tcPr>
            <w:tcW w:w="2268" w:type="dxa"/>
            <w:hideMark/>
          </w:tcPr>
          <w:p w14:paraId="27211FE3" w14:textId="77777777" w:rsidR="00751A6E" w:rsidRPr="003532BD" w:rsidRDefault="00751A6E"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10</w:t>
            </w:r>
          </w:p>
        </w:tc>
      </w:tr>
      <w:tr w:rsidR="00751A6E" w:rsidRPr="003532BD" w14:paraId="342086AD" w14:textId="77777777" w:rsidTr="00751A6E">
        <w:trPr>
          <w:trHeight w:val="339"/>
        </w:trPr>
        <w:tc>
          <w:tcPr>
            <w:cnfStyle w:val="001000000000" w:firstRow="0" w:lastRow="0" w:firstColumn="1" w:lastColumn="0" w:oddVBand="0" w:evenVBand="0" w:oddHBand="0" w:evenHBand="0" w:firstRowFirstColumn="0" w:firstRowLastColumn="0" w:lastRowFirstColumn="0" w:lastRowLastColumn="0"/>
            <w:tcW w:w="4111" w:type="dxa"/>
            <w:hideMark/>
          </w:tcPr>
          <w:p w14:paraId="38E71956" w14:textId="77777777" w:rsidR="00751A6E" w:rsidRPr="003532BD" w:rsidRDefault="00751A6E" w:rsidP="00751A6E">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Obras</w:t>
            </w:r>
          </w:p>
        </w:tc>
        <w:tc>
          <w:tcPr>
            <w:tcW w:w="2268" w:type="dxa"/>
            <w:hideMark/>
          </w:tcPr>
          <w:p w14:paraId="14C3BC6E" w14:textId="77777777" w:rsidR="00751A6E" w:rsidRPr="003532BD" w:rsidRDefault="00751A6E"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1</w:t>
            </w:r>
          </w:p>
        </w:tc>
      </w:tr>
      <w:tr w:rsidR="00751A6E" w:rsidRPr="003532BD" w14:paraId="27462334" w14:textId="77777777" w:rsidTr="00751A6E">
        <w:trPr>
          <w:trHeight w:val="339"/>
        </w:trPr>
        <w:tc>
          <w:tcPr>
            <w:cnfStyle w:val="001000000000" w:firstRow="0" w:lastRow="0" w:firstColumn="1" w:lastColumn="0" w:oddVBand="0" w:evenVBand="0" w:oddHBand="0" w:evenHBand="0" w:firstRowFirstColumn="0" w:firstRowLastColumn="0" w:lastRowFirstColumn="0" w:lastRowLastColumn="0"/>
            <w:tcW w:w="4111" w:type="dxa"/>
            <w:hideMark/>
          </w:tcPr>
          <w:p w14:paraId="5EDB75F5" w14:textId="77777777" w:rsidR="00751A6E" w:rsidRPr="003532BD" w:rsidRDefault="00751A6E" w:rsidP="00751A6E">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Bienes</w:t>
            </w:r>
          </w:p>
        </w:tc>
        <w:tc>
          <w:tcPr>
            <w:tcW w:w="2268" w:type="dxa"/>
            <w:hideMark/>
          </w:tcPr>
          <w:p w14:paraId="2449336A" w14:textId="77777777" w:rsidR="00751A6E" w:rsidRPr="003532BD" w:rsidRDefault="00751A6E"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2</w:t>
            </w:r>
          </w:p>
        </w:tc>
      </w:tr>
      <w:tr w:rsidR="00751A6E" w:rsidRPr="003532BD" w14:paraId="26A2AD5A" w14:textId="77777777" w:rsidTr="00751A6E">
        <w:trPr>
          <w:trHeight w:val="339"/>
        </w:trPr>
        <w:tc>
          <w:tcPr>
            <w:cnfStyle w:val="001000000000" w:firstRow="0" w:lastRow="0" w:firstColumn="1" w:lastColumn="0" w:oddVBand="0" w:evenVBand="0" w:oddHBand="0" w:evenHBand="0" w:firstRowFirstColumn="0" w:firstRowLastColumn="0" w:lastRowFirstColumn="0" w:lastRowLastColumn="0"/>
            <w:tcW w:w="4111" w:type="dxa"/>
            <w:hideMark/>
          </w:tcPr>
          <w:p w14:paraId="48C1567C" w14:textId="77777777" w:rsidR="00751A6E" w:rsidRPr="003532BD" w:rsidRDefault="00751A6E" w:rsidP="00751A6E">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Otros</w:t>
            </w:r>
          </w:p>
        </w:tc>
        <w:tc>
          <w:tcPr>
            <w:tcW w:w="2268" w:type="dxa"/>
            <w:hideMark/>
          </w:tcPr>
          <w:p w14:paraId="3C1FAFA9" w14:textId="77777777" w:rsidR="00751A6E" w:rsidRPr="003532BD" w:rsidRDefault="00751A6E"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1</w:t>
            </w:r>
          </w:p>
        </w:tc>
      </w:tr>
      <w:tr w:rsidR="00751A6E" w:rsidRPr="003532BD" w14:paraId="3FDEE9AD" w14:textId="77777777" w:rsidTr="00751A6E">
        <w:trPr>
          <w:trHeight w:val="339"/>
        </w:trPr>
        <w:tc>
          <w:tcPr>
            <w:cnfStyle w:val="001000000000" w:firstRow="0" w:lastRow="0" w:firstColumn="1" w:lastColumn="0" w:oddVBand="0" w:evenVBand="0" w:oddHBand="0" w:evenHBand="0" w:firstRowFirstColumn="0" w:firstRowLastColumn="0" w:lastRowFirstColumn="0" w:lastRowLastColumn="0"/>
            <w:tcW w:w="4111" w:type="dxa"/>
            <w:hideMark/>
          </w:tcPr>
          <w:p w14:paraId="49E1300F" w14:textId="77777777" w:rsidR="00751A6E" w:rsidRPr="003532BD" w:rsidRDefault="00751A6E" w:rsidP="00751A6E">
            <w:pPr>
              <w:tabs>
                <w:tab w:val="left" w:pos="1260"/>
              </w:tabs>
              <w:spacing w:line="360" w:lineRule="auto"/>
              <w:rPr>
                <w:rFonts w:eastAsia="Calibri"/>
                <w:b w:val="0"/>
                <w:bCs w:val="0"/>
                <w:noProof/>
                <w:color w:val="4C4747"/>
                <w:lang w:val="es-419"/>
              </w:rPr>
            </w:pPr>
            <w:r w:rsidRPr="003532BD">
              <w:rPr>
                <w:rFonts w:eastAsia="Calibri"/>
                <w:b w:val="0"/>
                <w:bCs w:val="0"/>
                <w:noProof/>
                <w:color w:val="4C4747"/>
                <w:lang w:val="es-419"/>
              </w:rPr>
              <w:t>TOTAL</w:t>
            </w:r>
          </w:p>
        </w:tc>
        <w:tc>
          <w:tcPr>
            <w:tcW w:w="2268" w:type="dxa"/>
            <w:hideMark/>
          </w:tcPr>
          <w:p w14:paraId="5EFD8B89" w14:textId="77777777" w:rsidR="00751A6E" w:rsidRPr="003532BD" w:rsidRDefault="00751A6E"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14</w:t>
            </w:r>
          </w:p>
        </w:tc>
      </w:tr>
    </w:tbl>
    <w:p w14:paraId="455421C9"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elaboró diversos contratos relacionados con servicios, consultorías, obras y adquisiciones, clasificados por tipo:</w:t>
      </w:r>
    </w:p>
    <w:p w14:paraId="5BAB15CE" w14:textId="2795129F" w:rsidR="00E327FC" w:rsidRDefault="00E327FC" w:rsidP="00886F32">
      <w:pPr>
        <w:tabs>
          <w:tab w:val="left" w:pos="1260"/>
        </w:tabs>
        <w:spacing w:after="0" w:line="360" w:lineRule="auto"/>
        <w:ind w:left="720"/>
        <w:rPr>
          <w:rFonts w:eastAsia="Calibri"/>
          <w:i/>
          <w:iCs/>
          <w:noProof/>
          <w:color w:val="4C4747"/>
          <w:lang w:val="es-DO"/>
        </w:rPr>
      </w:pPr>
      <w:bookmarkStart w:id="105" w:name="_Toc215586139"/>
      <w:r w:rsidRPr="00E327FC">
        <w:rPr>
          <w:rFonts w:eastAsia="Calibri"/>
          <w:i/>
          <w:iCs/>
          <w:noProof/>
          <w:color w:val="4C4747"/>
          <w:lang w:val="es-DO"/>
        </w:rPr>
        <w:t xml:space="preserve">Tabla </w:t>
      </w:r>
      <w:r w:rsidR="00594B4D">
        <w:rPr>
          <w:rFonts w:eastAsia="Calibri"/>
          <w:i/>
          <w:iCs/>
          <w:noProof/>
          <w:color w:val="4C4747"/>
          <w:lang w:val="es-DO"/>
        </w:rPr>
        <w:t>5</w:t>
      </w:r>
      <w:r w:rsidRPr="00E327FC">
        <w:rPr>
          <w:rFonts w:eastAsia="Calibri"/>
          <w:i/>
          <w:iCs/>
          <w:noProof/>
          <w:color w:val="4C4747"/>
          <w:lang w:val="es-DO"/>
        </w:rPr>
        <w:t xml:space="preserve">. Resumen </w:t>
      </w:r>
      <w:r>
        <w:rPr>
          <w:rFonts w:eastAsia="Calibri"/>
          <w:i/>
          <w:iCs/>
          <w:noProof/>
          <w:color w:val="4C4747"/>
          <w:lang w:val="es-DO"/>
        </w:rPr>
        <w:t>contratos elaborados</w:t>
      </w:r>
    </w:p>
    <w:p w14:paraId="3C131934" w14:textId="77777777" w:rsidR="00DD0A46" w:rsidRPr="00E327FC" w:rsidRDefault="00DD0A46" w:rsidP="00886F32">
      <w:pPr>
        <w:tabs>
          <w:tab w:val="left" w:pos="1260"/>
        </w:tabs>
        <w:spacing w:after="0" w:line="360" w:lineRule="auto"/>
        <w:ind w:left="720"/>
        <w:rPr>
          <w:rFonts w:eastAsia="Calibri"/>
          <w:i/>
          <w:iCs/>
          <w:noProof/>
          <w:color w:val="4C4747"/>
          <w:lang w:val="es-DO"/>
        </w:rPr>
      </w:pPr>
    </w:p>
    <w:p w14:paraId="231BC8C0" w14:textId="2755608F" w:rsidR="00C11A13" w:rsidRPr="00C11A13" w:rsidRDefault="00C11A13" w:rsidP="00886F32">
      <w:pPr>
        <w:tabs>
          <w:tab w:val="left" w:pos="1260"/>
        </w:tabs>
        <w:spacing w:after="0" w:line="360" w:lineRule="auto"/>
        <w:ind w:left="720"/>
        <w:rPr>
          <w:rFonts w:eastAsia="Calibri"/>
          <w:b/>
          <w:noProof/>
          <w:color w:val="4C4747"/>
          <w:lang w:val="es-419"/>
        </w:rPr>
      </w:pPr>
      <w:r w:rsidRPr="00C11A13">
        <w:rPr>
          <w:rFonts w:eastAsia="Calibri"/>
          <w:b/>
          <w:noProof/>
          <w:color w:val="4C4747"/>
          <w:lang w:val="es-419"/>
        </w:rPr>
        <w:t>Contratos Revisado</w:t>
      </w:r>
      <w:bookmarkEnd w:id="105"/>
      <w:r w:rsidR="003532BD">
        <w:rPr>
          <w:rFonts w:eastAsia="Calibri"/>
          <w:b/>
          <w:noProof/>
          <w:color w:val="4C4747"/>
          <w:lang w:val="es-419"/>
        </w:rPr>
        <w:t>s:</w:t>
      </w:r>
    </w:p>
    <w:p w14:paraId="7BF13514"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Además de elaborar contratos, el Departamento revisó múltiples contratos jurídicos preparados por otras áreas o dependencias.</w:t>
      </w:r>
    </w:p>
    <w:tbl>
      <w:tblPr>
        <w:tblStyle w:val="GridTable1Light-Accent3"/>
        <w:tblW w:w="6455" w:type="dxa"/>
        <w:tblInd w:w="1885" w:type="dxa"/>
        <w:tblLook w:val="04A0" w:firstRow="1" w:lastRow="0" w:firstColumn="1" w:lastColumn="0" w:noHBand="0" w:noVBand="1"/>
      </w:tblPr>
      <w:tblGrid>
        <w:gridCol w:w="4219"/>
        <w:gridCol w:w="2236"/>
      </w:tblGrid>
      <w:tr w:rsidR="00C11A13" w:rsidRPr="003532BD" w14:paraId="5396FF98" w14:textId="77777777" w:rsidTr="00531CDC">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219" w:type="dxa"/>
            <w:shd w:val="clear" w:color="auto" w:fill="1F3864" w:themeFill="accent1" w:themeFillShade="80"/>
            <w:hideMark/>
          </w:tcPr>
          <w:p w14:paraId="3ED91284" w14:textId="77777777" w:rsidR="00C11A13" w:rsidRPr="003532BD" w:rsidRDefault="00C11A13" w:rsidP="00770E44">
            <w:pPr>
              <w:tabs>
                <w:tab w:val="left" w:pos="1260"/>
              </w:tabs>
              <w:spacing w:line="360" w:lineRule="auto"/>
              <w:jc w:val="center"/>
              <w:rPr>
                <w:rFonts w:eastAsia="Calibri"/>
                <w:noProof/>
                <w:color w:val="FFFFFF" w:themeColor="background1"/>
                <w:lang w:val="es-419"/>
              </w:rPr>
            </w:pPr>
            <w:r w:rsidRPr="003532BD">
              <w:rPr>
                <w:rFonts w:eastAsia="Calibri"/>
                <w:noProof/>
                <w:color w:val="FFFFFF" w:themeColor="background1"/>
                <w:lang w:val="es-419"/>
              </w:rPr>
              <w:t>Tipo de contrato</w:t>
            </w:r>
          </w:p>
        </w:tc>
        <w:tc>
          <w:tcPr>
            <w:tcW w:w="2236" w:type="dxa"/>
            <w:shd w:val="clear" w:color="auto" w:fill="1F3864" w:themeFill="accent1" w:themeFillShade="80"/>
            <w:hideMark/>
          </w:tcPr>
          <w:p w14:paraId="28A8176A" w14:textId="77777777" w:rsidR="00C11A13" w:rsidRPr="003532BD" w:rsidRDefault="00C11A13" w:rsidP="00770E44">
            <w:pPr>
              <w:tabs>
                <w:tab w:val="left" w:pos="1260"/>
              </w:tabs>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3532BD">
              <w:rPr>
                <w:rFonts w:eastAsia="Calibri"/>
                <w:noProof/>
                <w:color w:val="FFFFFF" w:themeColor="background1"/>
                <w:lang w:val="es-419"/>
              </w:rPr>
              <w:t>Cantidad</w:t>
            </w:r>
          </w:p>
        </w:tc>
      </w:tr>
      <w:tr w:rsidR="00C11A13" w:rsidRPr="003532BD" w14:paraId="5739E80F" w14:textId="77777777" w:rsidTr="00531CDC">
        <w:trPr>
          <w:trHeight w:val="361"/>
        </w:trPr>
        <w:tc>
          <w:tcPr>
            <w:cnfStyle w:val="001000000000" w:firstRow="0" w:lastRow="0" w:firstColumn="1" w:lastColumn="0" w:oddVBand="0" w:evenVBand="0" w:oddHBand="0" w:evenHBand="0" w:firstRowFirstColumn="0" w:firstRowLastColumn="0" w:lastRowFirstColumn="0" w:lastRowLastColumn="0"/>
            <w:tcW w:w="4219" w:type="dxa"/>
            <w:hideMark/>
          </w:tcPr>
          <w:p w14:paraId="62D84C00" w14:textId="77777777" w:rsidR="00C11A13" w:rsidRPr="003532BD" w:rsidRDefault="00C11A13" w:rsidP="0024709B">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Personal técnico</w:t>
            </w:r>
          </w:p>
        </w:tc>
        <w:tc>
          <w:tcPr>
            <w:tcW w:w="2236" w:type="dxa"/>
            <w:hideMark/>
          </w:tcPr>
          <w:p w14:paraId="1EE8776A" w14:textId="77777777" w:rsidR="00C11A13" w:rsidRPr="003532BD" w:rsidRDefault="00C11A13" w:rsidP="00770E44">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7</w:t>
            </w:r>
          </w:p>
        </w:tc>
      </w:tr>
      <w:tr w:rsidR="00C11A13" w:rsidRPr="003532BD" w14:paraId="3D17AEF9" w14:textId="77777777" w:rsidTr="00531CDC">
        <w:trPr>
          <w:trHeight w:val="361"/>
        </w:trPr>
        <w:tc>
          <w:tcPr>
            <w:cnfStyle w:val="001000000000" w:firstRow="0" w:lastRow="0" w:firstColumn="1" w:lastColumn="0" w:oddVBand="0" w:evenVBand="0" w:oddHBand="0" w:evenHBand="0" w:firstRowFirstColumn="0" w:firstRowLastColumn="0" w:lastRowFirstColumn="0" w:lastRowLastColumn="0"/>
            <w:tcW w:w="4219" w:type="dxa"/>
            <w:hideMark/>
          </w:tcPr>
          <w:p w14:paraId="63887D62" w14:textId="77777777" w:rsidR="00C11A13" w:rsidRPr="003532BD" w:rsidRDefault="00C11A13" w:rsidP="0024709B">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Compra de vehículos</w:t>
            </w:r>
          </w:p>
        </w:tc>
        <w:tc>
          <w:tcPr>
            <w:tcW w:w="2236" w:type="dxa"/>
            <w:hideMark/>
          </w:tcPr>
          <w:p w14:paraId="063F1510" w14:textId="77777777" w:rsidR="00C11A13" w:rsidRPr="003532BD" w:rsidRDefault="00C11A13" w:rsidP="00770E44">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2</w:t>
            </w:r>
          </w:p>
        </w:tc>
      </w:tr>
      <w:tr w:rsidR="00C11A13" w:rsidRPr="003532BD" w14:paraId="2228606E" w14:textId="77777777" w:rsidTr="00531CDC">
        <w:trPr>
          <w:trHeight w:val="361"/>
        </w:trPr>
        <w:tc>
          <w:tcPr>
            <w:cnfStyle w:val="001000000000" w:firstRow="0" w:lastRow="0" w:firstColumn="1" w:lastColumn="0" w:oddVBand="0" w:evenVBand="0" w:oddHBand="0" w:evenHBand="0" w:firstRowFirstColumn="0" w:firstRowLastColumn="0" w:lastRowFirstColumn="0" w:lastRowLastColumn="0"/>
            <w:tcW w:w="4219" w:type="dxa"/>
            <w:hideMark/>
          </w:tcPr>
          <w:p w14:paraId="50A06E15" w14:textId="77777777" w:rsidR="00C11A13" w:rsidRPr="003532BD" w:rsidRDefault="00C11A13" w:rsidP="00770E44">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Alquiler de inmueble</w:t>
            </w:r>
          </w:p>
        </w:tc>
        <w:tc>
          <w:tcPr>
            <w:tcW w:w="2236" w:type="dxa"/>
            <w:hideMark/>
          </w:tcPr>
          <w:p w14:paraId="35ABFD7C" w14:textId="77777777" w:rsidR="00C11A13" w:rsidRPr="003532BD" w:rsidRDefault="00C11A13" w:rsidP="00770E44">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1</w:t>
            </w:r>
          </w:p>
        </w:tc>
      </w:tr>
      <w:tr w:rsidR="00C11A13" w:rsidRPr="003532BD" w14:paraId="11B50228" w14:textId="77777777" w:rsidTr="00531CDC">
        <w:trPr>
          <w:trHeight w:val="421"/>
        </w:trPr>
        <w:tc>
          <w:tcPr>
            <w:cnfStyle w:val="001000000000" w:firstRow="0" w:lastRow="0" w:firstColumn="1" w:lastColumn="0" w:oddVBand="0" w:evenVBand="0" w:oddHBand="0" w:evenHBand="0" w:firstRowFirstColumn="0" w:firstRowLastColumn="0" w:lastRowFirstColumn="0" w:lastRowLastColumn="0"/>
            <w:tcW w:w="4219" w:type="dxa"/>
            <w:hideMark/>
          </w:tcPr>
          <w:p w14:paraId="02082266" w14:textId="77777777" w:rsidR="00C11A13" w:rsidRPr="003532BD" w:rsidRDefault="00C11A13" w:rsidP="00770E44">
            <w:pPr>
              <w:tabs>
                <w:tab w:val="left" w:pos="1260"/>
              </w:tabs>
              <w:spacing w:line="360" w:lineRule="auto"/>
              <w:jc w:val="both"/>
              <w:rPr>
                <w:rFonts w:eastAsia="Calibri"/>
                <w:b w:val="0"/>
                <w:bCs w:val="0"/>
                <w:noProof/>
                <w:color w:val="4C4747"/>
                <w:lang w:val="es-419"/>
              </w:rPr>
            </w:pPr>
            <w:r w:rsidRPr="003532BD">
              <w:rPr>
                <w:rFonts w:eastAsia="Calibri"/>
                <w:b w:val="0"/>
                <w:bCs w:val="0"/>
                <w:noProof/>
                <w:color w:val="4C4747"/>
                <w:lang w:val="es-419"/>
              </w:rPr>
              <w:t>TOTAL</w:t>
            </w:r>
          </w:p>
        </w:tc>
        <w:tc>
          <w:tcPr>
            <w:tcW w:w="2236" w:type="dxa"/>
            <w:hideMark/>
          </w:tcPr>
          <w:p w14:paraId="0D1C4CA5" w14:textId="77777777" w:rsidR="00C11A13" w:rsidRPr="003532BD" w:rsidRDefault="00C11A13" w:rsidP="00770E44">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3532BD">
              <w:rPr>
                <w:rFonts w:eastAsia="Calibri"/>
                <w:noProof/>
                <w:color w:val="4C4747"/>
                <w:lang w:val="es-419"/>
              </w:rPr>
              <w:t>10</w:t>
            </w:r>
          </w:p>
        </w:tc>
      </w:tr>
    </w:tbl>
    <w:p w14:paraId="1CF823D2" w14:textId="25B7A04F" w:rsidR="00594B4D" w:rsidRPr="00E327FC" w:rsidRDefault="00594B4D" w:rsidP="00886F32">
      <w:pPr>
        <w:tabs>
          <w:tab w:val="left" w:pos="1260"/>
        </w:tabs>
        <w:spacing w:after="0" w:line="360" w:lineRule="auto"/>
        <w:ind w:left="720"/>
        <w:rPr>
          <w:rFonts w:eastAsia="Calibri"/>
          <w:i/>
          <w:iCs/>
          <w:noProof/>
          <w:color w:val="4C4747"/>
          <w:lang w:val="es-DO"/>
        </w:rPr>
      </w:pPr>
      <w:r w:rsidRPr="00E327FC">
        <w:rPr>
          <w:rFonts w:eastAsia="Calibri"/>
          <w:i/>
          <w:iCs/>
          <w:noProof/>
          <w:color w:val="4C4747"/>
          <w:lang w:val="es-DO"/>
        </w:rPr>
        <w:t xml:space="preserve">Tabla </w:t>
      </w:r>
      <w:r>
        <w:rPr>
          <w:rFonts w:eastAsia="Calibri"/>
          <w:i/>
          <w:iCs/>
          <w:noProof/>
          <w:color w:val="4C4747"/>
          <w:lang w:val="es-DO"/>
        </w:rPr>
        <w:t>6</w:t>
      </w:r>
      <w:r w:rsidRPr="00E327FC">
        <w:rPr>
          <w:rFonts w:eastAsia="Calibri"/>
          <w:i/>
          <w:iCs/>
          <w:noProof/>
          <w:color w:val="4C4747"/>
          <w:lang w:val="es-DO"/>
        </w:rPr>
        <w:t xml:space="preserve">. Resumen </w:t>
      </w:r>
      <w:r>
        <w:rPr>
          <w:rFonts w:eastAsia="Calibri"/>
          <w:i/>
          <w:iCs/>
          <w:noProof/>
          <w:color w:val="4C4747"/>
          <w:lang w:val="es-DO"/>
        </w:rPr>
        <w:t>contratos revisados</w:t>
      </w:r>
    </w:p>
    <w:p w14:paraId="3D85EDD0" w14:textId="5D21D250" w:rsidR="00C11A13" w:rsidRPr="00C11A13" w:rsidRDefault="00C11A13" w:rsidP="00886F32">
      <w:pPr>
        <w:tabs>
          <w:tab w:val="left" w:pos="1260"/>
        </w:tabs>
        <w:spacing w:after="0" w:line="360" w:lineRule="auto"/>
        <w:ind w:left="720"/>
        <w:rPr>
          <w:rFonts w:eastAsia="Calibri"/>
          <w:b/>
          <w:noProof/>
          <w:color w:val="4C4747"/>
          <w:lang w:val="es-419"/>
        </w:rPr>
      </w:pPr>
      <w:bookmarkStart w:id="106" w:name="_Toc215586140"/>
      <w:r w:rsidRPr="00C11A13">
        <w:rPr>
          <w:rFonts w:eastAsia="Calibri"/>
          <w:b/>
          <w:noProof/>
          <w:color w:val="4C4747"/>
          <w:lang w:val="es-419"/>
        </w:rPr>
        <w:lastRenderedPageBreak/>
        <w:t>Cartas Compromiso</w:t>
      </w:r>
      <w:bookmarkEnd w:id="106"/>
      <w:r w:rsidR="003532BD">
        <w:rPr>
          <w:rFonts w:eastAsia="Calibri"/>
          <w:b/>
          <w:noProof/>
          <w:color w:val="4C4747"/>
          <w:lang w:val="es-419"/>
        </w:rPr>
        <w:t>:</w:t>
      </w:r>
    </w:p>
    <w:p w14:paraId="56012A2A" w14:textId="750DC595"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Se gestionó la elaboración de cartas compromiso que formalizan relaciones profesionales para la provisión de servicios especializados</w:t>
      </w:r>
      <w:r w:rsidR="00C009D6">
        <w:rPr>
          <w:rFonts w:eastAsia="Calibri"/>
          <w:noProof/>
          <w:color w:val="4C4747"/>
          <w:lang w:val="es-419"/>
        </w:rPr>
        <w:t>.</w:t>
      </w:r>
    </w:p>
    <w:tbl>
      <w:tblPr>
        <w:tblStyle w:val="GridTable1Light-Accent3"/>
        <w:tblW w:w="5877" w:type="dxa"/>
        <w:tblInd w:w="1885" w:type="dxa"/>
        <w:tblLook w:val="04A0" w:firstRow="1" w:lastRow="0" w:firstColumn="1" w:lastColumn="0" w:noHBand="0" w:noVBand="1"/>
      </w:tblPr>
      <w:tblGrid>
        <w:gridCol w:w="4057"/>
        <w:gridCol w:w="1820"/>
      </w:tblGrid>
      <w:tr w:rsidR="00C11A13" w:rsidRPr="00C009D6" w14:paraId="4CA57B72" w14:textId="77777777" w:rsidTr="00751A6E">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057" w:type="dxa"/>
            <w:shd w:val="clear" w:color="auto" w:fill="1F3864" w:themeFill="accent1" w:themeFillShade="80"/>
            <w:hideMark/>
          </w:tcPr>
          <w:p w14:paraId="05BB72CA" w14:textId="77777777" w:rsidR="00C11A13" w:rsidRPr="00C009D6" w:rsidRDefault="00C11A13" w:rsidP="00751A6E">
            <w:pPr>
              <w:tabs>
                <w:tab w:val="left" w:pos="1260"/>
              </w:tabs>
              <w:spacing w:line="360" w:lineRule="auto"/>
              <w:rPr>
                <w:rFonts w:eastAsia="Calibri"/>
                <w:noProof/>
                <w:color w:val="FFFFFF" w:themeColor="background1"/>
                <w:lang w:val="es-419"/>
              </w:rPr>
            </w:pPr>
            <w:r w:rsidRPr="00C009D6">
              <w:rPr>
                <w:rFonts w:eastAsia="Calibri"/>
                <w:noProof/>
                <w:color w:val="FFFFFF" w:themeColor="background1"/>
                <w:lang w:val="es-419"/>
              </w:rPr>
              <w:t>Categoría del servicio</w:t>
            </w:r>
          </w:p>
        </w:tc>
        <w:tc>
          <w:tcPr>
            <w:tcW w:w="1820" w:type="dxa"/>
            <w:shd w:val="clear" w:color="auto" w:fill="1F3864" w:themeFill="accent1" w:themeFillShade="80"/>
            <w:hideMark/>
          </w:tcPr>
          <w:p w14:paraId="032F6795" w14:textId="77777777" w:rsidR="00C11A13" w:rsidRPr="00C009D6" w:rsidRDefault="00C11A13" w:rsidP="00751A6E">
            <w:pPr>
              <w:tabs>
                <w:tab w:val="left" w:pos="1260"/>
              </w:tabs>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C009D6">
              <w:rPr>
                <w:rFonts w:eastAsia="Calibri"/>
                <w:noProof/>
                <w:color w:val="FFFFFF" w:themeColor="background1"/>
                <w:lang w:val="es-419"/>
              </w:rPr>
              <w:t>Cantidad</w:t>
            </w:r>
          </w:p>
        </w:tc>
      </w:tr>
      <w:tr w:rsidR="00C11A13" w:rsidRPr="00C009D6" w14:paraId="595200DA" w14:textId="77777777" w:rsidTr="00751A6E">
        <w:trPr>
          <w:trHeight w:val="322"/>
        </w:trPr>
        <w:tc>
          <w:tcPr>
            <w:cnfStyle w:val="001000000000" w:firstRow="0" w:lastRow="0" w:firstColumn="1" w:lastColumn="0" w:oddVBand="0" w:evenVBand="0" w:oddHBand="0" w:evenHBand="0" w:firstRowFirstColumn="0" w:firstRowLastColumn="0" w:lastRowFirstColumn="0" w:lastRowLastColumn="0"/>
            <w:tcW w:w="4057" w:type="dxa"/>
            <w:hideMark/>
          </w:tcPr>
          <w:p w14:paraId="037DA6BA" w14:textId="77777777" w:rsidR="00C11A13" w:rsidRPr="00C009D6" w:rsidRDefault="00C11A13" w:rsidP="00751A6E">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Asesorías técnicas y administrativas</w:t>
            </w:r>
          </w:p>
        </w:tc>
        <w:tc>
          <w:tcPr>
            <w:tcW w:w="1820" w:type="dxa"/>
            <w:hideMark/>
          </w:tcPr>
          <w:p w14:paraId="0671DDAE" w14:textId="77777777" w:rsidR="00C11A13" w:rsidRPr="00C009D6" w:rsidRDefault="00C11A13"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6</w:t>
            </w:r>
          </w:p>
        </w:tc>
      </w:tr>
      <w:tr w:rsidR="00C11A13" w:rsidRPr="00C009D6" w14:paraId="521301E4" w14:textId="77777777" w:rsidTr="00751A6E">
        <w:trPr>
          <w:trHeight w:val="322"/>
        </w:trPr>
        <w:tc>
          <w:tcPr>
            <w:cnfStyle w:val="001000000000" w:firstRow="0" w:lastRow="0" w:firstColumn="1" w:lastColumn="0" w:oddVBand="0" w:evenVBand="0" w:oddHBand="0" w:evenHBand="0" w:firstRowFirstColumn="0" w:firstRowLastColumn="0" w:lastRowFirstColumn="0" w:lastRowLastColumn="0"/>
            <w:tcW w:w="4057" w:type="dxa"/>
            <w:hideMark/>
          </w:tcPr>
          <w:p w14:paraId="39F77E37" w14:textId="77777777" w:rsidR="00C11A13" w:rsidRPr="00C009D6" w:rsidRDefault="00C11A13" w:rsidP="00751A6E">
            <w:pPr>
              <w:tabs>
                <w:tab w:val="left" w:pos="1260"/>
              </w:tabs>
              <w:spacing w:line="360" w:lineRule="auto"/>
              <w:jc w:val="both"/>
              <w:rPr>
                <w:rFonts w:eastAsia="Calibri"/>
                <w:b w:val="0"/>
                <w:bCs w:val="0"/>
                <w:noProof/>
                <w:color w:val="4C4747"/>
                <w:lang w:val="es-419"/>
              </w:rPr>
            </w:pPr>
            <w:r w:rsidRPr="00C009D6">
              <w:rPr>
                <w:rFonts w:eastAsia="Calibri"/>
                <w:b w:val="0"/>
                <w:bCs w:val="0"/>
                <w:noProof/>
                <w:color w:val="4C4747"/>
                <w:lang w:val="es-419"/>
              </w:rPr>
              <w:t>Servicios de comunicación</w:t>
            </w:r>
          </w:p>
        </w:tc>
        <w:tc>
          <w:tcPr>
            <w:tcW w:w="1820" w:type="dxa"/>
            <w:hideMark/>
          </w:tcPr>
          <w:p w14:paraId="66B1E7B5" w14:textId="77777777" w:rsidR="00C11A13" w:rsidRPr="00C009D6" w:rsidRDefault="00C11A13"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2</w:t>
            </w:r>
          </w:p>
        </w:tc>
      </w:tr>
      <w:tr w:rsidR="00C11A13" w:rsidRPr="00C009D6" w14:paraId="45F8F1DA" w14:textId="77777777" w:rsidTr="00751A6E">
        <w:trPr>
          <w:trHeight w:val="322"/>
        </w:trPr>
        <w:tc>
          <w:tcPr>
            <w:cnfStyle w:val="001000000000" w:firstRow="0" w:lastRow="0" w:firstColumn="1" w:lastColumn="0" w:oddVBand="0" w:evenVBand="0" w:oddHBand="0" w:evenHBand="0" w:firstRowFirstColumn="0" w:firstRowLastColumn="0" w:lastRowFirstColumn="0" w:lastRowLastColumn="0"/>
            <w:tcW w:w="4057" w:type="dxa"/>
            <w:hideMark/>
          </w:tcPr>
          <w:p w14:paraId="3E3C5A53" w14:textId="77777777" w:rsidR="00C11A13" w:rsidRPr="00C009D6" w:rsidRDefault="00C11A13" w:rsidP="00751A6E">
            <w:pPr>
              <w:tabs>
                <w:tab w:val="left" w:pos="1260"/>
              </w:tabs>
              <w:spacing w:line="360" w:lineRule="auto"/>
              <w:jc w:val="both"/>
              <w:rPr>
                <w:rFonts w:eastAsia="Calibri"/>
                <w:b w:val="0"/>
                <w:bCs w:val="0"/>
                <w:noProof/>
                <w:color w:val="4C4747"/>
                <w:lang w:val="es-419"/>
              </w:rPr>
            </w:pPr>
            <w:r w:rsidRPr="00C009D6">
              <w:rPr>
                <w:rFonts w:eastAsia="Calibri"/>
                <w:b w:val="0"/>
                <w:bCs w:val="0"/>
                <w:noProof/>
                <w:color w:val="4C4747"/>
                <w:lang w:val="es-419"/>
              </w:rPr>
              <w:t>Servicios técnicos especializados</w:t>
            </w:r>
          </w:p>
        </w:tc>
        <w:tc>
          <w:tcPr>
            <w:tcW w:w="1820" w:type="dxa"/>
            <w:hideMark/>
          </w:tcPr>
          <w:p w14:paraId="2C61FB78" w14:textId="77777777" w:rsidR="00C11A13" w:rsidRPr="00C009D6" w:rsidRDefault="00C11A13"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6</w:t>
            </w:r>
          </w:p>
        </w:tc>
      </w:tr>
      <w:tr w:rsidR="00C11A13" w:rsidRPr="00C009D6" w14:paraId="6910578E" w14:textId="77777777" w:rsidTr="00751A6E">
        <w:trPr>
          <w:trHeight w:val="322"/>
        </w:trPr>
        <w:tc>
          <w:tcPr>
            <w:cnfStyle w:val="001000000000" w:firstRow="0" w:lastRow="0" w:firstColumn="1" w:lastColumn="0" w:oddVBand="0" w:evenVBand="0" w:oddHBand="0" w:evenHBand="0" w:firstRowFirstColumn="0" w:firstRowLastColumn="0" w:lastRowFirstColumn="0" w:lastRowLastColumn="0"/>
            <w:tcW w:w="4057" w:type="dxa"/>
            <w:hideMark/>
          </w:tcPr>
          <w:p w14:paraId="7A630811" w14:textId="77777777" w:rsidR="00C11A13" w:rsidRPr="00C009D6" w:rsidRDefault="00C11A13" w:rsidP="00751A6E">
            <w:pPr>
              <w:tabs>
                <w:tab w:val="left" w:pos="1260"/>
              </w:tabs>
              <w:spacing w:line="360" w:lineRule="auto"/>
              <w:jc w:val="both"/>
              <w:rPr>
                <w:rFonts w:eastAsia="Calibri"/>
                <w:b w:val="0"/>
                <w:bCs w:val="0"/>
                <w:noProof/>
                <w:color w:val="4C4747"/>
                <w:lang w:val="es-419"/>
              </w:rPr>
            </w:pPr>
            <w:r w:rsidRPr="00C009D6">
              <w:rPr>
                <w:rFonts w:eastAsia="Calibri"/>
                <w:b w:val="0"/>
                <w:bCs w:val="0"/>
                <w:noProof/>
                <w:color w:val="4C4747"/>
                <w:lang w:val="es-419"/>
              </w:rPr>
              <w:t>Electricidad y sistemas</w:t>
            </w:r>
          </w:p>
        </w:tc>
        <w:tc>
          <w:tcPr>
            <w:tcW w:w="1820" w:type="dxa"/>
            <w:hideMark/>
          </w:tcPr>
          <w:p w14:paraId="44396624" w14:textId="77777777" w:rsidR="00C11A13" w:rsidRPr="00C009D6" w:rsidRDefault="00C11A13"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r>
      <w:tr w:rsidR="00C11A13" w:rsidRPr="00C009D6" w14:paraId="5D9BD0FB" w14:textId="77777777" w:rsidTr="00751A6E">
        <w:trPr>
          <w:trHeight w:val="322"/>
        </w:trPr>
        <w:tc>
          <w:tcPr>
            <w:cnfStyle w:val="001000000000" w:firstRow="0" w:lastRow="0" w:firstColumn="1" w:lastColumn="0" w:oddVBand="0" w:evenVBand="0" w:oddHBand="0" w:evenHBand="0" w:firstRowFirstColumn="0" w:firstRowLastColumn="0" w:lastRowFirstColumn="0" w:lastRowLastColumn="0"/>
            <w:tcW w:w="4057" w:type="dxa"/>
            <w:hideMark/>
          </w:tcPr>
          <w:p w14:paraId="32FBD2AE" w14:textId="77777777" w:rsidR="00C11A13" w:rsidRPr="00C009D6" w:rsidRDefault="00C11A13" w:rsidP="00751A6E">
            <w:pPr>
              <w:tabs>
                <w:tab w:val="left" w:pos="1260"/>
              </w:tabs>
              <w:spacing w:line="360" w:lineRule="auto"/>
              <w:jc w:val="both"/>
              <w:rPr>
                <w:rFonts w:eastAsia="Calibri"/>
                <w:b w:val="0"/>
                <w:bCs w:val="0"/>
                <w:noProof/>
                <w:color w:val="4C4747"/>
                <w:lang w:val="es-419"/>
              </w:rPr>
            </w:pPr>
            <w:r w:rsidRPr="00C009D6">
              <w:rPr>
                <w:rFonts w:eastAsia="Calibri"/>
                <w:b w:val="0"/>
                <w:bCs w:val="0"/>
                <w:noProof/>
                <w:color w:val="4C4747"/>
                <w:lang w:val="es-419"/>
              </w:rPr>
              <w:t>TOTAL</w:t>
            </w:r>
          </w:p>
        </w:tc>
        <w:tc>
          <w:tcPr>
            <w:tcW w:w="1820" w:type="dxa"/>
            <w:hideMark/>
          </w:tcPr>
          <w:p w14:paraId="01CE2CDD" w14:textId="77777777" w:rsidR="00C11A13" w:rsidRPr="00C009D6" w:rsidRDefault="00C11A13" w:rsidP="00751A6E">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15</w:t>
            </w:r>
          </w:p>
        </w:tc>
      </w:tr>
    </w:tbl>
    <w:p w14:paraId="108DB6FE" w14:textId="6427D149" w:rsidR="00594B4D" w:rsidRPr="00E327FC" w:rsidRDefault="00594B4D" w:rsidP="00886F32">
      <w:pPr>
        <w:tabs>
          <w:tab w:val="left" w:pos="1260"/>
        </w:tabs>
        <w:spacing w:after="0" w:line="360" w:lineRule="auto"/>
        <w:ind w:left="720"/>
        <w:rPr>
          <w:rFonts w:eastAsia="Calibri"/>
          <w:i/>
          <w:iCs/>
          <w:noProof/>
          <w:color w:val="4C4747"/>
          <w:lang w:val="es-DO"/>
        </w:rPr>
      </w:pPr>
      <w:r w:rsidRPr="00E327FC">
        <w:rPr>
          <w:rFonts w:eastAsia="Calibri"/>
          <w:i/>
          <w:iCs/>
          <w:noProof/>
          <w:color w:val="4C4747"/>
          <w:lang w:val="es-DO"/>
        </w:rPr>
        <w:t xml:space="preserve">Tabla </w:t>
      </w:r>
      <w:r>
        <w:rPr>
          <w:rFonts w:eastAsia="Calibri"/>
          <w:i/>
          <w:iCs/>
          <w:noProof/>
          <w:color w:val="4C4747"/>
          <w:lang w:val="es-DO"/>
        </w:rPr>
        <w:t>7</w:t>
      </w:r>
      <w:r w:rsidRPr="00E327FC">
        <w:rPr>
          <w:rFonts w:eastAsia="Calibri"/>
          <w:i/>
          <w:iCs/>
          <w:noProof/>
          <w:color w:val="4C4747"/>
          <w:lang w:val="es-DO"/>
        </w:rPr>
        <w:t xml:space="preserve">. Resumen </w:t>
      </w:r>
      <w:r>
        <w:rPr>
          <w:rFonts w:eastAsia="Calibri"/>
          <w:i/>
          <w:iCs/>
          <w:noProof/>
          <w:color w:val="4C4747"/>
          <w:lang w:val="es-DO"/>
        </w:rPr>
        <w:t>cartas compromisos re</w:t>
      </w:r>
      <w:r w:rsidR="002E0CEC">
        <w:rPr>
          <w:rFonts w:eastAsia="Calibri"/>
          <w:i/>
          <w:iCs/>
          <w:noProof/>
          <w:color w:val="4C4747"/>
          <w:lang w:val="es-DO"/>
        </w:rPr>
        <w:t>alizadas</w:t>
      </w:r>
    </w:p>
    <w:p w14:paraId="3DAD1DF4"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3562F248"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07" w:name="_Toc215586141"/>
      <w:r w:rsidRPr="00C11A13">
        <w:rPr>
          <w:rFonts w:eastAsia="Calibri"/>
          <w:b/>
          <w:noProof/>
          <w:color w:val="4C4747"/>
          <w:lang w:val="es-419"/>
        </w:rPr>
        <w:t>Revision de Convenios y Acuerdos</w:t>
      </w:r>
      <w:bookmarkEnd w:id="107"/>
    </w:p>
    <w:p w14:paraId="2FF5896D"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participó en la revisión jurídica de ocho (8) convenios y/o acuerdos interinstitucionales, dirigidos a fortalecer la cooperación entre el Ministerio de la Presidencia y otras instituciones.</w:t>
      </w:r>
    </w:p>
    <w:tbl>
      <w:tblPr>
        <w:tblStyle w:val="GridTable1Light-Accent3"/>
        <w:tblW w:w="6552" w:type="dxa"/>
        <w:tblInd w:w="1374" w:type="dxa"/>
        <w:tblLook w:val="04A0" w:firstRow="1" w:lastRow="0" w:firstColumn="1" w:lastColumn="0" w:noHBand="0" w:noVBand="1"/>
      </w:tblPr>
      <w:tblGrid>
        <w:gridCol w:w="2824"/>
        <w:gridCol w:w="1337"/>
        <w:gridCol w:w="2391"/>
      </w:tblGrid>
      <w:tr w:rsidR="00C11A13" w:rsidRPr="00C009D6" w14:paraId="19EE9CA9" w14:textId="77777777" w:rsidTr="008817E3">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0" w:type="auto"/>
            <w:shd w:val="clear" w:color="auto" w:fill="1F3864" w:themeFill="accent1" w:themeFillShade="80"/>
            <w:hideMark/>
          </w:tcPr>
          <w:p w14:paraId="6CF011C1" w14:textId="77777777" w:rsidR="00C11A13" w:rsidRPr="00C009D6" w:rsidRDefault="00C11A13" w:rsidP="00751A6E">
            <w:pPr>
              <w:tabs>
                <w:tab w:val="left" w:pos="1260"/>
              </w:tabs>
              <w:spacing w:line="360" w:lineRule="auto"/>
              <w:rPr>
                <w:rFonts w:eastAsia="Calibri"/>
                <w:noProof/>
                <w:color w:val="FFFFFF" w:themeColor="background1"/>
                <w:lang w:val="es-419"/>
              </w:rPr>
            </w:pPr>
            <w:r w:rsidRPr="00C009D6">
              <w:rPr>
                <w:rFonts w:eastAsia="Calibri"/>
                <w:noProof/>
                <w:color w:val="FFFFFF" w:themeColor="background1"/>
                <w:lang w:val="es-419"/>
              </w:rPr>
              <w:t>Tipo de Acuerdo</w:t>
            </w:r>
          </w:p>
        </w:tc>
        <w:tc>
          <w:tcPr>
            <w:tcW w:w="0" w:type="auto"/>
            <w:shd w:val="clear" w:color="auto" w:fill="1F3864" w:themeFill="accent1" w:themeFillShade="80"/>
            <w:hideMark/>
          </w:tcPr>
          <w:p w14:paraId="50E61D36" w14:textId="77777777" w:rsidR="00C11A13" w:rsidRPr="00C009D6" w:rsidRDefault="00C11A13" w:rsidP="00751A6E">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C009D6">
              <w:rPr>
                <w:rFonts w:eastAsia="Calibri"/>
                <w:noProof/>
                <w:color w:val="FFFFFF" w:themeColor="background1"/>
                <w:lang w:val="es-419"/>
              </w:rPr>
              <w:t>Cantidad</w:t>
            </w:r>
          </w:p>
        </w:tc>
        <w:tc>
          <w:tcPr>
            <w:tcW w:w="0" w:type="auto"/>
            <w:shd w:val="clear" w:color="auto" w:fill="1F3864" w:themeFill="accent1" w:themeFillShade="80"/>
            <w:hideMark/>
          </w:tcPr>
          <w:p w14:paraId="26FB8373" w14:textId="77777777" w:rsidR="00C11A13" w:rsidRPr="00C009D6" w:rsidRDefault="00C11A13" w:rsidP="00751A6E">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C009D6">
              <w:rPr>
                <w:rFonts w:eastAsia="Calibri"/>
                <w:noProof/>
                <w:color w:val="FFFFFF" w:themeColor="background1"/>
                <w:lang w:val="es-419"/>
              </w:rPr>
              <w:t>Instituciones involucradas</w:t>
            </w:r>
          </w:p>
        </w:tc>
      </w:tr>
      <w:tr w:rsidR="00C11A13" w:rsidRPr="00C009D6" w14:paraId="028F9C19" w14:textId="77777777" w:rsidTr="008817E3">
        <w:trPr>
          <w:trHeight w:val="358"/>
        </w:trPr>
        <w:tc>
          <w:tcPr>
            <w:cnfStyle w:val="001000000000" w:firstRow="0" w:lastRow="0" w:firstColumn="1" w:lastColumn="0" w:oddVBand="0" w:evenVBand="0" w:oddHBand="0" w:evenHBand="0" w:firstRowFirstColumn="0" w:firstRowLastColumn="0" w:lastRowFirstColumn="0" w:lastRowLastColumn="0"/>
            <w:tcW w:w="0" w:type="auto"/>
            <w:hideMark/>
          </w:tcPr>
          <w:p w14:paraId="71FCB69D" w14:textId="77777777" w:rsidR="00C11A13" w:rsidRPr="00C009D6" w:rsidRDefault="00C11A13" w:rsidP="00751A6E">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 xml:space="preserve">Cooperación interinstitucional </w:t>
            </w:r>
          </w:p>
        </w:tc>
        <w:tc>
          <w:tcPr>
            <w:tcW w:w="0" w:type="auto"/>
            <w:hideMark/>
          </w:tcPr>
          <w:p w14:paraId="06F6A039"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3</w:t>
            </w:r>
          </w:p>
        </w:tc>
        <w:tc>
          <w:tcPr>
            <w:tcW w:w="0" w:type="auto"/>
            <w:hideMark/>
          </w:tcPr>
          <w:p w14:paraId="3E6D4F7F"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CONASSAN, MINPRE, DGC</w:t>
            </w:r>
          </w:p>
        </w:tc>
      </w:tr>
      <w:tr w:rsidR="00C11A13" w:rsidRPr="00C009D6" w14:paraId="01DFE928" w14:textId="77777777" w:rsidTr="008817E3">
        <w:trPr>
          <w:trHeight w:val="358"/>
        </w:trPr>
        <w:tc>
          <w:tcPr>
            <w:cnfStyle w:val="001000000000" w:firstRow="0" w:lastRow="0" w:firstColumn="1" w:lastColumn="0" w:oddVBand="0" w:evenVBand="0" w:oddHBand="0" w:evenHBand="0" w:firstRowFirstColumn="0" w:firstRowLastColumn="0" w:lastRowFirstColumn="0" w:lastRowLastColumn="0"/>
            <w:tcW w:w="0" w:type="auto"/>
            <w:hideMark/>
          </w:tcPr>
          <w:p w14:paraId="5A642034" w14:textId="77777777" w:rsidR="00C11A13" w:rsidRPr="00C009D6" w:rsidRDefault="00C11A13" w:rsidP="00751A6E">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Cogestión programas académicos</w:t>
            </w:r>
          </w:p>
        </w:tc>
        <w:tc>
          <w:tcPr>
            <w:tcW w:w="0" w:type="auto"/>
            <w:hideMark/>
          </w:tcPr>
          <w:p w14:paraId="4E3462C7"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3</w:t>
            </w:r>
          </w:p>
        </w:tc>
        <w:tc>
          <w:tcPr>
            <w:tcW w:w="0" w:type="auto"/>
            <w:hideMark/>
          </w:tcPr>
          <w:p w14:paraId="4ABE4EC0"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INAP, UNPHU, UCE, UCNE</w:t>
            </w:r>
          </w:p>
        </w:tc>
      </w:tr>
      <w:tr w:rsidR="00C11A13" w:rsidRPr="00C009D6" w14:paraId="21820502" w14:textId="77777777" w:rsidTr="008817E3">
        <w:trPr>
          <w:trHeight w:val="358"/>
        </w:trPr>
        <w:tc>
          <w:tcPr>
            <w:cnfStyle w:val="001000000000" w:firstRow="0" w:lastRow="0" w:firstColumn="1" w:lastColumn="0" w:oddVBand="0" w:evenVBand="0" w:oddHBand="0" w:evenHBand="0" w:firstRowFirstColumn="0" w:firstRowLastColumn="0" w:lastRowFirstColumn="0" w:lastRowLastColumn="0"/>
            <w:tcW w:w="0" w:type="auto"/>
            <w:hideMark/>
          </w:tcPr>
          <w:p w14:paraId="06004900" w14:textId="77777777" w:rsidR="00C11A13" w:rsidRPr="00C009D6" w:rsidRDefault="00C11A13" w:rsidP="00751A6E">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Capacitación</w:t>
            </w:r>
          </w:p>
        </w:tc>
        <w:tc>
          <w:tcPr>
            <w:tcW w:w="0" w:type="auto"/>
            <w:hideMark/>
          </w:tcPr>
          <w:p w14:paraId="53FD3195"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c>
          <w:tcPr>
            <w:tcW w:w="0" w:type="auto"/>
            <w:hideMark/>
          </w:tcPr>
          <w:p w14:paraId="336414E3"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INAP</w:t>
            </w:r>
          </w:p>
        </w:tc>
      </w:tr>
      <w:tr w:rsidR="00C11A13" w:rsidRPr="00C009D6" w14:paraId="7876C119" w14:textId="77777777" w:rsidTr="008817E3">
        <w:trPr>
          <w:trHeight w:val="358"/>
        </w:trPr>
        <w:tc>
          <w:tcPr>
            <w:cnfStyle w:val="001000000000" w:firstRow="0" w:lastRow="0" w:firstColumn="1" w:lastColumn="0" w:oddVBand="0" w:evenVBand="0" w:oddHBand="0" w:evenHBand="0" w:firstRowFirstColumn="0" w:firstRowLastColumn="0" w:lastRowFirstColumn="0" w:lastRowLastColumn="0"/>
            <w:tcW w:w="0" w:type="auto"/>
            <w:hideMark/>
          </w:tcPr>
          <w:p w14:paraId="1406EE94" w14:textId="77777777" w:rsidR="00C11A13" w:rsidRPr="00C009D6" w:rsidRDefault="00C11A13" w:rsidP="00751A6E">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Titulación de inmuebles</w:t>
            </w:r>
          </w:p>
        </w:tc>
        <w:tc>
          <w:tcPr>
            <w:tcW w:w="0" w:type="auto"/>
            <w:hideMark/>
          </w:tcPr>
          <w:p w14:paraId="68FB56DD"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c>
          <w:tcPr>
            <w:tcW w:w="0" w:type="auto"/>
            <w:hideMark/>
          </w:tcPr>
          <w:p w14:paraId="0D4057D8"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Consejo del Poder Judicial</w:t>
            </w:r>
          </w:p>
        </w:tc>
      </w:tr>
      <w:tr w:rsidR="00C11A13" w:rsidRPr="00C009D6" w14:paraId="6558764A" w14:textId="77777777" w:rsidTr="008817E3">
        <w:trPr>
          <w:trHeight w:val="358"/>
        </w:trPr>
        <w:tc>
          <w:tcPr>
            <w:cnfStyle w:val="001000000000" w:firstRow="0" w:lastRow="0" w:firstColumn="1" w:lastColumn="0" w:oddVBand="0" w:evenVBand="0" w:oddHBand="0" w:evenHBand="0" w:firstRowFirstColumn="0" w:firstRowLastColumn="0" w:lastRowFirstColumn="0" w:lastRowLastColumn="0"/>
            <w:tcW w:w="0" w:type="auto"/>
          </w:tcPr>
          <w:p w14:paraId="7EDACECB" w14:textId="77777777" w:rsidR="00C11A13" w:rsidRPr="00C009D6" w:rsidRDefault="00C11A13" w:rsidP="00751A6E">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TOTAL</w:t>
            </w:r>
          </w:p>
        </w:tc>
        <w:tc>
          <w:tcPr>
            <w:tcW w:w="0" w:type="auto"/>
          </w:tcPr>
          <w:p w14:paraId="2B3C458C" w14:textId="77777777" w:rsidR="00C11A13" w:rsidRPr="00C009D6" w:rsidRDefault="00C11A13" w:rsidP="00751A6E">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8</w:t>
            </w:r>
          </w:p>
        </w:tc>
        <w:tc>
          <w:tcPr>
            <w:tcW w:w="0" w:type="auto"/>
          </w:tcPr>
          <w:p w14:paraId="4244D2D1" w14:textId="77777777" w:rsidR="00C11A13" w:rsidRPr="00C009D6" w:rsidRDefault="00C11A13" w:rsidP="00886F32">
            <w:pPr>
              <w:tabs>
                <w:tab w:val="left" w:pos="1260"/>
              </w:tabs>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p w14:paraId="6694BE66" w14:textId="10B541DB" w:rsidR="002E0CEC" w:rsidRPr="00E327FC" w:rsidRDefault="002E0CEC" w:rsidP="00886F32">
      <w:pPr>
        <w:tabs>
          <w:tab w:val="left" w:pos="1260"/>
        </w:tabs>
        <w:spacing w:after="0" w:line="360" w:lineRule="auto"/>
        <w:ind w:left="720"/>
        <w:rPr>
          <w:rFonts w:eastAsia="Calibri"/>
          <w:i/>
          <w:iCs/>
          <w:noProof/>
          <w:color w:val="4C4747"/>
          <w:lang w:val="es-DO"/>
        </w:rPr>
      </w:pPr>
      <w:bookmarkStart w:id="108" w:name="_Toc215586142"/>
      <w:r w:rsidRPr="00E327FC">
        <w:rPr>
          <w:rFonts w:eastAsia="Calibri"/>
          <w:i/>
          <w:iCs/>
          <w:noProof/>
          <w:color w:val="4C4747"/>
          <w:lang w:val="es-DO"/>
        </w:rPr>
        <w:t xml:space="preserve">Tabla </w:t>
      </w:r>
      <w:r>
        <w:rPr>
          <w:rFonts w:eastAsia="Calibri"/>
          <w:i/>
          <w:iCs/>
          <w:noProof/>
          <w:color w:val="4C4747"/>
          <w:lang w:val="es-DO"/>
        </w:rPr>
        <w:t>8</w:t>
      </w:r>
      <w:r w:rsidRPr="00E327FC">
        <w:rPr>
          <w:rFonts w:eastAsia="Calibri"/>
          <w:i/>
          <w:iCs/>
          <w:noProof/>
          <w:color w:val="4C4747"/>
          <w:lang w:val="es-DO"/>
        </w:rPr>
        <w:t xml:space="preserve">. Resumen </w:t>
      </w:r>
      <w:r>
        <w:rPr>
          <w:rFonts w:eastAsia="Calibri"/>
          <w:i/>
          <w:iCs/>
          <w:noProof/>
          <w:color w:val="4C4747"/>
          <w:lang w:val="es-DO"/>
        </w:rPr>
        <w:t>convenios y acuerdos</w:t>
      </w:r>
    </w:p>
    <w:p w14:paraId="05DC62E6" w14:textId="77777777" w:rsidR="00C009D6" w:rsidRDefault="00C009D6" w:rsidP="00886F32">
      <w:pPr>
        <w:tabs>
          <w:tab w:val="left" w:pos="1260"/>
        </w:tabs>
        <w:spacing w:after="0" w:line="360" w:lineRule="auto"/>
        <w:ind w:left="720"/>
        <w:rPr>
          <w:rFonts w:eastAsia="Calibri"/>
          <w:b/>
          <w:noProof/>
          <w:color w:val="4C4747"/>
          <w:lang w:val="es-419"/>
        </w:rPr>
      </w:pPr>
    </w:p>
    <w:p w14:paraId="6C639CFF" w14:textId="35C29BB6" w:rsidR="00C11A13" w:rsidRPr="00C11A13" w:rsidRDefault="00C11A13" w:rsidP="00886F32">
      <w:pPr>
        <w:tabs>
          <w:tab w:val="left" w:pos="1260"/>
        </w:tabs>
        <w:spacing w:after="0" w:line="360" w:lineRule="auto"/>
        <w:ind w:left="720"/>
        <w:rPr>
          <w:rFonts w:eastAsia="Calibri"/>
          <w:b/>
          <w:noProof/>
          <w:color w:val="4C4747"/>
          <w:lang w:val="es-419"/>
        </w:rPr>
      </w:pPr>
      <w:r w:rsidRPr="00C11A13">
        <w:rPr>
          <w:rFonts w:eastAsia="Calibri"/>
          <w:b/>
          <w:noProof/>
          <w:color w:val="4C4747"/>
          <w:lang w:val="es-419"/>
        </w:rPr>
        <w:lastRenderedPageBreak/>
        <w:t>Adendas</w:t>
      </w:r>
      <w:bookmarkEnd w:id="108"/>
    </w:p>
    <w:p w14:paraId="448AD9D9" w14:textId="61B63B4C"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Durante el período se elaboraron adendas para ampliar plazos, modificar partidas, ajustar montos o actualizar condiciones contractuales.</w:t>
      </w:r>
    </w:p>
    <w:p w14:paraId="270DAB54" w14:textId="77777777" w:rsidR="008817E3" w:rsidRPr="00C11A13" w:rsidRDefault="008817E3" w:rsidP="00886F32">
      <w:pPr>
        <w:tabs>
          <w:tab w:val="left" w:pos="1260"/>
        </w:tabs>
        <w:spacing w:after="0" w:line="360" w:lineRule="auto"/>
        <w:ind w:left="720"/>
        <w:jc w:val="both"/>
        <w:rPr>
          <w:rFonts w:eastAsia="Calibri"/>
          <w:noProof/>
          <w:color w:val="4C4747"/>
          <w:lang w:val="es-419"/>
        </w:rPr>
      </w:pPr>
    </w:p>
    <w:tbl>
      <w:tblPr>
        <w:tblStyle w:val="GridTable1Light-Accent3"/>
        <w:tblW w:w="7064" w:type="dxa"/>
        <w:tblInd w:w="919" w:type="dxa"/>
        <w:tblLayout w:type="fixed"/>
        <w:tblLook w:val="04A0" w:firstRow="1" w:lastRow="0" w:firstColumn="1" w:lastColumn="0" w:noHBand="0" w:noVBand="1"/>
      </w:tblPr>
      <w:tblGrid>
        <w:gridCol w:w="2648"/>
        <w:gridCol w:w="1998"/>
        <w:gridCol w:w="2418"/>
      </w:tblGrid>
      <w:tr w:rsidR="00C11A13" w:rsidRPr="00C009D6" w14:paraId="4D435D39" w14:textId="77777777" w:rsidTr="008817E3">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648" w:type="dxa"/>
            <w:shd w:val="clear" w:color="auto" w:fill="1F3864" w:themeFill="accent1" w:themeFillShade="80"/>
            <w:hideMark/>
          </w:tcPr>
          <w:p w14:paraId="1DD43360" w14:textId="77777777" w:rsidR="00C11A13" w:rsidRPr="00C009D6" w:rsidRDefault="00C11A13" w:rsidP="008817E3">
            <w:pPr>
              <w:tabs>
                <w:tab w:val="left" w:pos="1260"/>
              </w:tabs>
              <w:spacing w:line="360" w:lineRule="auto"/>
              <w:rPr>
                <w:rFonts w:eastAsia="Calibri"/>
                <w:noProof/>
                <w:color w:val="FFFFFF" w:themeColor="background1"/>
                <w:lang w:val="es-419"/>
              </w:rPr>
            </w:pPr>
            <w:r w:rsidRPr="00C009D6">
              <w:rPr>
                <w:rFonts w:eastAsia="Calibri"/>
                <w:noProof/>
                <w:color w:val="FFFFFF" w:themeColor="background1"/>
                <w:lang w:val="es-419"/>
              </w:rPr>
              <w:t>Tipo de adenda</w:t>
            </w:r>
          </w:p>
        </w:tc>
        <w:tc>
          <w:tcPr>
            <w:tcW w:w="1998" w:type="dxa"/>
            <w:shd w:val="clear" w:color="auto" w:fill="1F3864" w:themeFill="accent1" w:themeFillShade="80"/>
            <w:hideMark/>
          </w:tcPr>
          <w:p w14:paraId="70C39FAC" w14:textId="47CAB52A" w:rsidR="00C11A13" w:rsidRPr="00C009D6" w:rsidRDefault="00B22ED8" w:rsidP="008817E3">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Pr>
                <w:rFonts w:eastAsia="Calibri"/>
                <w:noProof/>
                <w:color w:val="FFFFFF" w:themeColor="background1"/>
                <w:lang w:val="es-419"/>
              </w:rPr>
              <w:t>Canti</w:t>
            </w:r>
            <w:r w:rsidR="00C11A13" w:rsidRPr="00C009D6">
              <w:rPr>
                <w:rFonts w:eastAsia="Calibri"/>
                <w:noProof/>
                <w:color w:val="FFFFFF" w:themeColor="background1"/>
                <w:lang w:val="es-419"/>
              </w:rPr>
              <w:t>dad</w:t>
            </w:r>
          </w:p>
        </w:tc>
        <w:tc>
          <w:tcPr>
            <w:tcW w:w="2418" w:type="dxa"/>
            <w:shd w:val="clear" w:color="auto" w:fill="1F3864" w:themeFill="accent1" w:themeFillShade="80"/>
            <w:hideMark/>
          </w:tcPr>
          <w:p w14:paraId="1BD1735C" w14:textId="77777777" w:rsidR="00C11A13" w:rsidRPr="00C009D6" w:rsidRDefault="00C11A13" w:rsidP="008817E3">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C009D6">
              <w:rPr>
                <w:rFonts w:eastAsia="Calibri"/>
                <w:noProof/>
                <w:color w:val="FFFFFF" w:themeColor="background1"/>
                <w:lang w:val="es-419"/>
              </w:rPr>
              <w:t>Referencia</w:t>
            </w:r>
          </w:p>
        </w:tc>
      </w:tr>
      <w:tr w:rsidR="00C11A13" w:rsidRPr="00C009D6" w14:paraId="04ACA232" w14:textId="77777777" w:rsidTr="008817E3">
        <w:trPr>
          <w:trHeight w:val="369"/>
        </w:trPr>
        <w:tc>
          <w:tcPr>
            <w:cnfStyle w:val="001000000000" w:firstRow="0" w:lastRow="0" w:firstColumn="1" w:lastColumn="0" w:oddVBand="0" w:evenVBand="0" w:oddHBand="0" w:evenHBand="0" w:firstRowFirstColumn="0" w:firstRowLastColumn="0" w:lastRowFirstColumn="0" w:lastRowLastColumn="0"/>
            <w:tcW w:w="2648" w:type="dxa"/>
            <w:hideMark/>
          </w:tcPr>
          <w:p w14:paraId="2C5C3484"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Aumento de monto</w:t>
            </w:r>
          </w:p>
        </w:tc>
        <w:tc>
          <w:tcPr>
            <w:tcW w:w="1998" w:type="dxa"/>
            <w:hideMark/>
          </w:tcPr>
          <w:p w14:paraId="68577980"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c>
          <w:tcPr>
            <w:tcW w:w="2418" w:type="dxa"/>
            <w:hideMark/>
          </w:tcPr>
          <w:p w14:paraId="7EDD23A0"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CAOMA / MINPRE-CCC-CP-2025-0003</w:t>
            </w:r>
          </w:p>
        </w:tc>
      </w:tr>
      <w:tr w:rsidR="00C11A13" w:rsidRPr="00C009D6" w14:paraId="698C4004" w14:textId="77777777" w:rsidTr="008817E3">
        <w:trPr>
          <w:trHeight w:val="369"/>
        </w:trPr>
        <w:tc>
          <w:tcPr>
            <w:cnfStyle w:val="001000000000" w:firstRow="0" w:lastRow="0" w:firstColumn="1" w:lastColumn="0" w:oddVBand="0" w:evenVBand="0" w:oddHBand="0" w:evenHBand="0" w:firstRowFirstColumn="0" w:firstRowLastColumn="0" w:lastRowFirstColumn="0" w:lastRowLastColumn="0"/>
            <w:tcW w:w="2648" w:type="dxa"/>
            <w:hideMark/>
          </w:tcPr>
          <w:p w14:paraId="6DD70F62"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Modificación de partidas</w:t>
            </w:r>
          </w:p>
        </w:tc>
        <w:tc>
          <w:tcPr>
            <w:tcW w:w="1998" w:type="dxa"/>
            <w:hideMark/>
          </w:tcPr>
          <w:p w14:paraId="6E761DC8"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c>
          <w:tcPr>
            <w:tcW w:w="2418" w:type="dxa"/>
            <w:hideMark/>
          </w:tcPr>
          <w:p w14:paraId="4461732C"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Camilo J. Hurtado / MINPRE-CCC-CP-2024-0010</w:t>
            </w:r>
          </w:p>
        </w:tc>
      </w:tr>
      <w:tr w:rsidR="00C11A13" w:rsidRPr="00C009D6" w14:paraId="7EDC5B61" w14:textId="77777777" w:rsidTr="008817E3">
        <w:trPr>
          <w:trHeight w:val="369"/>
        </w:trPr>
        <w:tc>
          <w:tcPr>
            <w:cnfStyle w:val="001000000000" w:firstRow="0" w:lastRow="0" w:firstColumn="1" w:lastColumn="0" w:oddVBand="0" w:evenVBand="0" w:oddHBand="0" w:evenHBand="0" w:firstRowFirstColumn="0" w:firstRowLastColumn="0" w:lastRowFirstColumn="0" w:lastRowLastColumn="0"/>
            <w:tcW w:w="2648" w:type="dxa"/>
            <w:hideMark/>
          </w:tcPr>
          <w:p w14:paraId="4480BBE9"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 xml:space="preserve">Desembolso </w:t>
            </w:r>
          </w:p>
        </w:tc>
        <w:tc>
          <w:tcPr>
            <w:tcW w:w="1998" w:type="dxa"/>
            <w:hideMark/>
          </w:tcPr>
          <w:p w14:paraId="19B5A70C"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c>
          <w:tcPr>
            <w:tcW w:w="2418" w:type="dxa"/>
            <w:hideMark/>
          </w:tcPr>
          <w:p w14:paraId="68D6432F"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MEPyD / Ayuntamiento Oviedo</w:t>
            </w:r>
          </w:p>
        </w:tc>
      </w:tr>
      <w:tr w:rsidR="00C11A13" w:rsidRPr="00C009D6" w14:paraId="6CEA897E" w14:textId="77777777" w:rsidTr="008817E3">
        <w:trPr>
          <w:trHeight w:val="369"/>
        </w:trPr>
        <w:tc>
          <w:tcPr>
            <w:cnfStyle w:val="001000000000" w:firstRow="0" w:lastRow="0" w:firstColumn="1" w:lastColumn="0" w:oddVBand="0" w:evenVBand="0" w:oddHBand="0" w:evenHBand="0" w:firstRowFirstColumn="0" w:firstRowLastColumn="0" w:lastRowFirstColumn="0" w:lastRowLastColumn="0"/>
            <w:tcW w:w="2648" w:type="dxa"/>
            <w:hideMark/>
          </w:tcPr>
          <w:p w14:paraId="66AA9B5C"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Voluntariado universitario</w:t>
            </w:r>
          </w:p>
        </w:tc>
        <w:tc>
          <w:tcPr>
            <w:tcW w:w="1998" w:type="dxa"/>
            <w:hideMark/>
          </w:tcPr>
          <w:p w14:paraId="3A1713D4"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1</w:t>
            </w:r>
          </w:p>
        </w:tc>
        <w:tc>
          <w:tcPr>
            <w:tcW w:w="2418" w:type="dxa"/>
            <w:hideMark/>
          </w:tcPr>
          <w:p w14:paraId="22608C13"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CASFL / Universidades</w:t>
            </w:r>
          </w:p>
        </w:tc>
      </w:tr>
      <w:tr w:rsidR="00C11A13" w:rsidRPr="00C009D6" w14:paraId="220945DC" w14:textId="77777777" w:rsidTr="008817E3">
        <w:trPr>
          <w:trHeight w:val="272"/>
        </w:trPr>
        <w:tc>
          <w:tcPr>
            <w:cnfStyle w:val="001000000000" w:firstRow="0" w:lastRow="0" w:firstColumn="1" w:lastColumn="0" w:oddVBand="0" w:evenVBand="0" w:oddHBand="0" w:evenHBand="0" w:firstRowFirstColumn="0" w:firstRowLastColumn="0" w:lastRowFirstColumn="0" w:lastRowLastColumn="0"/>
            <w:tcW w:w="2648" w:type="dxa"/>
            <w:hideMark/>
          </w:tcPr>
          <w:p w14:paraId="7CA9A9BF"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TOTAL</w:t>
            </w:r>
          </w:p>
        </w:tc>
        <w:tc>
          <w:tcPr>
            <w:tcW w:w="1998" w:type="dxa"/>
            <w:hideMark/>
          </w:tcPr>
          <w:p w14:paraId="13E1F1B6"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4</w:t>
            </w:r>
          </w:p>
        </w:tc>
        <w:tc>
          <w:tcPr>
            <w:tcW w:w="2418" w:type="dxa"/>
            <w:hideMark/>
          </w:tcPr>
          <w:p w14:paraId="5E028731" w14:textId="77777777" w:rsidR="00C11A13" w:rsidRPr="00C009D6" w:rsidRDefault="00C11A13" w:rsidP="00886F32">
            <w:pPr>
              <w:tabs>
                <w:tab w:val="left" w:pos="1260"/>
              </w:tabs>
              <w:spacing w:line="360" w:lineRule="auto"/>
              <w:ind w:left="720"/>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p w14:paraId="14AC36B8" w14:textId="233FC13A" w:rsidR="002E0CEC" w:rsidRPr="00E327FC" w:rsidRDefault="002E0CEC" w:rsidP="00886F32">
      <w:pPr>
        <w:tabs>
          <w:tab w:val="left" w:pos="1260"/>
        </w:tabs>
        <w:spacing w:after="0" w:line="360" w:lineRule="auto"/>
        <w:ind w:left="720"/>
        <w:rPr>
          <w:rFonts w:eastAsia="Calibri"/>
          <w:i/>
          <w:iCs/>
          <w:noProof/>
          <w:color w:val="4C4747"/>
          <w:lang w:val="es-DO"/>
        </w:rPr>
      </w:pPr>
      <w:r w:rsidRPr="00E327FC">
        <w:rPr>
          <w:rFonts w:eastAsia="Calibri"/>
          <w:i/>
          <w:iCs/>
          <w:noProof/>
          <w:color w:val="4C4747"/>
          <w:lang w:val="es-DO"/>
        </w:rPr>
        <w:t xml:space="preserve">Tabla </w:t>
      </w:r>
      <w:r>
        <w:rPr>
          <w:rFonts w:eastAsia="Calibri"/>
          <w:i/>
          <w:iCs/>
          <w:noProof/>
          <w:color w:val="4C4747"/>
          <w:lang w:val="es-DO"/>
        </w:rPr>
        <w:t>9</w:t>
      </w:r>
      <w:r w:rsidRPr="00E327FC">
        <w:rPr>
          <w:rFonts w:eastAsia="Calibri"/>
          <w:i/>
          <w:iCs/>
          <w:noProof/>
          <w:color w:val="4C4747"/>
          <w:lang w:val="es-DO"/>
        </w:rPr>
        <w:t xml:space="preserve">. Resumen </w:t>
      </w:r>
      <w:r>
        <w:rPr>
          <w:rFonts w:eastAsia="Calibri"/>
          <w:i/>
          <w:iCs/>
          <w:noProof/>
          <w:color w:val="4C4747"/>
          <w:lang w:val="es-DO"/>
        </w:rPr>
        <w:t>adendas</w:t>
      </w:r>
    </w:p>
    <w:p w14:paraId="58C9C157" w14:textId="77777777" w:rsidR="00C11A13" w:rsidRPr="00C11A13" w:rsidRDefault="00C11A13" w:rsidP="00886F32">
      <w:pPr>
        <w:tabs>
          <w:tab w:val="left" w:pos="1260"/>
        </w:tabs>
        <w:spacing w:after="0" w:line="360" w:lineRule="auto"/>
        <w:ind w:left="720"/>
        <w:rPr>
          <w:rFonts w:eastAsia="Calibri"/>
          <w:noProof/>
          <w:color w:val="4C4747"/>
          <w:lang w:val="es-419"/>
        </w:rPr>
      </w:pPr>
    </w:p>
    <w:p w14:paraId="4F0B1E31" w14:textId="65E4AEBB" w:rsidR="00C11A13" w:rsidRPr="00C11A13" w:rsidRDefault="00C11A13" w:rsidP="00886F32">
      <w:pPr>
        <w:tabs>
          <w:tab w:val="left" w:pos="1260"/>
        </w:tabs>
        <w:spacing w:after="0" w:line="360" w:lineRule="auto"/>
        <w:ind w:left="720"/>
        <w:rPr>
          <w:rFonts w:eastAsia="Calibri"/>
          <w:b/>
          <w:noProof/>
          <w:color w:val="4C4747"/>
          <w:lang w:val="es-419"/>
        </w:rPr>
      </w:pPr>
      <w:bookmarkStart w:id="109" w:name="_Toc215586143"/>
      <w:r w:rsidRPr="00C11A13">
        <w:rPr>
          <w:rFonts w:eastAsia="Calibri"/>
          <w:b/>
          <w:noProof/>
          <w:color w:val="4C4747"/>
          <w:lang w:val="es-419"/>
        </w:rPr>
        <w:t>Poderes y Resoluciones</w:t>
      </w:r>
      <w:bookmarkEnd w:id="109"/>
    </w:p>
    <w:p w14:paraId="789213BE"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emitió y revisó poderes especiales y resoluciones institucionales necesarias para garantizar la continuidad administrativa.</w:t>
      </w:r>
    </w:p>
    <w:tbl>
      <w:tblPr>
        <w:tblStyle w:val="GridTable1Light-Accent3"/>
        <w:tblW w:w="7029" w:type="dxa"/>
        <w:tblInd w:w="1027" w:type="dxa"/>
        <w:tblLook w:val="04A0" w:firstRow="1" w:lastRow="0" w:firstColumn="1" w:lastColumn="0" w:noHBand="0" w:noVBand="1"/>
      </w:tblPr>
      <w:tblGrid>
        <w:gridCol w:w="1736"/>
        <w:gridCol w:w="1337"/>
        <w:gridCol w:w="3956"/>
      </w:tblGrid>
      <w:tr w:rsidR="00C11A13" w:rsidRPr="00C009D6" w14:paraId="2A8B3DF8" w14:textId="77777777" w:rsidTr="008817E3">
        <w:trPr>
          <w:cnfStyle w:val="100000000000" w:firstRow="1" w:lastRow="0" w:firstColumn="0" w:lastColumn="0" w:oddVBand="0" w:evenVBand="0" w:oddHBand="0" w:evenHBand="0" w:firstRowFirstColumn="0" w:firstRowLastColumn="0" w:lastRowFirstColumn="0" w:lastRowLastColumn="0"/>
          <w:trHeight w:val="398"/>
          <w:tblHeader/>
        </w:trPr>
        <w:tc>
          <w:tcPr>
            <w:cnfStyle w:val="001000000000" w:firstRow="0" w:lastRow="0" w:firstColumn="1" w:lastColumn="0" w:oddVBand="0" w:evenVBand="0" w:oddHBand="0" w:evenHBand="0" w:firstRowFirstColumn="0" w:firstRowLastColumn="0" w:lastRowFirstColumn="0" w:lastRowLastColumn="0"/>
            <w:tcW w:w="1527" w:type="dxa"/>
            <w:shd w:val="clear" w:color="auto" w:fill="1F3864" w:themeFill="accent1" w:themeFillShade="80"/>
            <w:hideMark/>
          </w:tcPr>
          <w:p w14:paraId="54314700" w14:textId="58BF05B5" w:rsidR="00C11A13" w:rsidRPr="00C009D6" w:rsidRDefault="00C11A13" w:rsidP="008817E3">
            <w:pPr>
              <w:tabs>
                <w:tab w:val="left" w:pos="1260"/>
              </w:tabs>
              <w:spacing w:line="360" w:lineRule="auto"/>
              <w:rPr>
                <w:rFonts w:eastAsia="Calibri"/>
                <w:noProof/>
                <w:color w:val="FFFFFF" w:themeColor="background1"/>
                <w:lang w:val="es-419"/>
              </w:rPr>
            </w:pPr>
            <w:r w:rsidRPr="00C009D6">
              <w:rPr>
                <w:rFonts w:eastAsia="Calibri"/>
                <w:noProof/>
                <w:color w:val="FFFFFF" w:themeColor="background1"/>
                <w:lang w:val="es-419"/>
              </w:rPr>
              <w:t>Tipo</w:t>
            </w:r>
          </w:p>
        </w:tc>
        <w:tc>
          <w:tcPr>
            <w:tcW w:w="1231" w:type="dxa"/>
            <w:shd w:val="clear" w:color="auto" w:fill="1F3864" w:themeFill="accent1" w:themeFillShade="80"/>
            <w:hideMark/>
          </w:tcPr>
          <w:p w14:paraId="017DAC30" w14:textId="77777777" w:rsidR="00C11A13" w:rsidRPr="00C009D6" w:rsidRDefault="00C11A13" w:rsidP="008817E3">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C009D6">
              <w:rPr>
                <w:rFonts w:eastAsia="Calibri"/>
                <w:noProof/>
                <w:color w:val="FFFFFF" w:themeColor="background1"/>
                <w:lang w:val="es-419"/>
              </w:rPr>
              <w:t>Cantidad</w:t>
            </w:r>
          </w:p>
        </w:tc>
        <w:tc>
          <w:tcPr>
            <w:tcW w:w="4271" w:type="dxa"/>
            <w:shd w:val="clear" w:color="auto" w:fill="1F3864" w:themeFill="accent1" w:themeFillShade="80"/>
            <w:hideMark/>
          </w:tcPr>
          <w:p w14:paraId="4D43511A" w14:textId="77777777" w:rsidR="00C11A13" w:rsidRPr="00C009D6" w:rsidRDefault="00C11A13" w:rsidP="008817E3">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C009D6">
              <w:rPr>
                <w:rFonts w:eastAsia="Calibri"/>
                <w:noProof/>
                <w:color w:val="FFFFFF" w:themeColor="background1"/>
                <w:lang w:val="es-419"/>
              </w:rPr>
              <w:t>Observación</w:t>
            </w:r>
          </w:p>
        </w:tc>
      </w:tr>
      <w:tr w:rsidR="00C11A13" w:rsidRPr="007B6BCF" w14:paraId="5191CC96" w14:textId="77777777" w:rsidTr="008817E3">
        <w:trPr>
          <w:trHeight w:val="967"/>
        </w:trPr>
        <w:tc>
          <w:tcPr>
            <w:cnfStyle w:val="001000000000" w:firstRow="0" w:lastRow="0" w:firstColumn="1" w:lastColumn="0" w:oddVBand="0" w:evenVBand="0" w:oddHBand="0" w:evenHBand="0" w:firstRowFirstColumn="0" w:firstRowLastColumn="0" w:lastRowFirstColumn="0" w:lastRowLastColumn="0"/>
            <w:tcW w:w="1527" w:type="dxa"/>
            <w:hideMark/>
          </w:tcPr>
          <w:p w14:paraId="3AD52B23"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Resoluciones</w:t>
            </w:r>
          </w:p>
        </w:tc>
        <w:tc>
          <w:tcPr>
            <w:tcW w:w="1231" w:type="dxa"/>
            <w:hideMark/>
          </w:tcPr>
          <w:p w14:paraId="1EE4A19A"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3</w:t>
            </w:r>
          </w:p>
        </w:tc>
        <w:tc>
          <w:tcPr>
            <w:tcW w:w="4271" w:type="dxa"/>
            <w:hideMark/>
          </w:tcPr>
          <w:p w14:paraId="44185A26" w14:textId="77777777" w:rsidR="00C11A13" w:rsidRPr="008817E3"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8817E3">
              <w:rPr>
                <w:rFonts w:eastAsia="Calibri"/>
                <w:noProof/>
                <w:color w:val="4C4747"/>
                <w:lang w:val="es-419"/>
              </w:rPr>
              <w:t>Comité de Compras y Contrataciones,</w:t>
            </w:r>
          </w:p>
          <w:p w14:paraId="75474F66" w14:textId="77777777" w:rsidR="00C11A13" w:rsidRPr="008817E3"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8817E3">
              <w:rPr>
                <w:rFonts w:eastAsia="Calibri"/>
                <w:noProof/>
                <w:color w:val="4C4747"/>
                <w:lang w:val="es-419"/>
              </w:rPr>
              <w:t xml:space="preserve">Recurso de reconsideración, </w:t>
            </w:r>
          </w:p>
          <w:p w14:paraId="4BBDF5F6" w14:textId="77777777" w:rsidR="00C11A13" w:rsidRPr="008817E3"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8817E3">
              <w:rPr>
                <w:rFonts w:eastAsia="Calibri"/>
                <w:noProof/>
                <w:color w:val="4C4747"/>
                <w:lang w:val="es-419"/>
              </w:rPr>
              <w:t xml:space="preserve">Delegación por parte de la MAE. </w:t>
            </w:r>
          </w:p>
        </w:tc>
      </w:tr>
      <w:tr w:rsidR="00C11A13" w:rsidRPr="00C009D6" w14:paraId="3E4E3F95" w14:textId="77777777" w:rsidTr="008817E3">
        <w:trPr>
          <w:trHeight w:val="967"/>
        </w:trPr>
        <w:tc>
          <w:tcPr>
            <w:cnfStyle w:val="001000000000" w:firstRow="0" w:lastRow="0" w:firstColumn="1" w:lastColumn="0" w:oddVBand="0" w:evenVBand="0" w:oddHBand="0" w:evenHBand="0" w:firstRowFirstColumn="0" w:firstRowLastColumn="0" w:lastRowFirstColumn="0" w:lastRowLastColumn="0"/>
            <w:tcW w:w="1527" w:type="dxa"/>
            <w:hideMark/>
          </w:tcPr>
          <w:p w14:paraId="616277BF"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lastRenderedPageBreak/>
              <w:t>Poderes</w:t>
            </w:r>
          </w:p>
        </w:tc>
        <w:tc>
          <w:tcPr>
            <w:tcW w:w="1231" w:type="dxa"/>
            <w:hideMark/>
          </w:tcPr>
          <w:p w14:paraId="1998D1C0"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3</w:t>
            </w:r>
          </w:p>
        </w:tc>
        <w:tc>
          <w:tcPr>
            <w:tcW w:w="4271" w:type="dxa"/>
            <w:hideMark/>
          </w:tcPr>
          <w:p w14:paraId="16B373CA" w14:textId="77777777" w:rsidR="00C11A13" w:rsidRPr="008817E3"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8817E3">
              <w:rPr>
                <w:rFonts w:eastAsia="Calibri"/>
                <w:noProof/>
                <w:color w:val="4C4747"/>
                <w:lang w:val="es-419"/>
              </w:rPr>
              <w:t>Maria Alejandra Mendoza, Encargada de Libre Acceso a la Información a Robersy Bonilla, Oficial de Acceso a la Información.</w:t>
            </w:r>
          </w:p>
          <w:p w14:paraId="7D6DD955" w14:textId="77777777" w:rsidR="00C11A13" w:rsidRPr="008817E3"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8817E3">
              <w:rPr>
                <w:rFonts w:eastAsia="Calibri"/>
                <w:noProof/>
                <w:color w:val="4C4747"/>
                <w:lang w:val="pt-BR"/>
              </w:rPr>
              <w:t xml:space="preserve">Ministro José Ignacio Paliza a Joel Nazario, Coord. </w:t>
            </w:r>
            <w:r w:rsidRPr="008817E3">
              <w:rPr>
                <w:rFonts w:eastAsia="Calibri"/>
                <w:noProof/>
                <w:color w:val="4C4747"/>
                <w:lang w:val="es-419"/>
              </w:rPr>
              <w:t xml:space="preserve">Respuesta a Emergencias y Resiliencia de la Republica Dominicana.  </w:t>
            </w:r>
          </w:p>
          <w:p w14:paraId="7A37809F" w14:textId="77777777" w:rsidR="00C11A13" w:rsidRPr="008817E3"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8817E3">
              <w:rPr>
                <w:rFonts w:eastAsia="Calibri"/>
                <w:noProof/>
                <w:color w:val="4C4747"/>
                <w:lang w:val="es-419"/>
              </w:rPr>
              <w:t>Concejo del Poder Judicial</w:t>
            </w:r>
          </w:p>
        </w:tc>
      </w:tr>
      <w:tr w:rsidR="00C11A13" w:rsidRPr="00C009D6" w14:paraId="1CD6B830" w14:textId="77777777" w:rsidTr="008817E3">
        <w:trPr>
          <w:trHeight w:val="398"/>
        </w:trPr>
        <w:tc>
          <w:tcPr>
            <w:cnfStyle w:val="001000000000" w:firstRow="0" w:lastRow="0" w:firstColumn="1" w:lastColumn="0" w:oddVBand="0" w:evenVBand="0" w:oddHBand="0" w:evenHBand="0" w:firstRowFirstColumn="0" w:firstRowLastColumn="0" w:lastRowFirstColumn="0" w:lastRowLastColumn="0"/>
            <w:tcW w:w="1527" w:type="dxa"/>
            <w:hideMark/>
          </w:tcPr>
          <w:p w14:paraId="5AEA1FA7" w14:textId="77777777" w:rsidR="00C11A13" w:rsidRPr="00C009D6" w:rsidRDefault="00C11A13" w:rsidP="008817E3">
            <w:pPr>
              <w:tabs>
                <w:tab w:val="left" w:pos="1260"/>
              </w:tabs>
              <w:spacing w:line="360" w:lineRule="auto"/>
              <w:rPr>
                <w:rFonts w:eastAsia="Calibri"/>
                <w:b w:val="0"/>
                <w:bCs w:val="0"/>
                <w:noProof/>
                <w:color w:val="4C4747"/>
                <w:lang w:val="es-419"/>
              </w:rPr>
            </w:pPr>
            <w:r w:rsidRPr="00C009D6">
              <w:rPr>
                <w:rFonts w:eastAsia="Calibri"/>
                <w:b w:val="0"/>
                <w:bCs w:val="0"/>
                <w:noProof/>
                <w:color w:val="4C4747"/>
                <w:lang w:val="es-419"/>
              </w:rPr>
              <w:t>TOTAL</w:t>
            </w:r>
          </w:p>
        </w:tc>
        <w:tc>
          <w:tcPr>
            <w:tcW w:w="1231" w:type="dxa"/>
            <w:hideMark/>
          </w:tcPr>
          <w:p w14:paraId="62CD326A" w14:textId="77777777" w:rsidR="00C11A13" w:rsidRPr="00C009D6" w:rsidRDefault="00C11A13" w:rsidP="008817E3">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C009D6">
              <w:rPr>
                <w:rFonts w:eastAsia="Calibri"/>
                <w:noProof/>
                <w:color w:val="4C4747"/>
                <w:lang w:val="es-419"/>
              </w:rPr>
              <w:t>6</w:t>
            </w:r>
          </w:p>
        </w:tc>
        <w:tc>
          <w:tcPr>
            <w:tcW w:w="4271" w:type="dxa"/>
            <w:hideMark/>
          </w:tcPr>
          <w:p w14:paraId="75140A29" w14:textId="77777777" w:rsidR="00C11A13" w:rsidRPr="00C009D6" w:rsidRDefault="00C11A13" w:rsidP="00886F32">
            <w:pPr>
              <w:tabs>
                <w:tab w:val="left" w:pos="1260"/>
              </w:tabs>
              <w:spacing w:line="360" w:lineRule="auto"/>
              <w:ind w:left="720"/>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p w14:paraId="5FE48537" w14:textId="38DCF2C1" w:rsidR="002E0CEC" w:rsidRPr="00E327FC" w:rsidRDefault="002E0CEC" w:rsidP="00886F32">
      <w:pPr>
        <w:tabs>
          <w:tab w:val="left" w:pos="1260"/>
        </w:tabs>
        <w:spacing w:after="0" w:line="360" w:lineRule="auto"/>
        <w:ind w:left="720"/>
        <w:rPr>
          <w:rFonts w:eastAsia="Calibri"/>
          <w:i/>
          <w:iCs/>
          <w:noProof/>
          <w:color w:val="4C4747"/>
          <w:lang w:val="es-DO"/>
        </w:rPr>
      </w:pPr>
      <w:r w:rsidRPr="00E327FC">
        <w:rPr>
          <w:rFonts w:eastAsia="Calibri"/>
          <w:i/>
          <w:iCs/>
          <w:noProof/>
          <w:color w:val="4C4747"/>
          <w:lang w:val="es-DO"/>
        </w:rPr>
        <w:t xml:space="preserve">Tabla </w:t>
      </w:r>
      <w:r>
        <w:rPr>
          <w:rFonts w:eastAsia="Calibri"/>
          <w:i/>
          <w:iCs/>
          <w:noProof/>
          <w:color w:val="4C4747"/>
          <w:lang w:val="es-DO"/>
        </w:rPr>
        <w:t>10</w:t>
      </w:r>
      <w:r w:rsidRPr="00E327FC">
        <w:rPr>
          <w:rFonts w:eastAsia="Calibri"/>
          <w:i/>
          <w:iCs/>
          <w:noProof/>
          <w:color w:val="4C4747"/>
          <w:lang w:val="es-DO"/>
        </w:rPr>
        <w:t xml:space="preserve">. Resumen </w:t>
      </w:r>
      <w:r>
        <w:rPr>
          <w:rFonts w:eastAsia="Calibri"/>
          <w:i/>
          <w:iCs/>
          <w:noProof/>
          <w:color w:val="4C4747"/>
          <w:lang w:val="es-DO"/>
        </w:rPr>
        <w:t>poderes y resoluciones elaboradas</w:t>
      </w:r>
    </w:p>
    <w:p w14:paraId="7464D57D"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5B5F0442"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10" w:name="_Toc215586144"/>
      <w:r w:rsidRPr="00C11A13">
        <w:rPr>
          <w:rFonts w:eastAsia="Calibri"/>
          <w:b/>
          <w:noProof/>
          <w:color w:val="4C4747"/>
          <w:lang w:val="es-419"/>
        </w:rPr>
        <w:t>Oficios Emitidos</w:t>
      </w:r>
      <w:bookmarkEnd w:id="110"/>
    </w:p>
    <w:p w14:paraId="67334EE3" w14:textId="77777777"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Finalmente, se elaboraron oficios jurídicos que responden a solicitudes de información, consultas institucionales y requerimientos técnicos de otras entidades públicas.</w:t>
      </w:r>
    </w:p>
    <w:tbl>
      <w:tblPr>
        <w:tblStyle w:val="TableGridLight"/>
        <w:tblW w:w="7137" w:type="dxa"/>
        <w:tblInd w:w="811" w:type="dxa"/>
        <w:tblLook w:val="04A0" w:firstRow="1" w:lastRow="0" w:firstColumn="1" w:lastColumn="0" w:noHBand="0" w:noVBand="1"/>
      </w:tblPr>
      <w:tblGrid>
        <w:gridCol w:w="1613"/>
        <w:gridCol w:w="1337"/>
        <w:gridCol w:w="4187"/>
      </w:tblGrid>
      <w:tr w:rsidR="00C11A13" w:rsidRPr="00C11A13" w14:paraId="2861F732" w14:textId="77777777" w:rsidTr="008817E3">
        <w:trPr>
          <w:trHeight w:val="388"/>
        </w:trPr>
        <w:tc>
          <w:tcPr>
            <w:tcW w:w="1613" w:type="dxa"/>
            <w:shd w:val="clear" w:color="auto" w:fill="1F3864" w:themeFill="accent1" w:themeFillShade="80"/>
            <w:vAlign w:val="center"/>
            <w:hideMark/>
          </w:tcPr>
          <w:p w14:paraId="0B75748D" w14:textId="77777777" w:rsidR="00C11A13" w:rsidRPr="00DE7B74" w:rsidRDefault="00C11A13" w:rsidP="008817E3">
            <w:pPr>
              <w:tabs>
                <w:tab w:val="left" w:pos="1260"/>
              </w:tabs>
              <w:spacing w:line="360" w:lineRule="auto"/>
              <w:rPr>
                <w:rFonts w:eastAsia="Calibri"/>
                <w:b/>
                <w:bCs/>
                <w:noProof/>
                <w:color w:val="FFFFFF" w:themeColor="background1"/>
                <w:lang w:val="es-419"/>
              </w:rPr>
            </w:pPr>
            <w:r w:rsidRPr="00DE7B74">
              <w:rPr>
                <w:rFonts w:eastAsia="Calibri"/>
                <w:b/>
                <w:bCs/>
                <w:noProof/>
                <w:color w:val="FFFFFF" w:themeColor="background1"/>
                <w:lang w:val="es-419"/>
              </w:rPr>
              <w:t>Oficio</w:t>
            </w:r>
          </w:p>
        </w:tc>
        <w:tc>
          <w:tcPr>
            <w:tcW w:w="1173" w:type="dxa"/>
            <w:shd w:val="clear" w:color="auto" w:fill="1F3864" w:themeFill="accent1" w:themeFillShade="80"/>
            <w:vAlign w:val="center"/>
            <w:hideMark/>
          </w:tcPr>
          <w:p w14:paraId="34050B5B" w14:textId="77777777" w:rsidR="00C11A13" w:rsidRPr="00DE7B74" w:rsidRDefault="00C11A13" w:rsidP="008817E3">
            <w:pPr>
              <w:tabs>
                <w:tab w:val="left" w:pos="1260"/>
              </w:tabs>
              <w:spacing w:line="360" w:lineRule="auto"/>
              <w:rPr>
                <w:rFonts w:eastAsia="Calibri"/>
                <w:b/>
                <w:bCs/>
                <w:noProof/>
                <w:color w:val="FFFFFF" w:themeColor="background1"/>
                <w:lang w:val="es-419"/>
              </w:rPr>
            </w:pPr>
            <w:r w:rsidRPr="00DE7B74">
              <w:rPr>
                <w:rFonts w:eastAsia="Calibri"/>
                <w:b/>
                <w:bCs/>
                <w:noProof/>
                <w:color w:val="FFFFFF" w:themeColor="background1"/>
                <w:lang w:val="es-419"/>
              </w:rPr>
              <w:t>Cantidad</w:t>
            </w:r>
          </w:p>
        </w:tc>
        <w:tc>
          <w:tcPr>
            <w:tcW w:w="0" w:type="auto"/>
            <w:shd w:val="clear" w:color="auto" w:fill="1F3864" w:themeFill="accent1" w:themeFillShade="80"/>
            <w:vAlign w:val="center"/>
            <w:hideMark/>
          </w:tcPr>
          <w:p w14:paraId="40917C7F" w14:textId="77777777" w:rsidR="00C11A13" w:rsidRPr="00DE7B74" w:rsidRDefault="00C11A13" w:rsidP="008817E3">
            <w:pPr>
              <w:tabs>
                <w:tab w:val="left" w:pos="1260"/>
              </w:tabs>
              <w:spacing w:line="360" w:lineRule="auto"/>
              <w:jc w:val="center"/>
              <w:rPr>
                <w:rFonts w:eastAsia="Calibri"/>
                <w:b/>
                <w:bCs/>
                <w:noProof/>
                <w:color w:val="FFFFFF" w:themeColor="background1"/>
                <w:lang w:val="es-419"/>
              </w:rPr>
            </w:pPr>
            <w:r w:rsidRPr="00DE7B74">
              <w:rPr>
                <w:rFonts w:eastAsia="Calibri"/>
                <w:b/>
                <w:bCs/>
                <w:noProof/>
                <w:color w:val="FFFFFF" w:themeColor="background1"/>
                <w:lang w:val="es-419"/>
              </w:rPr>
              <w:t>Tema</w:t>
            </w:r>
          </w:p>
        </w:tc>
      </w:tr>
      <w:tr w:rsidR="00C11A13" w:rsidRPr="00C11A13" w14:paraId="5A8EA82F" w14:textId="77777777" w:rsidTr="008817E3">
        <w:trPr>
          <w:trHeight w:val="330"/>
        </w:trPr>
        <w:tc>
          <w:tcPr>
            <w:tcW w:w="1613" w:type="dxa"/>
            <w:vAlign w:val="center"/>
            <w:hideMark/>
          </w:tcPr>
          <w:p w14:paraId="5154F196"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DJ-2025-72</w:t>
            </w:r>
          </w:p>
        </w:tc>
        <w:tc>
          <w:tcPr>
            <w:tcW w:w="1173" w:type="dxa"/>
            <w:vAlign w:val="center"/>
            <w:hideMark/>
          </w:tcPr>
          <w:p w14:paraId="42C4D8B7" w14:textId="77777777" w:rsidR="00C11A13" w:rsidRPr="00C11A13" w:rsidRDefault="00C11A13" w:rsidP="008817E3">
            <w:pPr>
              <w:tabs>
                <w:tab w:val="left" w:pos="1260"/>
              </w:tabs>
              <w:spacing w:line="360" w:lineRule="auto"/>
              <w:jc w:val="center"/>
              <w:rPr>
                <w:rFonts w:eastAsia="Calibri"/>
                <w:noProof/>
                <w:color w:val="4C4747"/>
                <w:lang w:val="es-419"/>
              </w:rPr>
            </w:pPr>
            <w:r w:rsidRPr="00C11A13">
              <w:rPr>
                <w:rFonts w:eastAsia="Calibri"/>
                <w:noProof/>
                <w:color w:val="4C4747"/>
                <w:lang w:val="es-419"/>
              </w:rPr>
              <w:t>1</w:t>
            </w:r>
          </w:p>
        </w:tc>
        <w:tc>
          <w:tcPr>
            <w:tcW w:w="0" w:type="auto"/>
            <w:vAlign w:val="center"/>
            <w:hideMark/>
          </w:tcPr>
          <w:p w14:paraId="14BABA6D"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Traspaso de matrículas</w:t>
            </w:r>
          </w:p>
        </w:tc>
      </w:tr>
      <w:tr w:rsidR="00C11A13" w:rsidRPr="007B6BCF" w14:paraId="2AF8C7C9" w14:textId="77777777" w:rsidTr="008817E3">
        <w:trPr>
          <w:trHeight w:val="330"/>
        </w:trPr>
        <w:tc>
          <w:tcPr>
            <w:tcW w:w="1613" w:type="dxa"/>
            <w:vAlign w:val="center"/>
            <w:hideMark/>
          </w:tcPr>
          <w:p w14:paraId="2DD702F2"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DJ-2025-84</w:t>
            </w:r>
          </w:p>
        </w:tc>
        <w:tc>
          <w:tcPr>
            <w:tcW w:w="1173" w:type="dxa"/>
            <w:vAlign w:val="center"/>
            <w:hideMark/>
          </w:tcPr>
          <w:p w14:paraId="2C98B8A9" w14:textId="77777777" w:rsidR="00C11A13" w:rsidRPr="00C11A13" w:rsidRDefault="00C11A13" w:rsidP="008C4675">
            <w:pPr>
              <w:tabs>
                <w:tab w:val="left" w:pos="1260"/>
              </w:tabs>
              <w:spacing w:line="360" w:lineRule="auto"/>
              <w:jc w:val="center"/>
              <w:rPr>
                <w:rFonts w:eastAsia="Calibri"/>
                <w:noProof/>
                <w:color w:val="4C4747"/>
                <w:lang w:val="es-419"/>
              </w:rPr>
            </w:pPr>
            <w:r w:rsidRPr="00C11A13">
              <w:rPr>
                <w:rFonts w:eastAsia="Calibri"/>
                <w:noProof/>
                <w:color w:val="4C4747"/>
                <w:lang w:val="es-419"/>
              </w:rPr>
              <w:t>1</w:t>
            </w:r>
          </w:p>
        </w:tc>
        <w:tc>
          <w:tcPr>
            <w:tcW w:w="0" w:type="auto"/>
            <w:vAlign w:val="center"/>
            <w:hideMark/>
          </w:tcPr>
          <w:p w14:paraId="79F0EE74"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Opinión manual de compras EMIDOM</w:t>
            </w:r>
          </w:p>
        </w:tc>
      </w:tr>
      <w:tr w:rsidR="00C11A13" w:rsidRPr="00C11A13" w14:paraId="19470A67" w14:textId="77777777" w:rsidTr="008817E3">
        <w:trPr>
          <w:trHeight w:val="330"/>
        </w:trPr>
        <w:tc>
          <w:tcPr>
            <w:tcW w:w="1613" w:type="dxa"/>
            <w:vAlign w:val="center"/>
            <w:hideMark/>
          </w:tcPr>
          <w:p w14:paraId="25153660"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DJ-2025-87</w:t>
            </w:r>
          </w:p>
        </w:tc>
        <w:tc>
          <w:tcPr>
            <w:tcW w:w="1173" w:type="dxa"/>
            <w:vAlign w:val="center"/>
            <w:hideMark/>
          </w:tcPr>
          <w:p w14:paraId="39D3B7E0" w14:textId="77777777" w:rsidR="00C11A13" w:rsidRPr="00C11A13" w:rsidRDefault="00C11A13" w:rsidP="008C4675">
            <w:pPr>
              <w:tabs>
                <w:tab w:val="left" w:pos="1260"/>
              </w:tabs>
              <w:spacing w:line="360" w:lineRule="auto"/>
              <w:jc w:val="center"/>
              <w:rPr>
                <w:rFonts w:eastAsia="Calibri"/>
                <w:noProof/>
                <w:color w:val="4C4747"/>
                <w:lang w:val="es-419"/>
              </w:rPr>
            </w:pPr>
            <w:r w:rsidRPr="00C11A13">
              <w:rPr>
                <w:rFonts w:eastAsia="Calibri"/>
                <w:noProof/>
                <w:color w:val="4C4747"/>
                <w:lang w:val="es-419"/>
              </w:rPr>
              <w:t>1</w:t>
            </w:r>
          </w:p>
        </w:tc>
        <w:tc>
          <w:tcPr>
            <w:tcW w:w="0" w:type="auto"/>
            <w:vAlign w:val="center"/>
            <w:hideMark/>
          </w:tcPr>
          <w:p w14:paraId="0A41CC4B"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Convenio MINERD–OMSA</w:t>
            </w:r>
          </w:p>
        </w:tc>
      </w:tr>
      <w:tr w:rsidR="00C11A13" w:rsidRPr="00C11A13" w14:paraId="579A0C4B" w14:textId="77777777" w:rsidTr="008817E3">
        <w:trPr>
          <w:trHeight w:val="330"/>
        </w:trPr>
        <w:tc>
          <w:tcPr>
            <w:tcW w:w="1613" w:type="dxa"/>
            <w:vAlign w:val="center"/>
            <w:hideMark/>
          </w:tcPr>
          <w:p w14:paraId="5566CAE3"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DJ-2025-181</w:t>
            </w:r>
          </w:p>
        </w:tc>
        <w:tc>
          <w:tcPr>
            <w:tcW w:w="1173" w:type="dxa"/>
            <w:vAlign w:val="center"/>
            <w:hideMark/>
          </w:tcPr>
          <w:p w14:paraId="63824C84" w14:textId="77777777" w:rsidR="00C11A13" w:rsidRPr="00C11A13" w:rsidRDefault="00C11A13" w:rsidP="008C4675">
            <w:pPr>
              <w:tabs>
                <w:tab w:val="left" w:pos="1260"/>
              </w:tabs>
              <w:spacing w:line="360" w:lineRule="auto"/>
              <w:jc w:val="center"/>
              <w:rPr>
                <w:rFonts w:eastAsia="Calibri"/>
                <w:noProof/>
                <w:color w:val="4C4747"/>
                <w:lang w:val="es-419"/>
              </w:rPr>
            </w:pPr>
            <w:r w:rsidRPr="00C11A13">
              <w:rPr>
                <w:rFonts w:eastAsia="Calibri"/>
                <w:noProof/>
                <w:color w:val="4C4747"/>
                <w:lang w:val="es-419"/>
              </w:rPr>
              <w:t>1</w:t>
            </w:r>
          </w:p>
        </w:tc>
        <w:tc>
          <w:tcPr>
            <w:tcW w:w="0" w:type="auto"/>
            <w:vAlign w:val="center"/>
            <w:hideMark/>
          </w:tcPr>
          <w:p w14:paraId="18BE4CEE"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Adenda MEPyD–Ayuntamiento Oviedo</w:t>
            </w:r>
          </w:p>
        </w:tc>
      </w:tr>
      <w:tr w:rsidR="00C11A13" w:rsidRPr="007B6BCF" w14:paraId="2687091E" w14:textId="77777777" w:rsidTr="008817E3">
        <w:trPr>
          <w:trHeight w:val="330"/>
        </w:trPr>
        <w:tc>
          <w:tcPr>
            <w:tcW w:w="1613" w:type="dxa"/>
            <w:vAlign w:val="center"/>
            <w:hideMark/>
          </w:tcPr>
          <w:p w14:paraId="4BD67E2D"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DJ-2025-209</w:t>
            </w:r>
          </w:p>
        </w:tc>
        <w:tc>
          <w:tcPr>
            <w:tcW w:w="1173" w:type="dxa"/>
            <w:vAlign w:val="center"/>
            <w:hideMark/>
          </w:tcPr>
          <w:p w14:paraId="7EB35185" w14:textId="77777777" w:rsidR="00C11A13" w:rsidRPr="00C11A13" w:rsidRDefault="00C11A13" w:rsidP="008C4675">
            <w:pPr>
              <w:tabs>
                <w:tab w:val="left" w:pos="1260"/>
              </w:tabs>
              <w:spacing w:line="360" w:lineRule="auto"/>
              <w:jc w:val="center"/>
              <w:rPr>
                <w:rFonts w:eastAsia="Calibri"/>
                <w:noProof/>
                <w:color w:val="4C4747"/>
                <w:lang w:val="es-419"/>
              </w:rPr>
            </w:pPr>
            <w:r w:rsidRPr="00C11A13">
              <w:rPr>
                <w:rFonts w:eastAsia="Calibri"/>
                <w:noProof/>
                <w:color w:val="4C4747"/>
                <w:lang w:val="es-419"/>
              </w:rPr>
              <w:t>1</w:t>
            </w:r>
          </w:p>
        </w:tc>
        <w:tc>
          <w:tcPr>
            <w:tcW w:w="0" w:type="auto"/>
            <w:vAlign w:val="center"/>
            <w:hideMark/>
          </w:tcPr>
          <w:p w14:paraId="404B5EF7"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Acuerdos de cogestión MINPRE–INAP–UNPHU</w:t>
            </w:r>
          </w:p>
        </w:tc>
      </w:tr>
      <w:tr w:rsidR="00C11A13" w:rsidRPr="00C11A13" w14:paraId="3CBC3833" w14:textId="77777777" w:rsidTr="008817E3">
        <w:trPr>
          <w:trHeight w:val="388"/>
        </w:trPr>
        <w:tc>
          <w:tcPr>
            <w:tcW w:w="1613" w:type="dxa"/>
            <w:vAlign w:val="center"/>
            <w:hideMark/>
          </w:tcPr>
          <w:p w14:paraId="25758025" w14:textId="77777777" w:rsidR="00C11A13" w:rsidRPr="00C11A13" w:rsidRDefault="00C11A13" w:rsidP="008C4675">
            <w:pPr>
              <w:tabs>
                <w:tab w:val="left" w:pos="1260"/>
              </w:tabs>
              <w:spacing w:line="360" w:lineRule="auto"/>
              <w:rPr>
                <w:rFonts w:eastAsia="Calibri"/>
                <w:noProof/>
                <w:color w:val="4C4747"/>
                <w:lang w:val="es-419"/>
              </w:rPr>
            </w:pPr>
            <w:r w:rsidRPr="00C11A13">
              <w:rPr>
                <w:rFonts w:eastAsia="Calibri"/>
                <w:noProof/>
                <w:color w:val="4C4747"/>
                <w:lang w:val="es-419"/>
              </w:rPr>
              <w:t>TOTAL</w:t>
            </w:r>
          </w:p>
        </w:tc>
        <w:tc>
          <w:tcPr>
            <w:tcW w:w="1173" w:type="dxa"/>
            <w:vAlign w:val="center"/>
            <w:hideMark/>
          </w:tcPr>
          <w:p w14:paraId="27C1C06B" w14:textId="77777777" w:rsidR="00C11A13" w:rsidRPr="00C11A13" w:rsidRDefault="00C11A13" w:rsidP="008817E3">
            <w:pPr>
              <w:tabs>
                <w:tab w:val="left" w:pos="1260"/>
              </w:tabs>
              <w:spacing w:line="360" w:lineRule="auto"/>
              <w:jc w:val="center"/>
              <w:rPr>
                <w:rFonts w:eastAsia="Calibri"/>
                <w:noProof/>
                <w:color w:val="4C4747"/>
                <w:lang w:val="es-419"/>
              </w:rPr>
            </w:pPr>
            <w:r w:rsidRPr="00C11A13">
              <w:rPr>
                <w:rFonts w:eastAsia="Calibri"/>
                <w:noProof/>
                <w:color w:val="4C4747"/>
                <w:lang w:val="es-419"/>
              </w:rPr>
              <w:t>5</w:t>
            </w:r>
          </w:p>
        </w:tc>
        <w:tc>
          <w:tcPr>
            <w:tcW w:w="0" w:type="auto"/>
            <w:vAlign w:val="center"/>
            <w:hideMark/>
          </w:tcPr>
          <w:p w14:paraId="4EFF8C75" w14:textId="77777777" w:rsidR="00C11A13" w:rsidRPr="00C11A13" w:rsidRDefault="00C11A13" w:rsidP="00886F32">
            <w:pPr>
              <w:tabs>
                <w:tab w:val="left" w:pos="1260"/>
              </w:tabs>
              <w:spacing w:line="360" w:lineRule="auto"/>
              <w:ind w:left="720"/>
              <w:rPr>
                <w:rFonts w:eastAsia="Calibri"/>
                <w:noProof/>
                <w:color w:val="4C4747"/>
                <w:lang w:val="es-419"/>
              </w:rPr>
            </w:pPr>
          </w:p>
        </w:tc>
      </w:tr>
    </w:tbl>
    <w:p w14:paraId="0F59B739" w14:textId="6CB905F2" w:rsidR="002E0CEC" w:rsidRPr="00E327FC" w:rsidRDefault="002E0CEC" w:rsidP="00886F32">
      <w:pPr>
        <w:tabs>
          <w:tab w:val="left" w:pos="1260"/>
        </w:tabs>
        <w:spacing w:after="0" w:line="360" w:lineRule="auto"/>
        <w:ind w:left="720"/>
        <w:rPr>
          <w:rFonts w:eastAsia="Calibri"/>
          <w:i/>
          <w:iCs/>
          <w:noProof/>
          <w:color w:val="4C4747"/>
          <w:lang w:val="es-DO"/>
        </w:rPr>
      </w:pPr>
      <w:r w:rsidRPr="00E327FC">
        <w:rPr>
          <w:rFonts w:eastAsia="Calibri"/>
          <w:i/>
          <w:iCs/>
          <w:noProof/>
          <w:color w:val="4C4747"/>
          <w:lang w:val="es-DO"/>
        </w:rPr>
        <w:t xml:space="preserve">Tabla </w:t>
      </w:r>
      <w:r>
        <w:rPr>
          <w:rFonts w:eastAsia="Calibri"/>
          <w:i/>
          <w:iCs/>
          <w:noProof/>
          <w:color w:val="4C4747"/>
          <w:lang w:val="es-DO"/>
        </w:rPr>
        <w:t>11</w:t>
      </w:r>
      <w:r w:rsidRPr="00E327FC">
        <w:rPr>
          <w:rFonts w:eastAsia="Calibri"/>
          <w:i/>
          <w:iCs/>
          <w:noProof/>
          <w:color w:val="4C4747"/>
          <w:lang w:val="es-DO"/>
        </w:rPr>
        <w:t xml:space="preserve">. Resumen </w:t>
      </w:r>
      <w:r>
        <w:rPr>
          <w:rFonts w:eastAsia="Calibri"/>
          <w:i/>
          <w:iCs/>
          <w:noProof/>
          <w:color w:val="4C4747"/>
          <w:lang w:val="es-DO"/>
        </w:rPr>
        <w:t>oficios emitidos</w:t>
      </w:r>
    </w:p>
    <w:p w14:paraId="1BC4D23F"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0AA582B2" w14:textId="7B08256D" w:rsidR="00C11A13" w:rsidRPr="00C11A13" w:rsidRDefault="00C11A13" w:rsidP="00886F32">
      <w:pPr>
        <w:tabs>
          <w:tab w:val="left" w:pos="1260"/>
        </w:tabs>
        <w:spacing w:after="0" w:line="360" w:lineRule="auto"/>
        <w:ind w:left="720"/>
        <w:rPr>
          <w:rFonts w:eastAsia="Calibri"/>
          <w:b/>
          <w:noProof/>
          <w:color w:val="4C4747"/>
          <w:lang w:val="es-419"/>
        </w:rPr>
      </w:pPr>
      <w:r w:rsidRPr="00C11A13">
        <w:rPr>
          <w:rFonts w:eastAsia="Calibri"/>
          <w:noProof/>
          <w:color w:val="4C4747"/>
          <w:lang w:val="es-419"/>
        </w:rPr>
        <w:br w:type="page"/>
      </w:r>
      <w:bookmarkStart w:id="111" w:name="_Toc215586145"/>
      <w:r w:rsidRPr="00C11A13">
        <w:rPr>
          <w:rFonts w:eastAsia="Calibri"/>
          <w:b/>
          <w:noProof/>
          <w:color w:val="4C4747"/>
          <w:lang w:val="es-419"/>
        </w:rPr>
        <w:lastRenderedPageBreak/>
        <w:t>Departamento de Control Normativo de Gabinetes y Fideicomisos</w:t>
      </w:r>
      <w:bookmarkEnd w:id="111"/>
    </w:p>
    <w:p w14:paraId="5C78DE25" w14:textId="50A3B1E0"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 xml:space="preserve">Durante el año 2025, el Departamento de Control Normativo de Gabinetes y Fideicomisos cumplió su rol de revisión y elaboración documental vinculados a los viceministerios, fideicomisos públicos y proyectos interinstitucionales coordinados por el Ministerio de la Presidencia, enfocándose en cinco líneas principales: </w:t>
      </w:r>
      <w:r w:rsidRPr="00DE7B74">
        <w:rPr>
          <w:rFonts w:eastAsia="Calibri"/>
          <w:noProof/>
          <w:color w:val="4C4747"/>
          <w:lang w:val="es-419"/>
        </w:rPr>
        <w:t>opiniones jurídicas, investigaciones jurídicas, revisión de documentos y elaboración de actas vinculados a fideicomisos.</w:t>
      </w:r>
    </w:p>
    <w:p w14:paraId="32EBAE06" w14:textId="77777777" w:rsidR="008817E3" w:rsidRPr="00DE7B74" w:rsidRDefault="008817E3" w:rsidP="00886F32">
      <w:pPr>
        <w:tabs>
          <w:tab w:val="left" w:pos="1260"/>
        </w:tabs>
        <w:spacing w:after="0" w:line="360" w:lineRule="auto"/>
        <w:ind w:left="720"/>
        <w:jc w:val="both"/>
        <w:rPr>
          <w:rFonts w:eastAsia="Calibri"/>
          <w:noProof/>
          <w:color w:val="4C4747"/>
          <w:lang w:val="es-419"/>
        </w:rPr>
      </w:pPr>
    </w:p>
    <w:p w14:paraId="23EF122D"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12" w:name="_Toc215586146"/>
      <w:r w:rsidRPr="00C11A13">
        <w:rPr>
          <w:rFonts w:eastAsia="Calibri"/>
          <w:b/>
          <w:noProof/>
          <w:color w:val="4C4747"/>
          <w:lang w:val="es-419"/>
        </w:rPr>
        <w:t>Opiniones Jurídicas Emitidas</w:t>
      </w:r>
      <w:bookmarkEnd w:id="112"/>
    </w:p>
    <w:p w14:paraId="25990EEF" w14:textId="77777777"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 xml:space="preserve">El Departamento elaboró treinta y dos (32) opiniones jurídicas relacionadas a diferentes anteproyectos, leyes y decretos vinculados a fideicomiso en materias de fusión, supervisión y transformación, de Instituciones, así como temas concernientes a las Fuerzas Armadas, la Policía Nacional, y la Ciberseguridad.  </w:t>
      </w:r>
    </w:p>
    <w:p w14:paraId="7BDE9E58" w14:textId="77777777" w:rsidR="00C11A13" w:rsidRPr="00C11A13" w:rsidRDefault="00C11A13" w:rsidP="00886F32">
      <w:pPr>
        <w:pStyle w:val="ListParagraph"/>
        <w:numPr>
          <w:ilvl w:val="0"/>
          <w:numId w:val="34"/>
        </w:numPr>
        <w:tabs>
          <w:tab w:val="left" w:pos="1260"/>
        </w:tabs>
        <w:spacing w:after="0" w:line="360" w:lineRule="auto"/>
        <w:jc w:val="both"/>
        <w:rPr>
          <w:rFonts w:eastAsia="Calibri"/>
          <w:noProof/>
          <w:color w:val="4C4747"/>
          <w:lang w:val="es-419"/>
        </w:rPr>
      </w:pPr>
      <w:r w:rsidRPr="00C11A13">
        <w:rPr>
          <w:rFonts w:eastAsia="Calibri"/>
          <w:noProof/>
          <w:color w:val="4C4747"/>
          <w:lang w:val="es-419"/>
        </w:rPr>
        <w:t xml:space="preserve">Leyes y decretos </w:t>
      </w:r>
      <w:r w:rsidRPr="00C11A13">
        <w:rPr>
          <w:rFonts w:eastAsia="Calibri"/>
          <w:noProof/>
          <w:color w:val="4C4747"/>
          <w:lang w:val="es-419"/>
        </w:rPr>
        <w:tab/>
        <w:t>12</w:t>
      </w:r>
    </w:p>
    <w:p w14:paraId="266D86AA" w14:textId="012A6147" w:rsidR="00C11A13" w:rsidRPr="00C11A13" w:rsidRDefault="00C11A13" w:rsidP="00886F32">
      <w:pPr>
        <w:pStyle w:val="ListParagraph"/>
        <w:numPr>
          <w:ilvl w:val="0"/>
          <w:numId w:val="34"/>
        </w:numPr>
        <w:tabs>
          <w:tab w:val="left" w:pos="1260"/>
        </w:tabs>
        <w:spacing w:after="0" w:line="360" w:lineRule="auto"/>
        <w:jc w:val="both"/>
        <w:rPr>
          <w:rFonts w:eastAsia="Calibri"/>
          <w:noProof/>
          <w:color w:val="4C4747"/>
          <w:lang w:val="es-419"/>
        </w:rPr>
      </w:pPr>
      <w:r w:rsidRPr="00C11A13">
        <w:rPr>
          <w:rFonts w:eastAsia="Calibri"/>
          <w:noProof/>
          <w:color w:val="4C4747"/>
          <w:lang w:val="es-419"/>
        </w:rPr>
        <w:t xml:space="preserve">Fideicomiso </w:t>
      </w:r>
      <w:r w:rsidRPr="00C11A13">
        <w:rPr>
          <w:rFonts w:eastAsia="Calibri"/>
          <w:noProof/>
          <w:color w:val="4C4747"/>
          <w:lang w:val="es-419"/>
        </w:rPr>
        <w:tab/>
        <w:t>8</w:t>
      </w:r>
    </w:p>
    <w:p w14:paraId="52D3E26D" w14:textId="77777777" w:rsidR="00C11A13" w:rsidRPr="00C11A13" w:rsidRDefault="00C11A13" w:rsidP="00886F32">
      <w:pPr>
        <w:pStyle w:val="ListParagraph"/>
        <w:numPr>
          <w:ilvl w:val="0"/>
          <w:numId w:val="34"/>
        </w:numPr>
        <w:tabs>
          <w:tab w:val="left" w:pos="1260"/>
        </w:tabs>
        <w:spacing w:after="0" w:line="360" w:lineRule="auto"/>
        <w:jc w:val="both"/>
        <w:rPr>
          <w:rFonts w:eastAsia="Calibri"/>
          <w:noProof/>
          <w:color w:val="4C4747"/>
          <w:lang w:val="es-419"/>
        </w:rPr>
      </w:pPr>
      <w:r w:rsidRPr="00C11A13">
        <w:rPr>
          <w:rFonts w:eastAsia="Calibri"/>
          <w:noProof/>
          <w:color w:val="4C4747"/>
          <w:lang w:val="es-419"/>
        </w:rPr>
        <w:t xml:space="preserve">Ciberseguridad </w:t>
      </w:r>
      <w:r w:rsidRPr="00C11A13">
        <w:rPr>
          <w:rFonts w:eastAsia="Calibri"/>
          <w:noProof/>
          <w:color w:val="4C4747"/>
          <w:lang w:val="es-419"/>
        </w:rPr>
        <w:tab/>
        <w:t>2</w:t>
      </w:r>
    </w:p>
    <w:p w14:paraId="453027EC" w14:textId="420E673E" w:rsidR="00DB080B" w:rsidRDefault="00C11A13" w:rsidP="00886F32">
      <w:pPr>
        <w:pStyle w:val="ListParagraph"/>
        <w:numPr>
          <w:ilvl w:val="0"/>
          <w:numId w:val="34"/>
        </w:numPr>
        <w:tabs>
          <w:tab w:val="left" w:pos="1260"/>
        </w:tabs>
        <w:spacing w:after="0" w:line="360" w:lineRule="auto"/>
        <w:jc w:val="both"/>
        <w:rPr>
          <w:rFonts w:eastAsia="Calibri"/>
          <w:noProof/>
          <w:color w:val="4C4747"/>
          <w:lang w:val="es-419"/>
        </w:rPr>
      </w:pPr>
      <w:r w:rsidRPr="00C11A13">
        <w:rPr>
          <w:rFonts w:eastAsia="Calibri"/>
          <w:noProof/>
          <w:color w:val="4C4747"/>
          <w:lang w:val="es-419"/>
        </w:rPr>
        <w:t xml:space="preserve">Diferentes temas </w:t>
      </w:r>
      <w:r w:rsidRPr="00C11A13">
        <w:rPr>
          <w:rFonts w:eastAsia="Calibri"/>
          <w:noProof/>
          <w:color w:val="4C4747"/>
          <w:lang w:val="es-419"/>
        </w:rPr>
        <w:tab/>
        <w:t>10</w:t>
      </w:r>
    </w:p>
    <w:p w14:paraId="7830B8CF" w14:textId="3D9B9D60" w:rsidR="00DB080B" w:rsidRDefault="008817E3" w:rsidP="00886F32">
      <w:pPr>
        <w:tabs>
          <w:tab w:val="left" w:pos="1260"/>
        </w:tabs>
        <w:spacing w:after="0" w:line="360" w:lineRule="auto"/>
        <w:ind w:left="720"/>
        <w:jc w:val="both"/>
        <w:rPr>
          <w:rFonts w:eastAsia="Calibri"/>
          <w:noProof/>
          <w:color w:val="4C4747"/>
          <w:lang w:val="es-419"/>
        </w:rPr>
      </w:pPr>
      <w:r w:rsidRPr="00C11A13">
        <w:rPr>
          <w:noProof/>
        </w:rPr>
        <w:drawing>
          <wp:anchor distT="0" distB="0" distL="114300" distR="114300" simplePos="0" relativeHeight="251591680" behindDoc="0" locked="0" layoutInCell="1" allowOverlap="1" wp14:anchorId="56C4ECBE" wp14:editId="52FFA405">
            <wp:simplePos x="0" y="0"/>
            <wp:positionH relativeFrom="margin">
              <wp:align>center</wp:align>
            </wp:positionH>
            <wp:positionV relativeFrom="paragraph">
              <wp:posOffset>101600</wp:posOffset>
            </wp:positionV>
            <wp:extent cx="4259580" cy="1958340"/>
            <wp:effectExtent l="0" t="0" r="7620" b="3810"/>
            <wp:wrapNone/>
            <wp:docPr id="183680193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202A332A" w14:textId="77777777" w:rsidR="00DB080B" w:rsidRPr="00DB080B" w:rsidRDefault="00DB080B" w:rsidP="00886F32">
      <w:pPr>
        <w:spacing w:after="0" w:line="360" w:lineRule="auto"/>
        <w:ind w:left="720"/>
        <w:rPr>
          <w:rFonts w:eastAsia="Calibri"/>
          <w:lang w:val="es-419"/>
        </w:rPr>
      </w:pPr>
    </w:p>
    <w:p w14:paraId="3CF04ACA" w14:textId="77777777" w:rsidR="00DB080B" w:rsidRPr="00DB080B" w:rsidRDefault="00DB080B" w:rsidP="00886F32">
      <w:pPr>
        <w:spacing w:after="0" w:line="360" w:lineRule="auto"/>
        <w:ind w:left="720"/>
        <w:rPr>
          <w:rFonts w:eastAsia="Calibri"/>
          <w:lang w:val="es-419"/>
        </w:rPr>
      </w:pPr>
    </w:p>
    <w:p w14:paraId="54D9A28F" w14:textId="77777777" w:rsidR="00DB080B" w:rsidRPr="00DB080B" w:rsidRDefault="00DB080B" w:rsidP="00886F32">
      <w:pPr>
        <w:spacing w:after="0" w:line="360" w:lineRule="auto"/>
        <w:ind w:left="720"/>
        <w:rPr>
          <w:rFonts w:eastAsia="Calibri"/>
          <w:lang w:val="es-419"/>
        </w:rPr>
      </w:pPr>
    </w:p>
    <w:p w14:paraId="3A2C8B51" w14:textId="77777777" w:rsidR="00DB080B" w:rsidRPr="00DB080B" w:rsidRDefault="00DB080B" w:rsidP="00886F32">
      <w:pPr>
        <w:spacing w:after="0" w:line="360" w:lineRule="auto"/>
        <w:ind w:left="720"/>
        <w:rPr>
          <w:rFonts w:eastAsia="Calibri"/>
          <w:lang w:val="es-419"/>
        </w:rPr>
      </w:pPr>
    </w:p>
    <w:p w14:paraId="6E2E646A" w14:textId="77777777" w:rsidR="00DB080B" w:rsidRPr="00DB080B" w:rsidRDefault="00DB080B" w:rsidP="00886F32">
      <w:pPr>
        <w:spacing w:after="0" w:line="360" w:lineRule="auto"/>
        <w:ind w:left="720"/>
        <w:rPr>
          <w:rFonts w:eastAsia="Calibri"/>
          <w:lang w:val="es-419"/>
        </w:rPr>
      </w:pPr>
    </w:p>
    <w:p w14:paraId="1AD1E8B2" w14:textId="77777777" w:rsidR="00DB080B" w:rsidRDefault="00DB080B" w:rsidP="00886F32">
      <w:pPr>
        <w:tabs>
          <w:tab w:val="left" w:pos="1260"/>
        </w:tabs>
        <w:spacing w:after="0" w:line="360" w:lineRule="auto"/>
        <w:ind w:left="720"/>
        <w:jc w:val="both"/>
        <w:rPr>
          <w:rFonts w:eastAsia="Calibri"/>
          <w:noProof/>
          <w:color w:val="4C4747"/>
          <w:lang w:val="es-419"/>
        </w:rPr>
      </w:pPr>
    </w:p>
    <w:p w14:paraId="6E6923E0" w14:textId="280A0AB5" w:rsidR="00DB080B" w:rsidRPr="00DB080B" w:rsidRDefault="00DB080B" w:rsidP="00886F32">
      <w:pPr>
        <w:tabs>
          <w:tab w:val="left" w:pos="1260"/>
          <w:tab w:val="left" w:pos="1890"/>
        </w:tabs>
        <w:spacing w:after="0" w:line="360" w:lineRule="auto"/>
        <w:ind w:left="720"/>
        <w:rPr>
          <w:rFonts w:eastAsia="Calibri"/>
          <w:i/>
          <w:iCs/>
          <w:noProof/>
          <w:color w:val="4C4747"/>
          <w:lang w:val="es-419"/>
        </w:rPr>
      </w:pPr>
      <w:r w:rsidRPr="00DB080B">
        <w:rPr>
          <w:rFonts w:eastAsia="Calibri"/>
          <w:i/>
          <w:iCs/>
          <w:noProof/>
          <w:color w:val="4C4747"/>
          <w:lang w:val="es-419"/>
        </w:rPr>
        <w:tab/>
        <w:t>Gráfico 4. Resumen opiniones emitidas</w:t>
      </w:r>
    </w:p>
    <w:p w14:paraId="36A9773D" w14:textId="73C1D72F" w:rsidR="00C11A13" w:rsidRPr="00DB080B" w:rsidRDefault="00C11A13" w:rsidP="00886F32">
      <w:pPr>
        <w:tabs>
          <w:tab w:val="left" w:pos="1260"/>
        </w:tabs>
        <w:spacing w:after="0" w:line="360" w:lineRule="auto"/>
        <w:ind w:left="720"/>
        <w:jc w:val="both"/>
        <w:rPr>
          <w:rFonts w:eastAsia="Calibri"/>
          <w:noProof/>
          <w:color w:val="4C4747"/>
          <w:lang w:val="es-419"/>
        </w:rPr>
      </w:pPr>
      <w:r w:rsidRPr="00DB080B">
        <w:rPr>
          <w:rFonts w:eastAsia="Calibri"/>
          <w:lang w:val="es-419"/>
        </w:rPr>
        <w:br w:type="page"/>
      </w:r>
      <w:bookmarkStart w:id="113" w:name="_Toc215586147"/>
      <w:r w:rsidRPr="00DB080B">
        <w:rPr>
          <w:rFonts w:eastAsia="Calibri"/>
          <w:b/>
          <w:noProof/>
          <w:color w:val="4C4747"/>
          <w:lang w:val="es-419"/>
        </w:rPr>
        <w:lastRenderedPageBreak/>
        <w:t>Investigaciones Jurídicas</w:t>
      </w:r>
      <w:bookmarkEnd w:id="113"/>
    </w:p>
    <w:p w14:paraId="059F1293" w14:textId="34442D0F"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 xml:space="preserve">Se realizaron </w:t>
      </w:r>
      <w:r w:rsidRPr="005C2E2A">
        <w:rPr>
          <w:rFonts w:eastAsia="Calibri"/>
          <w:noProof/>
          <w:color w:val="4C4747"/>
          <w:lang w:val="es-419"/>
        </w:rPr>
        <w:t>catorce (14) investigaciones y análisis jurídicos, relacionados a varias instituciones, como la Operadora Metropolitana</w:t>
      </w:r>
      <w:r w:rsidRPr="00C11A13">
        <w:rPr>
          <w:rFonts w:eastAsia="Calibri"/>
          <w:noProof/>
          <w:color w:val="4C4747"/>
          <w:lang w:val="es-419"/>
        </w:rPr>
        <w:t xml:space="preserve"> de Servicios de Autobuses (OMSA), Oficina para el Reordenamiento del Transporte (OPRET), Dirección General de Presupuesto (DIGEPRES) entre otras, de la cuales incluye el comentario sobre la no objeción del Estado en relación a la entidad propuesta para financiar el Sistema Nacional Ferroviario denominada EIG Global Trust y la investigación registral correspondiente al caso ´´inmueble del Club de Comercio en Puerto Plata´´.</w:t>
      </w:r>
    </w:p>
    <w:p w14:paraId="368158BD" w14:textId="77777777" w:rsidR="008817E3" w:rsidRPr="00C11A13" w:rsidRDefault="008817E3" w:rsidP="00886F32">
      <w:pPr>
        <w:tabs>
          <w:tab w:val="left" w:pos="1260"/>
        </w:tabs>
        <w:spacing w:after="0" w:line="360" w:lineRule="auto"/>
        <w:ind w:left="720"/>
        <w:jc w:val="both"/>
        <w:rPr>
          <w:rFonts w:eastAsia="Calibri"/>
          <w:noProof/>
          <w:color w:val="4C4747"/>
          <w:lang w:val="es-419"/>
        </w:rPr>
      </w:pPr>
    </w:p>
    <w:p w14:paraId="42983FEF"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14" w:name="_Toc215586148"/>
      <w:r w:rsidRPr="00C11A13">
        <w:rPr>
          <w:rFonts w:eastAsia="Calibri"/>
          <w:b/>
          <w:noProof/>
          <w:color w:val="4C4747"/>
          <w:lang w:val="es-419"/>
        </w:rPr>
        <w:t>Revisión de Documentos</w:t>
      </w:r>
      <w:bookmarkEnd w:id="114"/>
    </w:p>
    <w:p w14:paraId="65D985F2" w14:textId="77777777"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revisó catorce (</w:t>
      </w:r>
      <w:r w:rsidRPr="00C11A13">
        <w:rPr>
          <w:rFonts w:eastAsia="Calibri"/>
          <w:b/>
          <w:bCs/>
          <w:noProof/>
          <w:color w:val="4C4747"/>
          <w:lang w:val="es-419"/>
        </w:rPr>
        <w:t>14) documentos jurídicos</w:t>
      </w:r>
      <w:r w:rsidRPr="00C11A13">
        <w:rPr>
          <w:rFonts w:eastAsia="Calibri"/>
          <w:noProof/>
          <w:color w:val="4C4747"/>
          <w:lang w:val="es-419"/>
        </w:rPr>
        <w:t>, entre ellos, convenios de cooperación, acuerdos marco, resoluciones y documentos técnicos.</w:t>
      </w:r>
    </w:p>
    <w:p w14:paraId="64F471C0" w14:textId="77777777" w:rsidR="00C11A13" w:rsidRPr="00C11A13" w:rsidRDefault="00C11A13" w:rsidP="00886F32">
      <w:pPr>
        <w:pStyle w:val="ListParagraph"/>
        <w:numPr>
          <w:ilvl w:val="0"/>
          <w:numId w:val="33"/>
        </w:numPr>
        <w:tabs>
          <w:tab w:val="left" w:pos="1260"/>
        </w:tabs>
        <w:spacing w:after="0" w:line="360" w:lineRule="auto"/>
        <w:jc w:val="both"/>
        <w:rPr>
          <w:rFonts w:eastAsia="Calibri"/>
          <w:noProof/>
          <w:color w:val="4C4747"/>
          <w:lang w:val="es-419"/>
        </w:rPr>
      </w:pPr>
      <w:r w:rsidRPr="00C11A13">
        <w:rPr>
          <w:rFonts w:eastAsia="Calibri"/>
          <w:noProof/>
          <w:color w:val="4C4747"/>
          <w:lang w:val="es-419"/>
        </w:rPr>
        <w:t xml:space="preserve">Acuerdos </w:t>
      </w:r>
      <w:r w:rsidRPr="00C11A13">
        <w:rPr>
          <w:rFonts w:eastAsia="Calibri"/>
          <w:noProof/>
          <w:color w:val="4C4747"/>
          <w:lang w:val="es-419"/>
        </w:rPr>
        <w:tab/>
      </w:r>
      <w:r w:rsidRPr="00C11A13">
        <w:rPr>
          <w:rFonts w:eastAsia="Calibri"/>
          <w:noProof/>
          <w:color w:val="4C4747"/>
          <w:lang w:val="es-419"/>
        </w:rPr>
        <w:tab/>
        <w:t>4</w:t>
      </w:r>
    </w:p>
    <w:p w14:paraId="10BCAE9E" w14:textId="77777777" w:rsidR="00C11A13" w:rsidRPr="00C11A13" w:rsidRDefault="00C11A13" w:rsidP="00886F32">
      <w:pPr>
        <w:pStyle w:val="ListParagraph"/>
        <w:numPr>
          <w:ilvl w:val="0"/>
          <w:numId w:val="33"/>
        </w:numPr>
        <w:tabs>
          <w:tab w:val="left" w:pos="1260"/>
        </w:tabs>
        <w:spacing w:after="0" w:line="360" w:lineRule="auto"/>
        <w:jc w:val="both"/>
        <w:rPr>
          <w:rFonts w:eastAsia="Calibri"/>
          <w:noProof/>
          <w:color w:val="4C4747"/>
          <w:lang w:val="es-419"/>
        </w:rPr>
      </w:pPr>
      <w:r w:rsidRPr="00C11A13">
        <w:rPr>
          <w:rFonts w:eastAsia="Calibri"/>
          <w:noProof/>
          <w:color w:val="4C4747"/>
          <w:lang w:val="es-419"/>
        </w:rPr>
        <w:t>Convenios</w:t>
      </w:r>
      <w:r w:rsidRPr="00C11A13">
        <w:rPr>
          <w:rFonts w:eastAsia="Calibri"/>
          <w:noProof/>
          <w:color w:val="4C4747"/>
          <w:lang w:val="es-419"/>
        </w:rPr>
        <w:tab/>
      </w:r>
      <w:r w:rsidRPr="00C11A13">
        <w:rPr>
          <w:rFonts w:eastAsia="Calibri"/>
          <w:noProof/>
          <w:color w:val="4C4747"/>
          <w:lang w:val="es-419"/>
        </w:rPr>
        <w:tab/>
        <w:t>5</w:t>
      </w:r>
    </w:p>
    <w:p w14:paraId="31838B09" w14:textId="1B361EA8" w:rsidR="00C11A13" w:rsidRPr="00C11A13" w:rsidRDefault="00C11A13" w:rsidP="00886F32">
      <w:pPr>
        <w:pStyle w:val="ListParagraph"/>
        <w:numPr>
          <w:ilvl w:val="0"/>
          <w:numId w:val="33"/>
        </w:numPr>
        <w:tabs>
          <w:tab w:val="left" w:pos="1260"/>
        </w:tabs>
        <w:spacing w:after="0" w:line="360" w:lineRule="auto"/>
        <w:jc w:val="both"/>
        <w:rPr>
          <w:rFonts w:eastAsia="Calibri"/>
          <w:noProof/>
          <w:color w:val="4C4747"/>
          <w:lang w:val="es-419"/>
        </w:rPr>
      </w:pPr>
      <w:r w:rsidRPr="00C11A13">
        <w:rPr>
          <w:rFonts w:eastAsia="Calibri"/>
          <w:noProof/>
          <w:color w:val="4C4747"/>
          <w:lang w:val="es-419"/>
        </w:rPr>
        <w:t xml:space="preserve">Resoluciones </w:t>
      </w:r>
      <w:r w:rsidRPr="00C11A13">
        <w:rPr>
          <w:rFonts w:eastAsia="Calibri"/>
          <w:noProof/>
          <w:color w:val="4C4747"/>
          <w:lang w:val="es-419"/>
        </w:rPr>
        <w:tab/>
        <w:t>4</w:t>
      </w:r>
    </w:p>
    <w:p w14:paraId="1E79B57C" w14:textId="369E73F1" w:rsidR="00C11A13" w:rsidRPr="00C11A13" w:rsidRDefault="008817E3" w:rsidP="00886F32">
      <w:pPr>
        <w:pStyle w:val="ListParagraph"/>
        <w:numPr>
          <w:ilvl w:val="0"/>
          <w:numId w:val="33"/>
        </w:numPr>
        <w:tabs>
          <w:tab w:val="left" w:pos="1260"/>
        </w:tabs>
        <w:spacing w:after="0" w:line="360" w:lineRule="auto"/>
        <w:jc w:val="both"/>
        <w:rPr>
          <w:rFonts w:eastAsia="Calibri"/>
          <w:noProof/>
          <w:color w:val="4C4747"/>
          <w:lang w:val="es-419"/>
        </w:rPr>
      </w:pPr>
      <w:r w:rsidRPr="00C11A13">
        <w:rPr>
          <w:rFonts w:eastAsia="Calibri"/>
          <w:noProof/>
          <w:color w:val="4C4747"/>
          <w:lang w:val="es-419"/>
        </w:rPr>
        <w:drawing>
          <wp:anchor distT="0" distB="0" distL="114300" distR="114300" simplePos="0" relativeHeight="251581440" behindDoc="0" locked="0" layoutInCell="1" allowOverlap="1" wp14:anchorId="32BFFFC0" wp14:editId="77D2A729">
            <wp:simplePos x="0" y="0"/>
            <wp:positionH relativeFrom="margin">
              <wp:align>right</wp:align>
            </wp:positionH>
            <wp:positionV relativeFrom="paragraph">
              <wp:posOffset>436245</wp:posOffset>
            </wp:positionV>
            <wp:extent cx="4526280" cy="1722120"/>
            <wp:effectExtent l="0" t="0" r="7620" b="11430"/>
            <wp:wrapSquare wrapText="bothSides"/>
            <wp:docPr id="1836801938"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C11A13" w:rsidRPr="00C11A13">
        <w:rPr>
          <w:rFonts w:eastAsia="Calibri"/>
          <w:noProof/>
          <w:color w:val="4C4747"/>
          <w:lang w:val="es-419"/>
        </w:rPr>
        <w:t xml:space="preserve">Nota estratégica </w:t>
      </w:r>
      <w:r w:rsidR="00C11A13" w:rsidRPr="00C11A13">
        <w:rPr>
          <w:rFonts w:eastAsia="Calibri"/>
          <w:noProof/>
          <w:color w:val="4C4747"/>
          <w:lang w:val="es-419"/>
        </w:rPr>
        <w:tab/>
        <w:t>1</w:t>
      </w:r>
    </w:p>
    <w:p w14:paraId="6D24ADF0" w14:textId="2F17AD75" w:rsidR="00C11A13" w:rsidRPr="00F6715A" w:rsidRDefault="00F6715A" w:rsidP="00886F32">
      <w:pPr>
        <w:pStyle w:val="ListParagraph"/>
        <w:tabs>
          <w:tab w:val="left" w:pos="1260"/>
        </w:tabs>
        <w:spacing w:after="0" w:line="360" w:lineRule="auto"/>
        <w:jc w:val="both"/>
        <w:rPr>
          <w:rFonts w:eastAsia="Calibri"/>
          <w:i/>
          <w:iCs/>
          <w:noProof/>
          <w:color w:val="4C4747"/>
          <w:lang w:val="es-419"/>
        </w:rPr>
      </w:pPr>
      <w:r w:rsidRPr="00F6715A">
        <w:rPr>
          <w:rFonts w:eastAsia="Calibri"/>
          <w:i/>
          <w:iCs/>
          <w:noProof/>
          <w:color w:val="4C4747"/>
          <w:lang w:val="es-419"/>
        </w:rPr>
        <w:t>Gráfico 5. Resumen reviones de documentos</w:t>
      </w:r>
    </w:p>
    <w:p w14:paraId="3331AF46" w14:textId="77777777" w:rsidR="00C11A13" w:rsidRPr="00C11A13" w:rsidRDefault="00C11A13" w:rsidP="00886F32">
      <w:pPr>
        <w:tabs>
          <w:tab w:val="left" w:pos="1260"/>
        </w:tabs>
        <w:spacing w:after="0" w:line="360" w:lineRule="auto"/>
        <w:ind w:left="720"/>
        <w:rPr>
          <w:rFonts w:eastAsia="Calibri"/>
          <w:noProof/>
          <w:color w:val="4C4747"/>
          <w:lang w:val="es-419"/>
        </w:rPr>
      </w:pPr>
      <w:r w:rsidRPr="00C11A13">
        <w:rPr>
          <w:rFonts w:eastAsia="Calibri"/>
          <w:noProof/>
          <w:color w:val="4C4747"/>
          <w:lang w:val="es-419"/>
        </w:rPr>
        <w:br w:type="page"/>
      </w:r>
    </w:p>
    <w:p w14:paraId="141DD73D"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15" w:name="_Toc215586149"/>
      <w:r w:rsidRPr="00C11A13">
        <w:rPr>
          <w:rFonts w:eastAsia="Calibri"/>
          <w:b/>
          <w:noProof/>
          <w:color w:val="4C4747"/>
          <w:lang w:val="es-419"/>
        </w:rPr>
        <w:lastRenderedPageBreak/>
        <w:t>Actas Elaboradas Correspondientes a los Fideicomisos</w:t>
      </w:r>
      <w:bookmarkEnd w:id="115"/>
    </w:p>
    <w:p w14:paraId="6FE45DD2" w14:textId="7CDE4BBD"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Se elaboraron veinte (20) actas correspondientes a comités técnicos, administrativos y consejos directivos de diversos fideicomisos públicos, entre ellos:</w:t>
      </w:r>
    </w:p>
    <w:p w14:paraId="770C9AED" w14:textId="77777777" w:rsidR="008817E3" w:rsidRPr="00C11A13" w:rsidRDefault="008817E3" w:rsidP="00886F32">
      <w:pPr>
        <w:tabs>
          <w:tab w:val="left" w:pos="1260"/>
        </w:tabs>
        <w:spacing w:after="0" w:line="360" w:lineRule="auto"/>
        <w:ind w:left="720"/>
        <w:jc w:val="both"/>
        <w:rPr>
          <w:rFonts w:eastAsia="Calibri"/>
          <w:noProof/>
          <w:color w:val="4C4747"/>
          <w:lang w:val="es-419"/>
        </w:rPr>
      </w:pPr>
    </w:p>
    <w:tbl>
      <w:tblPr>
        <w:tblStyle w:val="GridTable1Light-Accent3"/>
        <w:tblW w:w="7494" w:type="dxa"/>
        <w:tblInd w:w="763" w:type="dxa"/>
        <w:tblLook w:val="04A0" w:firstRow="1" w:lastRow="0" w:firstColumn="1" w:lastColumn="0" w:noHBand="0" w:noVBand="1"/>
      </w:tblPr>
      <w:tblGrid>
        <w:gridCol w:w="6157"/>
        <w:gridCol w:w="1337"/>
      </w:tblGrid>
      <w:tr w:rsidR="00C11A13" w:rsidRPr="004A3220" w14:paraId="5F8DE063" w14:textId="77777777" w:rsidTr="008817E3">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209" w:type="dxa"/>
            <w:shd w:val="clear" w:color="auto" w:fill="1F3864" w:themeFill="accent1" w:themeFillShade="80"/>
          </w:tcPr>
          <w:p w14:paraId="26F02372" w14:textId="77777777" w:rsidR="00C11A13" w:rsidRPr="004A3220" w:rsidRDefault="00C11A13" w:rsidP="008817E3">
            <w:pPr>
              <w:tabs>
                <w:tab w:val="left" w:pos="1260"/>
              </w:tabs>
              <w:spacing w:line="360" w:lineRule="auto"/>
              <w:rPr>
                <w:rFonts w:eastAsia="Calibri"/>
                <w:noProof/>
                <w:color w:val="FFFFFF" w:themeColor="background1"/>
                <w:lang w:val="es-419"/>
              </w:rPr>
            </w:pPr>
            <w:r w:rsidRPr="004A3220">
              <w:rPr>
                <w:rFonts w:eastAsia="Calibri"/>
                <w:noProof/>
                <w:color w:val="FFFFFF" w:themeColor="background1"/>
                <w:lang w:val="es-419"/>
              </w:rPr>
              <w:t>Institución</w:t>
            </w:r>
          </w:p>
        </w:tc>
        <w:tc>
          <w:tcPr>
            <w:tcW w:w="1285" w:type="dxa"/>
            <w:shd w:val="clear" w:color="auto" w:fill="1F3864" w:themeFill="accent1" w:themeFillShade="80"/>
          </w:tcPr>
          <w:p w14:paraId="658CA474" w14:textId="77777777" w:rsidR="00C11A13" w:rsidRPr="004A3220" w:rsidRDefault="00C11A13" w:rsidP="008817E3">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4A3220">
              <w:rPr>
                <w:rFonts w:eastAsia="Calibri"/>
                <w:noProof/>
                <w:color w:val="FFFFFF" w:themeColor="background1"/>
                <w:lang w:val="es-419"/>
              </w:rPr>
              <w:t>Cantidad</w:t>
            </w:r>
          </w:p>
        </w:tc>
      </w:tr>
      <w:tr w:rsidR="00C11A13" w:rsidRPr="004A3220" w14:paraId="0097FFEA"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60E62588"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Fondo Nacional de la Vivienda (FONVIVIENDA)</w:t>
            </w:r>
          </w:p>
        </w:tc>
        <w:tc>
          <w:tcPr>
            <w:tcW w:w="1285" w:type="dxa"/>
          </w:tcPr>
          <w:p w14:paraId="783ABE00"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1</w:t>
            </w:r>
          </w:p>
        </w:tc>
      </w:tr>
      <w:tr w:rsidR="00C11A13" w:rsidRPr="004A3220" w14:paraId="04161EF1"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62415580"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 xml:space="preserve">Fideicomiso Pro-Pedernales </w:t>
            </w:r>
            <w:r w:rsidRPr="004A3220">
              <w:rPr>
                <w:rFonts w:eastAsia="Calibri"/>
                <w:b w:val="0"/>
                <w:bCs w:val="0"/>
                <w:noProof/>
                <w:color w:val="4C4747"/>
                <w:lang w:val="es-419"/>
              </w:rPr>
              <w:tab/>
            </w:r>
          </w:p>
        </w:tc>
        <w:tc>
          <w:tcPr>
            <w:tcW w:w="1285" w:type="dxa"/>
          </w:tcPr>
          <w:p w14:paraId="7F79F0C1"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2</w:t>
            </w:r>
          </w:p>
        </w:tc>
      </w:tr>
      <w:tr w:rsidR="00C11A13" w:rsidRPr="004A3220" w14:paraId="2379DC10"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5FADBCB8"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Fideicomiso para el Desarrollo del Sistema de Transporte Masivo de la República Dominicana (FITRAM)</w:t>
            </w:r>
          </w:p>
        </w:tc>
        <w:tc>
          <w:tcPr>
            <w:tcW w:w="1285" w:type="dxa"/>
          </w:tcPr>
          <w:p w14:paraId="272DCF63"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6</w:t>
            </w:r>
          </w:p>
        </w:tc>
      </w:tr>
      <w:tr w:rsidR="00C11A13" w:rsidRPr="004A3220" w14:paraId="2FB56760"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14FC1626"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El Fondo de Desarrollo de Infraestructuras (FDI)</w:t>
            </w:r>
          </w:p>
        </w:tc>
        <w:tc>
          <w:tcPr>
            <w:tcW w:w="1285" w:type="dxa"/>
          </w:tcPr>
          <w:p w14:paraId="25EA7C75"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6</w:t>
            </w:r>
          </w:p>
        </w:tc>
      </w:tr>
      <w:tr w:rsidR="00C11A13" w:rsidRPr="004A3220" w14:paraId="62BC0076"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5D4BA3AB"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Fideicomiso para la transformación y profesionalización de la policía nacional FTPN</w:t>
            </w:r>
          </w:p>
        </w:tc>
        <w:tc>
          <w:tcPr>
            <w:tcW w:w="1285" w:type="dxa"/>
          </w:tcPr>
          <w:p w14:paraId="39D2B023"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1</w:t>
            </w:r>
          </w:p>
        </w:tc>
      </w:tr>
      <w:tr w:rsidR="00C11A13" w:rsidRPr="004A3220" w14:paraId="7B608079"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616A8F39"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Fideicomiso para la Modernización de los Mercados de Abastos de Santo Domingo (FIMERCA-SD)</w:t>
            </w:r>
            <w:r w:rsidRPr="004A3220">
              <w:rPr>
                <w:rFonts w:eastAsia="Calibri"/>
                <w:b w:val="0"/>
                <w:bCs w:val="0"/>
                <w:noProof/>
                <w:color w:val="4C4747"/>
                <w:lang w:val="es-419"/>
              </w:rPr>
              <w:tab/>
            </w:r>
          </w:p>
        </w:tc>
        <w:tc>
          <w:tcPr>
            <w:tcW w:w="1285" w:type="dxa"/>
          </w:tcPr>
          <w:p w14:paraId="50056E2C"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2</w:t>
            </w:r>
          </w:p>
        </w:tc>
      </w:tr>
      <w:tr w:rsidR="00C11A13" w:rsidRPr="004A3220" w14:paraId="442B0D4D" w14:textId="77777777" w:rsidTr="008817E3">
        <w:trPr>
          <w:trHeight w:val="515"/>
        </w:trPr>
        <w:tc>
          <w:tcPr>
            <w:cnfStyle w:val="001000000000" w:firstRow="0" w:lastRow="0" w:firstColumn="1" w:lastColumn="0" w:oddVBand="0" w:evenVBand="0" w:oddHBand="0" w:evenHBand="0" w:firstRowFirstColumn="0" w:firstRowLastColumn="0" w:lastRowFirstColumn="0" w:lastRowLastColumn="0"/>
            <w:tcW w:w="6209" w:type="dxa"/>
          </w:tcPr>
          <w:p w14:paraId="402D90C7" w14:textId="77777777" w:rsidR="00C11A13" w:rsidRPr="004A3220" w:rsidRDefault="00C11A13" w:rsidP="008817E3">
            <w:pPr>
              <w:tabs>
                <w:tab w:val="left" w:pos="1260"/>
              </w:tabs>
              <w:spacing w:line="360" w:lineRule="auto"/>
              <w:rPr>
                <w:rFonts w:eastAsia="Calibri"/>
                <w:b w:val="0"/>
                <w:bCs w:val="0"/>
                <w:noProof/>
                <w:color w:val="4C4747"/>
                <w:lang w:val="es-419"/>
              </w:rPr>
            </w:pPr>
            <w:r w:rsidRPr="004A3220">
              <w:rPr>
                <w:rFonts w:eastAsia="Calibri"/>
                <w:b w:val="0"/>
                <w:bCs w:val="0"/>
                <w:noProof/>
                <w:color w:val="4C4747"/>
                <w:lang w:val="es-419"/>
              </w:rPr>
              <w:t>Fideicomiso para la Construcción de Viviendas de Bajo Costo República Dominicana (VBC-RD)</w:t>
            </w:r>
          </w:p>
        </w:tc>
        <w:tc>
          <w:tcPr>
            <w:tcW w:w="1285" w:type="dxa"/>
          </w:tcPr>
          <w:p w14:paraId="2F17EEA5" w14:textId="77777777" w:rsidR="00C11A13" w:rsidRPr="004A3220" w:rsidRDefault="00C11A13" w:rsidP="008817E3">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4A3220">
              <w:rPr>
                <w:rFonts w:eastAsia="Calibri"/>
                <w:noProof/>
                <w:color w:val="4C4747"/>
                <w:lang w:val="es-419"/>
              </w:rPr>
              <w:t>2</w:t>
            </w:r>
          </w:p>
        </w:tc>
      </w:tr>
    </w:tbl>
    <w:p w14:paraId="42AA2940" w14:textId="17592812" w:rsidR="00C11A13" w:rsidRPr="00F6715A" w:rsidRDefault="00F6715A" w:rsidP="00886F32">
      <w:pPr>
        <w:tabs>
          <w:tab w:val="left" w:pos="1260"/>
        </w:tabs>
        <w:spacing w:after="0" w:line="360" w:lineRule="auto"/>
        <w:ind w:left="720"/>
        <w:jc w:val="both"/>
        <w:rPr>
          <w:rFonts w:eastAsia="Calibri"/>
          <w:i/>
          <w:iCs/>
          <w:noProof/>
          <w:color w:val="4C4747"/>
          <w:lang w:val="es-419"/>
        </w:rPr>
      </w:pPr>
      <w:r w:rsidRPr="00F6715A">
        <w:rPr>
          <w:rFonts w:eastAsia="Calibri"/>
          <w:i/>
          <w:iCs/>
          <w:noProof/>
          <w:color w:val="4C4747"/>
          <w:lang w:val="es-419"/>
        </w:rPr>
        <w:t>Tabla 12. Resumen actas elaboradas de Fideicomisos</w:t>
      </w:r>
    </w:p>
    <w:p w14:paraId="14FD53C5" w14:textId="77777777" w:rsidR="00C11A13" w:rsidRPr="00C11A13" w:rsidRDefault="00C11A13" w:rsidP="00886F32">
      <w:pPr>
        <w:tabs>
          <w:tab w:val="left" w:pos="1260"/>
        </w:tabs>
        <w:spacing w:after="0" w:line="360" w:lineRule="auto"/>
        <w:ind w:left="720"/>
        <w:jc w:val="center"/>
        <w:rPr>
          <w:rFonts w:eastAsia="Calibri"/>
          <w:noProof/>
          <w:color w:val="4C4747"/>
          <w:lang w:val="es-419"/>
        </w:rPr>
      </w:pPr>
      <w:r w:rsidRPr="00C11A13">
        <w:rPr>
          <w:rFonts w:eastAsia="Calibri"/>
          <w:noProof/>
          <w:color w:val="4C4747"/>
          <w:lang w:val="es-419"/>
        </w:rPr>
        <w:lastRenderedPageBreak/>
        <w:drawing>
          <wp:inline distT="0" distB="0" distL="0" distR="0" wp14:anchorId="7EE737A5" wp14:editId="0CAF017C">
            <wp:extent cx="4448175" cy="2619375"/>
            <wp:effectExtent l="0" t="0" r="9525" b="9525"/>
            <wp:docPr id="1836801939"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5836609" w14:textId="35148631" w:rsidR="00C11A13" w:rsidRPr="00723259" w:rsidRDefault="00BC7C47" w:rsidP="00886F32">
      <w:pPr>
        <w:tabs>
          <w:tab w:val="left" w:pos="1260"/>
        </w:tabs>
        <w:spacing w:after="0" w:line="360" w:lineRule="auto"/>
        <w:ind w:left="720"/>
        <w:jc w:val="both"/>
        <w:rPr>
          <w:rFonts w:eastAsia="Calibri"/>
          <w:i/>
          <w:iCs/>
          <w:noProof/>
          <w:color w:val="4C4747"/>
          <w:lang w:val="es-419"/>
        </w:rPr>
      </w:pPr>
      <w:r w:rsidRPr="00723259">
        <w:rPr>
          <w:rFonts w:eastAsia="Calibri"/>
          <w:i/>
          <w:iCs/>
          <w:noProof/>
          <w:color w:val="4C4747"/>
          <w:lang w:val="es-419"/>
        </w:rPr>
        <w:t>Gráfico 6. Resumen actas elaboradas de Fideicomisos</w:t>
      </w:r>
    </w:p>
    <w:p w14:paraId="6F6CE435" w14:textId="77777777" w:rsidR="004C0C15" w:rsidRPr="00723259" w:rsidRDefault="004C0C15" w:rsidP="00886F32">
      <w:pPr>
        <w:tabs>
          <w:tab w:val="left" w:pos="1260"/>
        </w:tabs>
        <w:spacing w:after="0" w:line="360" w:lineRule="auto"/>
        <w:ind w:left="720"/>
        <w:jc w:val="both"/>
        <w:rPr>
          <w:rFonts w:eastAsia="Calibri"/>
          <w:i/>
          <w:iCs/>
          <w:noProof/>
          <w:color w:val="4C4747"/>
          <w:lang w:val="es-419"/>
        </w:rPr>
      </w:pPr>
    </w:p>
    <w:p w14:paraId="2CEE4D53" w14:textId="77777777" w:rsidR="00C11A13" w:rsidRPr="00723259" w:rsidRDefault="00C11A13" w:rsidP="00886F32">
      <w:pPr>
        <w:tabs>
          <w:tab w:val="left" w:pos="1260"/>
        </w:tabs>
        <w:spacing w:after="0" w:line="360" w:lineRule="auto"/>
        <w:ind w:left="720"/>
        <w:rPr>
          <w:rFonts w:eastAsia="Calibri"/>
          <w:b/>
          <w:noProof/>
          <w:color w:val="4C4747"/>
          <w:lang w:val="es-419"/>
        </w:rPr>
      </w:pPr>
      <w:bookmarkStart w:id="116" w:name="_Toc215586150"/>
      <w:r w:rsidRPr="00723259">
        <w:rPr>
          <w:rFonts w:eastAsia="Calibri"/>
          <w:b/>
          <w:noProof/>
          <w:color w:val="4C4747"/>
          <w:lang w:val="es-419"/>
        </w:rPr>
        <w:t>Documentos Revisados/Elaborados Vinculados a Fideicomisos</w:t>
      </w:r>
      <w:bookmarkEnd w:id="116"/>
    </w:p>
    <w:p w14:paraId="59B0C409" w14:textId="77777777"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elaboró y revisó veinticuatro (24) documentos especializados, entre los cuales destacan:</w:t>
      </w:r>
    </w:p>
    <w:p w14:paraId="6D5D7232"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Elaboración de opinión jurídica de anteproyecto de Ley de desafectación de bienes de dominio público de diversas calles y vías de la urbanización “Ciudad Juan Bosch”.</w:t>
      </w:r>
    </w:p>
    <w:p w14:paraId="63E365D3"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Revisión de política de fijación de precios para la adquisición de inmuebles y mejoras dentro de las zonas impactadas por los proyectos desarrollados a cargo de FITRAM.</w:t>
      </w:r>
    </w:p>
    <w:p w14:paraId="411B16F3"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Observaciones a los pliegos de condiciones de proceso de selección de socio estratégico, correspondiente al proceso de adjudicación del Fideicomiso Pro-Pedernales.</w:t>
      </w:r>
    </w:p>
    <w:p w14:paraId="54859F94" w14:textId="39A06D4F" w:rsidR="00C11A13" w:rsidRDefault="00C11A13" w:rsidP="00886F32">
      <w:pPr>
        <w:pStyle w:val="ListParagraph"/>
        <w:numPr>
          <w:ilvl w:val="0"/>
          <w:numId w:val="28"/>
        </w:numPr>
        <w:tabs>
          <w:tab w:val="left" w:pos="1260"/>
        </w:tabs>
        <w:spacing w:after="0" w:line="360" w:lineRule="auto"/>
        <w:rPr>
          <w:rFonts w:eastAsia="Calibri"/>
          <w:noProof/>
          <w:color w:val="4C4747"/>
          <w:lang w:val="es-419"/>
        </w:rPr>
      </w:pPr>
      <w:r w:rsidRPr="00C11A13">
        <w:rPr>
          <w:rFonts w:eastAsia="Calibri"/>
          <w:noProof/>
          <w:color w:val="4C4747"/>
          <w:lang w:val="es-419"/>
        </w:rPr>
        <w:t>Observaciones a los pliegos de condiciones de proceso de selección de socio estratégico, correspondiente al proceso de adjudicación del Fideicomiso Pro-Pedernales.</w:t>
      </w:r>
    </w:p>
    <w:p w14:paraId="5A8E493D" w14:textId="1F9C8553" w:rsidR="008817E3" w:rsidRDefault="008817E3" w:rsidP="008817E3">
      <w:pPr>
        <w:pStyle w:val="ListParagraph"/>
        <w:tabs>
          <w:tab w:val="left" w:pos="1260"/>
        </w:tabs>
        <w:spacing w:after="0" w:line="360" w:lineRule="auto"/>
        <w:rPr>
          <w:rFonts w:eastAsia="Calibri"/>
          <w:noProof/>
          <w:color w:val="4C4747"/>
          <w:lang w:val="es-419"/>
        </w:rPr>
      </w:pPr>
    </w:p>
    <w:p w14:paraId="52B384A9" w14:textId="77777777" w:rsidR="008817E3" w:rsidRPr="00C11A13" w:rsidRDefault="008817E3" w:rsidP="008817E3">
      <w:pPr>
        <w:pStyle w:val="ListParagraph"/>
        <w:tabs>
          <w:tab w:val="left" w:pos="1260"/>
        </w:tabs>
        <w:spacing w:after="0" w:line="360" w:lineRule="auto"/>
        <w:rPr>
          <w:rFonts w:eastAsia="Calibri"/>
          <w:noProof/>
          <w:color w:val="4C4747"/>
          <w:lang w:val="es-419"/>
        </w:rPr>
      </w:pPr>
    </w:p>
    <w:p w14:paraId="2547C523"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17" w:name="_Toc215586151"/>
      <w:r w:rsidRPr="00C11A13">
        <w:rPr>
          <w:rFonts w:eastAsia="Calibri"/>
          <w:b/>
          <w:noProof/>
          <w:color w:val="4C4747"/>
          <w:lang w:val="es-419"/>
        </w:rPr>
        <w:lastRenderedPageBreak/>
        <w:t>Asuntos Diversos de Gestión Jurídica</w:t>
      </w:r>
      <w:bookmarkEnd w:id="117"/>
    </w:p>
    <w:p w14:paraId="5A57DD8E" w14:textId="77777777"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Se atendieron doce (12) gestiones jurídicas destacables, entre ellas:</w:t>
      </w:r>
    </w:p>
    <w:p w14:paraId="77DB69D3"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Elaboración de conclusiones del caso judicial Elías Gadala (vinculado al Fideicomiso FDI).</w:t>
      </w:r>
    </w:p>
    <w:p w14:paraId="04CD467C"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Revisión y elaboración de sugerencias a las bases de Concurso Nacional de Ideas para RD.</w:t>
      </w:r>
    </w:p>
    <w:p w14:paraId="25EE2584"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Proyecto Manzanillo (gestión de reuniones, actividades de trabajo de las instituciones involucradas, trámites relacionados al proceso judicial en curso, entre otros).</w:t>
      </w:r>
    </w:p>
    <w:p w14:paraId="3C221112" w14:textId="77777777" w:rsidR="00C11A13" w:rsidRPr="00C11A13" w:rsidRDefault="00C11A13" w:rsidP="00886F32">
      <w:pPr>
        <w:pStyle w:val="ListParagraph"/>
        <w:numPr>
          <w:ilvl w:val="0"/>
          <w:numId w:val="28"/>
        </w:numPr>
        <w:tabs>
          <w:tab w:val="left" w:pos="1260"/>
        </w:tabs>
        <w:spacing w:after="0" w:line="360" w:lineRule="auto"/>
        <w:jc w:val="both"/>
        <w:rPr>
          <w:rFonts w:eastAsia="Calibri"/>
          <w:noProof/>
          <w:color w:val="4C4747"/>
          <w:lang w:val="es-419"/>
        </w:rPr>
      </w:pPr>
      <w:r w:rsidRPr="00C11A13">
        <w:rPr>
          <w:rFonts w:eastAsia="Calibri"/>
          <w:noProof/>
          <w:color w:val="4C4747"/>
          <w:lang w:val="es-419"/>
        </w:rPr>
        <w:t>Proyecto Montegrande (elaboración de cartas compromisos, procesos judiciales, organización de reuniones, seguimiento al cronograma de actividades, elaboración de contrato, oficios, comunicaciones, entre otros).</w:t>
      </w:r>
    </w:p>
    <w:p w14:paraId="01F5AA66" w14:textId="77777777" w:rsidR="00C11A13" w:rsidRPr="00C11A13" w:rsidRDefault="00C11A13" w:rsidP="00886F32">
      <w:pPr>
        <w:pStyle w:val="ListParagraph"/>
        <w:tabs>
          <w:tab w:val="left" w:pos="1260"/>
        </w:tabs>
        <w:spacing w:after="0" w:line="360" w:lineRule="auto"/>
        <w:rPr>
          <w:rFonts w:eastAsia="Calibri"/>
          <w:noProof/>
          <w:color w:val="4C4747"/>
          <w:lang w:val="es-419"/>
        </w:rPr>
      </w:pPr>
    </w:p>
    <w:p w14:paraId="4896A9C6" w14:textId="77777777" w:rsidR="00C11A13" w:rsidRPr="00C11A13" w:rsidRDefault="00C11A13" w:rsidP="00886F32">
      <w:pPr>
        <w:pStyle w:val="ListParagraph"/>
        <w:numPr>
          <w:ilvl w:val="2"/>
          <w:numId w:val="96"/>
        </w:numPr>
        <w:tabs>
          <w:tab w:val="left" w:pos="1260"/>
        </w:tabs>
        <w:spacing w:after="0" w:line="360" w:lineRule="auto"/>
        <w:ind w:left="720"/>
        <w:rPr>
          <w:rFonts w:eastAsia="Calibri"/>
          <w:b/>
          <w:noProof/>
          <w:color w:val="4C4747"/>
          <w:lang w:val="es-419"/>
        </w:rPr>
      </w:pPr>
      <w:bookmarkStart w:id="118" w:name="_Toc215586152"/>
      <w:r w:rsidRPr="00C11A13">
        <w:rPr>
          <w:rFonts w:eastAsia="Calibri"/>
          <w:b/>
          <w:noProof/>
          <w:color w:val="4C4747"/>
          <w:lang w:val="es-419"/>
        </w:rPr>
        <w:t>Departamento de Litigios y Consultas</w:t>
      </w:r>
      <w:bookmarkEnd w:id="118"/>
    </w:p>
    <w:p w14:paraId="56FBFCE7"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19" w:name="_Toc215586153"/>
      <w:r w:rsidRPr="00C11A13">
        <w:rPr>
          <w:rFonts w:eastAsia="Calibri"/>
          <w:b/>
          <w:noProof/>
          <w:color w:val="4C4747"/>
          <w:lang w:val="es-419"/>
        </w:rPr>
        <w:t>Oficios Remitidos</w:t>
      </w:r>
      <w:bookmarkEnd w:id="119"/>
    </w:p>
    <w:p w14:paraId="1C2210F2"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Durante el año 2025, el Departamento de Litigios y Consultas gestionó cuarenta y cuatro (44) oficios técnicos y jurídicos, emitidos en respuesta a requerimientos internos y externos de carácter litigioso, consultivo y administrativo.</w:t>
      </w:r>
    </w:p>
    <w:p w14:paraId="2B233134" w14:textId="77777777" w:rsidR="00A42121" w:rsidRPr="00C11A13" w:rsidRDefault="00A42121" w:rsidP="00886F32">
      <w:pPr>
        <w:tabs>
          <w:tab w:val="left" w:pos="1260"/>
        </w:tabs>
        <w:spacing w:after="0" w:line="360" w:lineRule="auto"/>
        <w:ind w:left="720"/>
        <w:jc w:val="both"/>
        <w:rPr>
          <w:rFonts w:eastAsia="Calibri"/>
          <w:noProof/>
          <w:color w:val="4C4747"/>
          <w:lang w:val="es-419"/>
        </w:rPr>
      </w:pPr>
    </w:p>
    <w:tbl>
      <w:tblPr>
        <w:tblStyle w:val="GridTable1Light-Accent3"/>
        <w:tblW w:w="0" w:type="auto"/>
        <w:tblInd w:w="1183" w:type="dxa"/>
        <w:tblLook w:val="04A0" w:firstRow="1" w:lastRow="0" w:firstColumn="1" w:lastColumn="0" w:noHBand="0" w:noVBand="1"/>
      </w:tblPr>
      <w:tblGrid>
        <w:gridCol w:w="5390"/>
        <w:gridCol w:w="1337"/>
      </w:tblGrid>
      <w:tr w:rsidR="00C11A13" w:rsidRPr="00BE4462" w14:paraId="6B240213" w14:textId="77777777" w:rsidTr="00A4212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1F3864" w:themeFill="accent1" w:themeFillShade="80"/>
            <w:hideMark/>
          </w:tcPr>
          <w:p w14:paraId="61F0E463" w14:textId="77777777" w:rsidR="00C11A13" w:rsidRPr="00BE4462" w:rsidRDefault="00C11A13" w:rsidP="00DD00D0">
            <w:pPr>
              <w:tabs>
                <w:tab w:val="left" w:pos="1260"/>
              </w:tabs>
              <w:spacing w:line="360" w:lineRule="auto"/>
              <w:rPr>
                <w:rFonts w:eastAsia="Calibri"/>
                <w:noProof/>
                <w:color w:val="FFFFFF" w:themeColor="background1"/>
                <w:lang w:val="es-419"/>
              </w:rPr>
            </w:pPr>
            <w:r w:rsidRPr="00BE4462">
              <w:rPr>
                <w:rFonts w:eastAsia="Calibri"/>
                <w:noProof/>
                <w:color w:val="FFFFFF" w:themeColor="background1"/>
                <w:lang w:val="es-419"/>
              </w:rPr>
              <w:t>Agrupados por tipo</w:t>
            </w:r>
          </w:p>
        </w:tc>
        <w:tc>
          <w:tcPr>
            <w:tcW w:w="0" w:type="auto"/>
            <w:shd w:val="clear" w:color="auto" w:fill="1F3864" w:themeFill="accent1" w:themeFillShade="80"/>
            <w:hideMark/>
          </w:tcPr>
          <w:p w14:paraId="717686F3" w14:textId="77777777" w:rsidR="00C11A13" w:rsidRPr="00BE4462" w:rsidRDefault="00C11A13" w:rsidP="00A4212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BE4462">
              <w:rPr>
                <w:rFonts w:eastAsia="Calibri"/>
                <w:noProof/>
                <w:color w:val="FFFFFF" w:themeColor="background1"/>
                <w:lang w:val="es-419"/>
              </w:rPr>
              <w:t>Cantidad</w:t>
            </w:r>
          </w:p>
        </w:tc>
      </w:tr>
      <w:tr w:rsidR="00C11A13" w:rsidRPr="00BE4462" w14:paraId="3844013F"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5F707F06" w14:textId="67BEE40E"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Litigios, sentencias y actos de alguacil</w:t>
            </w:r>
          </w:p>
        </w:tc>
        <w:tc>
          <w:tcPr>
            <w:tcW w:w="0" w:type="auto"/>
            <w:hideMark/>
          </w:tcPr>
          <w:p w14:paraId="79C5E736"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13</w:t>
            </w:r>
          </w:p>
        </w:tc>
      </w:tr>
      <w:tr w:rsidR="00C11A13" w:rsidRPr="00BE4462" w14:paraId="54159939"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23F0A6D4"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Consultas, análisis y opiniones jurídicas</w:t>
            </w:r>
          </w:p>
        </w:tc>
        <w:tc>
          <w:tcPr>
            <w:tcW w:w="0" w:type="auto"/>
            <w:hideMark/>
          </w:tcPr>
          <w:p w14:paraId="623CDDCB"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13</w:t>
            </w:r>
          </w:p>
        </w:tc>
      </w:tr>
      <w:tr w:rsidR="00C11A13" w:rsidRPr="00BE4462" w14:paraId="33F4B153"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5BA40FCC"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Relativos a decretos y anteproyectos</w:t>
            </w:r>
          </w:p>
        </w:tc>
        <w:tc>
          <w:tcPr>
            <w:tcW w:w="0" w:type="auto"/>
            <w:hideMark/>
          </w:tcPr>
          <w:p w14:paraId="3FFEFB1F"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7</w:t>
            </w:r>
          </w:p>
        </w:tc>
      </w:tr>
      <w:tr w:rsidR="00C11A13" w:rsidRPr="00BE4462" w14:paraId="47386AD4"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4D43878E"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Asuntos administrativos y financieros internos</w:t>
            </w:r>
          </w:p>
        </w:tc>
        <w:tc>
          <w:tcPr>
            <w:tcW w:w="0" w:type="auto"/>
            <w:hideMark/>
          </w:tcPr>
          <w:p w14:paraId="32B43A96"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6</w:t>
            </w:r>
          </w:p>
        </w:tc>
      </w:tr>
      <w:tr w:rsidR="00C11A13" w:rsidRPr="00BE4462" w14:paraId="642B6F6D"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5A6714CA"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Evaluación de Desempeño Institucional (EDI)</w:t>
            </w:r>
          </w:p>
        </w:tc>
        <w:tc>
          <w:tcPr>
            <w:tcW w:w="0" w:type="auto"/>
            <w:hideMark/>
          </w:tcPr>
          <w:p w14:paraId="3F95780D"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3</w:t>
            </w:r>
          </w:p>
        </w:tc>
      </w:tr>
      <w:tr w:rsidR="00C11A13" w:rsidRPr="00BE4462" w14:paraId="32801FF7"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715E873B"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lastRenderedPageBreak/>
              <w:t>Temas internacionales y relaciones exteriores</w:t>
            </w:r>
          </w:p>
        </w:tc>
        <w:tc>
          <w:tcPr>
            <w:tcW w:w="0" w:type="auto"/>
            <w:hideMark/>
          </w:tcPr>
          <w:p w14:paraId="5276CC15"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1</w:t>
            </w:r>
          </w:p>
        </w:tc>
      </w:tr>
      <w:tr w:rsidR="00C11A13" w:rsidRPr="00BE4462" w14:paraId="71EE512F" w14:textId="77777777" w:rsidTr="00A4212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78571481" w14:textId="7EC88BE7" w:rsidR="00C11A13" w:rsidRPr="00535822" w:rsidRDefault="004764E2" w:rsidP="00A42121">
            <w:pPr>
              <w:tabs>
                <w:tab w:val="left" w:pos="1260"/>
              </w:tabs>
              <w:spacing w:line="360" w:lineRule="auto"/>
              <w:rPr>
                <w:rFonts w:eastAsia="Calibri"/>
                <w:noProof/>
                <w:color w:val="4C4747"/>
                <w:lang w:val="es-419"/>
              </w:rPr>
            </w:pPr>
            <w:r w:rsidRPr="00535822">
              <w:rPr>
                <w:rFonts w:eastAsia="Calibri"/>
                <w:noProof/>
                <w:color w:val="4C4747"/>
                <w:lang w:val="es-419"/>
              </w:rPr>
              <w:t>TOTAL</w:t>
            </w:r>
          </w:p>
        </w:tc>
        <w:tc>
          <w:tcPr>
            <w:tcW w:w="0" w:type="auto"/>
            <w:hideMark/>
          </w:tcPr>
          <w:p w14:paraId="3FBA8788" w14:textId="77777777" w:rsidR="00C11A13" w:rsidRPr="00535822"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535822">
              <w:rPr>
                <w:rFonts w:eastAsia="Calibri"/>
                <w:b/>
                <w:bCs/>
                <w:noProof/>
                <w:color w:val="4C4747"/>
                <w:lang w:val="es-419"/>
              </w:rPr>
              <w:t>44</w:t>
            </w:r>
          </w:p>
        </w:tc>
      </w:tr>
    </w:tbl>
    <w:p w14:paraId="0F4B9AFE" w14:textId="19B05F0F" w:rsidR="004C0C15" w:rsidRPr="004C0C15" w:rsidRDefault="00A42121" w:rsidP="00886F32">
      <w:pPr>
        <w:tabs>
          <w:tab w:val="left" w:pos="1260"/>
        </w:tabs>
        <w:spacing w:after="0" w:line="360" w:lineRule="auto"/>
        <w:ind w:left="720"/>
        <w:jc w:val="both"/>
        <w:rPr>
          <w:rFonts w:eastAsia="Calibri"/>
          <w:i/>
          <w:iCs/>
          <w:noProof/>
          <w:color w:val="4C4747"/>
          <w:lang w:val="es-419"/>
        </w:rPr>
      </w:pPr>
      <w:r>
        <w:rPr>
          <w:rFonts w:eastAsia="Calibri"/>
          <w:i/>
          <w:iCs/>
          <w:noProof/>
          <w:color w:val="4C4747"/>
          <w:lang w:val="es-419"/>
        </w:rPr>
        <w:tab/>
      </w:r>
      <w:r w:rsidR="004C0C15" w:rsidRPr="004C0C15">
        <w:rPr>
          <w:rFonts w:eastAsia="Calibri"/>
          <w:i/>
          <w:iCs/>
          <w:noProof/>
          <w:color w:val="4C4747"/>
          <w:lang w:val="es-419"/>
        </w:rPr>
        <w:t>Tabla 13. Resumen oficios emitidos</w:t>
      </w:r>
    </w:p>
    <w:p w14:paraId="5EAD5DAD" w14:textId="5F63B60B"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drawing>
          <wp:anchor distT="0" distB="0" distL="114300" distR="114300" simplePos="0" relativeHeight="251636736" behindDoc="0" locked="0" layoutInCell="1" allowOverlap="1" wp14:anchorId="72D58F2F" wp14:editId="5BFCFE17">
            <wp:simplePos x="0" y="0"/>
            <wp:positionH relativeFrom="column">
              <wp:posOffset>754380</wp:posOffset>
            </wp:positionH>
            <wp:positionV relativeFrom="paragraph">
              <wp:posOffset>176530</wp:posOffset>
            </wp:positionV>
            <wp:extent cx="4213860" cy="2049780"/>
            <wp:effectExtent l="0" t="0" r="15240" b="7620"/>
            <wp:wrapNone/>
            <wp:docPr id="1836801940"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3BEF9B60"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7228906F"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1939D502"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5AAD69BE" w14:textId="77777777" w:rsidR="00C11A13" w:rsidRDefault="00C11A13" w:rsidP="00886F32">
      <w:pPr>
        <w:tabs>
          <w:tab w:val="left" w:pos="1260"/>
        </w:tabs>
        <w:spacing w:after="0" w:line="360" w:lineRule="auto"/>
        <w:ind w:left="720"/>
        <w:jc w:val="both"/>
        <w:rPr>
          <w:rFonts w:eastAsia="Calibri"/>
          <w:noProof/>
          <w:color w:val="4C4747"/>
          <w:lang w:val="es-419"/>
        </w:rPr>
      </w:pPr>
    </w:p>
    <w:p w14:paraId="01555390" w14:textId="77777777" w:rsidR="00A42121" w:rsidRDefault="00A42121" w:rsidP="00886F32">
      <w:pPr>
        <w:tabs>
          <w:tab w:val="left" w:pos="1260"/>
        </w:tabs>
        <w:spacing w:after="0" w:line="360" w:lineRule="auto"/>
        <w:ind w:left="720"/>
        <w:jc w:val="both"/>
        <w:rPr>
          <w:rFonts w:eastAsia="Calibri"/>
          <w:noProof/>
          <w:color w:val="4C4747"/>
          <w:lang w:val="es-419"/>
        </w:rPr>
      </w:pPr>
    </w:p>
    <w:p w14:paraId="13B12222" w14:textId="77777777" w:rsidR="00A42121" w:rsidRPr="00C11A13" w:rsidRDefault="00A42121" w:rsidP="00886F32">
      <w:pPr>
        <w:tabs>
          <w:tab w:val="left" w:pos="1260"/>
        </w:tabs>
        <w:spacing w:after="0" w:line="360" w:lineRule="auto"/>
        <w:ind w:left="720"/>
        <w:jc w:val="both"/>
        <w:rPr>
          <w:rFonts w:eastAsia="Calibri"/>
          <w:noProof/>
          <w:color w:val="4C4747"/>
          <w:lang w:val="es-419"/>
        </w:rPr>
      </w:pPr>
    </w:p>
    <w:p w14:paraId="49BE8AD2"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1C54A1BC" w14:textId="77777777" w:rsidR="004C0C15" w:rsidRDefault="004C0C15" w:rsidP="00886F32">
      <w:pPr>
        <w:tabs>
          <w:tab w:val="left" w:pos="1260"/>
        </w:tabs>
        <w:spacing w:after="0" w:line="360" w:lineRule="auto"/>
        <w:ind w:left="720"/>
        <w:rPr>
          <w:rFonts w:eastAsia="Calibri"/>
          <w:noProof/>
          <w:color w:val="4C4747"/>
          <w:lang w:val="es-419"/>
        </w:rPr>
      </w:pPr>
    </w:p>
    <w:p w14:paraId="64DF8D68" w14:textId="20C4D890" w:rsidR="004C0C15" w:rsidRPr="004C0C15" w:rsidRDefault="004C0C15" w:rsidP="00886F32">
      <w:pPr>
        <w:tabs>
          <w:tab w:val="left" w:pos="1260"/>
          <w:tab w:val="left" w:pos="1890"/>
        </w:tabs>
        <w:spacing w:after="0" w:line="360" w:lineRule="auto"/>
        <w:ind w:left="720"/>
        <w:rPr>
          <w:rFonts w:eastAsia="Calibri"/>
          <w:i/>
          <w:iCs/>
          <w:noProof/>
          <w:color w:val="4C4747"/>
          <w:lang w:val="es-419"/>
        </w:rPr>
      </w:pPr>
      <w:r>
        <w:rPr>
          <w:rFonts w:eastAsia="Calibri"/>
          <w:noProof/>
          <w:color w:val="4C4747"/>
          <w:lang w:val="es-419"/>
        </w:rPr>
        <w:tab/>
      </w:r>
      <w:r w:rsidRPr="004C0C15">
        <w:rPr>
          <w:rFonts w:eastAsia="Calibri"/>
          <w:i/>
          <w:iCs/>
          <w:noProof/>
          <w:color w:val="4C4747"/>
          <w:lang w:val="es-419"/>
        </w:rPr>
        <w:t>Gráfico 7. Resumen oficios emitidos</w:t>
      </w:r>
    </w:p>
    <w:p w14:paraId="2F9F7FEE" w14:textId="77777777" w:rsidR="00A42121" w:rsidRDefault="00A42121" w:rsidP="00A42121">
      <w:pPr>
        <w:tabs>
          <w:tab w:val="left" w:pos="1260"/>
        </w:tabs>
        <w:spacing w:after="0" w:line="360" w:lineRule="auto"/>
        <w:rPr>
          <w:rFonts w:eastAsia="Calibri"/>
          <w:b/>
          <w:noProof/>
          <w:color w:val="4C4747"/>
          <w:lang w:val="es-419"/>
        </w:rPr>
      </w:pPr>
      <w:bookmarkStart w:id="120" w:name="_Toc215586154"/>
    </w:p>
    <w:p w14:paraId="155878BC" w14:textId="12AD64E9" w:rsidR="00C11A13" w:rsidRPr="006A222F" w:rsidRDefault="00C11A13" w:rsidP="00A42121">
      <w:pPr>
        <w:tabs>
          <w:tab w:val="left" w:pos="1260"/>
        </w:tabs>
        <w:spacing w:after="0" w:line="360" w:lineRule="auto"/>
        <w:ind w:left="720"/>
        <w:rPr>
          <w:rFonts w:eastAsia="Calibri"/>
          <w:noProof/>
          <w:color w:val="4C4747"/>
          <w:lang w:val="es-419"/>
        </w:rPr>
      </w:pPr>
      <w:r w:rsidRPr="00C11A13">
        <w:rPr>
          <w:rFonts w:eastAsia="Calibri"/>
          <w:b/>
          <w:noProof/>
          <w:color w:val="4C4747"/>
          <w:lang w:val="es-419"/>
        </w:rPr>
        <w:t>Informes y Opiniones</w:t>
      </w:r>
      <w:bookmarkEnd w:id="120"/>
    </w:p>
    <w:p w14:paraId="7E1C7E37" w14:textId="77777777" w:rsidR="00C11A13" w:rsidRP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En este mismo periodo el Departamento de Litigios y Consultas elaboró quince (15) informes y opiniones jurídicas requeridas por distintas áreas del Ministerio de la Presidencia y por otras dependencias.</w:t>
      </w:r>
    </w:p>
    <w:tbl>
      <w:tblPr>
        <w:tblStyle w:val="GridTable1Light-Accent3"/>
        <w:tblW w:w="7375" w:type="dxa"/>
        <w:tblInd w:w="534" w:type="dxa"/>
        <w:tblLook w:val="04A0" w:firstRow="1" w:lastRow="0" w:firstColumn="1" w:lastColumn="0" w:noHBand="0" w:noVBand="1"/>
      </w:tblPr>
      <w:tblGrid>
        <w:gridCol w:w="5576"/>
        <w:gridCol w:w="1799"/>
      </w:tblGrid>
      <w:tr w:rsidR="00C11A13" w:rsidRPr="006A222F" w14:paraId="262333E8" w14:textId="77777777" w:rsidTr="00A4212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576" w:type="dxa"/>
            <w:shd w:val="clear" w:color="auto" w:fill="1F3864" w:themeFill="accent1" w:themeFillShade="80"/>
            <w:hideMark/>
          </w:tcPr>
          <w:p w14:paraId="2622ED7B" w14:textId="77777777" w:rsidR="00C11A13" w:rsidRPr="006A222F" w:rsidRDefault="00C11A13" w:rsidP="00A42121">
            <w:pPr>
              <w:tabs>
                <w:tab w:val="left" w:pos="1260"/>
              </w:tabs>
              <w:spacing w:line="360" w:lineRule="auto"/>
              <w:rPr>
                <w:rFonts w:eastAsia="Calibri"/>
                <w:noProof/>
                <w:color w:val="FFFFFF" w:themeColor="background1"/>
                <w:lang w:val="es-419"/>
              </w:rPr>
            </w:pPr>
            <w:r w:rsidRPr="006A222F">
              <w:rPr>
                <w:rFonts w:eastAsia="Calibri"/>
                <w:noProof/>
                <w:color w:val="FFFFFF" w:themeColor="background1"/>
                <w:lang w:val="es-419"/>
              </w:rPr>
              <w:t>Categoría</w:t>
            </w:r>
          </w:p>
        </w:tc>
        <w:tc>
          <w:tcPr>
            <w:tcW w:w="1799" w:type="dxa"/>
            <w:shd w:val="clear" w:color="auto" w:fill="1F3864" w:themeFill="accent1" w:themeFillShade="80"/>
            <w:hideMark/>
          </w:tcPr>
          <w:p w14:paraId="24FD57EF" w14:textId="77777777" w:rsidR="00C11A13" w:rsidRPr="006A222F" w:rsidRDefault="00C11A13" w:rsidP="00A4212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6A222F">
              <w:rPr>
                <w:rFonts w:eastAsia="Calibri"/>
                <w:noProof/>
                <w:color w:val="FFFFFF" w:themeColor="background1"/>
                <w:lang w:val="es-419"/>
              </w:rPr>
              <w:t>Cantidad</w:t>
            </w:r>
          </w:p>
        </w:tc>
      </w:tr>
      <w:tr w:rsidR="00C11A13" w:rsidRPr="006A222F" w14:paraId="78C227DD" w14:textId="77777777" w:rsidTr="00A42121">
        <w:trPr>
          <w:trHeight w:val="385"/>
        </w:trPr>
        <w:tc>
          <w:tcPr>
            <w:cnfStyle w:val="001000000000" w:firstRow="0" w:lastRow="0" w:firstColumn="1" w:lastColumn="0" w:oddVBand="0" w:evenVBand="0" w:oddHBand="0" w:evenHBand="0" w:firstRowFirstColumn="0" w:firstRowLastColumn="0" w:lastRowFirstColumn="0" w:lastRowLastColumn="0"/>
            <w:tcW w:w="5576" w:type="dxa"/>
            <w:hideMark/>
          </w:tcPr>
          <w:p w14:paraId="2F8B1B15"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Informes sobre litigios y casos judiciales</w:t>
            </w:r>
          </w:p>
        </w:tc>
        <w:tc>
          <w:tcPr>
            <w:tcW w:w="1799" w:type="dxa"/>
            <w:hideMark/>
          </w:tcPr>
          <w:p w14:paraId="069AB944"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4</w:t>
            </w:r>
          </w:p>
        </w:tc>
      </w:tr>
      <w:tr w:rsidR="00C11A13" w:rsidRPr="006A222F" w14:paraId="4500D0FB" w14:textId="77777777" w:rsidTr="00A42121">
        <w:trPr>
          <w:trHeight w:val="385"/>
        </w:trPr>
        <w:tc>
          <w:tcPr>
            <w:cnfStyle w:val="001000000000" w:firstRow="0" w:lastRow="0" w:firstColumn="1" w:lastColumn="0" w:oddVBand="0" w:evenVBand="0" w:oddHBand="0" w:evenHBand="0" w:firstRowFirstColumn="0" w:firstRowLastColumn="0" w:lastRowFirstColumn="0" w:lastRowLastColumn="0"/>
            <w:tcW w:w="5576" w:type="dxa"/>
            <w:hideMark/>
          </w:tcPr>
          <w:p w14:paraId="4B803209"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Opiniones sobre normativas, leyes y decretos</w:t>
            </w:r>
          </w:p>
        </w:tc>
        <w:tc>
          <w:tcPr>
            <w:tcW w:w="1799" w:type="dxa"/>
            <w:hideMark/>
          </w:tcPr>
          <w:p w14:paraId="100C5AB7"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6</w:t>
            </w:r>
          </w:p>
        </w:tc>
      </w:tr>
      <w:tr w:rsidR="00C11A13" w:rsidRPr="006A222F" w14:paraId="3147AAC0" w14:textId="77777777" w:rsidTr="00A42121">
        <w:trPr>
          <w:trHeight w:val="385"/>
        </w:trPr>
        <w:tc>
          <w:tcPr>
            <w:cnfStyle w:val="001000000000" w:firstRow="0" w:lastRow="0" w:firstColumn="1" w:lastColumn="0" w:oddVBand="0" w:evenVBand="0" w:oddHBand="0" w:evenHBand="0" w:firstRowFirstColumn="0" w:firstRowLastColumn="0" w:lastRowFirstColumn="0" w:lastRowLastColumn="0"/>
            <w:tcW w:w="5576" w:type="dxa"/>
            <w:hideMark/>
          </w:tcPr>
          <w:p w14:paraId="4B5E175B"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 xml:space="preserve">Análisis y revisiones institucionales </w:t>
            </w:r>
          </w:p>
        </w:tc>
        <w:tc>
          <w:tcPr>
            <w:tcW w:w="1799" w:type="dxa"/>
            <w:hideMark/>
          </w:tcPr>
          <w:p w14:paraId="73B2E6A8"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2</w:t>
            </w:r>
          </w:p>
        </w:tc>
      </w:tr>
      <w:tr w:rsidR="00C11A13" w:rsidRPr="006A222F" w14:paraId="1200410F" w14:textId="77777777" w:rsidTr="00A42121">
        <w:trPr>
          <w:trHeight w:val="385"/>
        </w:trPr>
        <w:tc>
          <w:tcPr>
            <w:cnfStyle w:val="001000000000" w:firstRow="0" w:lastRow="0" w:firstColumn="1" w:lastColumn="0" w:oddVBand="0" w:evenVBand="0" w:oddHBand="0" w:evenHBand="0" w:firstRowFirstColumn="0" w:firstRowLastColumn="0" w:lastRowFirstColumn="0" w:lastRowLastColumn="0"/>
            <w:tcW w:w="5576" w:type="dxa"/>
            <w:hideMark/>
          </w:tcPr>
          <w:p w14:paraId="256E5AFF" w14:textId="77777777" w:rsidR="00C11A13" w:rsidRPr="006A222F" w:rsidRDefault="00C11A13" w:rsidP="00A42121">
            <w:pPr>
              <w:tabs>
                <w:tab w:val="left" w:pos="1260"/>
              </w:tabs>
              <w:spacing w:line="360" w:lineRule="auto"/>
              <w:rPr>
                <w:rFonts w:eastAsia="Calibri"/>
                <w:b w:val="0"/>
                <w:bCs w:val="0"/>
                <w:noProof/>
                <w:color w:val="4C4747"/>
                <w:lang w:val="es-419"/>
              </w:rPr>
            </w:pPr>
            <w:r w:rsidRPr="006A222F">
              <w:rPr>
                <w:rFonts w:eastAsia="Calibri"/>
                <w:b w:val="0"/>
                <w:bCs w:val="0"/>
                <w:noProof/>
                <w:color w:val="4C4747"/>
                <w:lang w:val="es-419"/>
              </w:rPr>
              <w:t>Respuestas a solicitudes técnicas y administrativas</w:t>
            </w:r>
          </w:p>
        </w:tc>
        <w:tc>
          <w:tcPr>
            <w:tcW w:w="1799" w:type="dxa"/>
            <w:hideMark/>
          </w:tcPr>
          <w:p w14:paraId="15A5BAE9" w14:textId="77777777" w:rsidR="00C11A13" w:rsidRPr="006A222F"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6A222F">
              <w:rPr>
                <w:rFonts w:eastAsia="Calibri"/>
                <w:noProof/>
                <w:color w:val="4C4747"/>
                <w:lang w:val="es-419"/>
              </w:rPr>
              <w:t>3</w:t>
            </w:r>
          </w:p>
        </w:tc>
      </w:tr>
      <w:tr w:rsidR="00C11A13" w:rsidRPr="006A222F" w14:paraId="5CB23208" w14:textId="77777777" w:rsidTr="00A42121">
        <w:trPr>
          <w:trHeight w:val="421"/>
        </w:trPr>
        <w:tc>
          <w:tcPr>
            <w:cnfStyle w:val="001000000000" w:firstRow="0" w:lastRow="0" w:firstColumn="1" w:lastColumn="0" w:oddVBand="0" w:evenVBand="0" w:oddHBand="0" w:evenHBand="0" w:firstRowFirstColumn="0" w:firstRowLastColumn="0" w:lastRowFirstColumn="0" w:lastRowLastColumn="0"/>
            <w:tcW w:w="5576" w:type="dxa"/>
            <w:hideMark/>
          </w:tcPr>
          <w:p w14:paraId="2ECC89B5" w14:textId="430B9780" w:rsidR="00C11A13" w:rsidRPr="00535822" w:rsidRDefault="00535822" w:rsidP="00A42121">
            <w:pPr>
              <w:tabs>
                <w:tab w:val="left" w:pos="1260"/>
              </w:tabs>
              <w:spacing w:line="360" w:lineRule="auto"/>
              <w:rPr>
                <w:rFonts w:eastAsia="Calibri"/>
                <w:noProof/>
                <w:color w:val="4C4747"/>
                <w:lang w:val="es-419"/>
              </w:rPr>
            </w:pPr>
            <w:r w:rsidRPr="00535822">
              <w:rPr>
                <w:rFonts w:eastAsia="Calibri"/>
                <w:noProof/>
                <w:color w:val="4C4747"/>
                <w:lang w:val="es-419"/>
              </w:rPr>
              <w:t>Total</w:t>
            </w:r>
          </w:p>
        </w:tc>
        <w:tc>
          <w:tcPr>
            <w:tcW w:w="1799" w:type="dxa"/>
            <w:hideMark/>
          </w:tcPr>
          <w:p w14:paraId="77CBB380" w14:textId="77777777" w:rsidR="00C11A13" w:rsidRPr="00535822" w:rsidRDefault="00C11A13" w:rsidP="00A4212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535822">
              <w:rPr>
                <w:rFonts w:eastAsia="Calibri"/>
                <w:b/>
                <w:bCs/>
                <w:noProof/>
                <w:color w:val="4C4747"/>
                <w:lang w:val="es-419"/>
              </w:rPr>
              <w:t>15</w:t>
            </w:r>
          </w:p>
        </w:tc>
      </w:tr>
    </w:tbl>
    <w:p w14:paraId="0292067B" w14:textId="68541859" w:rsidR="00B6056D" w:rsidRPr="004C0C15" w:rsidRDefault="00B6056D" w:rsidP="00886F32">
      <w:pPr>
        <w:tabs>
          <w:tab w:val="left" w:pos="1260"/>
        </w:tabs>
        <w:spacing w:after="0" w:line="360" w:lineRule="auto"/>
        <w:ind w:left="720"/>
        <w:jc w:val="both"/>
        <w:rPr>
          <w:rFonts w:eastAsia="Calibri"/>
          <w:i/>
          <w:iCs/>
          <w:noProof/>
          <w:color w:val="4C4747"/>
          <w:lang w:val="es-419"/>
        </w:rPr>
      </w:pPr>
      <w:r w:rsidRPr="004C0C15">
        <w:rPr>
          <w:rFonts w:eastAsia="Calibri"/>
          <w:i/>
          <w:iCs/>
          <w:noProof/>
          <w:color w:val="4C4747"/>
          <w:lang w:val="es-419"/>
        </w:rPr>
        <w:t>Tabla 1</w:t>
      </w:r>
      <w:r>
        <w:rPr>
          <w:rFonts w:eastAsia="Calibri"/>
          <w:i/>
          <w:iCs/>
          <w:noProof/>
          <w:color w:val="4C4747"/>
          <w:lang w:val="es-419"/>
        </w:rPr>
        <w:t>4</w:t>
      </w:r>
      <w:r w:rsidRPr="004C0C15">
        <w:rPr>
          <w:rFonts w:eastAsia="Calibri"/>
          <w:i/>
          <w:iCs/>
          <w:noProof/>
          <w:color w:val="4C4747"/>
          <w:lang w:val="es-419"/>
        </w:rPr>
        <w:t xml:space="preserve">. Resumen </w:t>
      </w:r>
      <w:r>
        <w:rPr>
          <w:rFonts w:eastAsia="Calibri"/>
          <w:i/>
          <w:iCs/>
          <w:noProof/>
          <w:color w:val="4C4747"/>
          <w:lang w:val="es-419"/>
        </w:rPr>
        <w:t>informes y opiniones</w:t>
      </w:r>
      <w:r w:rsidRPr="004C0C15">
        <w:rPr>
          <w:rFonts w:eastAsia="Calibri"/>
          <w:i/>
          <w:iCs/>
          <w:noProof/>
          <w:color w:val="4C4747"/>
          <w:lang w:val="es-419"/>
        </w:rPr>
        <w:t xml:space="preserve"> emitid</w:t>
      </w:r>
      <w:r>
        <w:rPr>
          <w:rFonts w:eastAsia="Calibri"/>
          <w:i/>
          <w:iCs/>
          <w:noProof/>
          <w:color w:val="4C4747"/>
          <w:lang w:val="es-419"/>
        </w:rPr>
        <w:t>a</w:t>
      </w:r>
      <w:r w:rsidRPr="004C0C15">
        <w:rPr>
          <w:rFonts w:eastAsia="Calibri"/>
          <w:i/>
          <w:iCs/>
          <w:noProof/>
          <w:color w:val="4C4747"/>
          <w:lang w:val="es-419"/>
        </w:rPr>
        <w:t>s</w:t>
      </w:r>
    </w:p>
    <w:p w14:paraId="3B36328D" w14:textId="7698B782" w:rsidR="00C11A13" w:rsidRPr="00C11A13" w:rsidRDefault="00C11A13" w:rsidP="00886F32">
      <w:pPr>
        <w:tabs>
          <w:tab w:val="left" w:pos="1260"/>
        </w:tabs>
        <w:spacing w:after="0" w:line="360" w:lineRule="auto"/>
        <w:ind w:left="720"/>
        <w:jc w:val="both"/>
        <w:rPr>
          <w:rFonts w:eastAsia="Calibri"/>
          <w:noProof/>
          <w:color w:val="4C4747"/>
          <w:lang w:val="es-419"/>
        </w:rPr>
      </w:pPr>
    </w:p>
    <w:p w14:paraId="293E164D" w14:textId="5BC4F920" w:rsidR="00C11A13" w:rsidRPr="00C11A13" w:rsidRDefault="00A42121"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lastRenderedPageBreak/>
        <w:drawing>
          <wp:anchor distT="0" distB="0" distL="114300" distR="114300" simplePos="0" relativeHeight="251724800" behindDoc="0" locked="0" layoutInCell="1" allowOverlap="1" wp14:anchorId="6E956EE2" wp14:editId="6673D810">
            <wp:simplePos x="0" y="0"/>
            <wp:positionH relativeFrom="margin">
              <wp:align>right</wp:align>
            </wp:positionH>
            <wp:positionV relativeFrom="paragraph">
              <wp:posOffset>38100</wp:posOffset>
            </wp:positionV>
            <wp:extent cx="4419600" cy="2453640"/>
            <wp:effectExtent l="0" t="0" r="0" b="3810"/>
            <wp:wrapThrough wrapText="bothSides">
              <wp:wrapPolygon edited="0">
                <wp:start x="0" y="0"/>
                <wp:lineTo x="0" y="21466"/>
                <wp:lineTo x="21507" y="21466"/>
                <wp:lineTo x="21507" y="0"/>
                <wp:lineTo x="0" y="0"/>
              </wp:wrapPolygon>
            </wp:wrapThrough>
            <wp:docPr id="1836801941"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4DEA61F6"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p w14:paraId="5A1D4C69" w14:textId="77777777" w:rsidR="000347A3" w:rsidRDefault="000347A3" w:rsidP="00886F32">
      <w:pPr>
        <w:tabs>
          <w:tab w:val="left" w:pos="1260"/>
        </w:tabs>
        <w:spacing w:after="0" w:line="360" w:lineRule="auto"/>
        <w:ind w:left="720"/>
        <w:rPr>
          <w:rFonts w:eastAsia="Calibri"/>
          <w:noProof/>
          <w:color w:val="4C4747"/>
          <w:lang w:val="es-419"/>
        </w:rPr>
      </w:pPr>
      <w:bookmarkStart w:id="121" w:name="_Toc215586155"/>
    </w:p>
    <w:p w14:paraId="49CC56D6" w14:textId="77777777" w:rsidR="000347A3" w:rsidRDefault="000347A3" w:rsidP="00886F32">
      <w:pPr>
        <w:tabs>
          <w:tab w:val="left" w:pos="1260"/>
        </w:tabs>
        <w:spacing w:after="0" w:line="360" w:lineRule="auto"/>
        <w:ind w:left="720"/>
        <w:rPr>
          <w:rFonts w:eastAsia="Calibri"/>
          <w:noProof/>
          <w:color w:val="4C4747"/>
          <w:lang w:val="es-419"/>
        </w:rPr>
      </w:pPr>
    </w:p>
    <w:p w14:paraId="1F57A75E" w14:textId="77777777" w:rsidR="000347A3" w:rsidRDefault="000347A3" w:rsidP="00886F32">
      <w:pPr>
        <w:tabs>
          <w:tab w:val="left" w:pos="1260"/>
        </w:tabs>
        <w:spacing w:after="0" w:line="360" w:lineRule="auto"/>
        <w:ind w:left="720"/>
        <w:rPr>
          <w:rFonts w:eastAsia="Calibri"/>
          <w:noProof/>
          <w:color w:val="4C4747"/>
          <w:lang w:val="es-419"/>
        </w:rPr>
      </w:pPr>
    </w:p>
    <w:p w14:paraId="5C034B11" w14:textId="77777777" w:rsidR="000347A3" w:rsidRDefault="000347A3" w:rsidP="00886F32">
      <w:pPr>
        <w:tabs>
          <w:tab w:val="left" w:pos="1260"/>
        </w:tabs>
        <w:spacing w:after="0" w:line="360" w:lineRule="auto"/>
        <w:ind w:left="720"/>
        <w:rPr>
          <w:rFonts w:eastAsia="Calibri"/>
          <w:noProof/>
          <w:color w:val="4C4747"/>
          <w:lang w:val="es-419"/>
        </w:rPr>
      </w:pPr>
    </w:p>
    <w:p w14:paraId="5D8187C6" w14:textId="77777777" w:rsidR="000347A3" w:rsidRDefault="000347A3" w:rsidP="00886F32">
      <w:pPr>
        <w:tabs>
          <w:tab w:val="left" w:pos="1260"/>
        </w:tabs>
        <w:spacing w:after="0" w:line="360" w:lineRule="auto"/>
        <w:ind w:left="720"/>
        <w:rPr>
          <w:rFonts w:eastAsia="Calibri"/>
          <w:noProof/>
          <w:color w:val="4C4747"/>
          <w:lang w:val="es-419"/>
        </w:rPr>
      </w:pPr>
    </w:p>
    <w:p w14:paraId="0FC0EFD5" w14:textId="77777777" w:rsidR="000347A3" w:rsidRDefault="000347A3" w:rsidP="00886F32">
      <w:pPr>
        <w:tabs>
          <w:tab w:val="left" w:pos="1260"/>
        </w:tabs>
        <w:spacing w:after="0" w:line="360" w:lineRule="auto"/>
        <w:ind w:left="720"/>
        <w:rPr>
          <w:rFonts w:eastAsia="Calibri"/>
          <w:noProof/>
          <w:color w:val="4C4747"/>
          <w:lang w:val="es-419"/>
        </w:rPr>
      </w:pPr>
    </w:p>
    <w:p w14:paraId="3CE7AC26" w14:textId="4B06CE45" w:rsidR="000347A3" w:rsidRDefault="000347A3" w:rsidP="00886F32">
      <w:pPr>
        <w:tabs>
          <w:tab w:val="left" w:pos="1260"/>
        </w:tabs>
        <w:spacing w:after="0" w:line="360" w:lineRule="auto"/>
        <w:ind w:left="720"/>
        <w:rPr>
          <w:rFonts w:eastAsia="Calibri"/>
          <w:noProof/>
          <w:color w:val="4C4747"/>
          <w:lang w:val="es-419"/>
        </w:rPr>
      </w:pPr>
      <w:r w:rsidRPr="004C0C15">
        <w:rPr>
          <w:rFonts w:eastAsia="Calibri"/>
          <w:i/>
          <w:iCs/>
          <w:noProof/>
          <w:color w:val="4C4747"/>
          <w:lang w:val="es-419"/>
        </w:rPr>
        <w:t xml:space="preserve">Gráfico </w:t>
      </w:r>
      <w:r>
        <w:rPr>
          <w:rFonts w:eastAsia="Calibri"/>
          <w:i/>
          <w:iCs/>
          <w:noProof/>
          <w:color w:val="4C4747"/>
          <w:lang w:val="es-419"/>
        </w:rPr>
        <w:t>8</w:t>
      </w:r>
      <w:r w:rsidRPr="004C0C15">
        <w:rPr>
          <w:rFonts w:eastAsia="Calibri"/>
          <w:i/>
          <w:iCs/>
          <w:noProof/>
          <w:color w:val="4C4747"/>
          <w:lang w:val="es-419"/>
        </w:rPr>
        <w:t xml:space="preserve">. Resumen </w:t>
      </w:r>
      <w:r>
        <w:rPr>
          <w:rFonts w:eastAsia="Calibri"/>
          <w:i/>
          <w:iCs/>
          <w:noProof/>
          <w:color w:val="4C4747"/>
          <w:lang w:val="es-419"/>
        </w:rPr>
        <w:t>informes y opiniones</w:t>
      </w:r>
      <w:r w:rsidRPr="004C0C15">
        <w:rPr>
          <w:rFonts w:eastAsia="Calibri"/>
          <w:i/>
          <w:iCs/>
          <w:noProof/>
          <w:color w:val="4C4747"/>
          <w:lang w:val="es-419"/>
        </w:rPr>
        <w:t xml:space="preserve"> emitid</w:t>
      </w:r>
      <w:r>
        <w:rPr>
          <w:rFonts w:eastAsia="Calibri"/>
          <w:i/>
          <w:iCs/>
          <w:noProof/>
          <w:color w:val="4C4747"/>
          <w:lang w:val="es-419"/>
        </w:rPr>
        <w:t>a</w:t>
      </w:r>
      <w:r w:rsidRPr="004C0C15">
        <w:rPr>
          <w:rFonts w:eastAsia="Calibri"/>
          <w:i/>
          <w:iCs/>
          <w:noProof/>
          <w:color w:val="4C4747"/>
          <w:lang w:val="es-419"/>
        </w:rPr>
        <w:t>s</w:t>
      </w:r>
    </w:p>
    <w:p w14:paraId="6182D551" w14:textId="77777777" w:rsidR="000347A3" w:rsidRDefault="000347A3" w:rsidP="00886F32">
      <w:pPr>
        <w:tabs>
          <w:tab w:val="left" w:pos="1260"/>
        </w:tabs>
        <w:spacing w:after="0" w:line="360" w:lineRule="auto"/>
        <w:ind w:left="720"/>
        <w:rPr>
          <w:rFonts w:eastAsia="Calibri"/>
          <w:noProof/>
          <w:color w:val="4C4747"/>
          <w:lang w:val="es-419"/>
        </w:rPr>
      </w:pPr>
    </w:p>
    <w:p w14:paraId="73CEBCF7" w14:textId="520673E9" w:rsidR="00C11A13" w:rsidRPr="00C11A13" w:rsidRDefault="00C11A13" w:rsidP="00886F32">
      <w:pPr>
        <w:tabs>
          <w:tab w:val="left" w:pos="1260"/>
        </w:tabs>
        <w:spacing w:after="0" w:line="360" w:lineRule="auto"/>
        <w:ind w:left="720"/>
        <w:rPr>
          <w:rFonts w:eastAsia="Calibri"/>
          <w:b/>
          <w:noProof/>
          <w:color w:val="4C4747"/>
          <w:lang w:val="es-419"/>
        </w:rPr>
      </w:pPr>
      <w:r w:rsidRPr="00C11A13">
        <w:rPr>
          <w:rFonts w:eastAsia="Calibri"/>
          <w:b/>
          <w:noProof/>
          <w:color w:val="4C4747"/>
          <w:lang w:val="es-419"/>
        </w:rPr>
        <w:t>Contratos y Acuerdos</w:t>
      </w:r>
      <w:bookmarkEnd w:id="121"/>
    </w:p>
    <w:p w14:paraId="5D344511"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El Departamento de Litigios y Consultas también participó en la elaboración de once (11) contratos y acuerdos de este Ministerio de la Presidencia, lo hemos clasificado de la siguiente manera:</w:t>
      </w:r>
    </w:p>
    <w:p w14:paraId="2003F14F" w14:textId="7758B326" w:rsidR="00BD6B31" w:rsidRPr="00C11A13" w:rsidRDefault="00BD6B31" w:rsidP="00886F32">
      <w:pPr>
        <w:tabs>
          <w:tab w:val="left" w:pos="1260"/>
        </w:tabs>
        <w:spacing w:after="0" w:line="360" w:lineRule="auto"/>
        <w:ind w:left="720"/>
        <w:jc w:val="both"/>
        <w:rPr>
          <w:rFonts w:eastAsia="Calibri"/>
          <w:noProof/>
          <w:color w:val="4C4747"/>
          <w:lang w:val="es-419"/>
        </w:rPr>
      </w:pPr>
    </w:p>
    <w:tbl>
      <w:tblPr>
        <w:tblStyle w:val="GridTable1Light-Accent3"/>
        <w:tblW w:w="7020" w:type="dxa"/>
        <w:tblInd w:w="805" w:type="dxa"/>
        <w:tblLook w:val="04A0" w:firstRow="1" w:lastRow="0" w:firstColumn="1" w:lastColumn="0" w:noHBand="0" w:noVBand="1"/>
      </w:tblPr>
      <w:tblGrid>
        <w:gridCol w:w="1982"/>
        <w:gridCol w:w="1337"/>
        <w:gridCol w:w="3701"/>
      </w:tblGrid>
      <w:tr w:rsidR="00C11A13" w:rsidRPr="000956E6" w14:paraId="20482272" w14:textId="77777777" w:rsidTr="00BD6B31">
        <w:trPr>
          <w:cnfStyle w:val="100000000000" w:firstRow="1" w:lastRow="0" w:firstColumn="0" w:lastColumn="0" w:oddVBand="0" w:evenVBand="0" w:oddHBand="0" w:evenHBand="0" w:firstRowFirstColumn="0" w:firstRowLastColumn="0" w:lastRowFirstColumn="0" w:lastRowLastColumn="0"/>
          <w:trHeight w:val="354"/>
          <w:tblHeader/>
        </w:trPr>
        <w:tc>
          <w:tcPr>
            <w:cnfStyle w:val="001000000000" w:firstRow="0" w:lastRow="0" w:firstColumn="1" w:lastColumn="0" w:oddVBand="0" w:evenVBand="0" w:oddHBand="0" w:evenHBand="0" w:firstRowFirstColumn="0" w:firstRowLastColumn="0" w:lastRowFirstColumn="0" w:lastRowLastColumn="0"/>
            <w:tcW w:w="1982" w:type="dxa"/>
            <w:shd w:val="clear" w:color="auto" w:fill="1F3864" w:themeFill="accent1" w:themeFillShade="80"/>
            <w:hideMark/>
          </w:tcPr>
          <w:p w14:paraId="7B5F881E" w14:textId="77777777" w:rsidR="00C11A13" w:rsidRPr="000956E6" w:rsidRDefault="00C11A13" w:rsidP="00BD6B31">
            <w:pPr>
              <w:tabs>
                <w:tab w:val="left" w:pos="1260"/>
              </w:tabs>
              <w:spacing w:line="360" w:lineRule="auto"/>
              <w:rPr>
                <w:rFonts w:eastAsia="Calibri"/>
                <w:noProof/>
                <w:color w:val="FFFFFF" w:themeColor="background1"/>
                <w:lang w:val="es-419"/>
              </w:rPr>
            </w:pPr>
            <w:r w:rsidRPr="000956E6">
              <w:rPr>
                <w:rFonts w:eastAsia="Calibri"/>
                <w:noProof/>
                <w:color w:val="FFFFFF" w:themeColor="background1"/>
                <w:lang w:val="es-419"/>
              </w:rPr>
              <w:t>Tipo / Categoría</w:t>
            </w:r>
          </w:p>
        </w:tc>
        <w:tc>
          <w:tcPr>
            <w:tcW w:w="1337" w:type="dxa"/>
            <w:shd w:val="clear" w:color="auto" w:fill="1F3864" w:themeFill="accent1" w:themeFillShade="80"/>
            <w:hideMark/>
          </w:tcPr>
          <w:p w14:paraId="1AF5E9A7" w14:textId="77777777" w:rsidR="00C11A13" w:rsidRPr="000956E6" w:rsidRDefault="00C11A13"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0956E6">
              <w:rPr>
                <w:rFonts w:eastAsia="Calibri"/>
                <w:noProof/>
                <w:color w:val="FFFFFF" w:themeColor="background1"/>
                <w:lang w:val="es-419"/>
              </w:rPr>
              <w:t>Cantidad</w:t>
            </w:r>
          </w:p>
        </w:tc>
        <w:tc>
          <w:tcPr>
            <w:tcW w:w="3701" w:type="dxa"/>
            <w:shd w:val="clear" w:color="auto" w:fill="1F3864" w:themeFill="accent1" w:themeFillShade="80"/>
            <w:hideMark/>
          </w:tcPr>
          <w:p w14:paraId="67115DCB" w14:textId="77777777" w:rsidR="00C11A13" w:rsidRPr="000956E6" w:rsidRDefault="00C11A13"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0956E6">
              <w:rPr>
                <w:rFonts w:eastAsia="Calibri"/>
                <w:noProof/>
                <w:color w:val="FFFFFF" w:themeColor="background1"/>
                <w:lang w:val="es-419"/>
              </w:rPr>
              <w:t>Contrato / Acuerdo</w:t>
            </w:r>
          </w:p>
        </w:tc>
      </w:tr>
      <w:tr w:rsidR="00C11A13" w:rsidRPr="00751A6E" w14:paraId="631F3DD3" w14:textId="77777777" w:rsidTr="00BD6B31">
        <w:trPr>
          <w:trHeight w:val="884"/>
        </w:trPr>
        <w:tc>
          <w:tcPr>
            <w:cnfStyle w:val="001000000000" w:firstRow="0" w:lastRow="0" w:firstColumn="1" w:lastColumn="0" w:oddVBand="0" w:evenVBand="0" w:oddHBand="0" w:evenHBand="0" w:firstRowFirstColumn="0" w:firstRowLastColumn="0" w:lastRowFirstColumn="0" w:lastRowLastColumn="0"/>
            <w:tcW w:w="1982" w:type="dxa"/>
            <w:hideMark/>
          </w:tcPr>
          <w:p w14:paraId="0A5E1FE5" w14:textId="77777777" w:rsidR="00C11A13" w:rsidRPr="000956E6" w:rsidRDefault="00C11A13" w:rsidP="00BD6B31">
            <w:pPr>
              <w:tabs>
                <w:tab w:val="left" w:pos="1260"/>
              </w:tabs>
              <w:spacing w:line="360" w:lineRule="auto"/>
              <w:rPr>
                <w:rFonts w:eastAsia="Calibri"/>
                <w:b w:val="0"/>
                <w:bCs w:val="0"/>
                <w:noProof/>
                <w:color w:val="4C4747"/>
                <w:lang w:val="es-419"/>
              </w:rPr>
            </w:pPr>
            <w:r w:rsidRPr="000956E6">
              <w:rPr>
                <w:rFonts w:eastAsia="Calibri"/>
                <w:b w:val="0"/>
                <w:bCs w:val="0"/>
                <w:noProof/>
                <w:color w:val="4C4747"/>
                <w:lang w:val="es-419"/>
              </w:rPr>
              <w:t>Tecnologías y Sistemas</w:t>
            </w:r>
          </w:p>
        </w:tc>
        <w:tc>
          <w:tcPr>
            <w:tcW w:w="1337" w:type="dxa"/>
            <w:hideMark/>
          </w:tcPr>
          <w:p w14:paraId="57FA5BAC" w14:textId="77777777" w:rsidR="00C11A13" w:rsidRPr="000956E6"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956E6">
              <w:rPr>
                <w:rFonts w:eastAsia="Calibri"/>
                <w:noProof/>
                <w:color w:val="4C4747"/>
                <w:lang w:val="es-419"/>
              </w:rPr>
              <w:t>3</w:t>
            </w:r>
          </w:p>
        </w:tc>
        <w:tc>
          <w:tcPr>
            <w:tcW w:w="3701" w:type="dxa"/>
            <w:hideMark/>
          </w:tcPr>
          <w:p w14:paraId="3A9BBA43"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 xml:space="preserve">Antivirus WatchGuard </w:t>
            </w:r>
          </w:p>
          <w:p w14:paraId="034581F2"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 xml:space="preserve">Sistema LITESYT </w:t>
            </w:r>
          </w:p>
          <w:p w14:paraId="1C96E015"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Diseño de programas de competencias – SKILLS</w:t>
            </w:r>
          </w:p>
        </w:tc>
      </w:tr>
      <w:tr w:rsidR="00C11A13" w:rsidRPr="000956E6" w14:paraId="17FB8F6B" w14:textId="77777777" w:rsidTr="00BD6B31">
        <w:trPr>
          <w:trHeight w:val="1912"/>
        </w:trPr>
        <w:tc>
          <w:tcPr>
            <w:cnfStyle w:val="001000000000" w:firstRow="0" w:lastRow="0" w:firstColumn="1" w:lastColumn="0" w:oddVBand="0" w:evenVBand="0" w:oddHBand="0" w:evenHBand="0" w:firstRowFirstColumn="0" w:firstRowLastColumn="0" w:lastRowFirstColumn="0" w:lastRowLastColumn="0"/>
            <w:tcW w:w="1982" w:type="dxa"/>
            <w:hideMark/>
          </w:tcPr>
          <w:p w14:paraId="4093C156" w14:textId="77777777" w:rsidR="00C11A13" w:rsidRPr="000956E6" w:rsidRDefault="00C11A13" w:rsidP="00BD6B31">
            <w:pPr>
              <w:tabs>
                <w:tab w:val="left" w:pos="1260"/>
              </w:tabs>
              <w:spacing w:line="360" w:lineRule="auto"/>
              <w:rPr>
                <w:rFonts w:eastAsia="Calibri"/>
                <w:b w:val="0"/>
                <w:bCs w:val="0"/>
                <w:noProof/>
                <w:color w:val="4C4747"/>
                <w:lang w:val="es-419"/>
              </w:rPr>
            </w:pPr>
            <w:r w:rsidRPr="000956E6">
              <w:rPr>
                <w:rFonts w:eastAsia="Calibri"/>
                <w:b w:val="0"/>
                <w:bCs w:val="0"/>
                <w:noProof/>
                <w:color w:val="4C4747"/>
                <w:lang w:val="es-419"/>
              </w:rPr>
              <w:t>Servicios Legales y Asesoría Especializada</w:t>
            </w:r>
          </w:p>
        </w:tc>
        <w:tc>
          <w:tcPr>
            <w:tcW w:w="1337" w:type="dxa"/>
            <w:hideMark/>
          </w:tcPr>
          <w:p w14:paraId="7F6CD97A" w14:textId="77777777" w:rsidR="00C11A13" w:rsidRPr="000956E6"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956E6">
              <w:rPr>
                <w:rFonts w:eastAsia="Calibri"/>
                <w:noProof/>
                <w:color w:val="4C4747"/>
                <w:lang w:val="es-419"/>
              </w:rPr>
              <w:t>4</w:t>
            </w:r>
          </w:p>
        </w:tc>
        <w:tc>
          <w:tcPr>
            <w:tcW w:w="3701" w:type="dxa"/>
            <w:hideMark/>
          </w:tcPr>
          <w:p w14:paraId="0DE02A57"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Servicios legales del Comisionado Reforma para la reforma del Estado.</w:t>
            </w:r>
          </w:p>
          <w:p w14:paraId="6BC4F962"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Asesoría DDHH y relaciones internacionales.</w:t>
            </w:r>
          </w:p>
          <w:p w14:paraId="7EA02420"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lastRenderedPageBreak/>
              <w:t>Opinión técnico-legal sobre sistema ferroviario.</w:t>
            </w:r>
          </w:p>
          <w:p w14:paraId="6096E5D2"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Diseño complementación programa– Barna.</w:t>
            </w:r>
          </w:p>
        </w:tc>
      </w:tr>
      <w:tr w:rsidR="00C11A13" w:rsidRPr="007B6BCF" w14:paraId="28717337" w14:textId="77777777" w:rsidTr="00BD6B31">
        <w:trPr>
          <w:trHeight w:val="510"/>
        </w:trPr>
        <w:tc>
          <w:tcPr>
            <w:cnfStyle w:val="001000000000" w:firstRow="0" w:lastRow="0" w:firstColumn="1" w:lastColumn="0" w:oddVBand="0" w:evenVBand="0" w:oddHBand="0" w:evenHBand="0" w:firstRowFirstColumn="0" w:firstRowLastColumn="0" w:lastRowFirstColumn="0" w:lastRowLastColumn="0"/>
            <w:tcW w:w="1982" w:type="dxa"/>
            <w:hideMark/>
          </w:tcPr>
          <w:p w14:paraId="28B9C574" w14:textId="77777777" w:rsidR="00C11A13" w:rsidRPr="000956E6" w:rsidRDefault="00C11A13" w:rsidP="00BD6B31">
            <w:pPr>
              <w:tabs>
                <w:tab w:val="left" w:pos="1260"/>
              </w:tabs>
              <w:spacing w:line="360" w:lineRule="auto"/>
              <w:rPr>
                <w:rFonts w:eastAsia="Calibri"/>
                <w:b w:val="0"/>
                <w:bCs w:val="0"/>
                <w:noProof/>
                <w:color w:val="4C4747"/>
                <w:lang w:val="es-419"/>
              </w:rPr>
            </w:pPr>
            <w:r w:rsidRPr="000956E6">
              <w:rPr>
                <w:rFonts w:eastAsia="Calibri"/>
                <w:b w:val="0"/>
                <w:bCs w:val="0"/>
                <w:noProof/>
                <w:color w:val="4C4747"/>
                <w:lang w:val="es-419"/>
              </w:rPr>
              <w:lastRenderedPageBreak/>
              <w:t>Mantenimiento Vehicular</w:t>
            </w:r>
          </w:p>
        </w:tc>
        <w:tc>
          <w:tcPr>
            <w:tcW w:w="1337" w:type="dxa"/>
            <w:hideMark/>
          </w:tcPr>
          <w:p w14:paraId="79D8B4D9" w14:textId="77777777" w:rsidR="00C11A13" w:rsidRPr="000956E6"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956E6">
              <w:rPr>
                <w:rFonts w:eastAsia="Calibri"/>
                <w:noProof/>
                <w:color w:val="4C4747"/>
                <w:lang w:val="es-419"/>
              </w:rPr>
              <w:t>2</w:t>
            </w:r>
          </w:p>
        </w:tc>
        <w:tc>
          <w:tcPr>
            <w:tcW w:w="3701" w:type="dxa"/>
            <w:hideMark/>
          </w:tcPr>
          <w:p w14:paraId="099EF481"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Mantenimiento vehículos Chevrolet.</w:t>
            </w:r>
          </w:p>
          <w:p w14:paraId="32169C28"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Mantenimiento vehículos Toyota.</w:t>
            </w:r>
          </w:p>
        </w:tc>
      </w:tr>
      <w:tr w:rsidR="00C11A13" w:rsidRPr="007B6BCF" w14:paraId="7FC16B86" w14:textId="77777777" w:rsidTr="00BD6B31">
        <w:trPr>
          <w:trHeight w:val="510"/>
        </w:trPr>
        <w:tc>
          <w:tcPr>
            <w:cnfStyle w:val="001000000000" w:firstRow="0" w:lastRow="0" w:firstColumn="1" w:lastColumn="0" w:oddVBand="0" w:evenVBand="0" w:oddHBand="0" w:evenHBand="0" w:firstRowFirstColumn="0" w:firstRowLastColumn="0" w:lastRowFirstColumn="0" w:lastRowLastColumn="0"/>
            <w:tcW w:w="1982" w:type="dxa"/>
            <w:hideMark/>
          </w:tcPr>
          <w:p w14:paraId="235DBFCD" w14:textId="77777777" w:rsidR="00C11A13" w:rsidRPr="000956E6" w:rsidRDefault="00C11A13" w:rsidP="00BD6B31">
            <w:pPr>
              <w:tabs>
                <w:tab w:val="left" w:pos="1260"/>
              </w:tabs>
              <w:spacing w:line="360" w:lineRule="auto"/>
              <w:rPr>
                <w:rFonts w:eastAsia="Calibri"/>
                <w:b w:val="0"/>
                <w:bCs w:val="0"/>
                <w:noProof/>
                <w:color w:val="4C4747"/>
                <w:lang w:val="es-419"/>
              </w:rPr>
            </w:pPr>
            <w:r w:rsidRPr="000956E6">
              <w:rPr>
                <w:rFonts w:eastAsia="Calibri"/>
                <w:b w:val="0"/>
                <w:bCs w:val="0"/>
                <w:noProof/>
                <w:color w:val="4C4747"/>
                <w:lang w:val="es-419"/>
              </w:rPr>
              <w:t>Acuerdos Internacionales y Especiales</w:t>
            </w:r>
          </w:p>
        </w:tc>
        <w:tc>
          <w:tcPr>
            <w:tcW w:w="1337" w:type="dxa"/>
            <w:hideMark/>
          </w:tcPr>
          <w:p w14:paraId="5E93E580" w14:textId="77777777" w:rsidR="00C11A13" w:rsidRPr="000956E6"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956E6">
              <w:rPr>
                <w:rFonts w:eastAsia="Calibri"/>
                <w:noProof/>
                <w:color w:val="4C4747"/>
                <w:lang w:val="es-419"/>
              </w:rPr>
              <w:t>1</w:t>
            </w:r>
          </w:p>
        </w:tc>
        <w:tc>
          <w:tcPr>
            <w:tcW w:w="3701" w:type="dxa"/>
            <w:hideMark/>
          </w:tcPr>
          <w:p w14:paraId="6AD84B05"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Memorando de Entendimiento.</w:t>
            </w:r>
          </w:p>
          <w:p w14:paraId="06C2F1C3"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Conferencia Internacional Anticorrupción</w:t>
            </w:r>
          </w:p>
        </w:tc>
      </w:tr>
      <w:tr w:rsidR="00C11A13" w:rsidRPr="007B6BCF" w14:paraId="48A9F8B6" w14:textId="77777777" w:rsidTr="00BD6B31">
        <w:trPr>
          <w:trHeight w:val="510"/>
        </w:trPr>
        <w:tc>
          <w:tcPr>
            <w:cnfStyle w:val="001000000000" w:firstRow="0" w:lastRow="0" w:firstColumn="1" w:lastColumn="0" w:oddVBand="0" w:evenVBand="0" w:oddHBand="0" w:evenHBand="0" w:firstRowFirstColumn="0" w:firstRowLastColumn="0" w:lastRowFirstColumn="0" w:lastRowLastColumn="0"/>
            <w:tcW w:w="1982" w:type="dxa"/>
            <w:hideMark/>
          </w:tcPr>
          <w:p w14:paraId="3A4701E5" w14:textId="77777777" w:rsidR="00C11A13" w:rsidRPr="000956E6" w:rsidRDefault="00C11A13" w:rsidP="00BD6B31">
            <w:pPr>
              <w:tabs>
                <w:tab w:val="left" w:pos="1260"/>
              </w:tabs>
              <w:spacing w:line="360" w:lineRule="auto"/>
              <w:rPr>
                <w:rFonts w:eastAsia="Calibri"/>
                <w:b w:val="0"/>
                <w:bCs w:val="0"/>
                <w:noProof/>
                <w:color w:val="4C4747"/>
                <w:lang w:val="es-419"/>
              </w:rPr>
            </w:pPr>
            <w:r w:rsidRPr="000956E6">
              <w:rPr>
                <w:rFonts w:eastAsia="Calibri"/>
                <w:b w:val="0"/>
                <w:bCs w:val="0"/>
                <w:noProof/>
                <w:color w:val="4C4747"/>
                <w:lang w:val="es-419"/>
              </w:rPr>
              <w:t xml:space="preserve">Alquiler </w:t>
            </w:r>
          </w:p>
        </w:tc>
        <w:tc>
          <w:tcPr>
            <w:tcW w:w="1337" w:type="dxa"/>
            <w:hideMark/>
          </w:tcPr>
          <w:p w14:paraId="51207EBD" w14:textId="77777777" w:rsidR="00C11A13" w:rsidRPr="000956E6"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956E6">
              <w:rPr>
                <w:rFonts w:eastAsia="Calibri"/>
                <w:noProof/>
                <w:color w:val="4C4747"/>
                <w:lang w:val="es-419"/>
              </w:rPr>
              <w:t>1</w:t>
            </w:r>
          </w:p>
        </w:tc>
        <w:tc>
          <w:tcPr>
            <w:tcW w:w="3701" w:type="dxa"/>
            <w:hideMark/>
          </w:tcPr>
          <w:p w14:paraId="66AAFC9D"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Alquiler local comercial Unicentro Plaza.</w:t>
            </w:r>
          </w:p>
        </w:tc>
      </w:tr>
      <w:tr w:rsidR="00C11A13" w:rsidRPr="000956E6" w14:paraId="74A1BDE0" w14:textId="77777777" w:rsidTr="00BD6B31">
        <w:trPr>
          <w:trHeight w:val="392"/>
        </w:trPr>
        <w:tc>
          <w:tcPr>
            <w:cnfStyle w:val="001000000000" w:firstRow="0" w:lastRow="0" w:firstColumn="1" w:lastColumn="0" w:oddVBand="0" w:evenVBand="0" w:oddHBand="0" w:evenHBand="0" w:firstRowFirstColumn="0" w:firstRowLastColumn="0" w:lastRowFirstColumn="0" w:lastRowLastColumn="0"/>
            <w:tcW w:w="1982" w:type="dxa"/>
            <w:hideMark/>
          </w:tcPr>
          <w:p w14:paraId="3BB74A9D" w14:textId="51245A41" w:rsidR="00C11A13" w:rsidRPr="00535822" w:rsidRDefault="001E209B" w:rsidP="00BD6B31">
            <w:pPr>
              <w:tabs>
                <w:tab w:val="left" w:pos="1260"/>
              </w:tabs>
              <w:spacing w:line="360" w:lineRule="auto"/>
              <w:rPr>
                <w:rFonts w:eastAsia="Calibri"/>
                <w:noProof/>
                <w:color w:val="4C4747"/>
                <w:lang w:val="es-419"/>
              </w:rPr>
            </w:pPr>
            <w:r w:rsidRPr="00535822">
              <w:rPr>
                <w:rFonts w:eastAsia="Calibri"/>
                <w:noProof/>
                <w:color w:val="4C4747"/>
                <w:lang w:val="es-419"/>
              </w:rPr>
              <w:t>TOTAL</w:t>
            </w:r>
          </w:p>
        </w:tc>
        <w:tc>
          <w:tcPr>
            <w:tcW w:w="1337" w:type="dxa"/>
            <w:hideMark/>
          </w:tcPr>
          <w:p w14:paraId="01B6437A" w14:textId="77777777" w:rsidR="00C11A13" w:rsidRPr="00535822"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535822">
              <w:rPr>
                <w:rFonts w:eastAsia="Calibri"/>
                <w:b/>
                <w:bCs/>
                <w:noProof/>
                <w:color w:val="4C4747"/>
                <w:lang w:val="es-419"/>
              </w:rPr>
              <w:t>11</w:t>
            </w:r>
          </w:p>
        </w:tc>
        <w:tc>
          <w:tcPr>
            <w:tcW w:w="3701" w:type="dxa"/>
            <w:hideMark/>
          </w:tcPr>
          <w:p w14:paraId="48475C03" w14:textId="77777777" w:rsidR="00C11A13" w:rsidRPr="000956E6" w:rsidRDefault="00C11A13" w:rsidP="00886F32">
            <w:pPr>
              <w:tabs>
                <w:tab w:val="left" w:pos="1260"/>
              </w:tabs>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p w14:paraId="736B1A29" w14:textId="0C66722F" w:rsidR="00773116" w:rsidRPr="004C0C15" w:rsidRDefault="00773116" w:rsidP="00886F32">
      <w:pPr>
        <w:tabs>
          <w:tab w:val="left" w:pos="1260"/>
        </w:tabs>
        <w:spacing w:after="0" w:line="360" w:lineRule="auto"/>
        <w:ind w:left="720"/>
        <w:jc w:val="both"/>
        <w:rPr>
          <w:rFonts w:eastAsia="Calibri"/>
          <w:i/>
          <w:iCs/>
          <w:noProof/>
          <w:color w:val="4C4747"/>
          <w:lang w:val="es-419"/>
        </w:rPr>
      </w:pPr>
      <w:r w:rsidRPr="004C0C15">
        <w:rPr>
          <w:rFonts w:eastAsia="Calibri"/>
          <w:i/>
          <w:iCs/>
          <w:noProof/>
          <w:color w:val="4C4747"/>
          <w:lang w:val="es-419"/>
        </w:rPr>
        <w:t>Tabla 1</w:t>
      </w:r>
      <w:r>
        <w:rPr>
          <w:rFonts w:eastAsia="Calibri"/>
          <w:i/>
          <w:iCs/>
          <w:noProof/>
          <w:color w:val="4C4747"/>
          <w:lang w:val="es-419"/>
        </w:rPr>
        <w:t>5</w:t>
      </w:r>
      <w:r w:rsidRPr="004C0C15">
        <w:rPr>
          <w:rFonts w:eastAsia="Calibri"/>
          <w:i/>
          <w:iCs/>
          <w:noProof/>
          <w:color w:val="4C4747"/>
          <w:lang w:val="es-419"/>
        </w:rPr>
        <w:t xml:space="preserve">. Resumen </w:t>
      </w:r>
      <w:r>
        <w:rPr>
          <w:rFonts w:eastAsia="Calibri"/>
          <w:i/>
          <w:iCs/>
          <w:noProof/>
          <w:color w:val="4C4747"/>
          <w:lang w:val="es-419"/>
        </w:rPr>
        <w:t>contratos y acuerdos realizados</w:t>
      </w:r>
    </w:p>
    <w:p w14:paraId="396651CA" w14:textId="77777777" w:rsidR="00056477" w:rsidRDefault="00056477" w:rsidP="00886F32">
      <w:pPr>
        <w:tabs>
          <w:tab w:val="left" w:pos="1260"/>
        </w:tabs>
        <w:spacing w:after="0" w:line="360" w:lineRule="auto"/>
        <w:ind w:left="720"/>
        <w:rPr>
          <w:rFonts w:eastAsia="Calibri"/>
          <w:b/>
          <w:noProof/>
          <w:color w:val="4C4747"/>
          <w:lang w:val="es-419"/>
        </w:rPr>
      </w:pPr>
      <w:bookmarkStart w:id="122" w:name="_Toc215586156"/>
    </w:p>
    <w:p w14:paraId="5F823AE5" w14:textId="7DA83781" w:rsidR="00C11A13" w:rsidRPr="00C11A13" w:rsidRDefault="00C11A13" w:rsidP="00886F32">
      <w:pPr>
        <w:tabs>
          <w:tab w:val="left" w:pos="1260"/>
        </w:tabs>
        <w:spacing w:after="0" w:line="360" w:lineRule="auto"/>
        <w:ind w:left="720"/>
        <w:rPr>
          <w:rFonts w:eastAsia="Calibri"/>
          <w:b/>
          <w:noProof/>
          <w:color w:val="4C4747"/>
          <w:lang w:val="es-419"/>
        </w:rPr>
      </w:pPr>
      <w:r w:rsidRPr="00C11A13">
        <w:rPr>
          <w:rFonts w:eastAsia="Calibri"/>
          <w:b/>
          <w:noProof/>
          <w:color w:val="4C4747"/>
          <w:lang w:val="es-419"/>
        </w:rPr>
        <w:t>Enmiendas a Contratos de compras y contrataciones públicas</w:t>
      </w:r>
      <w:bookmarkEnd w:id="122"/>
    </w:p>
    <w:p w14:paraId="66C9095D" w14:textId="77777777" w:rsidR="00C11A13" w:rsidRDefault="00C11A13"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Adicionalmente el Departamento de Litigios y Consultas gestionó la revisión y validación de diversas enmiendas a contratos y convenios suscritos por el Ministerio de la Presidencia.</w:t>
      </w:r>
    </w:p>
    <w:p w14:paraId="625052A7" w14:textId="77777777" w:rsidR="00BD6B31" w:rsidRDefault="00BD6B31" w:rsidP="00886F32">
      <w:pPr>
        <w:tabs>
          <w:tab w:val="left" w:pos="1260"/>
        </w:tabs>
        <w:spacing w:after="0" w:line="360" w:lineRule="auto"/>
        <w:ind w:left="720"/>
        <w:jc w:val="both"/>
        <w:rPr>
          <w:rFonts w:eastAsia="Calibri"/>
          <w:noProof/>
          <w:color w:val="4C4747"/>
          <w:lang w:val="es-419"/>
        </w:rPr>
      </w:pPr>
    </w:p>
    <w:p w14:paraId="45551106" w14:textId="77777777" w:rsidR="00BD6B31" w:rsidRDefault="00BD6B31" w:rsidP="00886F32">
      <w:pPr>
        <w:tabs>
          <w:tab w:val="left" w:pos="1260"/>
        </w:tabs>
        <w:spacing w:after="0" w:line="360" w:lineRule="auto"/>
        <w:ind w:left="720"/>
        <w:jc w:val="both"/>
        <w:rPr>
          <w:rFonts w:eastAsia="Calibri"/>
          <w:noProof/>
          <w:color w:val="4C4747"/>
          <w:lang w:val="es-419"/>
        </w:rPr>
      </w:pPr>
    </w:p>
    <w:p w14:paraId="66E37EFA" w14:textId="77777777" w:rsidR="00BD6B31" w:rsidRPr="00C11A13" w:rsidRDefault="00BD6B31" w:rsidP="00886F32">
      <w:pPr>
        <w:tabs>
          <w:tab w:val="left" w:pos="1260"/>
        </w:tabs>
        <w:spacing w:after="0" w:line="360" w:lineRule="auto"/>
        <w:ind w:left="720"/>
        <w:jc w:val="both"/>
        <w:rPr>
          <w:rFonts w:eastAsia="Calibri"/>
          <w:noProof/>
          <w:color w:val="4C4747"/>
          <w:lang w:val="es-419"/>
        </w:rPr>
      </w:pPr>
    </w:p>
    <w:p w14:paraId="496E6588" w14:textId="77777777" w:rsidR="00C11A13" w:rsidRPr="00C11A13" w:rsidRDefault="00C11A13" w:rsidP="00886F32">
      <w:pPr>
        <w:tabs>
          <w:tab w:val="left" w:pos="1260"/>
        </w:tabs>
        <w:spacing w:after="0" w:line="360" w:lineRule="auto"/>
        <w:ind w:left="720"/>
        <w:jc w:val="both"/>
        <w:rPr>
          <w:rFonts w:eastAsia="Calibri"/>
          <w:noProof/>
          <w:color w:val="4C4747"/>
          <w:lang w:val="es-419"/>
        </w:rPr>
      </w:pPr>
    </w:p>
    <w:tbl>
      <w:tblPr>
        <w:tblStyle w:val="GridTable1Light-Accent3"/>
        <w:tblW w:w="7842" w:type="dxa"/>
        <w:tblInd w:w="523" w:type="dxa"/>
        <w:tblLook w:val="04A0" w:firstRow="1" w:lastRow="0" w:firstColumn="1" w:lastColumn="0" w:noHBand="0" w:noVBand="1"/>
      </w:tblPr>
      <w:tblGrid>
        <w:gridCol w:w="2464"/>
        <w:gridCol w:w="1337"/>
        <w:gridCol w:w="4041"/>
      </w:tblGrid>
      <w:tr w:rsidR="00C11A13" w:rsidRPr="00D92A94" w14:paraId="596D3DD9" w14:textId="77777777" w:rsidTr="00BF6927">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464" w:type="dxa"/>
            <w:shd w:val="clear" w:color="auto" w:fill="1F3864" w:themeFill="accent1" w:themeFillShade="80"/>
            <w:hideMark/>
          </w:tcPr>
          <w:p w14:paraId="67C18336" w14:textId="77777777" w:rsidR="00C11A13" w:rsidRPr="00D92A94" w:rsidRDefault="00C11A13" w:rsidP="00BD6B31">
            <w:pPr>
              <w:tabs>
                <w:tab w:val="left" w:pos="1260"/>
              </w:tabs>
              <w:spacing w:line="360" w:lineRule="auto"/>
              <w:rPr>
                <w:rFonts w:eastAsia="Calibri"/>
                <w:noProof/>
                <w:color w:val="FFFFFF" w:themeColor="background1"/>
                <w:lang w:val="es-419"/>
              </w:rPr>
            </w:pPr>
            <w:bookmarkStart w:id="123" w:name="_Hlk215552423"/>
            <w:r w:rsidRPr="00D92A94">
              <w:rPr>
                <w:rFonts w:eastAsia="Calibri"/>
                <w:noProof/>
                <w:color w:val="FFFFFF" w:themeColor="background1"/>
                <w:lang w:val="es-419"/>
              </w:rPr>
              <w:lastRenderedPageBreak/>
              <w:t>Tipo / Categoría</w:t>
            </w:r>
          </w:p>
        </w:tc>
        <w:tc>
          <w:tcPr>
            <w:tcW w:w="1337" w:type="dxa"/>
            <w:shd w:val="clear" w:color="auto" w:fill="1F3864" w:themeFill="accent1" w:themeFillShade="80"/>
            <w:hideMark/>
          </w:tcPr>
          <w:p w14:paraId="05D3A947" w14:textId="77777777" w:rsidR="00C11A13" w:rsidRPr="00D92A94" w:rsidRDefault="00C11A13"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D92A94">
              <w:rPr>
                <w:rFonts w:eastAsia="Calibri"/>
                <w:noProof/>
                <w:color w:val="FFFFFF" w:themeColor="background1"/>
                <w:lang w:val="es-419"/>
              </w:rPr>
              <w:t>Cantidad</w:t>
            </w:r>
          </w:p>
        </w:tc>
        <w:tc>
          <w:tcPr>
            <w:tcW w:w="4041" w:type="dxa"/>
            <w:shd w:val="clear" w:color="auto" w:fill="1F3864" w:themeFill="accent1" w:themeFillShade="80"/>
            <w:hideMark/>
          </w:tcPr>
          <w:p w14:paraId="2411C988" w14:textId="73FFC47F" w:rsidR="00C11A13" w:rsidRPr="00D92A94" w:rsidRDefault="00C11A13"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D92A94">
              <w:rPr>
                <w:rFonts w:eastAsia="Calibri"/>
                <w:noProof/>
                <w:color w:val="FFFFFF" w:themeColor="background1"/>
                <w:lang w:val="es-419"/>
              </w:rPr>
              <w:t>Contrato</w:t>
            </w:r>
          </w:p>
        </w:tc>
      </w:tr>
      <w:tr w:rsidR="00C11A13" w:rsidRPr="007B6BCF" w14:paraId="52A42F53" w14:textId="77777777" w:rsidTr="00BF6927">
        <w:trPr>
          <w:trHeight w:val="677"/>
        </w:trPr>
        <w:tc>
          <w:tcPr>
            <w:cnfStyle w:val="001000000000" w:firstRow="0" w:lastRow="0" w:firstColumn="1" w:lastColumn="0" w:oddVBand="0" w:evenVBand="0" w:oddHBand="0" w:evenHBand="0" w:firstRowFirstColumn="0" w:firstRowLastColumn="0" w:lastRowFirstColumn="0" w:lastRowLastColumn="0"/>
            <w:tcW w:w="2464" w:type="dxa"/>
            <w:hideMark/>
          </w:tcPr>
          <w:p w14:paraId="4EEA86B2" w14:textId="77777777" w:rsidR="00C11A13" w:rsidRPr="00D92A94" w:rsidRDefault="00C11A13" w:rsidP="00BD6B31">
            <w:pPr>
              <w:tabs>
                <w:tab w:val="left" w:pos="1260"/>
              </w:tabs>
              <w:spacing w:line="360" w:lineRule="auto"/>
              <w:rPr>
                <w:rFonts w:eastAsia="Calibri"/>
                <w:b w:val="0"/>
                <w:bCs w:val="0"/>
                <w:noProof/>
                <w:color w:val="4C4747"/>
                <w:lang w:val="es-419"/>
              </w:rPr>
            </w:pPr>
            <w:r w:rsidRPr="00D92A94">
              <w:rPr>
                <w:rFonts w:eastAsia="Calibri"/>
                <w:b w:val="0"/>
                <w:bCs w:val="0"/>
                <w:noProof/>
                <w:color w:val="4C4747"/>
                <w:lang w:val="es-419"/>
              </w:rPr>
              <w:t xml:space="preserve">Alquiler y arrendamientos </w:t>
            </w:r>
          </w:p>
        </w:tc>
        <w:tc>
          <w:tcPr>
            <w:tcW w:w="1337" w:type="dxa"/>
            <w:hideMark/>
          </w:tcPr>
          <w:p w14:paraId="163E44D7" w14:textId="77777777" w:rsidR="00C11A13" w:rsidRPr="00D92A94"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D92A94">
              <w:rPr>
                <w:rFonts w:eastAsia="Calibri"/>
                <w:noProof/>
                <w:color w:val="4C4747"/>
                <w:lang w:val="es-419"/>
              </w:rPr>
              <w:t>1</w:t>
            </w:r>
          </w:p>
        </w:tc>
        <w:tc>
          <w:tcPr>
            <w:tcW w:w="4041" w:type="dxa"/>
            <w:hideMark/>
          </w:tcPr>
          <w:p w14:paraId="6DE3AE57"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Extensión vigencia, local comercial núm. 28 centro comercial Unicentro Plaza.</w:t>
            </w:r>
          </w:p>
        </w:tc>
      </w:tr>
      <w:tr w:rsidR="00C11A13" w:rsidRPr="007B6BCF" w14:paraId="556A34CA" w14:textId="77777777" w:rsidTr="00BF6927">
        <w:trPr>
          <w:trHeight w:val="1525"/>
        </w:trPr>
        <w:tc>
          <w:tcPr>
            <w:cnfStyle w:val="001000000000" w:firstRow="0" w:lastRow="0" w:firstColumn="1" w:lastColumn="0" w:oddVBand="0" w:evenVBand="0" w:oddHBand="0" w:evenHBand="0" w:firstRowFirstColumn="0" w:firstRowLastColumn="0" w:lastRowFirstColumn="0" w:lastRowLastColumn="0"/>
            <w:tcW w:w="2464" w:type="dxa"/>
            <w:hideMark/>
          </w:tcPr>
          <w:p w14:paraId="7FB85665" w14:textId="77777777" w:rsidR="00C11A13" w:rsidRPr="00D92A94" w:rsidRDefault="00C11A13" w:rsidP="00BD6B31">
            <w:pPr>
              <w:tabs>
                <w:tab w:val="left" w:pos="1260"/>
              </w:tabs>
              <w:spacing w:line="360" w:lineRule="auto"/>
              <w:rPr>
                <w:rFonts w:eastAsia="Calibri"/>
                <w:b w:val="0"/>
                <w:bCs w:val="0"/>
                <w:noProof/>
                <w:color w:val="4C4747"/>
                <w:lang w:val="es-419"/>
              </w:rPr>
            </w:pPr>
            <w:r w:rsidRPr="00D92A94">
              <w:rPr>
                <w:rFonts w:eastAsia="Calibri"/>
                <w:b w:val="0"/>
                <w:bCs w:val="0"/>
                <w:noProof/>
                <w:color w:val="4C4747"/>
                <w:lang w:val="es-419"/>
              </w:rPr>
              <w:t>Tecnologías y Sistemas</w:t>
            </w:r>
          </w:p>
        </w:tc>
        <w:tc>
          <w:tcPr>
            <w:tcW w:w="1337" w:type="dxa"/>
            <w:hideMark/>
          </w:tcPr>
          <w:p w14:paraId="5DD75953" w14:textId="77777777" w:rsidR="00C11A13" w:rsidRPr="00D92A94"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D92A94">
              <w:rPr>
                <w:rFonts w:eastAsia="Calibri"/>
                <w:noProof/>
                <w:color w:val="4C4747"/>
                <w:lang w:val="es-419"/>
              </w:rPr>
              <w:t>3</w:t>
            </w:r>
          </w:p>
        </w:tc>
        <w:tc>
          <w:tcPr>
            <w:tcW w:w="4041" w:type="dxa"/>
            <w:hideMark/>
          </w:tcPr>
          <w:p w14:paraId="298AB014"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Renovación licenciamiento y suscripciones de software, con empresa PWA, E.I.R.L.</w:t>
            </w:r>
          </w:p>
          <w:p w14:paraId="4891AA75" w14:textId="77777777" w:rsidR="00C11A13" w:rsidRPr="00BD6B31"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Renovación licenciamiento y suscripciones de software, con empresa TCO NETWORKING, S.R.L.,</w:t>
            </w:r>
          </w:p>
          <w:p w14:paraId="17453761" w14:textId="77777777" w:rsidR="00C11A13" w:rsidRPr="00D92A94" w:rsidRDefault="00C11A13" w:rsidP="00886F32">
            <w:pPr>
              <w:tabs>
                <w:tab w:val="left" w:pos="1260"/>
              </w:tabs>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r w:rsidR="00C11A13" w:rsidRPr="00D92A94" w14:paraId="10559CB6" w14:textId="77777777" w:rsidTr="00BF6927">
        <w:trPr>
          <w:trHeight w:val="395"/>
        </w:trPr>
        <w:tc>
          <w:tcPr>
            <w:cnfStyle w:val="001000000000" w:firstRow="0" w:lastRow="0" w:firstColumn="1" w:lastColumn="0" w:oddVBand="0" w:evenVBand="0" w:oddHBand="0" w:evenHBand="0" w:firstRowFirstColumn="0" w:firstRowLastColumn="0" w:lastRowFirstColumn="0" w:lastRowLastColumn="0"/>
            <w:tcW w:w="2464" w:type="dxa"/>
            <w:hideMark/>
          </w:tcPr>
          <w:p w14:paraId="66781E32" w14:textId="5AED41DD" w:rsidR="00C11A13" w:rsidRPr="00535822" w:rsidRDefault="00975DDE" w:rsidP="00BD6B31">
            <w:pPr>
              <w:tabs>
                <w:tab w:val="left" w:pos="1260"/>
              </w:tabs>
              <w:spacing w:line="360" w:lineRule="auto"/>
              <w:rPr>
                <w:rFonts w:eastAsia="Calibri"/>
                <w:noProof/>
                <w:color w:val="4C4747"/>
                <w:lang w:val="es-419"/>
              </w:rPr>
            </w:pPr>
            <w:r w:rsidRPr="00535822">
              <w:rPr>
                <w:rFonts w:eastAsia="Calibri"/>
                <w:noProof/>
                <w:color w:val="4C4747"/>
                <w:lang w:val="es-419"/>
              </w:rPr>
              <w:t>TOTAL</w:t>
            </w:r>
          </w:p>
        </w:tc>
        <w:tc>
          <w:tcPr>
            <w:tcW w:w="1337" w:type="dxa"/>
            <w:hideMark/>
          </w:tcPr>
          <w:p w14:paraId="292B44D3" w14:textId="77777777" w:rsidR="00C11A13" w:rsidRPr="00535822" w:rsidRDefault="00C11A13" w:rsidP="00BD6B31">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535822">
              <w:rPr>
                <w:rFonts w:eastAsia="Calibri"/>
                <w:b/>
                <w:bCs/>
                <w:noProof/>
                <w:color w:val="4C4747"/>
                <w:lang w:val="es-419"/>
              </w:rPr>
              <w:t>4</w:t>
            </w:r>
          </w:p>
        </w:tc>
        <w:tc>
          <w:tcPr>
            <w:tcW w:w="4041" w:type="dxa"/>
            <w:hideMark/>
          </w:tcPr>
          <w:p w14:paraId="7BFC1243" w14:textId="77777777" w:rsidR="00C11A13" w:rsidRPr="00D92A94" w:rsidRDefault="00C11A13" w:rsidP="00886F32">
            <w:pPr>
              <w:tabs>
                <w:tab w:val="left" w:pos="1260"/>
              </w:tabs>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bookmarkEnd w:id="123"/>
    <w:p w14:paraId="56AB6187" w14:textId="408B2725" w:rsidR="00F95316" w:rsidRPr="004C0C15" w:rsidRDefault="00BD6B31" w:rsidP="00886F32">
      <w:pPr>
        <w:tabs>
          <w:tab w:val="left" w:pos="1260"/>
        </w:tabs>
        <w:spacing w:after="0" w:line="360" w:lineRule="auto"/>
        <w:ind w:left="720"/>
        <w:jc w:val="both"/>
        <w:rPr>
          <w:rFonts w:eastAsia="Calibri"/>
          <w:i/>
          <w:iCs/>
          <w:noProof/>
          <w:color w:val="4C4747"/>
          <w:lang w:val="es-419"/>
        </w:rPr>
      </w:pPr>
      <w:r>
        <w:rPr>
          <w:rFonts w:eastAsia="Calibri"/>
          <w:i/>
          <w:iCs/>
          <w:noProof/>
          <w:color w:val="4C4747"/>
          <w:lang w:val="es-419"/>
        </w:rPr>
        <w:tab/>
      </w:r>
      <w:r w:rsidR="00F95316" w:rsidRPr="004C0C15">
        <w:rPr>
          <w:rFonts w:eastAsia="Calibri"/>
          <w:i/>
          <w:iCs/>
          <w:noProof/>
          <w:color w:val="4C4747"/>
          <w:lang w:val="es-419"/>
        </w:rPr>
        <w:t>Tabla 1</w:t>
      </w:r>
      <w:r w:rsidR="00F95316">
        <w:rPr>
          <w:rFonts w:eastAsia="Calibri"/>
          <w:i/>
          <w:iCs/>
          <w:noProof/>
          <w:color w:val="4C4747"/>
          <w:lang w:val="es-419"/>
        </w:rPr>
        <w:t>6</w:t>
      </w:r>
      <w:r w:rsidR="00F95316" w:rsidRPr="004C0C15">
        <w:rPr>
          <w:rFonts w:eastAsia="Calibri"/>
          <w:i/>
          <w:iCs/>
          <w:noProof/>
          <w:color w:val="4C4747"/>
          <w:lang w:val="es-419"/>
        </w:rPr>
        <w:t xml:space="preserve">. Resumen </w:t>
      </w:r>
      <w:r w:rsidR="00F95316">
        <w:rPr>
          <w:rFonts w:eastAsia="Calibri"/>
          <w:i/>
          <w:iCs/>
          <w:noProof/>
          <w:color w:val="4C4747"/>
          <w:lang w:val="es-419"/>
        </w:rPr>
        <w:t>enmiendas contratos realizados</w:t>
      </w:r>
    </w:p>
    <w:tbl>
      <w:tblPr>
        <w:tblStyle w:val="GridTable1Light-Accent3"/>
        <w:tblpPr w:leftFromText="180" w:rightFromText="180" w:vertAnchor="text" w:horzAnchor="page" w:tblpX="2713" w:tblpY="226"/>
        <w:tblW w:w="7910" w:type="dxa"/>
        <w:tblLook w:val="04A0" w:firstRow="1" w:lastRow="0" w:firstColumn="1" w:lastColumn="0" w:noHBand="0" w:noVBand="1"/>
      </w:tblPr>
      <w:tblGrid>
        <w:gridCol w:w="2473"/>
        <w:gridCol w:w="1337"/>
        <w:gridCol w:w="4100"/>
      </w:tblGrid>
      <w:tr w:rsidR="00BF6927" w:rsidRPr="007405DC" w14:paraId="258B54EB" w14:textId="77777777" w:rsidTr="00BF692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473" w:type="dxa"/>
            <w:shd w:val="clear" w:color="auto" w:fill="1F3864" w:themeFill="accent1" w:themeFillShade="80"/>
            <w:hideMark/>
          </w:tcPr>
          <w:p w14:paraId="73A45629" w14:textId="77777777" w:rsidR="00BF6927" w:rsidRPr="007405DC" w:rsidRDefault="00BF6927" w:rsidP="00BF6927">
            <w:pPr>
              <w:tabs>
                <w:tab w:val="left" w:pos="1260"/>
              </w:tabs>
              <w:spacing w:line="360" w:lineRule="auto"/>
              <w:rPr>
                <w:rFonts w:eastAsia="Calibri"/>
                <w:noProof/>
                <w:color w:val="FFFFFF" w:themeColor="background1"/>
                <w:lang w:val="es-419"/>
              </w:rPr>
            </w:pPr>
            <w:r w:rsidRPr="007405DC">
              <w:rPr>
                <w:rFonts w:eastAsia="Calibri"/>
                <w:noProof/>
                <w:color w:val="FFFFFF" w:themeColor="background1"/>
                <w:lang w:val="es-419"/>
              </w:rPr>
              <w:t>Tipo / Categoría</w:t>
            </w:r>
          </w:p>
        </w:tc>
        <w:tc>
          <w:tcPr>
            <w:tcW w:w="1337" w:type="dxa"/>
            <w:shd w:val="clear" w:color="auto" w:fill="1F3864" w:themeFill="accent1" w:themeFillShade="80"/>
            <w:hideMark/>
          </w:tcPr>
          <w:p w14:paraId="028A5E88" w14:textId="77777777" w:rsidR="00BF6927" w:rsidRPr="007405DC" w:rsidRDefault="00BF6927" w:rsidP="00BF6927">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7405DC">
              <w:rPr>
                <w:rFonts w:eastAsia="Calibri"/>
                <w:noProof/>
                <w:color w:val="FFFFFF" w:themeColor="background1"/>
                <w:lang w:val="es-419"/>
              </w:rPr>
              <w:t>Cantidad</w:t>
            </w:r>
          </w:p>
        </w:tc>
        <w:tc>
          <w:tcPr>
            <w:tcW w:w="4100" w:type="dxa"/>
            <w:shd w:val="clear" w:color="auto" w:fill="1F3864" w:themeFill="accent1" w:themeFillShade="80"/>
            <w:hideMark/>
          </w:tcPr>
          <w:p w14:paraId="11592FCC" w14:textId="77777777" w:rsidR="00BF6927" w:rsidRPr="007405DC" w:rsidRDefault="00BF6927" w:rsidP="00BF6927">
            <w:pPr>
              <w:tabs>
                <w:tab w:val="left" w:pos="1260"/>
              </w:tabs>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7405DC">
              <w:rPr>
                <w:rFonts w:eastAsia="Calibri"/>
                <w:noProof/>
                <w:color w:val="FFFFFF" w:themeColor="background1"/>
                <w:lang w:val="es-419"/>
              </w:rPr>
              <w:t>Contrato</w:t>
            </w:r>
          </w:p>
        </w:tc>
      </w:tr>
      <w:tr w:rsidR="00BF6927" w:rsidRPr="007B6BCF" w14:paraId="023AC924" w14:textId="77777777" w:rsidTr="00BF6927">
        <w:trPr>
          <w:trHeight w:val="2484"/>
        </w:trPr>
        <w:tc>
          <w:tcPr>
            <w:cnfStyle w:val="001000000000" w:firstRow="0" w:lastRow="0" w:firstColumn="1" w:lastColumn="0" w:oddVBand="0" w:evenVBand="0" w:oddHBand="0" w:evenHBand="0" w:firstRowFirstColumn="0" w:firstRowLastColumn="0" w:lastRowFirstColumn="0" w:lastRowLastColumn="0"/>
            <w:tcW w:w="2473" w:type="dxa"/>
            <w:hideMark/>
          </w:tcPr>
          <w:p w14:paraId="6D458180" w14:textId="77777777" w:rsidR="00BF6927" w:rsidRPr="007405DC" w:rsidRDefault="00BF6927" w:rsidP="00BF6927">
            <w:pPr>
              <w:tabs>
                <w:tab w:val="left" w:pos="1260"/>
              </w:tabs>
              <w:spacing w:line="360" w:lineRule="auto"/>
              <w:rPr>
                <w:rFonts w:eastAsia="Calibri"/>
                <w:b w:val="0"/>
                <w:bCs w:val="0"/>
                <w:noProof/>
                <w:color w:val="4C4747"/>
                <w:lang w:val="es-419"/>
              </w:rPr>
            </w:pPr>
            <w:r w:rsidRPr="007405DC">
              <w:rPr>
                <w:rFonts w:eastAsia="Calibri"/>
                <w:b w:val="0"/>
                <w:bCs w:val="0"/>
                <w:noProof/>
                <w:color w:val="4C4747"/>
                <w:lang w:val="es-419"/>
              </w:rPr>
              <w:t>Enmiendas a convenios capacitación</w:t>
            </w:r>
          </w:p>
        </w:tc>
        <w:tc>
          <w:tcPr>
            <w:tcW w:w="1337" w:type="dxa"/>
            <w:hideMark/>
          </w:tcPr>
          <w:p w14:paraId="1E860C4E" w14:textId="77777777" w:rsidR="00BF6927" w:rsidRPr="007405DC" w:rsidRDefault="00BF6927" w:rsidP="00BF6927">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7405DC">
              <w:rPr>
                <w:rFonts w:eastAsia="Calibri"/>
                <w:noProof/>
                <w:color w:val="4C4747"/>
                <w:lang w:val="es-419"/>
              </w:rPr>
              <w:t>4</w:t>
            </w:r>
          </w:p>
        </w:tc>
        <w:tc>
          <w:tcPr>
            <w:tcW w:w="4100" w:type="dxa"/>
            <w:hideMark/>
          </w:tcPr>
          <w:p w14:paraId="1792C91B" w14:textId="77777777" w:rsidR="00BF6927" w:rsidRPr="00BD6B31" w:rsidRDefault="00BF6927" w:rsidP="00BF6927">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Extensión vigencia, Enmienda convenio PIR APROCARIBO</w:t>
            </w:r>
          </w:p>
          <w:p w14:paraId="7539D032" w14:textId="77777777" w:rsidR="00BF6927" w:rsidRPr="00BD6B31" w:rsidRDefault="00BF6927" w:rsidP="00BF6927">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Extensión vigencia, Enmienda convenio PIR APROCOPA</w:t>
            </w:r>
          </w:p>
          <w:p w14:paraId="45F501A1" w14:textId="77777777" w:rsidR="00BF6927" w:rsidRPr="00BD6B31" w:rsidRDefault="00BF6927" w:rsidP="00BF6927">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Extensión vigencia, Enmienda convenio PIR ASOPESBAGUA</w:t>
            </w:r>
          </w:p>
          <w:p w14:paraId="634C53E1" w14:textId="77777777" w:rsidR="00BF6927" w:rsidRPr="00BD6B31" w:rsidRDefault="00BF6927" w:rsidP="00BF6927">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BD6B31">
              <w:rPr>
                <w:rFonts w:eastAsia="Calibri"/>
                <w:noProof/>
                <w:color w:val="4C4747"/>
                <w:lang w:val="es-419"/>
              </w:rPr>
              <w:t>Ajuste de monto, plazo y términos, Enmienda núm. 3 acuerdo FAO – PROPRURAL</w:t>
            </w:r>
          </w:p>
        </w:tc>
      </w:tr>
      <w:tr w:rsidR="00BF6927" w:rsidRPr="007405DC" w14:paraId="0B54F060" w14:textId="77777777" w:rsidTr="00BF6927">
        <w:trPr>
          <w:trHeight w:val="378"/>
        </w:trPr>
        <w:tc>
          <w:tcPr>
            <w:cnfStyle w:val="001000000000" w:firstRow="0" w:lastRow="0" w:firstColumn="1" w:lastColumn="0" w:oddVBand="0" w:evenVBand="0" w:oddHBand="0" w:evenHBand="0" w:firstRowFirstColumn="0" w:firstRowLastColumn="0" w:lastRowFirstColumn="0" w:lastRowLastColumn="0"/>
            <w:tcW w:w="2473" w:type="dxa"/>
            <w:hideMark/>
          </w:tcPr>
          <w:p w14:paraId="24431ADC" w14:textId="77777777" w:rsidR="00BF6927" w:rsidRPr="00535822" w:rsidRDefault="00BF6927" w:rsidP="00BF6927">
            <w:pPr>
              <w:tabs>
                <w:tab w:val="left" w:pos="1260"/>
              </w:tabs>
              <w:spacing w:line="360" w:lineRule="auto"/>
              <w:rPr>
                <w:rFonts w:eastAsia="Calibri"/>
                <w:noProof/>
                <w:color w:val="4C4747"/>
                <w:lang w:val="es-419"/>
              </w:rPr>
            </w:pPr>
            <w:r w:rsidRPr="00535822">
              <w:rPr>
                <w:rFonts w:eastAsia="Calibri"/>
                <w:noProof/>
                <w:color w:val="4C4747"/>
                <w:lang w:val="es-419"/>
              </w:rPr>
              <w:t>TOTAL</w:t>
            </w:r>
          </w:p>
        </w:tc>
        <w:tc>
          <w:tcPr>
            <w:tcW w:w="1337" w:type="dxa"/>
            <w:hideMark/>
          </w:tcPr>
          <w:p w14:paraId="3D6A26EB" w14:textId="77777777" w:rsidR="00BF6927" w:rsidRPr="00535822" w:rsidRDefault="00BF6927" w:rsidP="00BF6927">
            <w:pPr>
              <w:tabs>
                <w:tab w:val="left" w:pos="1260"/>
              </w:tabs>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535822">
              <w:rPr>
                <w:rFonts w:eastAsia="Calibri"/>
                <w:b/>
                <w:bCs/>
                <w:noProof/>
                <w:color w:val="4C4747"/>
                <w:lang w:val="es-419"/>
              </w:rPr>
              <w:t>4</w:t>
            </w:r>
          </w:p>
        </w:tc>
        <w:tc>
          <w:tcPr>
            <w:tcW w:w="4100" w:type="dxa"/>
            <w:hideMark/>
          </w:tcPr>
          <w:p w14:paraId="2C63CA4F" w14:textId="77777777" w:rsidR="00BF6927" w:rsidRPr="007405DC" w:rsidRDefault="00BF6927" w:rsidP="00BF6927">
            <w:pPr>
              <w:tabs>
                <w:tab w:val="left" w:pos="1260"/>
              </w:tabs>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p w14:paraId="5660E317" w14:textId="7C7A8E17" w:rsidR="00C11A13" w:rsidRPr="00C11A13" w:rsidRDefault="00C11A13" w:rsidP="00886F32">
      <w:pPr>
        <w:tabs>
          <w:tab w:val="left" w:pos="1260"/>
        </w:tabs>
        <w:spacing w:after="0" w:line="360" w:lineRule="auto"/>
        <w:ind w:left="720"/>
        <w:jc w:val="both"/>
        <w:rPr>
          <w:rFonts w:eastAsia="Calibri"/>
          <w:noProof/>
          <w:color w:val="4C4747"/>
          <w:lang w:val="es-419"/>
        </w:rPr>
      </w:pPr>
    </w:p>
    <w:p w14:paraId="65E18F26" w14:textId="31DEA0FF" w:rsidR="00F95316" w:rsidRPr="004C0C15" w:rsidRDefault="00BD6B31" w:rsidP="00886F32">
      <w:pPr>
        <w:tabs>
          <w:tab w:val="left" w:pos="1260"/>
        </w:tabs>
        <w:spacing w:after="0" w:line="360" w:lineRule="auto"/>
        <w:ind w:left="720"/>
        <w:jc w:val="both"/>
        <w:rPr>
          <w:rFonts w:eastAsia="Calibri"/>
          <w:i/>
          <w:iCs/>
          <w:noProof/>
          <w:color w:val="4C4747"/>
          <w:lang w:val="es-419"/>
        </w:rPr>
      </w:pPr>
      <w:r>
        <w:rPr>
          <w:rFonts w:eastAsia="Calibri"/>
          <w:i/>
          <w:iCs/>
          <w:noProof/>
          <w:color w:val="4C4747"/>
          <w:lang w:val="es-419"/>
        </w:rPr>
        <w:tab/>
      </w:r>
      <w:r w:rsidR="00F95316" w:rsidRPr="004C0C15">
        <w:rPr>
          <w:rFonts w:eastAsia="Calibri"/>
          <w:i/>
          <w:iCs/>
          <w:noProof/>
          <w:color w:val="4C4747"/>
          <w:lang w:val="es-419"/>
        </w:rPr>
        <w:t>Tabla 1</w:t>
      </w:r>
      <w:r w:rsidR="00F95316">
        <w:rPr>
          <w:rFonts w:eastAsia="Calibri"/>
          <w:i/>
          <w:iCs/>
          <w:noProof/>
          <w:color w:val="4C4747"/>
          <w:lang w:val="es-419"/>
        </w:rPr>
        <w:t>7</w:t>
      </w:r>
      <w:r w:rsidR="00F95316" w:rsidRPr="004C0C15">
        <w:rPr>
          <w:rFonts w:eastAsia="Calibri"/>
          <w:i/>
          <w:iCs/>
          <w:noProof/>
          <w:color w:val="4C4747"/>
          <w:lang w:val="es-419"/>
        </w:rPr>
        <w:t xml:space="preserve">. Resumen </w:t>
      </w:r>
      <w:r w:rsidR="00F95316">
        <w:rPr>
          <w:rFonts w:eastAsia="Calibri"/>
          <w:i/>
          <w:iCs/>
          <w:noProof/>
          <w:color w:val="4C4747"/>
          <w:lang w:val="es-419"/>
        </w:rPr>
        <w:t>enmiendas convenios realizados</w:t>
      </w:r>
    </w:p>
    <w:p w14:paraId="4B55C63F" w14:textId="77777777" w:rsidR="00C11A13" w:rsidRPr="00C11A13" w:rsidRDefault="00C11A13" w:rsidP="00886F32">
      <w:pPr>
        <w:tabs>
          <w:tab w:val="left" w:pos="1260"/>
        </w:tabs>
        <w:spacing w:after="0" w:line="360" w:lineRule="auto"/>
        <w:ind w:left="720"/>
        <w:rPr>
          <w:rFonts w:eastAsia="Calibri"/>
          <w:noProof/>
          <w:color w:val="4C4747"/>
          <w:lang w:val="es-419"/>
        </w:rPr>
      </w:pPr>
    </w:p>
    <w:p w14:paraId="34A34910" w14:textId="77777777" w:rsidR="00C11A13" w:rsidRPr="00C11A13" w:rsidRDefault="00C11A13" w:rsidP="00886F32">
      <w:pPr>
        <w:tabs>
          <w:tab w:val="left" w:pos="1260"/>
        </w:tabs>
        <w:spacing w:after="0" w:line="360" w:lineRule="auto"/>
        <w:ind w:left="720"/>
        <w:rPr>
          <w:rFonts w:eastAsia="Calibri"/>
          <w:b/>
          <w:noProof/>
          <w:color w:val="4C4747"/>
          <w:lang w:val="es-419"/>
        </w:rPr>
      </w:pPr>
      <w:bookmarkStart w:id="124" w:name="_Toc215586157"/>
      <w:r w:rsidRPr="00C11A13">
        <w:rPr>
          <w:rFonts w:eastAsia="Calibri"/>
          <w:b/>
          <w:noProof/>
          <w:color w:val="4C4747"/>
          <w:lang w:val="es-419"/>
        </w:rPr>
        <w:t>Procesos Judiciales</w:t>
      </w:r>
      <w:bookmarkEnd w:id="124"/>
    </w:p>
    <w:p w14:paraId="3A525363" w14:textId="4E1AE473" w:rsidR="007405DC" w:rsidRDefault="00C11A13" w:rsidP="00BD6B31">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t xml:space="preserve">Durante el período 2025, el Departamento de Litigios y Consultas gestionó y cerró cuatro (4) casos, mientras que </w:t>
      </w:r>
      <w:r w:rsidRPr="00C11A13">
        <w:rPr>
          <w:rFonts w:eastAsia="Calibri"/>
          <w:noProof/>
          <w:color w:val="4C4747"/>
          <w:lang w:val="es-419"/>
        </w:rPr>
        <w:lastRenderedPageBreak/>
        <w:t>catorce (14) permanecen activos, para un total de dieciocho (18) casos judiciales en los que el Ministerio de la Presidencia figura como parte demandada o accionada.</w:t>
      </w:r>
    </w:p>
    <w:tbl>
      <w:tblPr>
        <w:tblStyle w:val="GridTable1Light-Accent3"/>
        <w:tblpPr w:leftFromText="141" w:rightFromText="141" w:vertAnchor="page" w:horzAnchor="margin" w:tblpXSpec="right" w:tblpY="2701"/>
        <w:tblW w:w="7231" w:type="dxa"/>
        <w:tblLook w:val="04A0" w:firstRow="1" w:lastRow="0" w:firstColumn="1" w:lastColumn="0" w:noHBand="0" w:noVBand="1"/>
      </w:tblPr>
      <w:tblGrid>
        <w:gridCol w:w="3553"/>
        <w:gridCol w:w="1336"/>
        <w:gridCol w:w="1116"/>
        <w:gridCol w:w="1226"/>
      </w:tblGrid>
      <w:tr w:rsidR="00F078C4" w:rsidRPr="0094723A" w14:paraId="57D32269" w14:textId="77777777" w:rsidTr="00BD6B31">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53" w:type="dxa"/>
            <w:shd w:val="clear" w:color="auto" w:fill="1F3864" w:themeFill="accent1" w:themeFillShade="80"/>
          </w:tcPr>
          <w:p w14:paraId="06A12E7D" w14:textId="77777777" w:rsidR="00F078C4" w:rsidRPr="0094723A" w:rsidRDefault="00F078C4" w:rsidP="00BD6B31">
            <w:pPr>
              <w:tabs>
                <w:tab w:val="left" w:pos="1260"/>
              </w:tabs>
              <w:spacing w:line="360" w:lineRule="auto"/>
              <w:rPr>
                <w:rFonts w:eastAsia="Calibri"/>
                <w:noProof/>
                <w:color w:val="FFFFFF" w:themeColor="background1"/>
                <w:lang w:val="es-419"/>
              </w:rPr>
            </w:pPr>
            <w:r w:rsidRPr="0094723A">
              <w:rPr>
                <w:rFonts w:eastAsia="Calibri"/>
                <w:noProof/>
                <w:color w:val="FFFFFF" w:themeColor="background1"/>
                <w:lang w:val="es-419"/>
              </w:rPr>
              <w:t>Materia</w:t>
            </w:r>
          </w:p>
        </w:tc>
        <w:tc>
          <w:tcPr>
            <w:tcW w:w="1336" w:type="dxa"/>
            <w:shd w:val="clear" w:color="auto" w:fill="1F3864" w:themeFill="accent1" w:themeFillShade="80"/>
          </w:tcPr>
          <w:p w14:paraId="70811599" w14:textId="77777777" w:rsidR="00F078C4" w:rsidRPr="0094723A" w:rsidRDefault="00F078C4"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94723A">
              <w:rPr>
                <w:rFonts w:eastAsia="Calibri"/>
                <w:noProof/>
                <w:color w:val="FFFFFF" w:themeColor="background1"/>
                <w:lang w:val="es-419"/>
              </w:rPr>
              <w:t>Cerrados</w:t>
            </w:r>
          </w:p>
        </w:tc>
        <w:tc>
          <w:tcPr>
            <w:tcW w:w="1116" w:type="dxa"/>
            <w:shd w:val="clear" w:color="auto" w:fill="1F3864" w:themeFill="accent1" w:themeFillShade="80"/>
          </w:tcPr>
          <w:p w14:paraId="23268485" w14:textId="77777777" w:rsidR="00F078C4" w:rsidRPr="0094723A" w:rsidRDefault="00F078C4"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94723A">
              <w:rPr>
                <w:rFonts w:eastAsia="Calibri"/>
                <w:noProof/>
                <w:color w:val="FFFFFF" w:themeColor="background1"/>
                <w:lang w:val="es-419"/>
              </w:rPr>
              <w:t>Activos</w:t>
            </w:r>
          </w:p>
        </w:tc>
        <w:tc>
          <w:tcPr>
            <w:tcW w:w="1226" w:type="dxa"/>
            <w:shd w:val="clear" w:color="auto" w:fill="1F3864" w:themeFill="accent1" w:themeFillShade="80"/>
          </w:tcPr>
          <w:p w14:paraId="17B6B890" w14:textId="77777777" w:rsidR="00F078C4" w:rsidRPr="0094723A" w:rsidRDefault="00F078C4" w:rsidP="00BD6B31">
            <w:pPr>
              <w:tabs>
                <w:tab w:val="left" w:pos="1260"/>
              </w:tabs>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94723A">
              <w:rPr>
                <w:rFonts w:eastAsia="Calibri"/>
                <w:noProof/>
                <w:color w:val="FFFFFF" w:themeColor="background1"/>
                <w:lang w:val="es-419"/>
              </w:rPr>
              <w:t>Total</w:t>
            </w:r>
          </w:p>
        </w:tc>
      </w:tr>
      <w:tr w:rsidR="00F078C4" w:rsidRPr="0094723A" w14:paraId="12D81E49" w14:textId="77777777" w:rsidTr="00BD6B31">
        <w:trPr>
          <w:trHeight w:val="805"/>
        </w:trPr>
        <w:tc>
          <w:tcPr>
            <w:cnfStyle w:val="001000000000" w:firstRow="0" w:lastRow="0" w:firstColumn="1" w:lastColumn="0" w:oddVBand="0" w:evenVBand="0" w:oddHBand="0" w:evenHBand="0" w:firstRowFirstColumn="0" w:firstRowLastColumn="0" w:lastRowFirstColumn="0" w:lastRowLastColumn="0"/>
            <w:tcW w:w="3553" w:type="dxa"/>
            <w:vMerge w:val="restart"/>
          </w:tcPr>
          <w:p w14:paraId="59DBF587" w14:textId="77777777" w:rsidR="00F078C4" w:rsidRPr="00BD6B31" w:rsidRDefault="00F078C4" w:rsidP="00BD6B31">
            <w:pPr>
              <w:tabs>
                <w:tab w:val="left" w:pos="1260"/>
              </w:tabs>
              <w:spacing w:line="360" w:lineRule="auto"/>
              <w:rPr>
                <w:rFonts w:eastAsia="Calibri"/>
                <w:noProof/>
                <w:color w:val="4C4747"/>
                <w:lang w:val="es-419"/>
              </w:rPr>
            </w:pPr>
            <w:r w:rsidRPr="00BD6B31">
              <w:rPr>
                <w:rFonts w:eastAsia="Calibri"/>
                <w:noProof/>
                <w:color w:val="4C4747"/>
                <w:lang w:val="es-419"/>
              </w:rPr>
              <w:t>Civil</w:t>
            </w:r>
          </w:p>
          <w:p w14:paraId="66671EA6" w14:textId="77777777" w:rsidR="00F078C4" w:rsidRPr="00BD6B31" w:rsidRDefault="00F078C4" w:rsidP="00BD6B31">
            <w:pPr>
              <w:tabs>
                <w:tab w:val="left" w:pos="1260"/>
              </w:tabs>
              <w:spacing w:line="360" w:lineRule="auto"/>
              <w:rPr>
                <w:rFonts w:eastAsia="Calibri"/>
                <w:noProof/>
                <w:color w:val="4C4747"/>
                <w:lang w:val="es-419"/>
              </w:rPr>
            </w:pPr>
            <w:r w:rsidRPr="00BD6B31">
              <w:rPr>
                <w:rFonts w:eastAsia="Calibri"/>
                <w:noProof/>
                <w:color w:val="4C4747"/>
                <w:lang w:val="es-419"/>
              </w:rPr>
              <w:t>Constitucional</w:t>
            </w:r>
          </w:p>
          <w:p w14:paraId="1D0FA1A5" w14:textId="77777777" w:rsidR="00F078C4" w:rsidRPr="00BD6B31" w:rsidRDefault="00F078C4" w:rsidP="00BD6B31">
            <w:pPr>
              <w:tabs>
                <w:tab w:val="left" w:pos="1260"/>
              </w:tabs>
              <w:spacing w:line="360" w:lineRule="auto"/>
              <w:rPr>
                <w:rFonts w:eastAsia="Calibri"/>
                <w:noProof/>
                <w:color w:val="4C4747"/>
                <w:lang w:val="es-419"/>
              </w:rPr>
            </w:pPr>
            <w:r w:rsidRPr="00BD6B31">
              <w:rPr>
                <w:rFonts w:eastAsia="Calibri"/>
                <w:noProof/>
                <w:color w:val="4C4747"/>
                <w:lang w:val="es-419"/>
              </w:rPr>
              <w:t>Contencioso-administrativo</w:t>
            </w:r>
          </w:p>
          <w:p w14:paraId="7BB8FA86" w14:textId="77777777" w:rsidR="00F078C4" w:rsidRPr="00BD6B31" w:rsidRDefault="00F078C4" w:rsidP="00BD6B31">
            <w:pPr>
              <w:tabs>
                <w:tab w:val="left" w:pos="1260"/>
              </w:tabs>
              <w:spacing w:line="360" w:lineRule="auto"/>
              <w:rPr>
                <w:rFonts w:eastAsia="Calibri"/>
                <w:noProof/>
                <w:color w:val="4C4747"/>
                <w:lang w:val="es-419"/>
              </w:rPr>
            </w:pPr>
            <w:r w:rsidRPr="00BD6B31">
              <w:rPr>
                <w:rFonts w:eastAsia="Calibri"/>
                <w:noProof/>
                <w:color w:val="4C4747"/>
                <w:lang w:val="es-419"/>
              </w:rPr>
              <w:t>Inmobiliario</w:t>
            </w:r>
          </w:p>
        </w:tc>
        <w:tc>
          <w:tcPr>
            <w:tcW w:w="1336" w:type="dxa"/>
            <w:vMerge w:val="restart"/>
          </w:tcPr>
          <w:p w14:paraId="026FE0BE" w14:textId="77777777" w:rsidR="00F078C4" w:rsidRPr="0094723A" w:rsidRDefault="00F078C4" w:rsidP="00BD6B3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94723A">
              <w:rPr>
                <w:rFonts w:eastAsia="Calibri"/>
                <w:noProof/>
                <w:color w:val="4C4747"/>
                <w:lang w:val="es-419"/>
              </w:rPr>
              <w:t>14</w:t>
            </w:r>
          </w:p>
        </w:tc>
        <w:tc>
          <w:tcPr>
            <w:tcW w:w="1116" w:type="dxa"/>
            <w:vMerge w:val="restart"/>
          </w:tcPr>
          <w:p w14:paraId="190D8875" w14:textId="77777777" w:rsidR="00F078C4" w:rsidRPr="0094723A" w:rsidRDefault="00F078C4" w:rsidP="00BD6B3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94723A">
              <w:rPr>
                <w:rFonts w:eastAsia="Calibri"/>
                <w:noProof/>
                <w:color w:val="4C4747"/>
                <w:lang w:val="es-419"/>
              </w:rPr>
              <w:t>4</w:t>
            </w:r>
          </w:p>
        </w:tc>
        <w:tc>
          <w:tcPr>
            <w:tcW w:w="1226" w:type="dxa"/>
            <w:vMerge w:val="restart"/>
          </w:tcPr>
          <w:p w14:paraId="3738A329" w14:textId="77777777" w:rsidR="00F078C4" w:rsidRPr="0094723A" w:rsidRDefault="00F078C4" w:rsidP="00BD6B31">
            <w:pPr>
              <w:tabs>
                <w:tab w:val="left" w:pos="1260"/>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94723A">
              <w:rPr>
                <w:rFonts w:eastAsia="Calibri"/>
                <w:noProof/>
                <w:color w:val="4C4747"/>
                <w:lang w:val="es-419"/>
              </w:rPr>
              <w:t>18</w:t>
            </w:r>
          </w:p>
        </w:tc>
      </w:tr>
      <w:tr w:rsidR="00F078C4" w:rsidRPr="0094723A" w14:paraId="53BBF656" w14:textId="77777777" w:rsidTr="00BD6B31">
        <w:trPr>
          <w:trHeight w:val="414"/>
        </w:trPr>
        <w:tc>
          <w:tcPr>
            <w:cnfStyle w:val="001000000000" w:firstRow="0" w:lastRow="0" w:firstColumn="1" w:lastColumn="0" w:oddVBand="0" w:evenVBand="0" w:oddHBand="0" w:evenHBand="0" w:firstRowFirstColumn="0" w:firstRowLastColumn="0" w:lastRowFirstColumn="0" w:lastRowLastColumn="0"/>
            <w:tcW w:w="3553" w:type="dxa"/>
            <w:vMerge/>
          </w:tcPr>
          <w:p w14:paraId="080E8774" w14:textId="77777777" w:rsidR="00F078C4" w:rsidRPr="0094723A" w:rsidRDefault="00F078C4" w:rsidP="00BD6B31">
            <w:pPr>
              <w:spacing w:line="360" w:lineRule="auto"/>
              <w:ind w:left="720"/>
              <w:rPr>
                <w:rFonts w:eastAsia="Calibri"/>
                <w:b w:val="0"/>
                <w:bCs w:val="0"/>
                <w:noProof/>
                <w:color w:val="4C4747"/>
                <w:lang w:val="es-419"/>
              </w:rPr>
            </w:pPr>
          </w:p>
        </w:tc>
        <w:tc>
          <w:tcPr>
            <w:tcW w:w="1336" w:type="dxa"/>
            <w:vMerge/>
          </w:tcPr>
          <w:p w14:paraId="306F11B5" w14:textId="77777777" w:rsidR="00F078C4" w:rsidRPr="0094723A" w:rsidRDefault="00F078C4" w:rsidP="00BD6B31">
            <w:pPr>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c>
          <w:tcPr>
            <w:tcW w:w="1116" w:type="dxa"/>
            <w:vMerge/>
          </w:tcPr>
          <w:p w14:paraId="300718CF" w14:textId="77777777" w:rsidR="00F078C4" w:rsidRPr="0094723A" w:rsidRDefault="00F078C4" w:rsidP="00BD6B31">
            <w:pPr>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c>
          <w:tcPr>
            <w:tcW w:w="1226" w:type="dxa"/>
            <w:vMerge/>
          </w:tcPr>
          <w:p w14:paraId="1B4F7EB0" w14:textId="77777777" w:rsidR="00F078C4" w:rsidRPr="0094723A" w:rsidRDefault="00F078C4" w:rsidP="00BD6B31">
            <w:pPr>
              <w:spacing w:line="360" w:lineRule="auto"/>
              <w:ind w:left="720"/>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p>
        </w:tc>
      </w:tr>
    </w:tbl>
    <w:p w14:paraId="1801856E" w14:textId="77777777" w:rsidR="007405DC" w:rsidRDefault="007405DC" w:rsidP="00BD6B31">
      <w:pPr>
        <w:tabs>
          <w:tab w:val="left" w:pos="1260"/>
        </w:tabs>
        <w:spacing w:after="0" w:line="360" w:lineRule="auto"/>
        <w:rPr>
          <w:rFonts w:eastAsia="Calibri"/>
          <w:noProof/>
          <w:color w:val="4C4747"/>
          <w:lang w:val="es-419"/>
        </w:rPr>
      </w:pPr>
    </w:p>
    <w:p w14:paraId="29F8F383" w14:textId="571509CC" w:rsidR="00C11A13" w:rsidRPr="007405DC" w:rsidRDefault="00BD6B31" w:rsidP="00886F32">
      <w:pPr>
        <w:tabs>
          <w:tab w:val="left" w:pos="1260"/>
        </w:tabs>
        <w:spacing w:after="0" w:line="360" w:lineRule="auto"/>
        <w:ind w:left="720"/>
        <w:jc w:val="both"/>
        <w:rPr>
          <w:rFonts w:eastAsia="Calibri"/>
          <w:noProof/>
          <w:color w:val="4C4747"/>
          <w:lang w:val="es-419"/>
        </w:rPr>
      </w:pPr>
      <w:r w:rsidRPr="00C11A13">
        <w:rPr>
          <w:rFonts w:eastAsia="Calibri"/>
          <w:noProof/>
          <w:color w:val="4C4747"/>
          <w:lang w:val="es-419"/>
        </w:rPr>
        <w:drawing>
          <wp:anchor distT="0" distB="0" distL="114300" distR="114300" simplePos="0" relativeHeight="251675648" behindDoc="1" locked="0" layoutInCell="1" allowOverlap="1" wp14:anchorId="23EAD0B5" wp14:editId="539FD12A">
            <wp:simplePos x="0" y="0"/>
            <wp:positionH relativeFrom="margin">
              <wp:align>right</wp:align>
            </wp:positionH>
            <wp:positionV relativeFrom="paragraph">
              <wp:posOffset>1783080</wp:posOffset>
            </wp:positionV>
            <wp:extent cx="4594860" cy="2369820"/>
            <wp:effectExtent l="0" t="0" r="15240" b="11430"/>
            <wp:wrapTight wrapText="bothSides">
              <wp:wrapPolygon edited="0">
                <wp:start x="0" y="0"/>
                <wp:lineTo x="0" y="21531"/>
                <wp:lineTo x="21582" y="21531"/>
                <wp:lineTo x="21582" y="0"/>
                <wp:lineTo x="0" y="0"/>
              </wp:wrapPolygon>
            </wp:wrapTight>
            <wp:docPr id="1836801942"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00F95316" w:rsidRPr="004C0C15">
        <w:rPr>
          <w:rFonts w:eastAsia="Calibri"/>
          <w:i/>
          <w:iCs/>
          <w:noProof/>
          <w:color w:val="4C4747"/>
          <w:lang w:val="es-419"/>
        </w:rPr>
        <w:t>Tabla 1</w:t>
      </w:r>
      <w:r w:rsidR="00F95316">
        <w:rPr>
          <w:rFonts w:eastAsia="Calibri"/>
          <w:i/>
          <w:iCs/>
          <w:noProof/>
          <w:color w:val="4C4747"/>
          <w:lang w:val="es-419"/>
        </w:rPr>
        <w:t>8</w:t>
      </w:r>
      <w:r w:rsidR="00F95316" w:rsidRPr="004C0C15">
        <w:rPr>
          <w:rFonts w:eastAsia="Calibri"/>
          <w:i/>
          <w:iCs/>
          <w:noProof/>
          <w:color w:val="4C4747"/>
          <w:lang w:val="es-419"/>
        </w:rPr>
        <w:t xml:space="preserve">. Resumen </w:t>
      </w:r>
      <w:r w:rsidR="008C0EFF" w:rsidRPr="008C0EFF">
        <w:rPr>
          <w:rFonts w:eastAsia="Calibri"/>
          <w:i/>
          <w:iCs/>
          <w:noProof/>
          <w:color w:val="4C4747"/>
          <w:lang w:val="es-419"/>
        </w:rPr>
        <w:t>d</w:t>
      </w:r>
      <w:r w:rsidR="00C11A13" w:rsidRPr="008C0EFF">
        <w:rPr>
          <w:rFonts w:eastAsia="Calibri"/>
          <w:i/>
          <w:iCs/>
          <w:noProof/>
          <w:color w:val="4C4747"/>
          <w:lang w:val="es-419"/>
        </w:rPr>
        <w:t>emandas, recursos y acciones recibidas</w:t>
      </w:r>
    </w:p>
    <w:p w14:paraId="687EF149" w14:textId="16E81FA3" w:rsidR="008C0EFF" w:rsidRDefault="008C0EFF" w:rsidP="00886F32">
      <w:pPr>
        <w:spacing w:after="0" w:line="360" w:lineRule="auto"/>
        <w:ind w:left="720"/>
        <w:rPr>
          <w:rFonts w:eastAsia="Calibri"/>
          <w:i/>
          <w:iCs/>
          <w:noProof/>
          <w:color w:val="4C4747"/>
          <w:lang w:val="es-419"/>
        </w:rPr>
      </w:pPr>
      <w:bookmarkStart w:id="125" w:name="_Toc215586158"/>
      <w:r w:rsidRPr="00F078C4">
        <w:rPr>
          <w:rFonts w:eastAsia="Calibri"/>
          <w:i/>
          <w:iCs/>
          <w:noProof/>
          <w:color w:val="4C4747"/>
          <w:lang w:val="es-419"/>
        </w:rPr>
        <w:t xml:space="preserve">Gráfico 9. </w:t>
      </w:r>
      <w:r w:rsidR="00F078C4" w:rsidRPr="00F078C4">
        <w:rPr>
          <w:rFonts w:eastAsia="Calibri"/>
          <w:i/>
          <w:iCs/>
          <w:noProof/>
          <w:color w:val="4C4747"/>
          <w:lang w:val="es-419"/>
        </w:rPr>
        <w:t>Resumen demandas, recursos y acciones recibidas</w:t>
      </w:r>
    </w:p>
    <w:p w14:paraId="62126D94" w14:textId="77777777" w:rsidR="00F078C4" w:rsidRPr="00F078C4" w:rsidRDefault="00F078C4" w:rsidP="00886F32">
      <w:pPr>
        <w:spacing w:after="0" w:line="360" w:lineRule="auto"/>
        <w:ind w:left="720"/>
        <w:rPr>
          <w:rFonts w:eastAsia="Calibri"/>
          <w:i/>
          <w:iCs/>
          <w:noProof/>
          <w:color w:val="4C4747"/>
          <w:lang w:val="es-419"/>
        </w:rPr>
      </w:pPr>
    </w:p>
    <w:p w14:paraId="3D1AE378" w14:textId="1B2EABBB" w:rsidR="00C11A13" w:rsidRPr="00C11A13" w:rsidRDefault="00C11A13" w:rsidP="00886F32">
      <w:pPr>
        <w:spacing w:after="0" w:line="360" w:lineRule="auto"/>
        <w:ind w:left="720"/>
        <w:rPr>
          <w:rFonts w:eastAsia="Calibri"/>
          <w:b/>
          <w:noProof/>
          <w:color w:val="4C4747"/>
          <w:lang w:val="es-419"/>
        </w:rPr>
      </w:pPr>
      <w:r w:rsidRPr="00C11A13">
        <w:rPr>
          <w:rFonts w:eastAsia="Calibri"/>
          <w:b/>
          <w:noProof/>
          <w:color w:val="4C4747"/>
          <w:lang w:val="es-419"/>
        </w:rPr>
        <w:t>Procesos de compras y contrataciones públicas</w:t>
      </w:r>
      <w:bookmarkEnd w:id="125"/>
    </w:p>
    <w:p w14:paraId="3AFB007A" w14:textId="7802BDE6" w:rsidR="00C11A13" w:rsidRDefault="00C11A13" w:rsidP="00886F32">
      <w:pPr>
        <w:spacing w:after="0" w:line="360" w:lineRule="auto"/>
        <w:ind w:left="720"/>
        <w:jc w:val="both"/>
        <w:rPr>
          <w:rFonts w:eastAsia="Calibri"/>
          <w:noProof/>
          <w:color w:val="4C4747"/>
          <w:lang w:val="es-419"/>
        </w:rPr>
      </w:pPr>
      <w:r w:rsidRPr="00C11A13">
        <w:rPr>
          <w:rFonts w:eastAsia="Calibri"/>
          <w:noProof/>
          <w:color w:val="4C4747"/>
          <w:lang w:val="es-419"/>
        </w:rPr>
        <w:t>En este presente periodo, el Departamento de Litigios participó en diez (10) procesos de compras bajo la modalidad de procedimientos de excepción. No se realizaron licitaciones públicas durante este período.</w:t>
      </w:r>
    </w:p>
    <w:p w14:paraId="36EFBFE8" w14:textId="77777777" w:rsidR="00BD6B31" w:rsidRDefault="00BD6B31" w:rsidP="00886F32">
      <w:pPr>
        <w:spacing w:after="0" w:line="360" w:lineRule="auto"/>
        <w:ind w:left="720"/>
        <w:jc w:val="both"/>
        <w:rPr>
          <w:rFonts w:eastAsia="Calibri"/>
          <w:noProof/>
          <w:color w:val="4C4747"/>
          <w:lang w:val="es-419"/>
        </w:rPr>
      </w:pPr>
    </w:p>
    <w:p w14:paraId="4A4E25E8" w14:textId="77777777" w:rsidR="00C11A13" w:rsidRDefault="00C11A13" w:rsidP="00886F32">
      <w:pPr>
        <w:spacing w:after="0" w:line="360" w:lineRule="auto"/>
        <w:ind w:left="720"/>
        <w:jc w:val="both"/>
        <w:rPr>
          <w:rFonts w:eastAsia="Calibri"/>
          <w:noProof/>
          <w:color w:val="4C4747"/>
          <w:lang w:val="es-419"/>
        </w:rPr>
      </w:pPr>
      <w:r w:rsidRPr="00C11A13">
        <w:rPr>
          <w:rFonts w:eastAsia="Calibri"/>
          <w:noProof/>
          <w:color w:val="4C4747"/>
          <w:lang w:val="es-419"/>
        </w:rPr>
        <w:t>A continuación, la clasificación de los procesos ejecutados:</w:t>
      </w:r>
    </w:p>
    <w:p w14:paraId="2CE178AA" w14:textId="77777777" w:rsidR="00BD6B31" w:rsidRPr="00C11A13" w:rsidRDefault="00BD6B31" w:rsidP="00886F32">
      <w:pPr>
        <w:spacing w:after="0" w:line="360" w:lineRule="auto"/>
        <w:ind w:left="720"/>
        <w:jc w:val="both"/>
        <w:rPr>
          <w:rFonts w:eastAsia="Calibri"/>
          <w:noProof/>
          <w:color w:val="4C4747"/>
          <w:lang w:val="es-419"/>
        </w:rPr>
      </w:pPr>
    </w:p>
    <w:tbl>
      <w:tblPr>
        <w:tblStyle w:val="GridTable1Light-Accent3"/>
        <w:tblW w:w="4726" w:type="dxa"/>
        <w:tblInd w:w="2059" w:type="dxa"/>
        <w:tblLook w:val="04A0" w:firstRow="1" w:lastRow="0" w:firstColumn="1" w:lastColumn="0" w:noHBand="0" w:noVBand="1"/>
      </w:tblPr>
      <w:tblGrid>
        <w:gridCol w:w="3114"/>
        <w:gridCol w:w="1612"/>
      </w:tblGrid>
      <w:tr w:rsidR="00C11A13" w:rsidRPr="007371F9" w14:paraId="0D16988B" w14:textId="77777777" w:rsidTr="00BD6B3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shd w:val="clear" w:color="auto" w:fill="1F3864" w:themeFill="accent1" w:themeFillShade="80"/>
            <w:hideMark/>
          </w:tcPr>
          <w:p w14:paraId="33110A1A" w14:textId="77777777" w:rsidR="00C11A13" w:rsidRPr="007371F9" w:rsidRDefault="00C11A13" w:rsidP="00BD6B31">
            <w:pPr>
              <w:spacing w:line="360" w:lineRule="auto"/>
              <w:rPr>
                <w:rFonts w:eastAsia="Calibri"/>
                <w:noProof/>
                <w:color w:val="FFFFFF" w:themeColor="background1"/>
                <w:lang w:val="es-419"/>
              </w:rPr>
            </w:pPr>
            <w:r w:rsidRPr="007371F9">
              <w:rPr>
                <w:rFonts w:eastAsia="Calibri"/>
                <w:noProof/>
                <w:color w:val="FFFFFF" w:themeColor="background1"/>
                <w:lang w:val="es-419"/>
              </w:rPr>
              <w:lastRenderedPageBreak/>
              <w:t>Estatus del Proceso</w:t>
            </w:r>
          </w:p>
        </w:tc>
        <w:tc>
          <w:tcPr>
            <w:tcW w:w="0" w:type="auto"/>
            <w:shd w:val="clear" w:color="auto" w:fill="1F3864" w:themeFill="accent1" w:themeFillShade="80"/>
            <w:hideMark/>
          </w:tcPr>
          <w:p w14:paraId="2FBD529A" w14:textId="77777777" w:rsidR="00C11A13" w:rsidRPr="007371F9" w:rsidRDefault="00C11A13" w:rsidP="00BD6B31">
            <w:pPr>
              <w:spacing w:line="360" w:lineRule="auto"/>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7371F9">
              <w:rPr>
                <w:rFonts w:eastAsia="Calibri"/>
                <w:noProof/>
                <w:color w:val="FFFFFF" w:themeColor="background1"/>
                <w:lang w:val="es-419"/>
              </w:rPr>
              <w:t>Cantidad</w:t>
            </w:r>
          </w:p>
        </w:tc>
      </w:tr>
      <w:tr w:rsidR="00C11A13" w:rsidRPr="007371F9" w14:paraId="5E9035F9" w14:textId="77777777" w:rsidTr="00BD6B31">
        <w:trPr>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36E6C19F" w14:textId="77777777" w:rsidR="00C11A13" w:rsidRPr="007371F9" w:rsidRDefault="00C11A13" w:rsidP="00BD6B31">
            <w:pPr>
              <w:spacing w:line="360" w:lineRule="auto"/>
              <w:rPr>
                <w:rFonts w:eastAsia="Calibri"/>
                <w:b w:val="0"/>
                <w:bCs w:val="0"/>
                <w:noProof/>
                <w:color w:val="4C4747"/>
                <w:lang w:val="es-419"/>
              </w:rPr>
            </w:pPr>
            <w:r w:rsidRPr="007371F9">
              <w:rPr>
                <w:rFonts w:eastAsia="Calibri"/>
                <w:b w:val="0"/>
                <w:bCs w:val="0"/>
                <w:noProof/>
                <w:color w:val="4C4747"/>
                <w:lang w:val="es-419"/>
              </w:rPr>
              <w:t>Adjudicados</w:t>
            </w:r>
          </w:p>
        </w:tc>
        <w:tc>
          <w:tcPr>
            <w:tcW w:w="0" w:type="auto"/>
            <w:hideMark/>
          </w:tcPr>
          <w:p w14:paraId="4D9EC248" w14:textId="77777777" w:rsidR="00C11A13" w:rsidRPr="007371F9" w:rsidRDefault="00C11A13" w:rsidP="00BD6B31">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7371F9">
              <w:rPr>
                <w:rFonts w:eastAsia="Calibri"/>
                <w:noProof/>
                <w:color w:val="4C4747"/>
                <w:lang w:val="es-419"/>
              </w:rPr>
              <w:t>7</w:t>
            </w:r>
          </w:p>
        </w:tc>
      </w:tr>
      <w:tr w:rsidR="00C11A13" w:rsidRPr="007371F9" w14:paraId="12FE4A78" w14:textId="77777777" w:rsidTr="00BD6B31">
        <w:trPr>
          <w:trHeight w:val="329"/>
        </w:trPr>
        <w:tc>
          <w:tcPr>
            <w:cnfStyle w:val="001000000000" w:firstRow="0" w:lastRow="0" w:firstColumn="1" w:lastColumn="0" w:oddVBand="0" w:evenVBand="0" w:oddHBand="0" w:evenHBand="0" w:firstRowFirstColumn="0" w:firstRowLastColumn="0" w:lastRowFirstColumn="0" w:lastRowLastColumn="0"/>
            <w:tcW w:w="0" w:type="auto"/>
            <w:hideMark/>
          </w:tcPr>
          <w:p w14:paraId="5D7367EC" w14:textId="77777777" w:rsidR="00C11A13" w:rsidRPr="007371F9" w:rsidRDefault="00C11A13" w:rsidP="00BD6B31">
            <w:pPr>
              <w:spacing w:line="360" w:lineRule="auto"/>
              <w:rPr>
                <w:rFonts w:eastAsia="Calibri"/>
                <w:b w:val="0"/>
                <w:bCs w:val="0"/>
                <w:noProof/>
                <w:color w:val="4C4747"/>
                <w:lang w:val="es-419"/>
              </w:rPr>
            </w:pPr>
            <w:r w:rsidRPr="007371F9">
              <w:rPr>
                <w:rFonts w:eastAsia="Calibri"/>
                <w:b w:val="0"/>
                <w:bCs w:val="0"/>
                <w:noProof/>
                <w:color w:val="4C4747"/>
                <w:lang w:val="es-419"/>
              </w:rPr>
              <w:t>Cancelado</w:t>
            </w:r>
          </w:p>
        </w:tc>
        <w:tc>
          <w:tcPr>
            <w:tcW w:w="0" w:type="auto"/>
            <w:hideMark/>
          </w:tcPr>
          <w:p w14:paraId="2F66BA1A" w14:textId="77777777" w:rsidR="00C11A13" w:rsidRPr="007371F9" w:rsidRDefault="00C11A13" w:rsidP="00BD6B31">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7371F9">
              <w:rPr>
                <w:rFonts w:eastAsia="Calibri"/>
                <w:noProof/>
                <w:color w:val="4C4747"/>
                <w:lang w:val="es-419"/>
              </w:rPr>
              <w:t>1</w:t>
            </w:r>
          </w:p>
        </w:tc>
      </w:tr>
      <w:tr w:rsidR="00C11A13" w:rsidRPr="007371F9" w14:paraId="23B05794" w14:textId="77777777" w:rsidTr="00BD6B31">
        <w:trPr>
          <w:trHeight w:val="329"/>
        </w:trPr>
        <w:tc>
          <w:tcPr>
            <w:cnfStyle w:val="001000000000" w:firstRow="0" w:lastRow="0" w:firstColumn="1" w:lastColumn="0" w:oddVBand="0" w:evenVBand="0" w:oddHBand="0" w:evenHBand="0" w:firstRowFirstColumn="0" w:firstRowLastColumn="0" w:lastRowFirstColumn="0" w:lastRowLastColumn="0"/>
            <w:tcW w:w="0" w:type="auto"/>
            <w:hideMark/>
          </w:tcPr>
          <w:p w14:paraId="407B9AF6" w14:textId="77777777" w:rsidR="00C11A13" w:rsidRPr="007371F9" w:rsidRDefault="00C11A13" w:rsidP="00BD6B31">
            <w:pPr>
              <w:spacing w:line="360" w:lineRule="auto"/>
              <w:rPr>
                <w:rFonts w:eastAsia="Calibri"/>
                <w:b w:val="0"/>
                <w:bCs w:val="0"/>
                <w:noProof/>
                <w:color w:val="4C4747"/>
                <w:lang w:val="es-419"/>
              </w:rPr>
            </w:pPr>
            <w:r w:rsidRPr="007371F9">
              <w:rPr>
                <w:rFonts w:eastAsia="Calibri"/>
                <w:b w:val="0"/>
                <w:bCs w:val="0"/>
                <w:noProof/>
                <w:color w:val="4C4747"/>
                <w:lang w:val="es-419"/>
              </w:rPr>
              <w:t>En proceso</w:t>
            </w:r>
          </w:p>
        </w:tc>
        <w:tc>
          <w:tcPr>
            <w:tcW w:w="0" w:type="auto"/>
            <w:hideMark/>
          </w:tcPr>
          <w:p w14:paraId="60F4A023" w14:textId="77777777" w:rsidR="00C11A13" w:rsidRPr="007371F9" w:rsidRDefault="00C11A13" w:rsidP="00BD6B31">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7371F9">
              <w:rPr>
                <w:rFonts w:eastAsia="Calibri"/>
                <w:noProof/>
                <w:color w:val="4C4747"/>
                <w:lang w:val="es-419"/>
              </w:rPr>
              <w:t>2</w:t>
            </w:r>
          </w:p>
        </w:tc>
      </w:tr>
      <w:tr w:rsidR="00C11A13" w:rsidRPr="007371F9" w14:paraId="4F40FA51" w14:textId="77777777" w:rsidTr="00BD6B31">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3F1C7BB8" w14:textId="1B1F64C8" w:rsidR="00C11A13" w:rsidRPr="007371F9" w:rsidRDefault="00BB1030" w:rsidP="00BD6B31">
            <w:pPr>
              <w:spacing w:line="360" w:lineRule="auto"/>
              <w:rPr>
                <w:rFonts w:eastAsia="Calibri"/>
                <w:noProof/>
                <w:color w:val="4C4747"/>
                <w:lang w:val="es-419"/>
              </w:rPr>
            </w:pPr>
            <w:r w:rsidRPr="007371F9">
              <w:rPr>
                <w:rFonts w:eastAsia="Calibri"/>
                <w:noProof/>
                <w:color w:val="4C4747"/>
                <w:lang w:val="es-419"/>
              </w:rPr>
              <w:t>TOTAL</w:t>
            </w:r>
          </w:p>
        </w:tc>
        <w:tc>
          <w:tcPr>
            <w:tcW w:w="0" w:type="auto"/>
            <w:hideMark/>
          </w:tcPr>
          <w:p w14:paraId="42C3091A" w14:textId="77777777" w:rsidR="00C11A13" w:rsidRPr="007371F9" w:rsidRDefault="00C11A13" w:rsidP="00BD6B31">
            <w:pPr>
              <w:spacing w:line="360" w:lineRule="auto"/>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7371F9">
              <w:rPr>
                <w:rFonts w:eastAsia="Calibri"/>
                <w:b/>
                <w:bCs/>
                <w:noProof/>
                <w:color w:val="4C4747"/>
                <w:lang w:val="es-419"/>
              </w:rPr>
              <w:t>10</w:t>
            </w:r>
          </w:p>
        </w:tc>
      </w:tr>
    </w:tbl>
    <w:p w14:paraId="5E223903" w14:textId="04070ADD" w:rsidR="00F078C4" w:rsidRDefault="00BD6B31" w:rsidP="00886F32">
      <w:pPr>
        <w:tabs>
          <w:tab w:val="left" w:pos="1260"/>
        </w:tabs>
        <w:spacing w:after="0" w:line="360" w:lineRule="auto"/>
        <w:ind w:left="720"/>
        <w:jc w:val="both"/>
        <w:rPr>
          <w:rFonts w:eastAsia="Calibri"/>
          <w:i/>
          <w:iCs/>
          <w:noProof/>
          <w:color w:val="4C4747"/>
          <w:lang w:val="es-419"/>
        </w:rPr>
      </w:pPr>
      <w:r w:rsidRPr="00C11A13">
        <w:rPr>
          <w:rFonts w:eastAsia="Calibri"/>
          <w:noProof/>
          <w:color w:val="4C4747"/>
          <w:lang w:val="es-419"/>
        </w:rPr>
        <w:drawing>
          <wp:anchor distT="0" distB="0" distL="114300" distR="114300" simplePos="0" relativeHeight="251660288" behindDoc="1" locked="0" layoutInCell="1" allowOverlap="1" wp14:anchorId="24CBF211" wp14:editId="51049D9F">
            <wp:simplePos x="0" y="0"/>
            <wp:positionH relativeFrom="column">
              <wp:posOffset>862965</wp:posOffset>
            </wp:positionH>
            <wp:positionV relativeFrom="paragraph">
              <wp:posOffset>252730</wp:posOffset>
            </wp:positionV>
            <wp:extent cx="3838754" cy="1699403"/>
            <wp:effectExtent l="0" t="0" r="9525" b="15240"/>
            <wp:wrapNone/>
            <wp:docPr id="1836801943"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F078C4" w:rsidRPr="004C0C15">
        <w:rPr>
          <w:rFonts w:eastAsia="Calibri"/>
          <w:i/>
          <w:iCs/>
          <w:noProof/>
          <w:color w:val="4C4747"/>
          <w:lang w:val="es-419"/>
        </w:rPr>
        <w:t>Tabla 1</w:t>
      </w:r>
      <w:r w:rsidR="00F078C4">
        <w:rPr>
          <w:rFonts w:eastAsia="Calibri"/>
          <w:i/>
          <w:iCs/>
          <w:noProof/>
          <w:color w:val="4C4747"/>
          <w:lang w:val="es-419"/>
        </w:rPr>
        <w:t>9</w:t>
      </w:r>
      <w:r w:rsidR="00F078C4" w:rsidRPr="004C0C15">
        <w:rPr>
          <w:rFonts w:eastAsia="Calibri"/>
          <w:i/>
          <w:iCs/>
          <w:noProof/>
          <w:color w:val="4C4747"/>
          <w:lang w:val="es-419"/>
        </w:rPr>
        <w:t xml:space="preserve">. Resumen </w:t>
      </w:r>
      <w:r w:rsidR="00F078C4">
        <w:rPr>
          <w:rFonts w:eastAsia="Calibri"/>
          <w:i/>
          <w:iCs/>
          <w:noProof/>
          <w:color w:val="4C4747"/>
          <w:lang w:val="es-419"/>
        </w:rPr>
        <w:t>participación procesos de compras</w:t>
      </w:r>
    </w:p>
    <w:p w14:paraId="18F4555D" w14:textId="77777777" w:rsidR="00BD6B31" w:rsidRDefault="00BD6B31" w:rsidP="00886F32">
      <w:pPr>
        <w:tabs>
          <w:tab w:val="left" w:pos="1260"/>
        </w:tabs>
        <w:spacing w:after="0" w:line="360" w:lineRule="auto"/>
        <w:ind w:left="720"/>
        <w:jc w:val="both"/>
        <w:rPr>
          <w:rFonts w:eastAsia="Calibri"/>
          <w:i/>
          <w:iCs/>
          <w:noProof/>
          <w:color w:val="4C4747"/>
          <w:lang w:val="es-419"/>
        </w:rPr>
      </w:pPr>
    </w:p>
    <w:p w14:paraId="693D2260" w14:textId="77777777" w:rsidR="00BD6B31" w:rsidRPr="007405DC" w:rsidRDefault="00BD6B31" w:rsidP="00886F32">
      <w:pPr>
        <w:tabs>
          <w:tab w:val="left" w:pos="1260"/>
        </w:tabs>
        <w:spacing w:after="0" w:line="360" w:lineRule="auto"/>
        <w:ind w:left="720"/>
        <w:jc w:val="both"/>
        <w:rPr>
          <w:rFonts w:eastAsia="Calibri"/>
          <w:noProof/>
          <w:color w:val="4C4747"/>
          <w:lang w:val="es-419"/>
        </w:rPr>
      </w:pPr>
    </w:p>
    <w:p w14:paraId="0B87F972" w14:textId="61EAB3F8" w:rsidR="00BB1030" w:rsidRDefault="00A755B5" w:rsidP="00886F32">
      <w:pPr>
        <w:tabs>
          <w:tab w:val="left" w:pos="4290"/>
          <w:tab w:val="left" w:pos="4845"/>
          <w:tab w:val="center" w:pos="5445"/>
        </w:tabs>
        <w:spacing w:after="0" w:line="360" w:lineRule="auto"/>
        <w:ind w:left="720"/>
        <w:jc w:val="both"/>
        <w:rPr>
          <w:rFonts w:eastAsia="Calibri"/>
          <w:noProof/>
          <w:color w:val="4C4747"/>
          <w:lang w:val="es-419"/>
        </w:rPr>
      </w:pPr>
      <w:r>
        <w:rPr>
          <w:rFonts w:eastAsia="Calibri"/>
          <w:noProof/>
          <w:color w:val="4C4747"/>
          <w:lang w:val="es-419"/>
        </w:rPr>
        <w:tab/>
      </w:r>
      <w:r>
        <w:rPr>
          <w:rFonts w:eastAsia="Calibri"/>
          <w:noProof/>
          <w:color w:val="4C4747"/>
          <w:lang w:val="es-419"/>
        </w:rPr>
        <w:tab/>
      </w:r>
      <w:r>
        <w:rPr>
          <w:rFonts w:eastAsia="Calibri"/>
          <w:noProof/>
          <w:color w:val="4C4747"/>
          <w:lang w:val="es-419"/>
        </w:rPr>
        <w:tab/>
      </w:r>
    </w:p>
    <w:p w14:paraId="0ACFE765" w14:textId="6E7A9B74" w:rsidR="00C11A13" w:rsidRDefault="007371F9" w:rsidP="00886F32">
      <w:pPr>
        <w:tabs>
          <w:tab w:val="left" w:pos="5407"/>
        </w:tabs>
        <w:spacing w:after="0" w:line="360" w:lineRule="auto"/>
        <w:ind w:left="720"/>
        <w:jc w:val="both"/>
        <w:rPr>
          <w:rFonts w:eastAsia="Calibri"/>
          <w:noProof/>
          <w:color w:val="4C4747"/>
          <w:lang w:val="es-419"/>
        </w:rPr>
      </w:pPr>
      <w:r>
        <w:rPr>
          <w:rFonts w:eastAsia="Calibri"/>
          <w:noProof/>
          <w:color w:val="4C4747"/>
          <w:lang w:val="es-419"/>
        </w:rPr>
        <w:tab/>
      </w:r>
    </w:p>
    <w:p w14:paraId="7E977610" w14:textId="77777777" w:rsidR="00BB1030" w:rsidRDefault="00BB1030" w:rsidP="00886F32">
      <w:pPr>
        <w:tabs>
          <w:tab w:val="left" w:pos="5407"/>
        </w:tabs>
        <w:spacing w:after="0" w:line="360" w:lineRule="auto"/>
        <w:ind w:left="720"/>
        <w:jc w:val="both"/>
        <w:rPr>
          <w:rFonts w:eastAsia="Calibri"/>
          <w:noProof/>
          <w:color w:val="4C4747"/>
          <w:lang w:val="es-419"/>
        </w:rPr>
      </w:pPr>
    </w:p>
    <w:p w14:paraId="79ADC0F4" w14:textId="77777777" w:rsidR="00BB1030" w:rsidRPr="00C11A13" w:rsidRDefault="00BB1030" w:rsidP="00886F32">
      <w:pPr>
        <w:tabs>
          <w:tab w:val="left" w:pos="5407"/>
        </w:tabs>
        <w:spacing w:after="0" w:line="360" w:lineRule="auto"/>
        <w:ind w:left="720"/>
        <w:jc w:val="both"/>
        <w:rPr>
          <w:rFonts w:eastAsia="Calibri"/>
          <w:noProof/>
          <w:color w:val="4C4747"/>
          <w:lang w:val="es-419"/>
        </w:rPr>
      </w:pPr>
    </w:p>
    <w:p w14:paraId="786E0264" w14:textId="77777777" w:rsidR="00A755B5" w:rsidRDefault="00A755B5" w:rsidP="00886F32">
      <w:pPr>
        <w:spacing w:after="0" w:line="360" w:lineRule="auto"/>
        <w:ind w:left="720"/>
        <w:rPr>
          <w:rFonts w:eastAsia="Calibri"/>
          <w:i/>
          <w:iCs/>
          <w:noProof/>
          <w:color w:val="4C4747"/>
          <w:lang w:val="es-419"/>
        </w:rPr>
      </w:pPr>
    </w:p>
    <w:p w14:paraId="30D2AE93" w14:textId="34557C1F" w:rsidR="00C11A13" w:rsidRPr="00A755B5" w:rsidRDefault="00A755B5" w:rsidP="00886F32">
      <w:pPr>
        <w:spacing w:after="0" w:line="360" w:lineRule="auto"/>
        <w:ind w:left="720"/>
        <w:rPr>
          <w:rFonts w:eastAsia="Calibri"/>
          <w:i/>
          <w:iCs/>
          <w:noProof/>
          <w:color w:val="4C4747"/>
          <w:lang w:val="es-419"/>
        </w:rPr>
      </w:pPr>
      <w:r w:rsidRPr="00F078C4">
        <w:rPr>
          <w:rFonts w:eastAsia="Calibri"/>
          <w:i/>
          <w:iCs/>
          <w:noProof/>
          <w:color w:val="4C4747"/>
          <w:lang w:val="es-419"/>
        </w:rPr>
        <w:t xml:space="preserve">Gráfico </w:t>
      </w:r>
      <w:r>
        <w:rPr>
          <w:rFonts w:eastAsia="Calibri"/>
          <w:i/>
          <w:iCs/>
          <w:noProof/>
          <w:color w:val="4C4747"/>
          <w:lang w:val="es-419"/>
        </w:rPr>
        <w:t>10</w:t>
      </w:r>
      <w:r w:rsidRPr="00F078C4">
        <w:rPr>
          <w:rFonts w:eastAsia="Calibri"/>
          <w:i/>
          <w:iCs/>
          <w:noProof/>
          <w:color w:val="4C4747"/>
          <w:lang w:val="es-419"/>
        </w:rPr>
        <w:t xml:space="preserve">. Resumen </w:t>
      </w:r>
      <w:r>
        <w:rPr>
          <w:rFonts w:eastAsia="Calibri"/>
          <w:i/>
          <w:iCs/>
          <w:noProof/>
          <w:color w:val="4C4747"/>
          <w:lang w:val="es-419"/>
        </w:rPr>
        <w:t>resuletados procesos de compras ejecutados</w:t>
      </w:r>
    </w:p>
    <w:tbl>
      <w:tblPr>
        <w:tblStyle w:val="GridTable1Light-Accent3"/>
        <w:tblpPr w:leftFromText="141" w:rightFromText="141" w:vertAnchor="text" w:horzAnchor="margin" w:tblpXSpec="right" w:tblpY="206"/>
        <w:tblW w:w="0" w:type="auto"/>
        <w:tblLook w:val="04A0" w:firstRow="1" w:lastRow="0" w:firstColumn="1" w:lastColumn="0" w:noHBand="0" w:noVBand="1"/>
      </w:tblPr>
      <w:tblGrid>
        <w:gridCol w:w="5327"/>
        <w:gridCol w:w="1337"/>
      </w:tblGrid>
      <w:tr w:rsidR="00C11A13" w:rsidRPr="000824B6" w14:paraId="0E5C37D5" w14:textId="77777777" w:rsidTr="00320AEB">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327" w:type="dxa"/>
            <w:shd w:val="clear" w:color="auto" w:fill="1F3864" w:themeFill="accent1" w:themeFillShade="80"/>
            <w:hideMark/>
          </w:tcPr>
          <w:p w14:paraId="1D800B68" w14:textId="77777777" w:rsidR="00C11A13" w:rsidRPr="000824B6" w:rsidRDefault="00C11A13" w:rsidP="00320AEB">
            <w:pPr>
              <w:spacing w:line="360" w:lineRule="auto"/>
              <w:rPr>
                <w:rFonts w:eastAsia="Calibri"/>
                <w:noProof/>
                <w:color w:val="FFFFFF" w:themeColor="background1"/>
                <w:lang w:val="es-419"/>
              </w:rPr>
            </w:pPr>
            <w:r w:rsidRPr="000824B6">
              <w:rPr>
                <w:rFonts w:eastAsia="Calibri"/>
                <w:noProof/>
                <w:color w:val="FFFFFF" w:themeColor="background1"/>
                <w:lang w:val="es-419"/>
              </w:rPr>
              <w:t>Tipo de Procedimiento</w:t>
            </w:r>
          </w:p>
        </w:tc>
        <w:tc>
          <w:tcPr>
            <w:tcW w:w="1246" w:type="dxa"/>
            <w:shd w:val="clear" w:color="auto" w:fill="1F3864" w:themeFill="accent1" w:themeFillShade="80"/>
            <w:hideMark/>
          </w:tcPr>
          <w:p w14:paraId="54424BA1" w14:textId="77777777" w:rsidR="00C11A13" w:rsidRPr="000824B6" w:rsidRDefault="00C11A13" w:rsidP="00320AE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0824B6">
              <w:rPr>
                <w:rFonts w:eastAsia="Calibri"/>
                <w:noProof/>
                <w:color w:val="FFFFFF" w:themeColor="background1"/>
                <w:lang w:val="es-419"/>
              </w:rPr>
              <w:t>Cantidad</w:t>
            </w:r>
          </w:p>
        </w:tc>
      </w:tr>
      <w:tr w:rsidR="00C11A13" w:rsidRPr="000824B6" w14:paraId="1909B631" w14:textId="77777777" w:rsidTr="00320AEB">
        <w:trPr>
          <w:trHeight w:val="183"/>
        </w:trPr>
        <w:tc>
          <w:tcPr>
            <w:cnfStyle w:val="001000000000" w:firstRow="0" w:lastRow="0" w:firstColumn="1" w:lastColumn="0" w:oddVBand="0" w:evenVBand="0" w:oddHBand="0" w:evenHBand="0" w:firstRowFirstColumn="0" w:firstRowLastColumn="0" w:lastRowFirstColumn="0" w:lastRowLastColumn="0"/>
            <w:tcW w:w="5327" w:type="dxa"/>
            <w:hideMark/>
          </w:tcPr>
          <w:p w14:paraId="02D69FC7" w14:textId="4B47A259" w:rsidR="00C11A13" w:rsidRPr="000824B6" w:rsidRDefault="00C11A13" w:rsidP="00320AEB">
            <w:pPr>
              <w:spacing w:line="360" w:lineRule="auto"/>
              <w:rPr>
                <w:rFonts w:eastAsia="Calibri"/>
                <w:b w:val="0"/>
                <w:bCs w:val="0"/>
                <w:noProof/>
                <w:color w:val="4C4747"/>
                <w:lang w:val="es-419"/>
              </w:rPr>
            </w:pPr>
            <w:r w:rsidRPr="000824B6">
              <w:rPr>
                <w:rFonts w:eastAsia="Calibri"/>
                <w:b w:val="0"/>
                <w:bCs w:val="0"/>
                <w:noProof/>
                <w:color w:val="4C4747"/>
                <w:lang w:val="es-419"/>
              </w:rPr>
              <w:t>Procedimientos de Excepción por Proveedor</w:t>
            </w:r>
            <w:r w:rsidR="00320AEB">
              <w:rPr>
                <w:rFonts w:eastAsia="Calibri"/>
                <w:b w:val="0"/>
                <w:bCs w:val="0"/>
                <w:noProof/>
                <w:color w:val="4C4747"/>
                <w:lang w:val="es-419"/>
              </w:rPr>
              <w:t xml:space="preserve"> </w:t>
            </w:r>
            <w:r w:rsidRPr="000824B6">
              <w:rPr>
                <w:rFonts w:eastAsia="Calibri"/>
                <w:b w:val="0"/>
                <w:bCs w:val="0"/>
                <w:noProof/>
                <w:color w:val="4C4747"/>
                <w:lang w:val="es-419"/>
              </w:rPr>
              <w:t>Único (PEPU)</w:t>
            </w:r>
          </w:p>
        </w:tc>
        <w:tc>
          <w:tcPr>
            <w:tcW w:w="1246" w:type="dxa"/>
            <w:hideMark/>
          </w:tcPr>
          <w:p w14:paraId="7EBC4E03" w14:textId="77777777" w:rsidR="00C11A13" w:rsidRPr="000824B6"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824B6">
              <w:rPr>
                <w:rFonts w:eastAsia="Calibri"/>
                <w:noProof/>
                <w:color w:val="4C4747"/>
                <w:lang w:val="es-419"/>
              </w:rPr>
              <w:t>5</w:t>
            </w:r>
          </w:p>
        </w:tc>
      </w:tr>
      <w:tr w:rsidR="00C11A13" w:rsidRPr="000824B6" w14:paraId="35C8C94A" w14:textId="77777777" w:rsidTr="00320AEB">
        <w:trPr>
          <w:trHeight w:val="183"/>
        </w:trPr>
        <w:tc>
          <w:tcPr>
            <w:cnfStyle w:val="001000000000" w:firstRow="0" w:lastRow="0" w:firstColumn="1" w:lastColumn="0" w:oddVBand="0" w:evenVBand="0" w:oddHBand="0" w:evenHBand="0" w:firstRowFirstColumn="0" w:firstRowLastColumn="0" w:lastRowFirstColumn="0" w:lastRowLastColumn="0"/>
            <w:tcW w:w="5327" w:type="dxa"/>
            <w:hideMark/>
          </w:tcPr>
          <w:p w14:paraId="249F2BFA" w14:textId="77777777" w:rsidR="00C11A13" w:rsidRPr="000824B6" w:rsidRDefault="00C11A13" w:rsidP="00320AEB">
            <w:pPr>
              <w:spacing w:line="360" w:lineRule="auto"/>
              <w:rPr>
                <w:rFonts w:eastAsia="Calibri"/>
                <w:b w:val="0"/>
                <w:bCs w:val="0"/>
                <w:noProof/>
                <w:color w:val="4C4747"/>
                <w:lang w:val="es-419"/>
              </w:rPr>
            </w:pPr>
            <w:r w:rsidRPr="000824B6">
              <w:rPr>
                <w:rFonts w:eastAsia="Calibri"/>
                <w:b w:val="0"/>
                <w:bCs w:val="0"/>
                <w:noProof/>
                <w:color w:val="4C4747"/>
                <w:lang w:val="es-419"/>
              </w:rPr>
              <w:t>Procedimiento de excepción para adquisición</w:t>
            </w:r>
          </w:p>
          <w:p w14:paraId="0966D5D0" w14:textId="77777777" w:rsidR="00C11A13" w:rsidRPr="000824B6" w:rsidRDefault="00C11A13" w:rsidP="00320AEB">
            <w:pPr>
              <w:spacing w:line="360" w:lineRule="auto"/>
              <w:rPr>
                <w:rFonts w:eastAsia="Calibri"/>
                <w:b w:val="0"/>
                <w:bCs w:val="0"/>
                <w:noProof/>
                <w:color w:val="4C4747"/>
                <w:lang w:val="es-419"/>
              </w:rPr>
            </w:pPr>
            <w:r w:rsidRPr="000824B6">
              <w:rPr>
                <w:rFonts w:eastAsia="Calibri"/>
                <w:b w:val="0"/>
                <w:bCs w:val="0"/>
                <w:noProof/>
                <w:color w:val="4C4747"/>
                <w:lang w:val="es-419"/>
              </w:rPr>
              <w:t>de obras científicas, técnicas, artísticas o restauración de monumentos históricos (PEOR)</w:t>
            </w:r>
          </w:p>
        </w:tc>
        <w:tc>
          <w:tcPr>
            <w:tcW w:w="1246" w:type="dxa"/>
            <w:hideMark/>
          </w:tcPr>
          <w:p w14:paraId="492544AF" w14:textId="77777777" w:rsidR="00C11A13" w:rsidRPr="000824B6"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824B6">
              <w:rPr>
                <w:rFonts w:eastAsia="Calibri"/>
                <w:noProof/>
                <w:color w:val="4C4747"/>
                <w:lang w:val="es-419"/>
              </w:rPr>
              <w:t>5</w:t>
            </w:r>
          </w:p>
        </w:tc>
      </w:tr>
      <w:tr w:rsidR="00C11A13" w:rsidRPr="000824B6" w14:paraId="65B5C5E3" w14:textId="77777777" w:rsidTr="00320AEB">
        <w:trPr>
          <w:trHeight w:val="381"/>
        </w:trPr>
        <w:tc>
          <w:tcPr>
            <w:cnfStyle w:val="001000000000" w:firstRow="0" w:lastRow="0" w:firstColumn="1" w:lastColumn="0" w:oddVBand="0" w:evenVBand="0" w:oddHBand="0" w:evenHBand="0" w:firstRowFirstColumn="0" w:firstRowLastColumn="0" w:lastRowFirstColumn="0" w:lastRowLastColumn="0"/>
            <w:tcW w:w="5327" w:type="dxa"/>
            <w:hideMark/>
          </w:tcPr>
          <w:p w14:paraId="72DEDBF2" w14:textId="6CE8690A" w:rsidR="00C11A13" w:rsidRPr="000F3484" w:rsidRDefault="00BB1030" w:rsidP="00320AEB">
            <w:pPr>
              <w:spacing w:line="360" w:lineRule="auto"/>
              <w:rPr>
                <w:rFonts w:eastAsia="Calibri"/>
                <w:noProof/>
                <w:color w:val="4C4747"/>
                <w:lang w:val="es-419"/>
              </w:rPr>
            </w:pPr>
            <w:r w:rsidRPr="000F3484">
              <w:rPr>
                <w:rFonts w:eastAsia="Calibri"/>
                <w:noProof/>
                <w:color w:val="4C4747"/>
                <w:lang w:val="es-419"/>
              </w:rPr>
              <w:t>TOTAL</w:t>
            </w:r>
          </w:p>
        </w:tc>
        <w:tc>
          <w:tcPr>
            <w:tcW w:w="1246" w:type="dxa"/>
            <w:hideMark/>
          </w:tcPr>
          <w:p w14:paraId="6AA8B85D"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0F3484">
              <w:rPr>
                <w:rFonts w:eastAsia="Calibri"/>
                <w:b/>
                <w:bCs/>
                <w:noProof/>
                <w:color w:val="4C4747"/>
                <w:lang w:val="es-419"/>
              </w:rPr>
              <w:t>10</w:t>
            </w:r>
          </w:p>
        </w:tc>
      </w:tr>
    </w:tbl>
    <w:p w14:paraId="09758A35" w14:textId="77777777" w:rsidR="00C11A13" w:rsidRPr="00C11A13" w:rsidRDefault="00C11A13" w:rsidP="00886F32">
      <w:pPr>
        <w:spacing w:after="0" w:line="360" w:lineRule="auto"/>
        <w:ind w:left="720"/>
        <w:jc w:val="both"/>
        <w:rPr>
          <w:rFonts w:eastAsia="Calibri"/>
          <w:noProof/>
          <w:color w:val="4C4747"/>
          <w:lang w:val="es-419"/>
        </w:rPr>
      </w:pPr>
    </w:p>
    <w:p w14:paraId="7D43C694" w14:textId="77777777" w:rsidR="00C11A13" w:rsidRPr="00C11A13" w:rsidRDefault="00C11A13" w:rsidP="00886F32">
      <w:pPr>
        <w:spacing w:after="0" w:line="360" w:lineRule="auto"/>
        <w:ind w:left="720"/>
        <w:jc w:val="both"/>
        <w:rPr>
          <w:rFonts w:eastAsia="Calibri"/>
          <w:noProof/>
          <w:color w:val="4C4747"/>
          <w:lang w:val="es-419"/>
        </w:rPr>
      </w:pPr>
    </w:p>
    <w:p w14:paraId="2C2605DE" w14:textId="77777777" w:rsidR="00C11A13" w:rsidRPr="00C11A13" w:rsidRDefault="00C11A13" w:rsidP="00886F32">
      <w:pPr>
        <w:spacing w:after="0" w:line="360" w:lineRule="auto"/>
        <w:ind w:left="720"/>
        <w:jc w:val="both"/>
        <w:rPr>
          <w:rFonts w:eastAsia="Calibri"/>
          <w:noProof/>
          <w:color w:val="4C4747"/>
          <w:lang w:val="es-419"/>
        </w:rPr>
      </w:pPr>
    </w:p>
    <w:p w14:paraId="251FD422" w14:textId="77777777" w:rsidR="00BB1030" w:rsidRDefault="00BB1030" w:rsidP="00886F32">
      <w:pPr>
        <w:spacing w:after="0" w:line="360" w:lineRule="auto"/>
        <w:ind w:left="720"/>
        <w:rPr>
          <w:rFonts w:eastAsia="Calibri"/>
          <w:b/>
          <w:noProof/>
          <w:color w:val="4C4747"/>
          <w:lang w:val="es-419"/>
        </w:rPr>
      </w:pPr>
      <w:bookmarkStart w:id="126" w:name="_Toc215586159"/>
    </w:p>
    <w:p w14:paraId="679FBA2B" w14:textId="77777777" w:rsidR="00BB1030" w:rsidRDefault="00BB1030" w:rsidP="00886F32">
      <w:pPr>
        <w:spacing w:after="0" w:line="360" w:lineRule="auto"/>
        <w:ind w:left="720"/>
        <w:rPr>
          <w:rFonts w:eastAsia="Calibri"/>
          <w:b/>
          <w:noProof/>
          <w:color w:val="4C4747"/>
          <w:lang w:val="es-419"/>
        </w:rPr>
      </w:pPr>
    </w:p>
    <w:p w14:paraId="19A96001" w14:textId="41310B67" w:rsidR="003051BA" w:rsidRPr="007405DC" w:rsidRDefault="003051BA" w:rsidP="00886F32">
      <w:pPr>
        <w:tabs>
          <w:tab w:val="left" w:pos="1260"/>
        </w:tabs>
        <w:spacing w:after="0" w:line="360" w:lineRule="auto"/>
        <w:ind w:left="720"/>
        <w:jc w:val="both"/>
        <w:rPr>
          <w:rFonts w:eastAsia="Calibri"/>
          <w:noProof/>
          <w:color w:val="4C4747"/>
          <w:lang w:val="es-419"/>
        </w:rPr>
      </w:pPr>
      <w:r w:rsidRPr="004C0C15">
        <w:rPr>
          <w:rFonts w:eastAsia="Calibri"/>
          <w:i/>
          <w:iCs/>
          <w:noProof/>
          <w:color w:val="4C4747"/>
          <w:lang w:val="es-419"/>
        </w:rPr>
        <w:t xml:space="preserve">Tabla </w:t>
      </w:r>
      <w:r>
        <w:rPr>
          <w:rFonts w:eastAsia="Calibri"/>
          <w:i/>
          <w:iCs/>
          <w:noProof/>
          <w:color w:val="4C4747"/>
          <w:lang w:val="es-419"/>
        </w:rPr>
        <w:t>20</w:t>
      </w:r>
      <w:r w:rsidRPr="004C0C15">
        <w:rPr>
          <w:rFonts w:eastAsia="Calibri"/>
          <w:i/>
          <w:iCs/>
          <w:noProof/>
          <w:color w:val="4C4747"/>
          <w:lang w:val="es-419"/>
        </w:rPr>
        <w:t xml:space="preserve">. Resumen </w:t>
      </w:r>
      <w:r>
        <w:rPr>
          <w:rFonts w:eastAsia="Calibri"/>
          <w:i/>
          <w:iCs/>
          <w:noProof/>
          <w:color w:val="4C4747"/>
          <w:lang w:val="es-419"/>
        </w:rPr>
        <w:t>participación procesos de compras tipo de proceso PEPU y PEOR</w:t>
      </w:r>
    </w:p>
    <w:p w14:paraId="5D8D8312" w14:textId="77777777" w:rsidR="00BB1030" w:rsidRDefault="00BB1030" w:rsidP="00886F32">
      <w:pPr>
        <w:spacing w:after="0" w:line="360" w:lineRule="auto"/>
        <w:ind w:left="720"/>
        <w:rPr>
          <w:rFonts w:eastAsia="Calibri"/>
          <w:b/>
          <w:noProof/>
          <w:color w:val="4C4747"/>
          <w:lang w:val="es-419"/>
        </w:rPr>
      </w:pPr>
    </w:p>
    <w:p w14:paraId="49BBD0EB" w14:textId="75B5E134" w:rsidR="00C11A13" w:rsidRPr="00C11A13" w:rsidRDefault="00C11A13" w:rsidP="00886F32">
      <w:pPr>
        <w:spacing w:after="0" w:line="360" w:lineRule="auto"/>
        <w:ind w:left="720"/>
        <w:rPr>
          <w:rFonts w:eastAsia="Calibri"/>
          <w:b/>
          <w:noProof/>
          <w:color w:val="4C4747"/>
          <w:lang w:val="es-419"/>
        </w:rPr>
      </w:pPr>
      <w:r w:rsidRPr="00C11A13">
        <w:rPr>
          <w:rFonts w:eastAsia="Calibri"/>
          <w:b/>
          <w:noProof/>
          <w:color w:val="4C4747"/>
          <w:lang w:val="es-419"/>
        </w:rPr>
        <w:t>Actas del Comité de Compras y Contrataciones</w:t>
      </w:r>
      <w:bookmarkEnd w:id="126"/>
    </w:p>
    <w:p w14:paraId="593D1BA0" w14:textId="7FF4DC26" w:rsidR="00C11A13" w:rsidRPr="00C11A13" w:rsidRDefault="00C11A13" w:rsidP="00886F32">
      <w:pPr>
        <w:spacing w:after="0" w:line="360" w:lineRule="auto"/>
        <w:ind w:left="720"/>
        <w:jc w:val="both"/>
        <w:rPr>
          <w:rFonts w:eastAsia="Calibri"/>
          <w:noProof/>
          <w:color w:val="4C4747"/>
          <w:lang w:val="es-419"/>
        </w:rPr>
      </w:pPr>
      <w:r w:rsidRPr="00C11A13">
        <w:rPr>
          <w:rFonts w:eastAsia="Calibri"/>
          <w:noProof/>
          <w:color w:val="4C4747"/>
          <w:lang w:val="es-419"/>
        </w:rPr>
        <w:t xml:space="preserve">El Departamento de Litigios y consultas, tambien participó en la elaboración de las actas del Comité de Compras y </w:t>
      </w:r>
      <w:r w:rsidRPr="00C11A13">
        <w:rPr>
          <w:rFonts w:eastAsia="Calibri"/>
          <w:noProof/>
          <w:color w:val="4C4747"/>
          <w:lang w:val="es-419"/>
        </w:rPr>
        <w:lastRenderedPageBreak/>
        <w:t>Contrataciones, emitió un total de 23 actas, abarcando decisiones de adjudicación, resoluciones motivadas, enmiendas, solicitudes técnicas y cancelaciones de procedimientos</w:t>
      </w:r>
      <w:r w:rsidR="00320AEB">
        <w:rPr>
          <w:rFonts w:eastAsia="Calibri"/>
          <w:noProof/>
          <w:color w:val="4C4747"/>
          <w:lang w:val="es-419"/>
        </w:rPr>
        <w:t>.</w:t>
      </w:r>
    </w:p>
    <w:tbl>
      <w:tblPr>
        <w:tblStyle w:val="GridTable1Light-Accent3"/>
        <w:tblW w:w="5200" w:type="dxa"/>
        <w:tblInd w:w="1999" w:type="dxa"/>
        <w:tblLook w:val="04A0" w:firstRow="1" w:lastRow="0" w:firstColumn="1" w:lastColumn="0" w:noHBand="0" w:noVBand="1"/>
      </w:tblPr>
      <w:tblGrid>
        <w:gridCol w:w="3591"/>
        <w:gridCol w:w="1609"/>
      </w:tblGrid>
      <w:tr w:rsidR="00C11A13" w:rsidRPr="000F3484" w14:paraId="4533D5E6" w14:textId="77777777" w:rsidTr="00320AEB">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0" w:type="auto"/>
            <w:shd w:val="clear" w:color="auto" w:fill="1F3864" w:themeFill="accent1" w:themeFillShade="80"/>
            <w:hideMark/>
          </w:tcPr>
          <w:p w14:paraId="1859BE51" w14:textId="77777777" w:rsidR="00C11A13" w:rsidRPr="000F3484" w:rsidRDefault="00C11A13" w:rsidP="00320AEB">
            <w:pPr>
              <w:spacing w:line="360" w:lineRule="auto"/>
              <w:rPr>
                <w:rFonts w:eastAsia="Calibri"/>
                <w:noProof/>
                <w:color w:val="FFFFFF" w:themeColor="background1"/>
                <w:lang w:val="es-419"/>
              </w:rPr>
            </w:pPr>
            <w:r w:rsidRPr="000F3484">
              <w:rPr>
                <w:rFonts w:eastAsia="Calibri"/>
                <w:noProof/>
                <w:color w:val="FFFFFF" w:themeColor="background1"/>
                <w:lang w:val="es-419"/>
              </w:rPr>
              <w:t>Tipo de Acta</w:t>
            </w:r>
          </w:p>
        </w:tc>
        <w:tc>
          <w:tcPr>
            <w:tcW w:w="0" w:type="auto"/>
            <w:shd w:val="clear" w:color="auto" w:fill="1F3864" w:themeFill="accent1" w:themeFillShade="80"/>
            <w:hideMark/>
          </w:tcPr>
          <w:p w14:paraId="45E6E033" w14:textId="77777777" w:rsidR="00C11A13" w:rsidRPr="000F3484" w:rsidRDefault="00C11A13" w:rsidP="00320AE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0F3484">
              <w:rPr>
                <w:rFonts w:eastAsia="Calibri"/>
                <w:noProof/>
                <w:color w:val="FFFFFF" w:themeColor="background1"/>
                <w:lang w:val="es-419"/>
              </w:rPr>
              <w:t>Cantidad</w:t>
            </w:r>
          </w:p>
        </w:tc>
      </w:tr>
      <w:tr w:rsidR="00C11A13" w:rsidRPr="000F3484" w14:paraId="70B49C85" w14:textId="77777777" w:rsidTr="00320AEB">
        <w:trPr>
          <w:trHeight w:val="344"/>
        </w:trPr>
        <w:tc>
          <w:tcPr>
            <w:cnfStyle w:val="001000000000" w:firstRow="0" w:lastRow="0" w:firstColumn="1" w:lastColumn="0" w:oddVBand="0" w:evenVBand="0" w:oddHBand="0" w:evenHBand="0" w:firstRowFirstColumn="0" w:firstRowLastColumn="0" w:lastRowFirstColumn="0" w:lastRowLastColumn="0"/>
            <w:tcW w:w="0" w:type="auto"/>
            <w:hideMark/>
          </w:tcPr>
          <w:p w14:paraId="70A1BC6E" w14:textId="77777777" w:rsidR="00C11A13" w:rsidRPr="000F3484" w:rsidRDefault="00C11A13" w:rsidP="00320AEB">
            <w:pPr>
              <w:spacing w:line="360" w:lineRule="auto"/>
              <w:rPr>
                <w:rFonts w:eastAsia="Calibri"/>
                <w:b w:val="0"/>
                <w:bCs w:val="0"/>
                <w:noProof/>
                <w:color w:val="4C4747"/>
                <w:lang w:val="es-419"/>
              </w:rPr>
            </w:pPr>
            <w:r w:rsidRPr="000F3484">
              <w:rPr>
                <w:rFonts w:eastAsia="Calibri"/>
                <w:b w:val="0"/>
                <w:bCs w:val="0"/>
                <w:noProof/>
                <w:color w:val="4C4747"/>
                <w:lang w:val="es-419"/>
              </w:rPr>
              <w:t>Actas de adjudicación</w:t>
            </w:r>
          </w:p>
        </w:tc>
        <w:tc>
          <w:tcPr>
            <w:tcW w:w="0" w:type="auto"/>
            <w:hideMark/>
          </w:tcPr>
          <w:p w14:paraId="07C6CD0A"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F3484">
              <w:rPr>
                <w:rFonts w:eastAsia="Calibri"/>
                <w:noProof/>
                <w:color w:val="4C4747"/>
                <w:lang w:val="es-419"/>
              </w:rPr>
              <w:t>10</w:t>
            </w:r>
          </w:p>
        </w:tc>
      </w:tr>
      <w:tr w:rsidR="00C11A13" w:rsidRPr="000F3484" w14:paraId="2D430DB7" w14:textId="77777777" w:rsidTr="00320AEB">
        <w:trPr>
          <w:trHeight w:val="344"/>
        </w:trPr>
        <w:tc>
          <w:tcPr>
            <w:cnfStyle w:val="001000000000" w:firstRow="0" w:lastRow="0" w:firstColumn="1" w:lastColumn="0" w:oddVBand="0" w:evenVBand="0" w:oddHBand="0" w:evenHBand="0" w:firstRowFirstColumn="0" w:firstRowLastColumn="0" w:lastRowFirstColumn="0" w:lastRowLastColumn="0"/>
            <w:tcW w:w="0" w:type="auto"/>
            <w:hideMark/>
          </w:tcPr>
          <w:p w14:paraId="5BE59ABE" w14:textId="77777777" w:rsidR="00C11A13" w:rsidRPr="000F3484" w:rsidRDefault="00C11A13" w:rsidP="00320AEB">
            <w:pPr>
              <w:spacing w:line="360" w:lineRule="auto"/>
              <w:rPr>
                <w:rFonts w:eastAsia="Calibri"/>
                <w:b w:val="0"/>
                <w:bCs w:val="0"/>
                <w:noProof/>
                <w:color w:val="4C4747"/>
                <w:lang w:val="es-419"/>
              </w:rPr>
            </w:pPr>
            <w:r w:rsidRPr="000F3484">
              <w:rPr>
                <w:rFonts w:eastAsia="Calibri"/>
                <w:b w:val="0"/>
                <w:bCs w:val="0"/>
                <w:noProof/>
                <w:color w:val="4C4747"/>
                <w:lang w:val="es-419"/>
              </w:rPr>
              <w:t>Resoluciones motivadas</w:t>
            </w:r>
          </w:p>
        </w:tc>
        <w:tc>
          <w:tcPr>
            <w:tcW w:w="0" w:type="auto"/>
            <w:hideMark/>
          </w:tcPr>
          <w:p w14:paraId="126E51C1"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F3484">
              <w:rPr>
                <w:rFonts w:eastAsia="Calibri"/>
                <w:noProof/>
                <w:color w:val="4C4747"/>
                <w:lang w:val="es-419"/>
              </w:rPr>
              <w:t>9</w:t>
            </w:r>
          </w:p>
        </w:tc>
      </w:tr>
      <w:tr w:rsidR="00C11A13" w:rsidRPr="000F3484" w14:paraId="40402598" w14:textId="77777777" w:rsidTr="00320AEB">
        <w:trPr>
          <w:trHeight w:val="344"/>
        </w:trPr>
        <w:tc>
          <w:tcPr>
            <w:cnfStyle w:val="001000000000" w:firstRow="0" w:lastRow="0" w:firstColumn="1" w:lastColumn="0" w:oddVBand="0" w:evenVBand="0" w:oddHBand="0" w:evenHBand="0" w:firstRowFirstColumn="0" w:firstRowLastColumn="0" w:lastRowFirstColumn="0" w:lastRowLastColumn="0"/>
            <w:tcW w:w="0" w:type="auto"/>
            <w:hideMark/>
          </w:tcPr>
          <w:p w14:paraId="0071EC97" w14:textId="77777777" w:rsidR="00C11A13" w:rsidRPr="000F3484" w:rsidRDefault="00C11A13" w:rsidP="00320AEB">
            <w:pPr>
              <w:spacing w:line="360" w:lineRule="auto"/>
              <w:rPr>
                <w:rFonts w:eastAsia="Calibri"/>
                <w:b w:val="0"/>
                <w:bCs w:val="0"/>
                <w:noProof/>
                <w:color w:val="4C4747"/>
                <w:lang w:val="es-419"/>
              </w:rPr>
            </w:pPr>
            <w:r w:rsidRPr="000F3484">
              <w:rPr>
                <w:rFonts w:eastAsia="Calibri"/>
                <w:b w:val="0"/>
                <w:bCs w:val="0"/>
                <w:noProof/>
                <w:color w:val="4C4747"/>
                <w:lang w:val="es-419"/>
              </w:rPr>
              <w:t>Actas técnicas (peritos)</w:t>
            </w:r>
          </w:p>
        </w:tc>
        <w:tc>
          <w:tcPr>
            <w:tcW w:w="0" w:type="auto"/>
            <w:hideMark/>
          </w:tcPr>
          <w:p w14:paraId="2D8E1ECB"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F3484">
              <w:rPr>
                <w:rFonts w:eastAsia="Calibri"/>
                <w:noProof/>
                <w:color w:val="4C4747"/>
                <w:lang w:val="es-419"/>
              </w:rPr>
              <w:t>2</w:t>
            </w:r>
          </w:p>
        </w:tc>
      </w:tr>
      <w:tr w:rsidR="00C11A13" w:rsidRPr="000F3484" w14:paraId="457B4397" w14:textId="77777777" w:rsidTr="00320AEB">
        <w:trPr>
          <w:trHeight w:val="344"/>
        </w:trPr>
        <w:tc>
          <w:tcPr>
            <w:cnfStyle w:val="001000000000" w:firstRow="0" w:lastRow="0" w:firstColumn="1" w:lastColumn="0" w:oddVBand="0" w:evenVBand="0" w:oddHBand="0" w:evenHBand="0" w:firstRowFirstColumn="0" w:firstRowLastColumn="0" w:lastRowFirstColumn="0" w:lastRowLastColumn="0"/>
            <w:tcW w:w="0" w:type="auto"/>
            <w:hideMark/>
          </w:tcPr>
          <w:p w14:paraId="77EF0102" w14:textId="77777777" w:rsidR="00C11A13" w:rsidRPr="000F3484" w:rsidRDefault="00C11A13" w:rsidP="00320AEB">
            <w:pPr>
              <w:spacing w:line="360" w:lineRule="auto"/>
              <w:rPr>
                <w:rFonts w:eastAsia="Calibri"/>
                <w:b w:val="0"/>
                <w:bCs w:val="0"/>
                <w:noProof/>
                <w:color w:val="4C4747"/>
                <w:lang w:val="es-419"/>
              </w:rPr>
            </w:pPr>
            <w:r w:rsidRPr="000F3484">
              <w:rPr>
                <w:rFonts w:eastAsia="Calibri"/>
                <w:b w:val="0"/>
                <w:bCs w:val="0"/>
                <w:noProof/>
                <w:color w:val="4C4747"/>
                <w:lang w:val="es-419"/>
              </w:rPr>
              <w:t>Acta de enmienda</w:t>
            </w:r>
          </w:p>
        </w:tc>
        <w:tc>
          <w:tcPr>
            <w:tcW w:w="0" w:type="auto"/>
            <w:hideMark/>
          </w:tcPr>
          <w:p w14:paraId="2706A882"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F3484">
              <w:rPr>
                <w:rFonts w:eastAsia="Calibri"/>
                <w:noProof/>
                <w:color w:val="4C4747"/>
                <w:lang w:val="es-419"/>
              </w:rPr>
              <w:t>1</w:t>
            </w:r>
          </w:p>
        </w:tc>
      </w:tr>
      <w:tr w:rsidR="00C11A13" w:rsidRPr="000F3484" w14:paraId="31F3CFFE" w14:textId="77777777" w:rsidTr="00320AEB">
        <w:trPr>
          <w:trHeight w:val="344"/>
        </w:trPr>
        <w:tc>
          <w:tcPr>
            <w:cnfStyle w:val="001000000000" w:firstRow="0" w:lastRow="0" w:firstColumn="1" w:lastColumn="0" w:oddVBand="0" w:evenVBand="0" w:oddHBand="0" w:evenHBand="0" w:firstRowFirstColumn="0" w:firstRowLastColumn="0" w:lastRowFirstColumn="0" w:lastRowLastColumn="0"/>
            <w:tcW w:w="0" w:type="auto"/>
            <w:hideMark/>
          </w:tcPr>
          <w:p w14:paraId="24DCD2D2" w14:textId="77777777" w:rsidR="00C11A13" w:rsidRPr="000F3484" w:rsidRDefault="00C11A13" w:rsidP="00320AEB">
            <w:pPr>
              <w:spacing w:line="360" w:lineRule="auto"/>
              <w:rPr>
                <w:rFonts w:eastAsia="Calibri"/>
                <w:b w:val="0"/>
                <w:bCs w:val="0"/>
                <w:noProof/>
                <w:color w:val="4C4747"/>
                <w:lang w:val="es-419"/>
              </w:rPr>
            </w:pPr>
            <w:r w:rsidRPr="000F3484">
              <w:rPr>
                <w:rFonts w:eastAsia="Calibri"/>
                <w:b w:val="0"/>
                <w:bCs w:val="0"/>
                <w:noProof/>
                <w:color w:val="4C4747"/>
                <w:lang w:val="es-419"/>
              </w:rPr>
              <w:t>Acta de cancelación</w:t>
            </w:r>
          </w:p>
        </w:tc>
        <w:tc>
          <w:tcPr>
            <w:tcW w:w="0" w:type="auto"/>
            <w:hideMark/>
          </w:tcPr>
          <w:p w14:paraId="46908965"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lang w:val="es-419"/>
              </w:rPr>
            </w:pPr>
            <w:r w:rsidRPr="000F3484">
              <w:rPr>
                <w:rFonts w:eastAsia="Calibri"/>
                <w:noProof/>
                <w:color w:val="4C4747"/>
                <w:lang w:val="es-419"/>
              </w:rPr>
              <w:t>1</w:t>
            </w:r>
          </w:p>
        </w:tc>
      </w:tr>
      <w:tr w:rsidR="00C11A13" w:rsidRPr="000F3484" w14:paraId="1EC2BA8B" w14:textId="77777777" w:rsidTr="00320AEB">
        <w:trPr>
          <w:trHeight w:val="401"/>
        </w:trPr>
        <w:tc>
          <w:tcPr>
            <w:cnfStyle w:val="001000000000" w:firstRow="0" w:lastRow="0" w:firstColumn="1" w:lastColumn="0" w:oddVBand="0" w:evenVBand="0" w:oddHBand="0" w:evenHBand="0" w:firstRowFirstColumn="0" w:firstRowLastColumn="0" w:lastRowFirstColumn="0" w:lastRowLastColumn="0"/>
            <w:tcW w:w="0" w:type="auto"/>
            <w:hideMark/>
          </w:tcPr>
          <w:p w14:paraId="717F171E" w14:textId="0589B4A6" w:rsidR="00C11A13" w:rsidRPr="000F3484" w:rsidRDefault="00BB1030" w:rsidP="00320AEB">
            <w:pPr>
              <w:spacing w:line="360" w:lineRule="auto"/>
              <w:rPr>
                <w:rFonts w:eastAsia="Calibri"/>
                <w:noProof/>
                <w:color w:val="4C4747"/>
                <w:lang w:val="es-419"/>
              </w:rPr>
            </w:pPr>
            <w:r w:rsidRPr="000F3484">
              <w:rPr>
                <w:rFonts w:eastAsia="Calibri"/>
                <w:noProof/>
                <w:color w:val="4C4747"/>
                <w:lang w:val="es-419"/>
              </w:rPr>
              <w:t>TOTAL</w:t>
            </w:r>
          </w:p>
        </w:tc>
        <w:tc>
          <w:tcPr>
            <w:tcW w:w="0" w:type="auto"/>
            <w:hideMark/>
          </w:tcPr>
          <w:p w14:paraId="33A6BD8E" w14:textId="77777777" w:rsidR="00C11A13" w:rsidRPr="000F3484" w:rsidRDefault="00C11A13" w:rsidP="00320AE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lang w:val="es-419"/>
              </w:rPr>
            </w:pPr>
            <w:r w:rsidRPr="000F3484">
              <w:rPr>
                <w:rFonts w:eastAsia="Calibri"/>
                <w:b/>
                <w:bCs/>
                <w:noProof/>
                <w:color w:val="4C4747"/>
                <w:lang w:val="es-419"/>
              </w:rPr>
              <w:t>23</w:t>
            </w:r>
          </w:p>
        </w:tc>
      </w:tr>
    </w:tbl>
    <w:p w14:paraId="31075EE5" w14:textId="6E8B301B" w:rsidR="003051BA" w:rsidRPr="007405DC" w:rsidRDefault="003051BA" w:rsidP="00886F32">
      <w:pPr>
        <w:tabs>
          <w:tab w:val="left" w:pos="1260"/>
        </w:tabs>
        <w:spacing w:after="0" w:line="360" w:lineRule="auto"/>
        <w:ind w:left="720"/>
        <w:jc w:val="both"/>
        <w:rPr>
          <w:rFonts w:eastAsia="Calibri"/>
          <w:noProof/>
          <w:color w:val="4C4747"/>
          <w:lang w:val="es-419"/>
        </w:rPr>
      </w:pPr>
      <w:r w:rsidRPr="004C0C15">
        <w:rPr>
          <w:rFonts w:eastAsia="Calibri"/>
          <w:i/>
          <w:iCs/>
          <w:noProof/>
          <w:color w:val="4C4747"/>
          <w:lang w:val="es-419"/>
        </w:rPr>
        <w:t xml:space="preserve">Tabla </w:t>
      </w:r>
      <w:r>
        <w:rPr>
          <w:rFonts w:eastAsia="Calibri"/>
          <w:i/>
          <w:iCs/>
          <w:noProof/>
          <w:color w:val="4C4747"/>
          <w:lang w:val="es-419"/>
        </w:rPr>
        <w:t>21</w:t>
      </w:r>
      <w:r w:rsidRPr="004C0C15">
        <w:rPr>
          <w:rFonts w:eastAsia="Calibri"/>
          <w:i/>
          <w:iCs/>
          <w:noProof/>
          <w:color w:val="4C4747"/>
          <w:lang w:val="es-419"/>
        </w:rPr>
        <w:t xml:space="preserve">. Resumen </w:t>
      </w:r>
      <w:r>
        <w:rPr>
          <w:rFonts w:eastAsia="Calibri"/>
          <w:i/>
          <w:iCs/>
          <w:noProof/>
          <w:color w:val="4C4747"/>
          <w:lang w:val="es-419"/>
        </w:rPr>
        <w:t xml:space="preserve">actas del comité de compras </w:t>
      </w:r>
      <w:r w:rsidR="00CB6095">
        <w:rPr>
          <w:rFonts w:eastAsia="Calibri"/>
          <w:i/>
          <w:iCs/>
          <w:noProof/>
          <w:color w:val="4C4747"/>
          <w:lang w:val="es-419"/>
        </w:rPr>
        <w:t>elaboradas</w:t>
      </w:r>
    </w:p>
    <w:p w14:paraId="2F7B24B0" w14:textId="77777777" w:rsidR="00C11A13" w:rsidRPr="00C11A13" w:rsidRDefault="00C11A13" w:rsidP="00886F32">
      <w:pPr>
        <w:spacing w:after="0" w:line="360" w:lineRule="auto"/>
        <w:ind w:left="720"/>
        <w:rPr>
          <w:rFonts w:eastAsia="Calibri"/>
          <w:noProof/>
          <w:color w:val="4C4747"/>
          <w:lang w:val="es-419"/>
        </w:rPr>
      </w:pPr>
    </w:p>
    <w:p w14:paraId="223B44A3" w14:textId="77777777" w:rsidR="00C11A13" w:rsidRPr="00C11A13" w:rsidRDefault="00C11A13" w:rsidP="00886F32">
      <w:pPr>
        <w:spacing w:after="0" w:line="360" w:lineRule="auto"/>
        <w:ind w:left="720"/>
        <w:jc w:val="center"/>
        <w:rPr>
          <w:rFonts w:eastAsia="Calibri"/>
          <w:noProof/>
          <w:color w:val="4C4747"/>
          <w:lang w:val="es-419"/>
        </w:rPr>
      </w:pPr>
      <w:r w:rsidRPr="00C11A13">
        <w:rPr>
          <w:rFonts w:eastAsia="Calibri"/>
          <w:noProof/>
          <w:color w:val="4C4747"/>
          <w:lang w:val="es-419"/>
        </w:rPr>
        <w:drawing>
          <wp:inline distT="0" distB="0" distL="0" distR="0" wp14:anchorId="3B1EE2F1" wp14:editId="430C566C">
            <wp:extent cx="4305300" cy="2545080"/>
            <wp:effectExtent l="0" t="0" r="0" b="7620"/>
            <wp:docPr id="1836801944"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3D0FE02" w14:textId="785B9927" w:rsidR="00CB6095" w:rsidRPr="00A755B5" w:rsidRDefault="00CB6095" w:rsidP="00886F32">
      <w:pPr>
        <w:spacing w:after="0" w:line="360" w:lineRule="auto"/>
        <w:ind w:left="720"/>
        <w:rPr>
          <w:rFonts w:eastAsia="Calibri"/>
          <w:i/>
          <w:iCs/>
          <w:noProof/>
          <w:color w:val="4C4747"/>
          <w:lang w:val="es-419"/>
        </w:rPr>
      </w:pPr>
      <w:r w:rsidRPr="00F078C4">
        <w:rPr>
          <w:rFonts w:eastAsia="Calibri"/>
          <w:i/>
          <w:iCs/>
          <w:noProof/>
          <w:color w:val="4C4747"/>
          <w:lang w:val="es-419"/>
        </w:rPr>
        <w:t xml:space="preserve">Gráfico </w:t>
      </w:r>
      <w:r>
        <w:rPr>
          <w:rFonts w:eastAsia="Calibri"/>
          <w:i/>
          <w:iCs/>
          <w:noProof/>
          <w:color w:val="4C4747"/>
          <w:lang w:val="es-419"/>
        </w:rPr>
        <w:t>11</w:t>
      </w:r>
      <w:r w:rsidRPr="00F078C4">
        <w:rPr>
          <w:rFonts w:eastAsia="Calibri"/>
          <w:i/>
          <w:iCs/>
          <w:noProof/>
          <w:color w:val="4C4747"/>
          <w:lang w:val="es-419"/>
        </w:rPr>
        <w:t xml:space="preserve">. </w:t>
      </w:r>
      <w:r w:rsidRPr="004C0C15">
        <w:rPr>
          <w:rFonts w:eastAsia="Calibri"/>
          <w:i/>
          <w:iCs/>
          <w:noProof/>
          <w:color w:val="4C4747"/>
          <w:lang w:val="es-419"/>
        </w:rPr>
        <w:t xml:space="preserve">Resumen </w:t>
      </w:r>
      <w:r>
        <w:rPr>
          <w:rFonts w:eastAsia="Calibri"/>
          <w:i/>
          <w:iCs/>
          <w:noProof/>
          <w:color w:val="4C4747"/>
          <w:lang w:val="es-419"/>
        </w:rPr>
        <w:t>actas del comité de compras elaboradas</w:t>
      </w:r>
    </w:p>
    <w:p w14:paraId="782494FF" w14:textId="77777777" w:rsidR="0042578D" w:rsidRPr="00C11A13" w:rsidRDefault="0042578D" w:rsidP="00886F32">
      <w:pPr>
        <w:pStyle w:val="ListParagraph"/>
        <w:spacing w:after="0" w:line="360" w:lineRule="auto"/>
        <w:rPr>
          <w:rFonts w:eastAsia="Calibri"/>
          <w:noProof/>
          <w:color w:val="4C4747"/>
          <w:lang w:val="es-419"/>
        </w:rPr>
      </w:pPr>
    </w:p>
    <w:p w14:paraId="0E219FE8" w14:textId="06C00DAB" w:rsidR="0051619E" w:rsidRDefault="00535822" w:rsidP="00886F32">
      <w:pPr>
        <w:pStyle w:val="ListParagraph"/>
        <w:numPr>
          <w:ilvl w:val="1"/>
          <w:numId w:val="96"/>
        </w:numPr>
        <w:spacing w:after="0" w:line="360" w:lineRule="auto"/>
        <w:ind w:left="720"/>
        <w:jc w:val="center"/>
        <w:outlineLvl w:val="1"/>
        <w:rPr>
          <w:b/>
          <w:bCs/>
        </w:rPr>
      </w:pPr>
      <w:bookmarkStart w:id="127" w:name="_Toc185843637"/>
      <w:r>
        <w:rPr>
          <w:b/>
          <w:bCs/>
        </w:rPr>
        <w:t xml:space="preserve"> </w:t>
      </w:r>
      <w:bookmarkStart w:id="128" w:name="_Toc217382621"/>
      <w:r w:rsidR="0051619E">
        <w:rPr>
          <w:b/>
          <w:bCs/>
        </w:rPr>
        <w:t>Desempeño de la Tecnología</w:t>
      </w:r>
      <w:bookmarkEnd w:id="128"/>
    </w:p>
    <w:p w14:paraId="7BFF28F7" w14:textId="77777777" w:rsidR="00E27E54" w:rsidRPr="00C30B28" w:rsidRDefault="00E27E54" w:rsidP="00886F32">
      <w:pPr>
        <w:spacing w:after="0" w:line="360" w:lineRule="auto"/>
        <w:ind w:left="720"/>
        <w:jc w:val="both"/>
        <w:rPr>
          <w:rFonts w:eastAsia="Calibri"/>
          <w:noProof/>
          <w:color w:val="4C4747"/>
          <w:lang w:val="es-419"/>
        </w:rPr>
      </w:pPr>
      <w:r w:rsidRPr="00C30B28">
        <w:rPr>
          <w:rFonts w:eastAsia="Calibri"/>
          <w:noProof/>
          <w:color w:val="4C4747"/>
          <w:lang w:val="es-419"/>
        </w:rPr>
        <w:t xml:space="preserve">Durante el año 2025, la Dirección de Tecnologías de la Información y la Comunicación (DTIC) ha consolidado su rol como eje estratégico para la transformación digital del Ministerio de la Presidencia, liderando proyectos e iniciativas orientados a </w:t>
      </w:r>
      <w:r w:rsidRPr="00C30B28">
        <w:rPr>
          <w:rFonts w:eastAsia="Calibri"/>
          <w:noProof/>
          <w:color w:val="4C4747"/>
          <w:lang w:val="es-419"/>
        </w:rPr>
        <w:lastRenderedPageBreak/>
        <w:t>la eficiencia, la transparencia y la modernización de la gestión pública. En este contexto, se presentan a continuación las principales acciones desarrolladas, entre las que destacan el acompañamiento tecnológico en la fusión institucional, la consolidación del Laboratorio de Innovación Digital, el desarrollo e implementación de sistemas y plataformas especializadas, el fortalecimiento de la infraestructura y equipamiento TIC, la optimización de los datos institucionales, la gestión del conocimiento a través de herramientas formativas y los avances en materia de gobierno digital. Cada uno de estos proyectos refleja el compromiso de la DTIC con la mejora continua, el uso responsable de las tecnologías de la información y la creación de un entorno institucional más ágil, seguro y orientado a resultados.</w:t>
      </w:r>
    </w:p>
    <w:p w14:paraId="06D37B3A" w14:textId="77777777" w:rsidR="00E27E54" w:rsidRDefault="00E27E54" w:rsidP="00886F32">
      <w:pPr>
        <w:spacing w:after="0" w:line="360" w:lineRule="auto"/>
        <w:ind w:left="720"/>
        <w:jc w:val="both"/>
        <w:rPr>
          <w:rFonts w:eastAsia="Calibri"/>
          <w:noProof/>
          <w:color w:val="4C4747"/>
          <w:lang w:val="es-DO"/>
        </w:rPr>
      </w:pPr>
    </w:p>
    <w:p w14:paraId="7A2B1E55" w14:textId="77777777" w:rsidR="00E27E54" w:rsidRPr="00A766DF" w:rsidRDefault="00E27E54" w:rsidP="00886F32">
      <w:pPr>
        <w:spacing w:after="0" w:line="360" w:lineRule="auto"/>
        <w:ind w:left="720"/>
        <w:jc w:val="both"/>
        <w:rPr>
          <w:rFonts w:eastAsia="Calibri"/>
          <w:b/>
          <w:bCs/>
          <w:noProof/>
          <w:color w:val="4C4747"/>
          <w:lang w:val="es-DO"/>
        </w:rPr>
      </w:pPr>
      <w:r w:rsidRPr="00A766DF">
        <w:rPr>
          <w:rFonts w:eastAsia="Calibri"/>
          <w:b/>
          <w:bCs/>
          <w:noProof/>
          <w:color w:val="4C4747"/>
          <w:lang w:val="es-DO"/>
        </w:rPr>
        <w:t>Participación del Comité de Integración Tecnológica (CTI) en el marco de la fusión entre el Ministerio de Hacienda con el Ministerio de Economía, Planificación y Desarrollo para la creación del Mi</w:t>
      </w:r>
      <w:r>
        <w:rPr>
          <w:rFonts w:eastAsia="Calibri"/>
          <w:b/>
          <w:bCs/>
          <w:noProof/>
          <w:color w:val="4C4747"/>
          <w:lang w:val="es-DO"/>
        </w:rPr>
        <w:t>ni</w:t>
      </w:r>
      <w:r w:rsidRPr="00A766DF">
        <w:rPr>
          <w:rFonts w:eastAsia="Calibri"/>
          <w:b/>
          <w:bCs/>
          <w:noProof/>
          <w:color w:val="4C4747"/>
          <w:lang w:val="es-DO"/>
        </w:rPr>
        <w:t>sterio de Hacienda y Economía.</w:t>
      </w:r>
    </w:p>
    <w:p w14:paraId="6337A0E8"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A principios de febrero 2025, se informó sobre el inicio para los trabajos de fusión entre el Ministerio de Hacienda y el Ministerio de Economía, Planificación y Desarrollo (MEPYD). Producto de esta fusión tres áreas del MEPYD pasarían al Ministerio de la Presidencia, siendo estas:</w:t>
      </w:r>
    </w:p>
    <w:p w14:paraId="6824D233" w14:textId="77777777" w:rsidR="00E27E54" w:rsidRDefault="00E27E54" w:rsidP="00886F32">
      <w:pPr>
        <w:pStyle w:val="ListParagraph"/>
        <w:numPr>
          <w:ilvl w:val="0"/>
          <w:numId w:val="54"/>
        </w:numPr>
        <w:spacing w:after="0" w:line="360" w:lineRule="auto"/>
        <w:jc w:val="both"/>
        <w:rPr>
          <w:rFonts w:eastAsia="Calibri"/>
          <w:noProof/>
          <w:color w:val="4C4747"/>
        </w:rPr>
      </w:pPr>
      <w:r>
        <w:rPr>
          <w:rFonts w:eastAsia="Calibri"/>
          <w:noProof/>
          <w:color w:val="4C4747"/>
        </w:rPr>
        <w:t>Viceministerio de Cooperación Internacional (VIMICI).</w:t>
      </w:r>
    </w:p>
    <w:p w14:paraId="67A0DA46" w14:textId="77777777" w:rsidR="00E27E54" w:rsidRDefault="00E27E54" w:rsidP="00886F32">
      <w:pPr>
        <w:pStyle w:val="ListParagraph"/>
        <w:numPr>
          <w:ilvl w:val="0"/>
          <w:numId w:val="54"/>
        </w:numPr>
        <w:spacing w:after="0" w:line="360" w:lineRule="auto"/>
        <w:jc w:val="both"/>
        <w:rPr>
          <w:rFonts w:eastAsia="Calibri"/>
          <w:noProof/>
          <w:color w:val="4C4747"/>
        </w:rPr>
      </w:pPr>
      <w:r>
        <w:rPr>
          <w:rFonts w:eastAsia="Calibri"/>
          <w:noProof/>
          <w:color w:val="4C4747"/>
        </w:rPr>
        <w:t>Viceministerio de Ordenamiento Territorial y Desarrollo Regional (VIOTDR).</w:t>
      </w:r>
    </w:p>
    <w:p w14:paraId="20E290EA" w14:textId="77777777" w:rsidR="00E27E54" w:rsidRDefault="00E27E54" w:rsidP="00886F32">
      <w:pPr>
        <w:pStyle w:val="ListParagraph"/>
        <w:numPr>
          <w:ilvl w:val="0"/>
          <w:numId w:val="54"/>
        </w:numPr>
        <w:spacing w:after="0" w:line="360" w:lineRule="auto"/>
        <w:jc w:val="both"/>
        <w:rPr>
          <w:rFonts w:eastAsia="Calibri"/>
          <w:noProof/>
          <w:color w:val="4C4747"/>
        </w:rPr>
      </w:pPr>
      <w:r>
        <w:rPr>
          <w:rFonts w:eastAsia="Calibri"/>
          <w:noProof/>
          <w:color w:val="4C4747"/>
        </w:rPr>
        <w:t>Centro Nacional de Fomento y Promoción de las Asociaciones sin Fines de Lucro (CASFL).</w:t>
      </w:r>
    </w:p>
    <w:p w14:paraId="2EDE208C" w14:textId="77777777" w:rsidR="00E27E54" w:rsidRPr="00707B2D" w:rsidRDefault="00E27E54" w:rsidP="00886F32">
      <w:pPr>
        <w:spacing w:after="0" w:line="360" w:lineRule="auto"/>
        <w:ind w:left="720"/>
        <w:jc w:val="both"/>
        <w:rPr>
          <w:rFonts w:eastAsia="Calibri"/>
          <w:noProof/>
          <w:color w:val="4C4747"/>
          <w:lang w:val="es-DO"/>
        </w:rPr>
      </w:pPr>
      <w:r w:rsidRPr="00707B2D">
        <w:rPr>
          <w:rFonts w:eastAsia="Calibri"/>
          <w:noProof/>
          <w:color w:val="4C4747"/>
          <w:lang w:val="es-DO"/>
        </w:rPr>
        <w:t xml:space="preserve">Esta fusión fue coordinada por Comisionado de Reformas del Estado, </w:t>
      </w:r>
      <w:r w:rsidRPr="00707B2D">
        <w:rPr>
          <w:rFonts w:eastAsia="Calibri"/>
          <w:noProof/>
          <w:color w:val="4C4747"/>
          <w:lang w:val="es-DO"/>
        </w:rPr>
        <w:lastRenderedPageBreak/>
        <w:t>señor Dario Castillo y el señor Armando Manzueta, Viceministro de Tecnología e Innovación.</w:t>
      </w:r>
    </w:p>
    <w:p w14:paraId="1A9375E6"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Para la fusión se crearon varios comités, de los cuales la Dirección de Tecnologías de la Información y Comunicación (DTI) formó parte de la Comisión de Integración Tecnológica (CTI). En este erán miembros:</w:t>
      </w:r>
    </w:p>
    <w:p w14:paraId="261EC6A2" w14:textId="43686C84" w:rsidR="00E27E54" w:rsidRPr="00C30B28" w:rsidRDefault="00E27E54" w:rsidP="00886F32">
      <w:pPr>
        <w:pStyle w:val="ListParagraph"/>
        <w:numPr>
          <w:ilvl w:val="0"/>
          <w:numId w:val="55"/>
        </w:numPr>
        <w:spacing w:after="0" w:line="360" w:lineRule="auto"/>
        <w:ind w:left="720"/>
        <w:jc w:val="both"/>
        <w:rPr>
          <w:rFonts w:eastAsia="Calibri"/>
          <w:noProof/>
          <w:color w:val="4C4747"/>
        </w:rPr>
      </w:pPr>
      <w:r w:rsidRPr="00C30B28">
        <w:rPr>
          <w:rFonts w:eastAsia="Calibri"/>
          <w:noProof/>
          <w:color w:val="4C4747"/>
        </w:rPr>
        <w:t>Director TIC | MEPYD.</w:t>
      </w:r>
    </w:p>
    <w:p w14:paraId="05B6F2AC" w14:textId="68313492" w:rsidR="00E27E54" w:rsidRPr="00C30B28" w:rsidRDefault="00E27E54" w:rsidP="00886F32">
      <w:pPr>
        <w:pStyle w:val="ListParagraph"/>
        <w:numPr>
          <w:ilvl w:val="0"/>
          <w:numId w:val="55"/>
        </w:numPr>
        <w:spacing w:after="0" w:line="360" w:lineRule="auto"/>
        <w:ind w:left="720"/>
        <w:jc w:val="both"/>
        <w:rPr>
          <w:rFonts w:eastAsia="Calibri"/>
          <w:noProof/>
          <w:color w:val="4C4747"/>
          <w:lang w:val="pt-BR"/>
        </w:rPr>
      </w:pPr>
      <w:r w:rsidRPr="00C30B28">
        <w:rPr>
          <w:rFonts w:eastAsia="Calibri"/>
          <w:noProof/>
          <w:color w:val="4C4747"/>
          <w:lang w:val="pt-BR"/>
        </w:rPr>
        <w:t>Director TIC | MINPRE.</w:t>
      </w:r>
    </w:p>
    <w:p w14:paraId="56885E57" w14:textId="0D5F648D" w:rsidR="00E27E54" w:rsidRPr="00C30B28" w:rsidRDefault="00E27E54" w:rsidP="00886F32">
      <w:pPr>
        <w:pStyle w:val="ListParagraph"/>
        <w:numPr>
          <w:ilvl w:val="0"/>
          <w:numId w:val="55"/>
        </w:numPr>
        <w:spacing w:after="0" w:line="360" w:lineRule="auto"/>
        <w:ind w:left="720"/>
        <w:jc w:val="both"/>
        <w:rPr>
          <w:rFonts w:eastAsia="Calibri"/>
          <w:noProof/>
          <w:color w:val="4C4747"/>
        </w:rPr>
      </w:pPr>
      <w:r w:rsidRPr="00C30B28">
        <w:rPr>
          <w:rFonts w:eastAsia="Calibri"/>
          <w:noProof/>
          <w:color w:val="4C4747"/>
        </w:rPr>
        <w:t>Director TIC | MHE.</w:t>
      </w:r>
    </w:p>
    <w:p w14:paraId="2B621522" w14:textId="77777777" w:rsidR="00320AEB" w:rsidRDefault="00320AEB" w:rsidP="00886F32">
      <w:pPr>
        <w:spacing w:after="0" w:line="360" w:lineRule="auto"/>
        <w:ind w:left="720"/>
        <w:jc w:val="both"/>
        <w:rPr>
          <w:rFonts w:eastAsia="Calibri"/>
          <w:noProof/>
          <w:color w:val="4C4747"/>
          <w:lang w:val="es-DO"/>
        </w:rPr>
      </w:pPr>
    </w:p>
    <w:p w14:paraId="48980FBD" w14:textId="4B5C34CA"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A febrero, esas 3 áreas contaban con unas 284</w:t>
      </w:r>
      <w:r w:rsidRPr="00707B2D">
        <w:rPr>
          <w:rFonts w:eastAsia="Calibri"/>
          <w:noProof/>
          <w:color w:val="4C4747"/>
          <w:lang w:val="es-DO"/>
        </w:rPr>
        <w:t xml:space="preserve"> </w:t>
      </w:r>
      <w:r>
        <w:rPr>
          <w:rFonts w:eastAsia="Calibri"/>
          <w:noProof/>
          <w:color w:val="4C4747"/>
          <w:lang w:val="es-DO"/>
        </w:rPr>
        <w:t xml:space="preserve">servidores públicos. Por lo que, </w:t>
      </w:r>
      <w:r w:rsidRPr="00707B2D">
        <w:rPr>
          <w:rFonts w:eastAsia="Calibri"/>
          <w:noProof/>
          <w:color w:val="4C4747"/>
          <w:lang w:val="es-DO"/>
        </w:rPr>
        <w:t xml:space="preserve">el objetivo del Comité </w:t>
      </w:r>
      <w:r>
        <w:rPr>
          <w:rFonts w:eastAsia="Calibri"/>
          <w:noProof/>
          <w:color w:val="4C4747"/>
          <w:lang w:val="es-DO"/>
        </w:rPr>
        <w:t>era</w:t>
      </w:r>
      <w:r w:rsidRPr="00707B2D">
        <w:rPr>
          <w:rFonts w:eastAsia="Calibri"/>
          <w:noProof/>
          <w:color w:val="4C4747"/>
          <w:lang w:val="es-DO"/>
        </w:rPr>
        <w:t xml:space="preserve"> la identificación de todos los requisitos </w:t>
      </w:r>
      <w:r>
        <w:rPr>
          <w:rFonts w:eastAsia="Calibri"/>
          <w:noProof/>
          <w:color w:val="4C4747"/>
          <w:lang w:val="es-DO"/>
        </w:rPr>
        <w:t xml:space="preserve">necesarios </w:t>
      </w:r>
      <w:r w:rsidRPr="00707B2D">
        <w:rPr>
          <w:rFonts w:eastAsia="Calibri"/>
          <w:noProof/>
          <w:color w:val="4C4747"/>
          <w:lang w:val="es-DO"/>
        </w:rPr>
        <w:t>para dar soporte a estas nuevas áreas como tambien a las más de doscientos colaboradores del Ministerio de la Presidencia y sus dependencias.</w:t>
      </w:r>
    </w:p>
    <w:p w14:paraId="22BBB194" w14:textId="77777777" w:rsidR="0034337A" w:rsidRDefault="0034337A" w:rsidP="00886F32">
      <w:pPr>
        <w:spacing w:after="0" w:line="360" w:lineRule="auto"/>
        <w:ind w:left="720"/>
        <w:jc w:val="both"/>
        <w:rPr>
          <w:rFonts w:eastAsia="Calibri"/>
          <w:noProof/>
          <w:color w:val="4C4747"/>
          <w:lang w:val="es-DO"/>
        </w:rPr>
      </w:pPr>
    </w:p>
    <w:p w14:paraId="0CA0A13A"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Esto llevó a que se realizaran un sinúmero de sesiones de trabajo que llevaron entre otras cosas:</w:t>
      </w:r>
    </w:p>
    <w:p w14:paraId="0955E033" w14:textId="77777777"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t>Distribución de los coladoradores de la DTIC del antiguo MEPYD a los Ministerios de Hacienda y de la Presidencia.</w:t>
      </w:r>
    </w:p>
    <w:p w14:paraId="3E86CBDC" w14:textId="77777777"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t xml:space="preserve">Levantamiento de activos fijos tecnológicos del Data center del antiguo MEPYD. </w:t>
      </w:r>
    </w:p>
    <w:p w14:paraId="54478DC3" w14:textId="77777777"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t>Levantamiento y modificación de la estructura organizativa de la DTIC por la Resolución No. 341-2024 del MAP sobre la Dirección de Transformación Digital y la Dirección de Ciberseguridad.</w:t>
      </w:r>
    </w:p>
    <w:p w14:paraId="58165FAF" w14:textId="77777777"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t>Levantamiento de servicios TIC y Sistemas del antíguo MEPYD.</w:t>
      </w:r>
    </w:p>
    <w:p w14:paraId="6D61A15A" w14:textId="77777777"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t>Reuniones con el personal recibido por parte del antíguo MEPYD.</w:t>
      </w:r>
    </w:p>
    <w:p w14:paraId="5577DF4C" w14:textId="77777777"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lastRenderedPageBreak/>
        <w:t>Reunión con la Viceministra de Cooperación Internacional los viceministerios y CASFL sobre el levantamiento de necesidades y requerimientos tecnológicos.</w:t>
      </w:r>
    </w:p>
    <w:p w14:paraId="72BE4C22" w14:textId="5241458D" w:rsidR="00E27E54" w:rsidRPr="00E65686" w:rsidRDefault="00E27E54" w:rsidP="00886F32">
      <w:pPr>
        <w:pStyle w:val="ListParagraph"/>
        <w:numPr>
          <w:ilvl w:val="0"/>
          <w:numId w:val="56"/>
        </w:numPr>
        <w:spacing w:after="0" w:line="360" w:lineRule="auto"/>
        <w:ind w:left="720"/>
        <w:jc w:val="both"/>
        <w:rPr>
          <w:rFonts w:eastAsia="Calibri"/>
          <w:noProof/>
          <w:color w:val="4C4747"/>
        </w:rPr>
      </w:pPr>
      <w:r w:rsidRPr="00E65686">
        <w:rPr>
          <w:rFonts w:eastAsia="Calibri"/>
          <w:noProof/>
          <w:color w:val="4C4747"/>
        </w:rPr>
        <w:t>Reuniones con la viceministra con temas diversos de la fusión MHE y MEPYD</w:t>
      </w:r>
      <w:r w:rsidR="0034337A">
        <w:rPr>
          <w:rFonts w:eastAsia="Calibri"/>
          <w:noProof/>
          <w:color w:val="4C4747"/>
        </w:rPr>
        <w:t>.</w:t>
      </w:r>
    </w:p>
    <w:p w14:paraId="0DB0C9FA" w14:textId="77777777" w:rsidR="0034337A" w:rsidRDefault="0034337A" w:rsidP="00886F32">
      <w:pPr>
        <w:spacing w:after="0" w:line="360" w:lineRule="auto"/>
        <w:ind w:left="720"/>
        <w:jc w:val="both"/>
        <w:rPr>
          <w:rFonts w:eastAsia="Calibri"/>
          <w:b/>
          <w:bCs/>
          <w:noProof/>
          <w:color w:val="4C4747"/>
          <w:lang w:val="es-DO"/>
        </w:rPr>
      </w:pPr>
    </w:p>
    <w:p w14:paraId="6A7F9542" w14:textId="1598458C" w:rsidR="00E27E54" w:rsidRDefault="00E27E54" w:rsidP="00886F32">
      <w:pPr>
        <w:spacing w:after="0" w:line="360" w:lineRule="auto"/>
        <w:ind w:left="720"/>
        <w:jc w:val="both"/>
        <w:rPr>
          <w:rFonts w:eastAsia="Calibri"/>
          <w:noProof/>
          <w:color w:val="4C4747"/>
          <w:lang w:val="es-DO"/>
        </w:rPr>
      </w:pPr>
      <w:r w:rsidRPr="00395026">
        <w:rPr>
          <w:rFonts w:eastAsia="Calibri"/>
          <w:b/>
          <w:bCs/>
          <w:noProof/>
          <w:color w:val="4C4747"/>
          <w:lang w:val="es-DO"/>
        </w:rPr>
        <w:t>Laboratorio de Innovación Digital (LID):</w:t>
      </w:r>
      <w:r>
        <w:rPr>
          <w:rFonts w:eastAsia="Calibri"/>
          <w:noProof/>
          <w:color w:val="4C4747"/>
          <w:lang w:val="es-DO"/>
        </w:rPr>
        <w:t xml:space="preserve"> </w:t>
      </w:r>
      <w:r w:rsidRPr="00395026">
        <w:rPr>
          <w:rFonts w:eastAsia="Calibri"/>
          <w:noProof/>
          <w:color w:val="4C4747"/>
          <w:lang w:val="es-DO"/>
        </w:rPr>
        <w:t>Durante este período, la Dirección de Tecnología</w:t>
      </w:r>
      <w:r>
        <w:rPr>
          <w:rFonts w:eastAsia="Calibri"/>
          <w:noProof/>
          <w:color w:val="4C4747"/>
          <w:lang w:val="es-DO"/>
        </w:rPr>
        <w:t>s</w:t>
      </w:r>
      <w:r w:rsidRPr="00395026">
        <w:rPr>
          <w:rFonts w:eastAsia="Calibri"/>
          <w:noProof/>
          <w:color w:val="4C4747"/>
          <w:lang w:val="es-DO"/>
        </w:rPr>
        <w:t xml:space="preserve"> de la Información y la Comunicación</w:t>
      </w:r>
      <w:r>
        <w:rPr>
          <w:rFonts w:eastAsia="Calibri"/>
          <w:noProof/>
          <w:color w:val="4C4747"/>
          <w:lang w:val="es-DO"/>
        </w:rPr>
        <w:t xml:space="preserve">, </w:t>
      </w:r>
      <w:r w:rsidRPr="00395026">
        <w:rPr>
          <w:rFonts w:eastAsia="Calibri"/>
          <w:noProof/>
          <w:color w:val="4C4747"/>
          <w:lang w:val="es-DO"/>
        </w:rPr>
        <w:t xml:space="preserve">consolidó el Laboratorio de Innovación Digital como un espacio clave para el desarrollo de ideas, la experimentación tecnológica y la promoción de una cultura de mejora continua dentro </w:t>
      </w:r>
      <w:r>
        <w:rPr>
          <w:rFonts w:eastAsia="Calibri"/>
          <w:noProof/>
          <w:color w:val="4C4747"/>
          <w:lang w:val="es-DO"/>
        </w:rPr>
        <w:t>de la Dirección</w:t>
      </w:r>
      <w:r w:rsidRPr="00395026">
        <w:rPr>
          <w:rFonts w:eastAsia="Calibri"/>
          <w:noProof/>
          <w:color w:val="4C4747"/>
          <w:lang w:val="es-DO"/>
        </w:rPr>
        <w:t>. Este laboratorio ha fomentado la investigación aplicada por parte de los colaboradores</w:t>
      </w:r>
      <w:r>
        <w:rPr>
          <w:rFonts w:eastAsia="Calibri"/>
          <w:noProof/>
          <w:color w:val="4C4747"/>
          <w:lang w:val="es-DO"/>
        </w:rPr>
        <w:t xml:space="preserve"> de la DTIC</w:t>
      </w:r>
      <w:r w:rsidRPr="00395026">
        <w:rPr>
          <w:rFonts w:eastAsia="Calibri"/>
          <w:noProof/>
          <w:color w:val="4C4747"/>
          <w:lang w:val="es-DO"/>
        </w:rPr>
        <w:t>, impulsando soluciones innovadoras orientadas a la eficiencia institucional y al fortalecimiento de los servicios digitales. Además, ha servido como un entorno de aprendizaje constante, donde el equipo puede explorar nuevas herramientas, metodologías ágiles y tecnologías emergentes, contribuyendo así al crecimiento profesional de los participantes y a la transformación digital sostenible de la entidad.</w:t>
      </w:r>
      <w:r>
        <w:rPr>
          <w:rFonts w:eastAsia="Calibri"/>
          <w:noProof/>
          <w:color w:val="4C4747"/>
          <w:lang w:val="es-DO"/>
        </w:rPr>
        <w:t xml:space="preserve"> Traduciendose en eficientización y optimización de los tiempos para la entrega de Sistemas y requerimientos a las áreas de la institución. Este laboratorio tiene una participación activa y colaborativa de todo el personal de la DTIC.</w:t>
      </w:r>
    </w:p>
    <w:p w14:paraId="4052A513" w14:textId="77777777" w:rsidR="0034337A" w:rsidRDefault="0034337A" w:rsidP="00886F32">
      <w:pPr>
        <w:spacing w:after="0" w:line="360" w:lineRule="auto"/>
        <w:ind w:left="720"/>
        <w:jc w:val="both"/>
        <w:rPr>
          <w:rFonts w:eastAsia="Calibri"/>
          <w:noProof/>
          <w:color w:val="4C4747"/>
          <w:lang w:val="es-DO"/>
        </w:rPr>
      </w:pPr>
    </w:p>
    <w:p w14:paraId="500542EE" w14:textId="77777777" w:rsidR="00E27E54" w:rsidRDefault="00E27E54" w:rsidP="00886F32">
      <w:pPr>
        <w:spacing w:after="0" w:line="360" w:lineRule="auto"/>
        <w:ind w:left="720"/>
        <w:jc w:val="both"/>
        <w:rPr>
          <w:rFonts w:eastAsia="Calibri"/>
          <w:noProof/>
          <w:color w:val="4C4747"/>
          <w:lang w:val="es-DO"/>
        </w:rPr>
      </w:pPr>
      <w:r>
        <w:rPr>
          <w:rFonts w:eastAsia="Calibri"/>
          <w:b/>
          <w:bCs/>
          <w:noProof/>
          <w:color w:val="4C4747"/>
          <w:lang w:val="es-DO"/>
        </w:rPr>
        <w:t xml:space="preserve">Desarrollo e Implementación de un </w:t>
      </w:r>
      <w:r w:rsidRPr="00A943D4">
        <w:rPr>
          <w:rFonts w:eastAsia="Calibri"/>
          <w:b/>
          <w:bCs/>
          <w:noProof/>
          <w:color w:val="4C4747"/>
          <w:lang w:val="es-DO"/>
        </w:rPr>
        <w:t>Sistema de Metas Priorizadas:</w:t>
      </w:r>
      <w:r>
        <w:rPr>
          <w:rFonts w:eastAsia="Calibri"/>
          <w:noProof/>
          <w:color w:val="4C4747"/>
          <w:lang w:val="es-DO"/>
        </w:rPr>
        <w:t xml:space="preserve"> </w:t>
      </w:r>
      <w:r w:rsidRPr="00A943D4">
        <w:rPr>
          <w:rFonts w:eastAsia="Calibri"/>
          <w:noProof/>
          <w:color w:val="4C4747"/>
          <w:lang w:val="es-DO"/>
        </w:rPr>
        <w:t xml:space="preserve">Esta plataforma desarrollada a solicitud del Viceministerio de Seguimiento y Coordinación Gubernamental, con el objetivo de registrar y dar seguimiento a los avances a nivel de iniciativas de las instituciones que </w:t>
      </w:r>
      <w:r w:rsidRPr="00A943D4">
        <w:rPr>
          <w:rFonts w:eastAsia="Calibri"/>
          <w:noProof/>
          <w:color w:val="4C4747"/>
          <w:lang w:val="es-DO"/>
        </w:rPr>
        <w:lastRenderedPageBreak/>
        <w:t>impactan directamente aquellos indicadores definidos como prioritarios por el gobierno dominicano.</w:t>
      </w:r>
    </w:p>
    <w:p w14:paraId="61AD5C56" w14:textId="77777777" w:rsidR="0034337A" w:rsidRPr="00A943D4" w:rsidRDefault="0034337A" w:rsidP="00886F32">
      <w:pPr>
        <w:spacing w:after="0" w:line="360" w:lineRule="auto"/>
        <w:ind w:left="720"/>
        <w:jc w:val="both"/>
        <w:rPr>
          <w:rFonts w:eastAsia="Calibri"/>
          <w:noProof/>
          <w:color w:val="4C4747"/>
          <w:lang w:val="es-DO"/>
        </w:rPr>
      </w:pPr>
    </w:p>
    <w:p w14:paraId="226A8A50" w14:textId="77777777" w:rsidR="00E27E54" w:rsidRDefault="00E27E54" w:rsidP="00886F32">
      <w:pPr>
        <w:spacing w:after="0" w:line="360" w:lineRule="auto"/>
        <w:ind w:left="720"/>
        <w:jc w:val="both"/>
        <w:rPr>
          <w:rFonts w:eastAsia="Calibri"/>
          <w:noProof/>
          <w:color w:val="4C4747"/>
          <w:lang w:val="es-DO"/>
        </w:rPr>
      </w:pPr>
      <w:r w:rsidRPr="00DE3C48">
        <w:rPr>
          <w:rFonts w:eastAsia="Calibri"/>
          <w:b/>
          <w:bCs/>
          <w:noProof/>
          <w:color w:val="4C4747"/>
          <w:lang w:val="es-DO"/>
        </w:rPr>
        <w:t>Actualización Sistema de Administración de Memorias Institucionales:</w:t>
      </w:r>
      <w:r w:rsidRPr="00DE3C48">
        <w:rPr>
          <w:rFonts w:eastAsia="Calibri"/>
          <w:noProof/>
          <w:color w:val="4C4747"/>
          <w:lang w:val="es-DO"/>
        </w:rPr>
        <w:t xml:space="preserve"> En el marco de la rendición de cuentas de las instituciones gubernamentales, </w:t>
      </w:r>
      <w:r>
        <w:rPr>
          <w:rFonts w:eastAsia="Calibri"/>
          <w:noProof/>
          <w:color w:val="4C4747"/>
          <w:lang w:val="es-DO"/>
        </w:rPr>
        <w:t xml:space="preserve">la Dirección de Tecnologías de al Información y Comunicación (DTI) ha </w:t>
      </w:r>
      <w:r w:rsidRPr="00DE3C48">
        <w:rPr>
          <w:rFonts w:eastAsia="Calibri"/>
          <w:noProof/>
          <w:color w:val="4C4747"/>
          <w:lang w:val="es-DO"/>
        </w:rPr>
        <w:t xml:space="preserve">implementado mejoras para la personalización de las evaluaciones de las memorias institucionales </w:t>
      </w:r>
      <w:r>
        <w:rPr>
          <w:rFonts w:eastAsia="Calibri"/>
          <w:noProof/>
          <w:color w:val="4C4747"/>
          <w:lang w:val="es-DO"/>
        </w:rPr>
        <w:t>del Poder Ejecutivo. También se aplicaron mejoras en los criterios para</w:t>
      </w:r>
      <w:r w:rsidRPr="00DE3C48">
        <w:rPr>
          <w:rFonts w:eastAsia="Calibri"/>
          <w:noProof/>
          <w:color w:val="4C4747"/>
          <w:lang w:val="es-DO"/>
        </w:rPr>
        <w:t xml:space="preserve"> </w:t>
      </w:r>
      <w:r>
        <w:rPr>
          <w:rFonts w:eastAsia="Calibri"/>
          <w:noProof/>
          <w:color w:val="4C4747"/>
          <w:lang w:val="es-DO"/>
        </w:rPr>
        <w:t xml:space="preserve">la calificación del </w:t>
      </w:r>
      <w:r w:rsidRPr="00DE3C48">
        <w:rPr>
          <w:rFonts w:eastAsia="Calibri"/>
          <w:noProof/>
          <w:color w:val="4C4747"/>
          <w:lang w:val="es-DO"/>
        </w:rPr>
        <w:t xml:space="preserve">ranking institucional previamente definidos por la Dirección de Medición de la Gestión Pública. </w:t>
      </w:r>
      <w:r>
        <w:rPr>
          <w:rFonts w:eastAsia="Calibri"/>
          <w:noProof/>
          <w:color w:val="4C4747"/>
          <w:lang w:val="es-DO"/>
        </w:rPr>
        <w:t>Durante este último trimestre se han actualizado las documentaciones requeridas para que las instituciones puedan elaborar sus memorias de manera más eficiente y de acuerdo a las normativas requeridas.</w:t>
      </w:r>
    </w:p>
    <w:p w14:paraId="182D548B" w14:textId="77777777" w:rsidR="0034337A" w:rsidRPr="00DE3C48" w:rsidRDefault="0034337A" w:rsidP="00886F32">
      <w:pPr>
        <w:spacing w:after="0" w:line="360" w:lineRule="auto"/>
        <w:ind w:left="720"/>
        <w:jc w:val="both"/>
        <w:rPr>
          <w:rFonts w:eastAsia="Calibri"/>
          <w:noProof/>
          <w:color w:val="4C4747"/>
          <w:lang w:val="es-DO"/>
        </w:rPr>
      </w:pPr>
    </w:p>
    <w:p w14:paraId="41D5BD64" w14:textId="77777777" w:rsidR="00E27E54" w:rsidRDefault="00E27E54" w:rsidP="00886F32">
      <w:pPr>
        <w:spacing w:after="0" w:line="360" w:lineRule="auto"/>
        <w:ind w:left="720"/>
        <w:jc w:val="both"/>
        <w:rPr>
          <w:rFonts w:eastAsia="Calibri"/>
          <w:noProof/>
          <w:color w:val="4C4747"/>
          <w:lang w:val="es-DO"/>
        </w:rPr>
      </w:pPr>
      <w:r w:rsidRPr="007C56F4">
        <w:rPr>
          <w:rFonts w:eastAsia="Calibri"/>
          <w:b/>
          <w:bCs/>
          <w:noProof/>
          <w:color w:val="4C4747"/>
          <w:lang w:val="es-DO"/>
        </w:rPr>
        <w:t>Conceptualización, Desarrollo e Implementación del Sistema de Monitoreo e Información SINASSAN:</w:t>
      </w:r>
      <w:r>
        <w:rPr>
          <w:rFonts w:eastAsia="Calibri"/>
          <w:noProof/>
          <w:color w:val="4C4747"/>
          <w:lang w:val="es-DO"/>
        </w:rPr>
        <w:t xml:space="preserve"> Este Sistema tiene como objetivo la consolidación de las informaciones referentes al Consejo Nacional de Seguridad Alimentaria y Nutricional (CONASSAN), los componentes de la Soberanía y Seguridad Alimentaria y Nutricional, los proyectos de las diferentes instituciones que forman parte del Sistema, El seguimiento a las Redes SSAN y el monitoreo de los indicadores.</w:t>
      </w:r>
    </w:p>
    <w:p w14:paraId="12243D2E" w14:textId="77777777" w:rsidR="0034337A" w:rsidRDefault="0034337A" w:rsidP="00886F32">
      <w:pPr>
        <w:spacing w:after="0" w:line="360" w:lineRule="auto"/>
        <w:ind w:left="720"/>
        <w:jc w:val="both"/>
        <w:rPr>
          <w:rFonts w:eastAsia="Calibri"/>
          <w:noProof/>
          <w:color w:val="4C4747"/>
          <w:lang w:val="es-DO"/>
        </w:rPr>
      </w:pPr>
    </w:p>
    <w:p w14:paraId="1476FB81" w14:textId="77777777" w:rsidR="00E27E54" w:rsidRDefault="00E27E54" w:rsidP="00886F32">
      <w:pPr>
        <w:spacing w:after="0" w:line="360" w:lineRule="auto"/>
        <w:ind w:left="720"/>
        <w:jc w:val="both"/>
        <w:rPr>
          <w:rFonts w:eastAsia="Calibri"/>
          <w:noProof/>
          <w:color w:val="4C4747"/>
          <w:lang w:val="es-DO"/>
        </w:rPr>
      </w:pPr>
      <w:r>
        <w:rPr>
          <w:rFonts w:eastAsia="Calibri"/>
          <w:b/>
          <w:bCs/>
          <w:noProof/>
          <w:color w:val="4C4747"/>
          <w:lang w:val="es-DO"/>
        </w:rPr>
        <w:t>Conceptualización, Desarrollo e Implementación del Sistema de Gestión de Flotilla Vehicular</w:t>
      </w:r>
      <w:r w:rsidRPr="007C56F4">
        <w:rPr>
          <w:rFonts w:eastAsia="Calibri"/>
          <w:b/>
          <w:bCs/>
          <w:noProof/>
          <w:color w:val="4C4747"/>
          <w:lang w:val="es-DO"/>
        </w:rPr>
        <w:t>:</w:t>
      </w:r>
      <w:r>
        <w:rPr>
          <w:rFonts w:eastAsia="Calibri"/>
          <w:noProof/>
          <w:color w:val="4C4747"/>
          <w:lang w:val="es-DO"/>
        </w:rPr>
        <w:t xml:space="preserve"> Este Sistema fue una iniciativa de la Dirección de Tecnologías de la Información y Comunicación para que la Dirección Administrativa y Financiera pueda gestionar de manera eficiente una flotilla de </w:t>
      </w:r>
      <w:r>
        <w:rPr>
          <w:rFonts w:eastAsia="Calibri"/>
          <w:noProof/>
          <w:color w:val="4C4747"/>
          <w:lang w:val="es-DO"/>
        </w:rPr>
        <w:lastRenderedPageBreak/>
        <w:t>aproximadamente unos 125 vehículos de motor que tiene el Ministerio de la Presidencia, sus dependencias. Y en proceso de adición de una cantidad considerable de vehículos de motor  que provienen del antiguo Ministerio de Economía, Planificación y Desarrollo (MEPYD).</w:t>
      </w:r>
    </w:p>
    <w:p w14:paraId="5CF717D5" w14:textId="77777777" w:rsidR="0034337A" w:rsidRDefault="0034337A" w:rsidP="00886F32">
      <w:pPr>
        <w:spacing w:after="0" w:line="360" w:lineRule="auto"/>
        <w:ind w:left="720"/>
        <w:jc w:val="both"/>
        <w:rPr>
          <w:rFonts w:eastAsia="Calibri"/>
          <w:noProof/>
          <w:color w:val="4C4747"/>
          <w:lang w:val="es-DO"/>
        </w:rPr>
      </w:pPr>
    </w:p>
    <w:p w14:paraId="339B4E91"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El Sistema cuenta con tablero con los datos de la flotilla y cuenta con funcionalidades como:</w:t>
      </w:r>
    </w:p>
    <w:p w14:paraId="6821EE2F" w14:textId="77777777" w:rsidR="00E27E54" w:rsidRPr="00E65686" w:rsidRDefault="00E27E54" w:rsidP="00886F32">
      <w:pPr>
        <w:pStyle w:val="ListParagraph"/>
        <w:numPr>
          <w:ilvl w:val="0"/>
          <w:numId w:val="57"/>
        </w:numPr>
        <w:spacing w:after="0" w:line="360" w:lineRule="auto"/>
        <w:ind w:left="720"/>
        <w:jc w:val="both"/>
        <w:rPr>
          <w:rFonts w:eastAsia="Calibri"/>
          <w:noProof/>
          <w:color w:val="4C4747"/>
        </w:rPr>
      </w:pPr>
      <w:r w:rsidRPr="00E65686">
        <w:rPr>
          <w:rFonts w:eastAsia="Calibri"/>
          <w:noProof/>
          <w:color w:val="4C4747"/>
        </w:rPr>
        <w:t>Gestión de vehículos,</w:t>
      </w:r>
    </w:p>
    <w:p w14:paraId="78BB7549" w14:textId="77777777" w:rsidR="00E27E54" w:rsidRPr="00E65686" w:rsidRDefault="00E27E54" w:rsidP="00886F32">
      <w:pPr>
        <w:pStyle w:val="ListParagraph"/>
        <w:numPr>
          <w:ilvl w:val="0"/>
          <w:numId w:val="57"/>
        </w:numPr>
        <w:spacing w:after="0" w:line="360" w:lineRule="auto"/>
        <w:ind w:left="720"/>
        <w:jc w:val="both"/>
        <w:rPr>
          <w:rFonts w:eastAsia="Calibri"/>
          <w:noProof/>
          <w:color w:val="4C4747"/>
        </w:rPr>
      </w:pPr>
      <w:r w:rsidRPr="00E65686">
        <w:rPr>
          <w:rFonts w:eastAsia="Calibri"/>
          <w:noProof/>
          <w:color w:val="4C4747"/>
        </w:rPr>
        <w:t>Inspecciones,</w:t>
      </w:r>
    </w:p>
    <w:p w14:paraId="4A8F6728" w14:textId="77777777" w:rsidR="00E27E54" w:rsidRPr="00E65686" w:rsidRDefault="00E27E54" w:rsidP="00886F32">
      <w:pPr>
        <w:pStyle w:val="ListParagraph"/>
        <w:numPr>
          <w:ilvl w:val="0"/>
          <w:numId w:val="57"/>
        </w:numPr>
        <w:spacing w:after="0" w:line="360" w:lineRule="auto"/>
        <w:ind w:left="720"/>
        <w:jc w:val="both"/>
        <w:rPr>
          <w:rFonts w:eastAsia="Calibri"/>
          <w:noProof/>
          <w:color w:val="4C4747"/>
        </w:rPr>
      </w:pPr>
      <w:r w:rsidRPr="00E65686">
        <w:rPr>
          <w:rFonts w:eastAsia="Calibri"/>
          <w:noProof/>
          <w:color w:val="4C4747"/>
        </w:rPr>
        <w:t>Registro de Incidentes,</w:t>
      </w:r>
    </w:p>
    <w:p w14:paraId="7A754A43" w14:textId="77777777" w:rsidR="00E27E54" w:rsidRPr="00E65686" w:rsidRDefault="00E27E54" w:rsidP="00886F32">
      <w:pPr>
        <w:pStyle w:val="ListParagraph"/>
        <w:numPr>
          <w:ilvl w:val="0"/>
          <w:numId w:val="57"/>
        </w:numPr>
        <w:spacing w:after="0" w:line="360" w:lineRule="auto"/>
        <w:ind w:left="720"/>
        <w:jc w:val="both"/>
        <w:rPr>
          <w:rFonts w:eastAsia="Calibri"/>
          <w:noProof/>
          <w:color w:val="4C4747"/>
        </w:rPr>
      </w:pPr>
      <w:r w:rsidRPr="00E65686">
        <w:rPr>
          <w:rFonts w:eastAsia="Calibri"/>
          <w:noProof/>
          <w:color w:val="4C4747"/>
        </w:rPr>
        <w:t>Gestión de Proveedores,</w:t>
      </w:r>
    </w:p>
    <w:p w14:paraId="00AED94A" w14:textId="77777777" w:rsidR="00E27E54" w:rsidRPr="00E65686" w:rsidRDefault="00E27E54" w:rsidP="00886F32">
      <w:pPr>
        <w:pStyle w:val="ListParagraph"/>
        <w:numPr>
          <w:ilvl w:val="0"/>
          <w:numId w:val="57"/>
        </w:numPr>
        <w:spacing w:after="0" w:line="360" w:lineRule="auto"/>
        <w:ind w:left="720"/>
        <w:jc w:val="both"/>
        <w:rPr>
          <w:rFonts w:eastAsia="Calibri"/>
          <w:noProof/>
          <w:color w:val="4C4747"/>
        </w:rPr>
      </w:pPr>
      <w:r w:rsidRPr="00E65686">
        <w:rPr>
          <w:rFonts w:eastAsia="Calibri"/>
          <w:noProof/>
          <w:color w:val="4C4747"/>
        </w:rPr>
        <w:t>Contratos,</w:t>
      </w:r>
    </w:p>
    <w:p w14:paraId="4ED2A38E" w14:textId="77777777" w:rsidR="00E27E54" w:rsidRPr="00E65686" w:rsidRDefault="00E27E54" w:rsidP="00886F32">
      <w:pPr>
        <w:pStyle w:val="ListParagraph"/>
        <w:numPr>
          <w:ilvl w:val="0"/>
          <w:numId w:val="57"/>
        </w:numPr>
        <w:spacing w:after="0" w:line="360" w:lineRule="auto"/>
        <w:ind w:left="720"/>
        <w:jc w:val="both"/>
        <w:rPr>
          <w:rFonts w:eastAsia="Calibri"/>
          <w:noProof/>
          <w:color w:val="4C4747"/>
        </w:rPr>
      </w:pPr>
      <w:r w:rsidRPr="00E65686">
        <w:rPr>
          <w:rFonts w:eastAsia="Calibri"/>
          <w:noProof/>
          <w:color w:val="4C4747"/>
        </w:rPr>
        <w:t>Órdenes de Servicios.</w:t>
      </w:r>
    </w:p>
    <w:p w14:paraId="33398E84" w14:textId="77777777" w:rsidR="0034337A" w:rsidRDefault="0034337A" w:rsidP="00886F32">
      <w:pPr>
        <w:spacing w:after="0" w:line="360" w:lineRule="auto"/>
        <w:ind w:left="720"/>
        <w:jc w:val="both"/>
        <w:rPr>
          <w:rFonts w:eastAsia="Calibri"/>
          <w:b/>
          <w:bCs/>
          <w:noProof/>
          <w:color w:val="4C4747"/>
          <w:lang w:val="es-DO"/>
        </w:rPr>
      </w:pPr>
    </w:p>
    <w:p w14:paraId="09E5CD74" w14:textId="0E5A2491" w:rsidR="00E27E54" w:rsidRPr="0076249C" w:rsidRDefault="00E27E54" w:rsidP="00886F32">
      <w:pPr>
        <w:spacing w:after="0" w:line="360" w:lineRule="auto"/>
        <w:ind w:left="720"/>
        <w:jc w:val="both"/>
        <w:rPr>
          <w:rFonts w:eastAsia="Calibri"/>
          <w:noProof/>
          <w:color w:val="4C4747"/>
          <w:lang w:val="es-DO"/>
        </w:rPr>
      </w:pPr>
      <w:r w:rsidRPr="0076249C">
        <w:rPr>
          <w:rFonts w:eastAsia="Calibri"/>
          <w:b/>
          <w:bCs/>
          <w:noProof/>
          <w:color w:val="4C4747"/>
          <w:lang w:val="es-DO"/>
        </w:rPr>
        <w:t>Plataforma de Visión de Esferas digitales:</w:t>
      </w:r>
      <w:r w:rsidRPr="0076249C">
        <w:rPr>
          <w:rFonts w:eastAsia="Calibri"/>
          <w:noProof/>
          <w:color w:val="4C4747"/>
          <w:lang w:val="es-DO"/>
        </w:rPr>
        <w:t xml:space="preserve"> </w:t>
      </w:r>
      <w:r>
        <w:rPr>
          <w:rFonts w:eastAsia="Calibri"/>
          <w:noProof/>
          <w:color w:val="4C4747"/>
          <w:lang w:val="es-DO"/>
        </w:rPr>
        <w:t xml:space="preserve">Esta plataforma es manejada por la </w:t>
      </w:r>
      <w:r w:rsidRPr="0076249C">
        <w:rPr>
          <w:rFonts w:eastAsia="Calibri"/>
          <w:noProof/>
          <w:color w:val="4C4747"/>
          <w:lang w:val="es-DO"/>
        </w:rPr>
        <w:t xml:space="preserve">Dirección de Inteligencia de Datos </w:t>
      </w:r>
      <w:r>
        <w:rPr>
          <w:rFonts w:eastAsia="Calibri"/>
          <w:noProof/>
          <w:color w:val="4C4747"/>
          <w:lang w:val="es-DO"/>
        </w:rPr>
        <w:t xml:space="preserve">y su propósito es mostrar de manera interactiva la gestión gubernamental que lidera el </w:t>
      </w:r>
      <w:r w:rsidRPr="0076249C">
        <w:rPr>
          <w:rFonts w:eastAsia="Calibri"/>
          <w:noProof/>
          <w:color w:val="4C4747"/>
          <w:lang w:val="es-DO"/>
        </w:rPr>
        <w:t xml:space="preserve">Viceministerio de Seguimiento y Coordinación Guebrnamental. </w:t>
      </w:r>
    </w:p>
    <w:p w14:paraId="748DC874" w14:textId="77777777" w:rsidR="0034337A" w:rsidRDefault="0034337A" w:rsidP="00886F32">
      <w:pPr>
        <w:spacing w:after="0" w:line="360" w:lineRule="auto"/>
        <w:ind w:left="720"/>
        <w:jc w:val="both"/>
        <w:rPr>
          <w:rFonts w:eastAsia="Calibri"/>
          <w:b/>
          <w:bCs/>
          <w:noProof/>
          <w:color w:val="4C4747"/>
          <w:lang w:val="es-DO"/>
        </w:rPr>
      </w:pPr>
    </w:p>
    <w:p w14:paraId="4D2AE9BC" w14:textId="421D2E80" w:rsidR="00E27E54" w:rsidRDefault="00E27E54" w:rsidP="00886F32">
      <w:pPr>
        <w:spacing w:after="0" w:line="360" w:lineRule="auto"/>
        <w:ind w:left="720"/>
        <w:jc w:val="both"/>
        <w:rPr>
          <w:rFonts w:eastAsia="Calibri"/>
          <w:noProof/>
          <w:color w:val="4C4747"/>
          <w:lang w:val="es-DO"/>
        </w:rPr>
      </w:pPr>
      <w:r w:rsidRPr="001F05B7">
        <w:rPr>
          <w:rFonts w:eastAsia="Calibri"/>
          <w:b/>
          <w:bCs/>
          <w:noProof/>
          <w:color w:val="4C4747"/>
          <w:lang w:val="es-DO"/>
        </w:rPr>
        <w:t xml:space="preserve">Sistema </w:t>
      </w:r>
      <w:r>
        <w:rPr>
          <w:rFonts w:eastAsia="Calibri"/>
          <w:b/>
          <w:bCs/>
          <w:noProof/>
          <w:color w:val="4C4747"/>
          <w:lang w:val="es-DO"/>
        </w:rPr>
        <w:t xml:space="preserve">de </w:t>
      </w:r>
      <w:r w:rsidRPr="001F05B7">
        <w:rPr>
          <w:rFonts w:eastAsia="Calibri"/>
          <w:b/>
          <w:bCs/>
          <w:noProof/>
          <w:color w:val="4C4747"/>
          <w:lang w:val="es-DO"/>
        </w:rPr>
        <w:t>Eval</w:t>
      </w:r>
      <w:r>
        <w:rPr>
          <w:rFonts w:eastAsia="Calibri"/>
          <w:b/>
          <w:bCs/>
          <w:noProof/>
          <w:color w:val="4C4747"/>
          <w:lang w:val="es-DO"/>
        </w:rPr>
        <w:t xml:space="preserve">uación de </w:t>
      </w:r>
      <w:r w:rsidRPr="001F05B7">
        <w:rPr>
          <w:rFonts w:eastAsia="Calibri"/>
          <w:b/>
          <w:bCs/>
          <w:noProof/>
          <w:color w:val="4C4747"/>
          <w:lang w:val="es-DO"/>
        </w:rPr>
        <w:t>Desempeño:</w:t>
      </w:r>
      <w:r w:rsidRPr="005B0C6D">
        <w:rPr>
          <w:rFonts w:eastAsia="Calibri"/>
          <w:noProof/>
          <w:color w:val="4C4747"/>
          <w:lang w:val="es-DO"/>
        </w:rPr>
        <w:t xml:space="preserve"> </w:t>
      </w:r>
      <w:r>
        <w:rPr>
          <w:rFonts w:eastAsia="Calibri"/>
          <w:noProof/>
          <w:color w:val="4C4747"/>
          <w:lang w:val="es-DO"/>
        </w:rPr>
        <w:t>Durante este año, nos enfocamos en mejorar la experiencia al usuario. Así como también la implementación de nuevas funcionalidades como por ejemplo:</w:t>
      </w:r>
    </w:p>
    <w:p w14:paraId="0255BB40" w14:textId="77777777" w:rsidR="00E27E54" w:rsidRPr="00E65686" w:rsidRDefault="00E27E54" w:rsidP="00886F32">
      <w:pPr>
        <w:pStyle w:val="ListParagraph"/>
        <w:numPr>
          <w:ilvl w:val="0"/>
          <w:numId w:val="58"/>
        </w:numPr>
        <w:spacing w:after="0" w:line="360" w:lineRule="auto"/>
        <w:ind w:left="720"/>
        <w:jc w:val="both"/>
        <w:rPr>
          <w:rFonts w:eastAsia="Calibri"/>
          <w:noProof/>
          <w:color w:val="4C4747"/>
        </w:rPr>
      </w:pPr>
      <w:r w:rsidRPr="00E65686">
        <w:rPr>
          <w:rFonts w:eastAsia="Calibri"/>
          <w:noProof/>
          <w:color w:val="4C4747"/>
        </w:rPr>
        <w:t>Flujo de gestión de metas POA de los colaboradores y validación para usuarios de la Dirección de Planificación y Desarrollo.</w:t>
      </w:r>
    </w:p>
    <w:p w14:paraId="2DFD3395" w14:textId="77777777" w:rsidR="00E27E54" w:rsidRPr="00E65686" w:rsidRDefault="00E27E54" w:rsidP="00886F32">
      <w:pPr>
        <w:pStyle w:val="ListParagraph"/>
        <w:numPr>
          <w:ilvl w:val="0"/>
          <w:numId w:val="58"/>
        </w:numPr>
        <w:spacing w:after="0" w:line="360" w:lineRule="auto"/>
        <w:ind w:left="720"/>
        <w:jc w:val="both"/>
        <w:rPr>
          <w:rFonts w:eastAsia="Calibri"/>
          <w:noProof/>
          <w:color w:val="4C4747"/>
        </w:rPr>
      </w:pPr>
      <w:r w:rsidRPr="00E65686">
        <w:rPr>
          <w:rFonts w:eastAsia="Calibri"/>
          <w:noProof/>
          <w:color w:val="4C4747"/>
        </w:rPr>
        <w:t xml:space="preserve">Implementación de la sección de Ejecución de Detección de Necesidades de Capacitación (DNC). En esta sección puedes gestionar de </w:t>
      </w:r>
      <w:r w:rsidRPr="00E65686">
        <w:rPr>
          <w:rFonts w:eastAsia="Calibri"/>
          <w:noProof/>
          <w:color w:val="4C4747"/>
        </w:rPr>
        <w:lastRenderedPageBreak/>
        <w:t>manera oportuna y eficiente las formaciones para los colaboradores.</w:t>
      </w:r>
    </w:p>
    <w:p w14:paraId="5BB0117F" w14:textId="77777777" w:rsidR="0034337A" w:rsidRDefault="0034337A" w:rsidP="00886F32">
      <w:pPr>
        <w:spacing w:after="0" w:line="360" w:lineRule="auto"/>
        <w:ind w:left="720"/>
        <w:jc w:val="both"/>
        <w:rPr>
          <w:rFonts w:eastAsia="Calibri"/>
          <w:noProof/>
          <w:color w:val="4C4747"/>
          <w:lang w:val="es-DO"/>
        </w:rPr>
      </w:pPr>
    </w:p>
    <w:p w14:paraId="65B0B0D9" w14:textId="7E4FEFD1"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También se adicionaron un sinnúmero de validaciones y controles para diferentes casos de uso en el Sistema.</w:t>
      </w:r>
    </w:p>
    <w:p w14:paraId="467D5DE2"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 xml:space="preserve">Se efectuaron varias reuniones de aprendizaje con instituciones que tienen el Sistema que desarrollamos, entre estas se encuentra el Sistema Nacional de Atención a Emergencias y Seguridad 9-1-1. </w:t>
      </w:r>
    </w:p>
    <w:p w14:paraId="5B1C914D" w14:textId="77777777" w:rsidR="0034337A" w:rsidRDefault="0034337A" w:rsidP="00886F32">
      <w:pPr>
        <w:spacing w:after="0" w:line="360" w:lineRule="auto"/>
        <w:ind w:left="720"/>
        <w:jc w:val="both"/>
        <w:rPr>
          <w:rFonts w:eastAsia="Calibri"/>
          <w:noProof/>
          <w:color w:val="4C4747"/>
          <w:lang w:val="es-DO"/>
        </w:rPr>
      </w:pPr>
    </w:p>
    <w:p w14:paraId="528773E7" w14:textId="0C9C169F"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Por otro lado, en este año, el Ministerio de Administración Pública (MAP), mostró y evidenció su interés en adoptar esta herramienta para ser implementada posteriormente a otras instituciones del Estado. Donde solicitaron el código fuente de la herramienta desarrollada internamente por la Dirección de Tecnologías de la Información y Comunicación del Ministerio de la Presidencia.</w:t>
      </w:r>
    </w:p>
    <w:p w14:paraId="6162CB2A" w14:textId="77777777" w:rsidR="0034337A" w:rsidRDefault="0034337A" w:rsidP="00886F32">
      <w:pPr>
        <w:spacing w:after="0" w:line="360" w:lineRule="auto"/>
        <w:ind w:left="720"/>
        <w:jc w:val="both"/>
        <w:rPr>
          <w:rFonts w:eastAsia="Calibri"/>
          <w:noProof/>
          <w:color w:val="4C4747"/>
          <w:lang w:val="es-DO"/>
        </w:rPr>
      </w:pPr>
    </w:p>
    <w:p w14:paraId="317645BA" w14:textId="71FF1202"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En septiembre de este año se le pasó el código fuente y la documentación requerida para arrancar el proyecto. Lo cual para nosotros como Ministerio de la Presidencia es un hito que el MAP como órgano rector adopte un Sistema desarrollado por nosotros y con los siguientes logros:</w:t>
      </w:r>
    </w:p>
    <w:p w14:paraId="215DBE20" w14:textId="77777777" w:rsidR="00E27E54" w:rsidRPr="00E65686" w:rsidRDefault="00E27E54" w:rsidP="00886F32">
      <w:pPr>
        <w:pStyle w:val="ListParagraph"/>
        <w:numPr>
          <w:ilvl w:val="0"/>
          <w:numId w:val="59"/>
        </w:numPr>
        <w:spacing w:after="0" w:line="360" w:lineRule="auto"/>
        <w:ind w:left="720"/>
        <w:jc w:val="both"/>
        <w:rPr>
          <w:rFonts w:eastAsia="Calibri"/>
          <w:noProof/>
          <w:color w:val="4C4747"/>
        </w:rPr>
      </w:pPr>
      <w:r w:rsidRPr="00E65686">
        <w:rPr>
          <w:rFonts w:eastAsia="Calibri"/>
          <w:noProof/>
          <w:color w:val="4C4747"/>
        </w:rPr>
        <w:t>Un Sistema probado desde el 2017, y al día cuenta con una madurez sólida.</w:t>
      </w:r>
    </w:p>
    <w:p w14:paraId="24538507" w14:textId="77777777" w:rsidR="00E27E54" w:rsidRDefault="00E27E54" w:rsidP="00886F32">
      <w:pPr>
        <w:pStyle w:val="ListParagraph"/>
        <w:numPr>
          <w:ilvl w:val="0"/>
          <w:numId w:val="59"/>
        </w:numPr>
        <w:spacing w:after="0" w:line="360" w:lineRule="auto"/>
        <w:ind w:left="720"/>
        <w:jc w:val="both"/>
        <w:rPr>
          <w:rFonts w:eastAsia="Calibri"/>
          <w:noProof/>
          <w:color w:val="4C4747"/>
        </w:rPr>
      </w:pPr>
      <w:r w:rsidRPr="00E65686">
        <w:rPr>
          <w:rFonts w:eastAsia="Calibri"/>
          <w:noProof/>
          <w:color w:val="4C4747"/>
        </w:rPr>
        <w:t>Implementaciones del Sistema con unas 8 instituciones y unos 4,411 empleados públicos evaluados.</w:t>
      </w:r>
    </w:p>
    <w:p w14:paraId="309E3063" w14:textId="77777777" w:rsidR="00F154BB" w:rsidRPr="00E65686" w:rsidRDefault="00F154BB" w:rsidP="00886F32">
      <w:pPr>
        <w:pStyle w:val="ListParagraph"/>
        <w:spacing w:after="0" w:line="360" w:lineRule="auto"/>
        <w:jc w:val="both"/>
        <w:rPr>
          <w:rFonts w:eastAsia="Calibri"/>
          <w:noProof/>
          <w:color w:val="4C4747"/>
        </w:rPr>
      </w:pPr>
    </w:p>
    <w:p w14:paraId="66CBD665" w14:textId="77777777" w:rsidR="00E27E54" w:rsidRDefault="00E27E54" w:rsidP="00886F32">
      <w:pPr>
        <w:spacing w:after="0" w:line="360" w:lineRule="auto"/>
        <w:ind w:left="720"/>
        <w:jc w:val="both"/>
        <w:rPr>
          <w:rFonts w:eastAsia="Calibri"/>
          <w:noProof/>
          <w:color w:val="4C4747"/>
          <w:lang w:val="es-DO"/>
        </w:rPr>
      </w:pPr>
      <w:r>
        <w:rPr>
          <w:rFonts w:eastAsia="Calibri"/>
          <w:b/>
          <w:bCs/>
          <w:noProof/>
          <w:color w:val="4C4747"/>
          <w:lang w:val="es-DO"/>
        </w:rPr>
        <w:t xml:space="preserve">Migración y Mejoras al </w:t>
      </w:r>
      <w:r w:rsidRPr="00A63462">
        <w:rPr>
          <w:rFonts w:eastAsia="Calibri"/>
          <w:b/>
          <w:bCs/>
          <w:noProof/>
          <w:color w:val="4C4747"/>
          <w:lang w:val="es-DO"/>
        </w:rPr>
        <w:t>Sistema de Monitoreo y Medición de la Gestión Pública (SMMGP):</w:t>
      </w:r>
      <w:r w:rsidRPr="00A63462">
        <w:rPr>
          <w:rFonts w:eastAsia="Calibri"/>
          <w:noProof/>
          <w:color w:val="4C4747"/>
          <w:lang w:val="es-DO"/>
        </w:rPr>
        <w:t xml:space="preserve"> El Sistema de Monitoreo y Medición de la Gestión Pública (SMMGP), gestionado por el </w:t>
      </w:r>
      <w:r w:rsidRPr="00A63462">
        <w:rPr>
          <w:rFonts w:eastAsia="Calibri"/>
          <w:noProof/>
          <w:color w:val="4C4747"/>
          <w:lang w:val="es-DO"/>
        </w:rPr>
        <w:lastRenderedPageBreak/>
        <w:t>Ministerio de la Presidencia, constituye una plataforma estratégica diseñada para evaluar de manera continua el desempeño de las instituciones del Estado. Su propósito es dar seguimiento al cumplimiento de metas, indicadores y compromisos gubernamentales, garantizando una gestión pública transparente, eficiente y orientada a resultados. A través del análisis sistemático de datos y la generación de reportes oportunos, el sistema facilita la toma de decisiones informadas, fortalece la rendición de cuentas y contribuye al logro de políticas públicas más efectivas para el desarrollo nacional.</w:t>
      </w:r>
    </w:p>
    <w:p w14:paraId="2585D2A6" w14:textId="77777777" w:rsidR="0034337A" w:rsidRDefault="0034337A" w:rsidP="00886F32">
      <w:pPr>
        <w:spacing w:after="0" w:line="360" w:lineRule="auto"/>
        <w:ind w:left="720"/>
        <w:jc w:val="both"/>
        <w:rPr>
          <w:rFonts w:eastAsia="Calibri"/>
          <w:noProof/>
          <w:color w:val="4C4747"/>
          <w:lang w:val="es-DO"/>
        </w:rPr>
      </w:pPr>
    </w:p>
    <w:p w14:paraId="34ECD4E8" w14:textId="2618EE9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En este año, migramos el servicio a un entorno con mayor rendimiento y mayor seguridad.</w:t>
      </w:r>
    </w:p>
    <w:p w14:paraId="0134147B" w14:textId="77777777" w:rsidR="0034337A" w:rsidRDefault="0034337A" w:rsidP="00886F32">
      <w:pPr>
        <w:spacing w:after="0" w:line="360" w:lineRule="auto"/>
        <w:ind w:left="720"/>
        <w:jc w:val="both"/>
        <w:rPr>
          <w:rFonts w:eastAsia="Calibri"/>
          <w:b/>
          <w:bCs/>
          <w:noProof/>
          <w:color w:val="4C4747"/>
          <w:lang w:val="es-DO"/>
        </w:rPr>
      </w:pPr>
    </w:p>
    <w:p w14:paraId="1DB3032C" w14:textId="19EF0233" w:rsidR="00E27E54" w:rsidRDefault="00E27E54" w:rsidP="00886F32">
      <w:pPr>
        <w:spacing w:after="0" w:line="360" w:lineRule="auto"/>
        <w:ind w:left="720"/>
        <w:jc w:val="both"/>
        <w:rPr>
          <w:rFonts w:eastAsia="Calibri"/>
          <w:noProof/>
          <w:color w:val="4C4747"/>
          <w:lang w:val="es-DO"/>
        </w:rPr>
      </w:pPr>
      <w:r w:rsidRPr="00B956FE">
        <w:rPr>
          <w:rFonts w:eastAsia="Calibri"/>
          <w:b/>
          <w:bCs/>
          <w:noProof/>
          <w:color w:val="4C4747"/>
          <w:lang w:val="es-DO"/>
        </w:rPr>
        <w:t>Academía Digital del MINPRE:</w:t>
      </w:r>
      <w:r w:rsidRPr="00B956FE">
        <w:rPr>
          <w:rFonts w:eastAsia="Calibri"/>
          <w:noProof/>
          <w:color w:val="4C4747"/>
          <w:lang w:val="es-DO"/>
        </w:rPr>
        <w:t xml:space="preserve"> Esta plataforma se implementó para optimizar y eficientizar los colaboradores de la institución, así como, la centralización del conocimiento para que los colaboradores puedan acceder a la inducciones y cursos específicos de sus áreas. </w:t>
      </w:r>
    </w:p>
    <w:p w14:paraId="778D67B4"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El objetivo de esta plataforma es mantener el conocimiento de los Sistemas y procesos dentro de la organización.</w:t>
      </w:r>
    </w:p>
    <w:p w14:paraId="750A3FD1" w14:textId="77777777" w:rsidR="00EC0AEC" w:rsidRDefault="00EC0AEC" w:rsidP="00886F32">
      <w:pPr>
        <w:spacing w:after="0" w:line="360" w:lineRule="auto"/>
        <w:ind w:left="720"/>
        <w:jc w:val="both"/>
        <w:rPr>
          <w:rFonts w:eastAsia="Calibri"/>
          <w:b/>
          <w:bCs/>
          <w:noProof/>
          <w:color w:val="4C4747"/>
          <w:lang w:val="es-DO"/>
        </w:rPr>
      </w:pPr>
    </w:p>
    <w:p w14:paraId="00D2EDDF" w14:textId="42F967A7" w:rsidR="00E27E54" w:rsidRDefault="00E27E54" w:rsidP="00886F32">
      <w:pPr>
        <w:spacing w:after="0" w:line="360" w:lineRule="auto"/>
        <w:ind w:left="720"/>
        <w:jc w:val="both"/>
        <w:rPr>
          <w:rFonts w:eastAsia="Calibri"/>
          <w:noProof/>
          <w:color w:val="4C4747"/>
          <w:lang w:val="es-DO"/>
        </w:rPr>
      </w:pPr>
      <w:r>
        <w:rPr>
          <w:rFonts w:eastAsia="Calibri"/>
          <w:b/>
          <w:bCs/>
          <w:noProof/>
          <w:color w:val="4C4747"/>
          <w:lang w:val="es-DO"/>
        </w:rPr>
        <w:t xml:space="preserve">Desarrollo e Implementación del Portal de ProRural: </w:t>
      </w:r>
      <w:r>
        <w:rPr>
          <w:rFonts w:eastAsia="Calibri"/>
          <w:noProof/>
          <w:color w:val="4C4747"/>
          <w:lang w:val="es-DO"/>
        </w:rPr>
        <w:t>Este portal surge como una necesidad desde hace años, contar con las informaciones sobre la promoción del desarrollo rural de la República Dominicana. Especialmente de las familias en zonas rurales pobres.</w:t>
      </w:r>
    </w:p>
    <w:p w14:paraId="36FC4619"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t xml:space="preserve">Este portal cuenta con un alto volumen de contenido, tableros dinámicos, informes, entre otros. </w:t>
      </w:r>
    </w:p>
    <w:p w14:paraId="071A0EDE" w14:textId="77777777" w:rsidR="00E27E54" w:rsidRDefault="00E27E54" w:rsidP="00886F32">
      <w:pPr>
        <w:spacing w:after="0" w:line="360" w:lineRule="auto"/>
        <w:ind w:left="720"/>
        <w:jc w:val="both"/>
        <w:rPr>
          <w:rFonts w:eastAsia="Calibri"/>
          <w:noProof/>
          <w:color w:val="4C4747"/>
          <w:lang w:val="es-DO"/>
        </w:rPr>
      </w:pPr>
      <w:r>
        <w:rPr>
          <w:rFonts w:eastAsia="Calibri"/>
          <w:noProof/>
          <w:color w:val="4C4747"/>
          <w:lang w:val="es-DO"/>
        </w:rPr>
        <w:lastRenderedPageBreak/>
        <w:t>Este proyecto es dirigido por la Dirección General de Cooperación Multilateral del antiguo Ministerio de Economía, Planificación y Desarrollo (MEPYD).</w:t>
      </w:r>
    </w:p>
    <w:p w14:paraId="01BE4928" w14:textId="77777777" w:rsidR="00EC0AEC" w:rsidRDefault="00EC0AEC" w:rsidP="00886F32">
      <w:pPr>
        <w:spacing w:after="0" w:line="360" w:lineRule="auto"/>
        <w:ind w:left="720"/>
        <w:jc w:val="both"/>
        <w:rPr>
          <w:rFonts w:eastAsia="Calibri"/>
          <w:b/>
          <w:bCs/>
          <w:noProof/>
          <w:color w:val="4C4747"/>
          <w:lang w:val="es-DO"/>
        </w:rPr>
      </w:pPr>
    </w:p>
    <w:p w14:paraId="1153DCCC" w14:textId="253F2013" w:rsidR="00E27E54" w:rsidRPr="007759CA" w:rsidRDefault="00E27E54" w:rsidP="00886F32">
      <w:pPr>
        <w:spacing w:after="0" w:line="360" w:lineRule="auto"/>
        <w:ind w:left="720"/>
        <w:jc w:val="both"/>
        <w:rPr>
          <w:rFonts w:eastAsia="Calibri"/>
          <w:noProof/>
          <w:color w:val="4C4747"/>
          <w:lang w:val="es-DO"/>
        </w:rPr>
      </w:pPr>
      <w:r w:rsidRPr="00F163AC">
        <w:rPr>
          <w:rFonts w:eastAsia="Calibri"/>
          <w:b/>
          <w:bCs/>
          <w:noProof/>
          <w:color w:val="4C4747"/>
          <w:lang w:val="es-DO"/>
        </w:rPr>
        <w:t>Limpieza e Higiene de Base de Datos de instituciones gubernamentales:</w:t>
      </w:r>
      <w:r w:rsidRPr="00F163AC">
        <w:rPr>
          <w:rFonts w:eastAsia="Calibri"/>
          <w:noProof/>
          <w:color w:val="4C4747"/>
          <w:lang w:val="es-DO"/>
        </w:rPr>
        <w:t xml:space="preserve"> Durante este año, como parte de la presentación de informaciones relevantes para la toma de decisiones efectivas y de manera oportuna, la Dirección de Tecnologías de la Información y Comunicación realizamos una gran cantidad de servicios para la Dirección de Inteligencia de Datos y Viceministerio de Monitoreo y Coordinación Gubernamental, a los fines de visualizar tableros del </w:t>
      </w:r>
      <w:r w:rsidRPr="007759CA">
        <w:rPr>
          <w:rFonts w:eastAsia="Calibri"/>
          <w:noProof/>
          <w:color w:val="4C4747"/>
          <w:lang w:val="es-DO"/>
        </w:rPr>
        <w:t>monitoreo y gestión de las instituciones gubernamentales.</w:t>
      </w:r>
    </w:p>
    <w:p w14:paraId="594A3CF9" w14:textId="77777777" w:rsidR="00E27E54" w:rsidRDefault="00E27E54" w:rsidP="00886F32">
      <w:pPr>
        <w:spacing w:after="0" w:line="360" w:lineRule="auto"/>
        <w:ind w:left="720"/>
        <w:jc w:val="both"/>
        <w:rPr>
          <w:rFonts w:eastAsia="Calibri"/>
          <w:noProof/>
          <w:color w:val="4C4747"/>
          <w:lang w:val="es-DO"/>
        </w:rPr>
      </w:pPr>
      <w:r w:rsidRPr="007759CA">
        <w:rPr>
          <w:rFonts w:eastAsia="Calibri"/>
          <w:noProof/>
          <w:color w:val="4C4747"/>
          <w:lang w:val="es-DO"/>
        </w:rPr>
        <w:t>Asimismo se realizaron diversas depuraciones, limpiezas, corrección y carga de datos al Sistema de Recursos Institucionales del MINPRE, para la Dirección de Recursos Humanos y la Dirección Administrativa y Financiera.</w:t>
      </w:r>
    </w:p>
    <w:p w14:paraId="541D476C" w14:textId="77777777" w:rsidR="00F154BB" w:rsidRPr="00F163AC" w:rsidRDefault="00F154BB" w:rsidP="00886F32">
      <w:pPr>
        <w:spacing w:after="0" w:line="360" w:lineRule="auto"/>
        <w:ind w:left="720"/>
        <w:jc w:val="both"/>
        <w:rPr>
          <w:rFonts w:eastAsia="Calibri"/>
          <w:noProof/>
          <w:color w:val="4C4747"/>
          <w:lang w:val="es-DO"/>
        </w:rPr>
      </w:pPr>
    </w:p>
    <w:p w14:paraId="1E6A1908" w14:textId="77777777" w:rsidR="00E27E54" w:rsidRDefault="00E27E54" w:rsidP="00886F32">
      <w:pPr>
        <w:spacing w:after="0" w:line="360" w:lineRule="auto"/>
        <w:ind w:left="720"/>
        <w:jc w:val="both"/>
        <w:rPr>
          <w:rFonts w:eastAsia="Calibri"/>
          <w:b/>
          <w:bCs/>
          <w:noProof/>
          <w:color w:val="4C4747"/>
          <w:lang w:val="es-DO"/>
        </w:rPr>
      </w:pPr>
      <w:r>
        <w:rPr>
          <w:rFonts w:eastAsia="Calibri"/>
          <w:b/>
          <w:bCs/>
          <w:noProof/>
          <w:color w:val="4C4747"/>
          <w:lang w:val="es-DO"/>
        </w:rPr>
        <w:t xml:space="preserve">Desarrollo de Funcionalidad en WordPress para la Publicación de contenido y secciones de compras y contrataciones </w:t>
      </w:r>
      <w:r w:rsidRPr="00DB3D00">
        <w:rPr>
          <w:rFonts w:eastAsia="Calibri"/>
          <w:b/>
          <w:bCs/>
          <w:noProof/>
          <w:color w:val="4C4747"/>
          <w:lang w:val="es-DO"/>
        </w:rPr>
        <w:t>del Proyecto de Respuesta a Emergencias y Resiliencia de la República Dominicana (Banco Mundial No. 9473-DO)</w:t>
      </w:r>
      <w:r>
        <w:rPr>
          <w:rFonts w:eastAsia="Calibri"/>
          <w:b/>
          <w:bCs/>
          <w:noProof/>
          <w:color w:val="4C4747"/>
          <w:lang w:val="es-DO"/>
        </w:rPr>
        <w:t>:</w:t>
      </w:r>
      <w:r w:rsidRPr="00DB3D00">
        <w:rPr>
          <w:rFonts w:eastAsia="Calibri"/>
          <w:noProof/>
          <w:color w:val="4C4747"/>
          <w:lang w:val="es-DO"/>
        </w:rPr>
        <w:t xml:space="preserve"> En el marco de que </w:t>
      </w:r>
      <w:r>
        <w:rPr>
          <w:rFonts w:eastAsia="Calibri"/>
          <w:noProof/>
          <w:color w:val="4C4747"/>
          <w:lang w:val="es-DO"/>
        </w:rPr>
        <w:t>e</w:t>
      </w:r>
      <w:r w:rsidRPr="00DB3D00">
        <w:rPr>
          <w:rFonts w:eastAsia="Calibri"/>
          <w:noProof/>
          <w:color w:val="4C4747"/>
          <w:lang w:val="es-DO"/>
        </w:rPr>
        <w:t>l Gobierno de la República Dominicana suscribió con el Banco Mundial el contrato de préstamo N°9473-DO para la implementación del Proyecto de Respuesta a Emergencias y Resiliencia de la República Dominicana P180163, cuyo objetivo es apoyar las necesidades de respuesta a emergencias y recuperación del país y fortalecer su capacidad institucional para gestionar los riesgos planteados por peligros naturales y las consecuencias del cambio climático.</w:t>
      </w:r>
      <w:r w:rsidRPr="00DB3D00">
        <w:rPr>
          <w:rFonts w:eastAsia="Calibri"/>
          <w:b/>
          <w:bCs/>
          <w:noProof/>
          <w:color w:val="4C4747"/>
          <w:lang w:val="es-DO"/>
        </w:rPr>
        <w:t xml:space="preserve"> </w:t>
      </w:r>
    </w:p>
    <w:p w14:paraId="674F0259" w14:textId="77777777" w:rsidR="00E27E54" w:rsidRPr="00DB3D00" w:rsidRDefault="00E27E54" w:rsidP="00886F32">
      <w:pPr>
        <w:spacing w:after="0" w:line="360" w:lineRule="auto"/>
        <w:ind w:left="720"/>
        <w:jc w:val="both"/>
        <w:rPr>
          <w:rFonts w:eastAsia="Calibri"/>
          <w:noProof/>
          <w:color w:val="4C4747"/>
          <w:lang w:val="es-DO"/>
        </w:rPr>
      </w:pPr>
      <w:r>
        <w:rPr>
          <w:rFonts w:eastAsia="Calibri"/>
          <w:noProof/>
          <w:color w:val="4C4747"/>
          <w:lang w:val="es-DO"/>
        </w:rPr>
        <w:lastRenderedPageBreak/>
        <w:t>Este proyecto se encuentra publicado en el subportal de transparencia del Ministerio, en el apartado de Proyectos y Programas, Banco Mundial (Proyecto BM-9473-DO). En esta sección podrán encontrar</w:t>
      </w:r>
      <w:r w:rsidRPr="00DB3D00">
        <w:rPr>
          <w:rFonts w:eastAsia="Calibri"/>
          <w:noProof/>
          <w:color w:val="4C4747"/>
          <w:lang w:val="es-DO"/>
        </w:rPr>
        <w:t xml:space="preserve"> las informaciones, documentos, componentes, costo y sección de Adquisiciones y Contratraciones</w:t>
      </w:r>
      <w:r>
        <w:rPr>
          <w:rFonts w:eastAsia="Calibri"/>
          <w:noProof/>
          <w:color w:val="4C4747"/>
          <w:lang w:val="es-DO"/>
        </w:rPr>
        <w:t>, entre otros</w:t>
      </w:r>
      <w:r w:rsidRPr="00DB3D00">
        <w:rPr>
          <w:rFonts w:eastAsia="Calibri"/>
          <w:noProof/>
          <w:color w:val="4C4747"/>
          <w:lang w:val="es-DO"/>
        </w:rPr>
        <w:t>.</w:t>
      </w:r>
    </w:p>
    <w:p w14:paraId="05E6D80E" w14:textId="77777777" w:rsidR="00EC0AEC" w:rsidRDefault="00EC0AEC" w:rsidP="00886F32">
      <w:pPr>
        <w:spacing w:after="0" w:line="360" w:lineRule="auto"/>
        <w:ind w:left="720"/>
        <w:jc w:val="both"/>
        <w:rPr>
          <w:rFonts w:eastAsia="Calibri"/>
          <w:b/>
          <w:bCs/>
          <w:noProof/>
          <w:color w:val="4C4747"/>
          <w:lang w:val="es-DO"/>
        </w:rPr>
      </w:pPr>
    </w:p>
    <w:p w14:paraId="4A21BEA7" w14:textId="7C09253F" w:rsidR="00E27E54" w:rsidRDefault="00E27E54" w:rsidP="00886F32">
      <w:pPr>
        <w:spacing w:after="0" w:line="360" w:lineRule="auto"/>
        <w:ind w:left="720"/>
        <w:jc w:val="both"/>
        <w:rPr>
          <w:rFonts w:eastAsia="Calibri"/>
          <w:noProof/>
          <w:color w:val="4C4747"/>
          <w:lang w:val="es-DO"/>
        </w:rPr>
      </w:pPr>
      <w:r w:rsidRPr="008B345D">
        <w:rPr>
          <w:rFonts w:eastAsia="Calibri"/>
          <w:b/>
          <w:bCs/>
          <w:noProof/>
          <w:color w:val="4C4747"/>
          <w:lang w:val="es-DO"/>
        </w:rPr>
        <w:t xml:space="preserve">Actualización </w:t>
      </w:r>
      <w:r>
        <w:rPr>
          <w:rFonts w:eastAsia="Calibri"/>
          <w:b/>
          <w:bCs/>
          <w:noProof/>
          <w:color w:val="4C4747"/>
          <w:lang w:val="es-DO"/>
        </w:rPr>
        <w:t>de Sistema de Recursos Institucionales ERP</w:t>
      </w:r>
      <w:r w:rsidRPr="008B345D">
        <w:rPr>
          <w:rFonts w:eastAsia="Calibri"/>
          <w:b/>
          <w:bCs/>
          <w:noProof/>
          <w:color w:val="4C4747"/>
          <w:lang w:val="es-DO"/>
        </w:rPr>
        <w:t>:</w:t>
      </w:r>
      <w:r>
        <w:rPr>
          <w:rFonts w:eastAsia="Calibri"/>
          <w:b/>
          <w:bCs/>
          <w:noProof/>
          <w:color w:val="4C4747"/>
          <w:lang w:val="es-DO"/>
        </w:rPr>
        <w:t xml:space="preserve"> </w:t>
      </w:r>
      <w:r w:rsidRPr="00283731">
        <w:rPr>
          <w:rFonts w:eastAsia="Calibri"/>
          <w:noProof/>
          <w:color w:val="4C4747"/>
          <w:lang w:val="es-DO"/>
        </w:rPr>
        <w:t xml:space="preserve">Durante </w:t>
      </w:r>
      <w:r>
        <w:rPr>
          <w:rFonts w:eastAsia="Calibri"/>
          <w:noProof/>
          <w:color w:val="4C4747"/>
          <w:lang w:val="es-DO"/>
        </w:rPr>
        <w:t xml:space="preserve">este año, </w:t>
      </w:r>
      <w:r w:rsidRPr="00283731">
        <w:rPr>
          <w:rFonts w:eastAsia="Calibri"/>
          <w:noProof/>
          <w:color w:val="4C4747"/>
          <w:lang w:val="es-DO"/>
        </w:rPr>
        <w:t xml:space="preserve">se realizaron importantes actualizaciones a los módulos del </w:t>
      </w:r>
      <w:r>
        <w:rPr>
          <w:rFonts w:eastAsia="Calibri"/>
          <w:noProof/>
          <w:color w:val="4C4747"/>
          <w:lang w:val="es-DO"/>
        </w:rPr>
        <w:t>Sistema de Recursos Institucionales</w:t>
      </w:r>
      <w:r w:rsidRPr="00283731">
        <w:rPr>
          <w:rFonts w:eastAsia="Calibri"/>
          <w:noProof/>
          <w:color w:val="4C4747"/>
          <w:lang w:val="es-DO"/>
        </w:rPr>
        <w:t>,</w:t>
      </w:r>
      <w:r>
        <w:rPr>
          <w:rFonts w:eastAsia="Calibri"/>
          <w:noProof/>
          <w:color w:val="4C4747"/>
          <w:lang w:val="es-DO"/>
        </w:rPr>
        <w:t xml:space="preserve"> las cuales estuvieron </w:t>
      </w:r>
      <w:r w:rsidRPr="00283731">
        <w:rPr>
          <w:rFonts w:eastAsia="Calibri"/>
          <w:noProof/>
          <w:color w:val="4C4747"/>
          <w:lang w:val="es-DO"/>
        </w:rPr>
        <w:t xml:space="preserve"> orientadas a fortalecer su funcionalidad y adecuarlo a los nuevos requerimientos institucionales, así como a las recomendaciones derivadas de las distintas auditorías externas practicadas al M</w:t>
      </w:r>
      <w:r>
        <w:rPr>
          <w:rFonts w:eastAsia="Calibri"/>
          <w:noProof/>
          <w:color w:val="4C4747"/>
          <w:lang w:val="es-DO"/>
        </w:rPr>
        <w:t>inisterio</w:t>
      </w:r>
      <w:r w:rsidRPr="00283731">
        <w:rPr>
          <w:rFonts w:eastAsia="Calibri"/>
          <w:noProof/>
          <w:color w:val="4C4747"/>
          <w:lang w:val="es-DO"/>
        </w:rPr>
        <w:t xml:space="preserve">. Estas mejoras </w:t>
      </w:r>
      <w:r>
        <w:rPr>
          <w:rFonts w:eastAsia="Calibri"/>
          <w:noProof/>
          <w:color w:val="4C4747"/>
          <w:lang w:val="es-DO"/>
        </w:rPr>
        <w:t>han</w:t>
      </w:r>
      <w:r w:rsidRPr="00283731">
        <w:rPr>
          <w:rFonts w:eastAsia="Calibri"/>
          <w:noProof/>
          <w:color w:val="4C4747"/>
          <w:lang w:val="es-DO"/>
        </w:rPr>
        <w:t xml:space="preserve"> optimizar procesos, incrementar la confiabilidad de la información y asegurar una gestión administrativa más eficiente y alineada con las mejores prácticas.</w:t>
      </w:r>
    </w:p>
    <w:p w14:paraId="59C716E1" w14:textId="77777777" w:rsidR="00EC0AEC" w:rsidRDefault="00EC0AEC" w:rsidP="00886F32">
      <w:pPr>
        <w:spacing w:after="0" w:line="360" w:lineRule="auto"/>
        <w:ind w:left="720"/>
        <w:jc w:val="both"/>
        <w:rPr>
          <w:rFonts w:eastAsia="Calibri"/>
          <w:noProof/>
          <w:color w:val="4C4747"/>
          <w:lang w:val="es-DO"/>
        </w:rPr>
      </w:pPr>
    </w:p>
    <w:p w14:paraId="0B9BD760" w14:textId="03FB465D" w:rsidR="00E27E54" w:rsidRPr="00283731" w:rsidRDefault="00E27E54" w:rsidP="00886F32">
      <w:pPr>
        <w:spacing w:after="0" w:line="360" w:lineRule="auto"/>
        <w:ind w:left="720"/>
        <w:jc w:val="both"/>
        <w:rPr>
          <w:rFonts w:eastAsia="Calibri"/>
          <w:noProof/>
          <w:color w:val="4C4747"/>
          <w:lang w:val="es-DO"/>
        </w:rPr>
      </w:pPr>
      <w:r>
        <w:rPr>
          <w:rFonts w:eastAsia="Calibri"/>
          <w:noProof/>
          <w:color w:val="4C4747"/>
          <w:lang w:val="es-DO"/>
        </w:rPr>
        <w:t>También</w:t>
      </w:r>
      <w:r w:rsidRPr="00283731">
        <w:rPr>
          <w:rFonts w:eastAsia="Calibri"/>
          <w:noProof/>
          <w:color w:val="4C4747"/>
          <w:lang w:val="es-DO"/>
        </w:rPr>
        <w:t xml:space="preserve">, se llevó a cabo la elaboración de videos instruccionales </w:t>
      </w:r>
      <w:r>
        <w:rPr>
          <w:rFonts w:eastAsia="Calibri"/>
          <w:noProof/>
          <w:color w:val="4C4747"/>
          <w:lang w:val="es-DO"/>
        </w:rPr>
        <w:t xml:space="preserve">sobre el uso del Sistema, </w:t>
      </w:r>
      <w:r w:rsidRPr="00283731">
        <w:rPr>
          <w:rFonts w:eastAsia="Calibri"/>
          <w:noProof/>
          <w:color w:val="4C4747"/>
          <w:lang w:val="es-DO"/>
        </w:rPr>
        <w:t xml:space="preserve">dirigidos a los usuarios internos, con el propósito de </w:t>
      </w:r>
      <w:r>
        <w:rPr>
          <w:rFonts w:eastAsia="Calibri"/>
          <w:noProof/>
          <w:color w:val="4C4747"/>
          <w:lang w:val="es-DO"/>
        </w:rPr>
        <w:t xml:space="preserve">asegurar, </w:t>
      </w:r>
      <w:r w:rsidRPr="00283731">
        <w:rPr>
          <w:rFonts w:eastAsia="Calibri"/>
          <w:noProof/>
          <w:color w:val="4C4747"/>
          <w:lang w:val="es-DO"/>
        </w:rPr>
        <w:t xml:space="preserve">estandarizar y facilitar el aprendizaje, reduciendo al mínimo la dependencia del conocimiento experto y </w:t>
      </w:r>
    </w:p>
    <w:p w14:paraId="497D9747" w14:textId="77777777" w:rsidR="00EC0AEC" w:rsidRDefault="00EC0AEC" w:rsidP="00886F32">
      <w:pPr>
        <w:spacing w:after="0" w:line="360" w:lineRule="auto"/>
        <w:ind w:left="720"/>
        <w:jc w:val="both"/>
        <w:rPr>
          <w:rFonts w:eastAsia="Calibri"/>
          <w:b/>
          <w:bCs/>
          <w:noProof/>
          <w:color w:val="4C4747"/>
          <w:lang w:val="es-DO"/>
        </w:rPr>
      </w:pPr>
    </w:p>
    <w:p w14:paraId="0DD8F509" w14:textId="45C59F50" w:rsidR="00E27E54" w:rsidRDefault="00E27E54" w:rsidP="00886F32">
      <w:pPr>
        <w:spacing w:after="0" w:line="360" w:lineRule="auto"/>
        <w:ind w:left="720"/>
        <w:jc w:val="both"/>
        <w:rPr>
          <w:rFonts w:eastAsia="Calibri"/>
          <w:noProof/>
          <w:color w:val="4C4747"/>
          <w:lang w:val="es-DO"/>
        </w:rPr>
      </w:pPr>
      <w:r w:rsidRPr="00AE15D1">
        <w:rPr>
          <w:rFonts w:eastAsia="Calibri"/>
          <w:b/>
          <w:bCs/>
          <w:noProof/>
          <w:color w:val="4C4747"/>
          <w:lang w:val="es-DO"/>
        </w:rPr>
        <w:t>Proyecto Integral de Calidad y Consistencia de Datos:</w:t>
      </w:r>
      <w:r>
        <w:rPr>
          <w:rFonts w:eastAsia="Calibri"/>
          <w:noProof/>
          <w:color w:val="4C4747"/>
          <w:lang w:val="es-DO"/>
        </w:rPr>
        <w:t xml:space="preserve"> </w:t>
      </w:r>
      <w:r w:rsidRPr="00AE15D1">
        <w:rPr>
          <w:rFonts w:eastAsia="Calibri"/>
          <w:noProof/>
          <w:color w:val="4C4747"/>
          <w:lang w:val="es-DO"/>
        </w:rPr>
        <w:t>Durante e</w:t>
      </w:r>
      <w:r>
        <w:rPr>
          <w:rFonts w:eastAsia="Calibri"/>
          <w:noProof/>
          <w:color w:val="4C4747"/>
          <w:lang w:val="es-DO"/>
        </w:rPr>
        <w:t>ste</w:t>
      </w:r>
      <w:r w:rsidRPr="00AE15D1">
        <w:rPr>
          <w:rFonts w:eastAsia="Calibri"/>
          <w:noProof/>
          <w:color w:val="4C4747"/>
          <w:lang w:val="es-DO"/>
        </w:rPr>
        <w:t xml:space="preserve"> período se llevaron a cabo </w:t>
      </w:r>
      <w:r>
        <w:rPr>
          <w:rFonts w:eastAsia="Calibri"/>
          <w:noProof/>
          <w:color w:val="4C4747"/>
          <w:lang w:val="es-DO"/>
        </w:rPr>
        <w:t>varias</w:t>
      </w:r>
      <w:r w:rsidRPr="00AE15D1">
        <w:rPr>
          <w:rFonts w:eastAsia="Calibri"/>
          <w:noProof/>
          <w:color w:val="4C4747"/>
          <w:lang w:val="es-DO"/>
        </w:rPr>
        <w:t xml:space="preserve"> jornadas orientadas a garantizar la limpieza, calidad y consistencia de los datos alojados en el Sistema</w:t>
      </w:r>
      <w:r>
        <w:rPr>
          <w:rFonts w:eastAsia="Calibri"/>
          <w:noProof/>
          <w:color w:val="4C4747"/>
          <w:lang w:val="es-DO"/>
        </w:rPr>
        <w:t xml:space="preserve"> de Rewcursos Institucionales </w:t>
      </w:r>
      <w:r w:rsidRPr="00AE15D1">
        <w:rPr>
          <w:rFonts w:eastAsia="Calibri"/>
          <w:noProof/>
          <w:color w:val="4C4747"/>
          <w:lang w:val="es-DO"/>
        </w:rPr>
        <w:t xml:space="preserve">ERP, abarcando módulos clave como Recursos Humanos y Activos Fijos. Estas intervenciones incluyeron la depuración de registros duplicados, la corrección de inconsistencias </w:t>
      </w:r>
      <w:r w:rsidRPr="00AE15D1">
        <w:rPr>
          <w:rFonts w:eastAsia="Calibri"/>
          <w:noProof/>
          <w:color w:val="4C4747"/>
          <w:lang w:val="es-DO"/>
        </w:rPr>
        <w:lastRenderedPageBreak/>
        <w:t>históricas, la actualización de información desactualizada y la estandarización de estructuras de datos conforme a los lineamientos institucionales. Gracias a este esfuerzo sistemático, fue posible mejorar la integridad de la información, fortalecer la confiabilidad de los procesos internos y asegurar que el sistema refleje con mayor precisión la realidad operativa del Ministerio.</w:t>
      </w:r>
    </w:p>
    <w:p w14:paraId="68678B65" w14:textId="77777777" w:rsidR="00F154BB" w:rsidRDefault="00F154BB" w:rsidP="00886F32">
      <w:pPr>
        <w:spacing w:after="0" w:line="360" w:lineRule="auto"/>
        <w:ind w:left="720"/>
        <w:jc w:val="both"/>
        <w:rPr>
          <w:rFonts w:eastAsia="Calibri"/>
          <w:noProof/>
          <w:color w:val="4C4747"/>
          <w:lang w:val="es-DO"/>
        </w:rPr>
      </w:pPr>
    </w:p>
    <w:p w14:paraId="5AB2BC2A" w14:textId="77777777" w:rsidR="00E27E54" w:rsidRPr="00EB0895" w:rsidRDefault="00E27E54" w:rsidP="00886F32">
      <w:pPr>
        <w:spacing w:after="0" w:line="360" w:lineRule="auto"/>
        <w:ind w:left="720"/>
        <w:jc w:val="both"/>
        <w:rPr>
          <w:rFonts w:eastAsia="Calibri"/>
          <w:noProof/>
          <w:color w:val="4C4747"/>
          <w:highlight w:val="yellow"/>
          <w:lang w:val="es-DO"/>
        </w:rPr>
      </w:pPr>
      <w:r w:rsidRPr="00EB0895">
        <w:rPr>
          <w:rFonts w:eastAsia="Calibri"/>
          <w:b/>
          <w:bCs/>
          <w:noProof/>
          <w:color w:val="4C4747"/>
          <w:lang w:val="es-DO"/>
        </w:rPr>
        <w:t xml:space="preserve">Diseño, Socialización y Resultados de Encuestas </w:t>
      </w:r>
      <w:r>
        <w:rPr>
          <w:rFonts w:eastAsia="Calibri"/>
          <w:b/>
          <w:bCs/>
          <w:noProof/>
          <w:color w:val="4C4747"/>
          <w:lang w:val="es-DO"/>
        </w:rPr>
        <w:t xml:space="preserve">de la Dirección de Recursos Humanos: </w:t>
      </w:r>
      <w:r w:rsidRPr="00EB0895">
        <w:rPr>
          <w:rFonts w:eastAsia="Calibri"/>
          <w:noProof/>
          <w:color w:val="4C4747"/>
          <w:lang w:val="es-DO"/>
        </w:rPr>
        <w:t>Durante e</w:t>
      </w:r>
      <w:r>
        <w:rPr>
          <w:rFonts w:eastAsia="Calibri"/>
          <w:noProof/>
          <w:color w:val="4C4747"/>
          <w:lang w:val="es-DO"/>
        </w:rPr>
        <w:t>ste</w:t>
      </w:r>
      <w:r w:rsidRPr="00EB0895">
        <w:rPr>
          <w:rFonts w:eastAsia="Calibri"/>
          <w:noProof/>
          <w:color w:val="4C4747"/>
          <w:lang w:val="es-DO"/>
        </w:rPr>
        <w:t xml:space="preserve"> período se desarrollaron diversas encuestas en coordinación con la Dirección de Recursos Humanos, orientadas a recoger información clave sobre múltiples temas de gestión interna. El proceso incluyó la elaboración y validación metodológica de los instrumentos, la ejecución de pruebas piloto para asegurar su claridad y pertinencia, así como la socialización previa con las áreas involucradas para </w:t>
      </w:r>
      <w:r>
        <w:rPr>
          <w:rFonts w:eastAsia="Calibri"/>
          <w:noProof/>
          <w:color w:val="4C4747"/>
          <w:lang w:val="es-DO"/>
        </w:rPr>
        <w:t>asegurar</w:t>
      </w:r>
      <w:r w:rsidRPr="00EB0895">
        <w:rPr>
          <w:rFonts w:eastAsia="Calibri"/>
          <w:noProof/>
          <w:color w:val="4C4747"/>
          <w:lang w:val="es-DO"/>
        </w:rPr>
        <w:t xml:space="preserve"> su correcta comprensión y aplicación. Posteriormente, se llevó a cabo la difusión oficial de las encuestas, la recopilación y análisis de los datos obtenidos, y finalmente la entrega formal y presentación de los resultados</w:t>
      </w:r>
      <w:r>
        <w:rPr>
          <w:rFonts w:eastAsia="Calibri"/>
          <w:noProof/>
          <w:color w:val="4C4747"/>
          <w:lang w:val="es-DO"/>
        </w:rPr>
        <w:t>.</w:t>
      </w:r>
    </w:p>
    <w:p w14:paraId="06CA7413" w14:textId="77777777" w:rsidR="00EC0AEC" w:rsidRDefault="00EC0AEC" w:rsidP="00886F32">
      <w:pPr>
        <w:spacing w:after="0" w:line="360" w:lineRule="auto"/>
        <w:ind w:left="720"/>
        <w:jc w:val="both"/>
        <w:rPr>
          <w:rFonts w:eastAsia="Calibri"/>
          <w:b/>
          <w:bCs/>
          <w:noProof/>
          <w:color w:val="4C4747"/>
          <w:lang w:val="es-DO"/>
        </w:rPr>
      </w:pPr>
    </w:p>
    <w:p w14:paraId="491E98F9" w14:textId="7221691D" w:rsidR="00E27E54" w:rsidRPr="002F6640" w:rsidRDefault="00E27E54" w:rsidP="00886F32">
      <w:pPr>
        <w:spacing w:after="0" w:line="360" w:lineRule="auto"/>
        <w:ind w:left="720"/>
        <w:jc w:val="both"/>
        <w:rPr>
          <w:rFonts w:eastAsia="Calibri"/>
          <w:noProof/>
          <w:color w:val="4C4747"/>
          <w:lang w:val="es-DO"/>
        </w:rPr>
      </w:pPr>
      <w:r w:rsidRPr="0069178A">
        <w:rPr>
          <w:rFonts w:eastAsia="Calibri"/>
          <w:b/>
          <w:bCs/>
          <w:noProof/>
          <w:color w:val="4C4747"/>
          <w:lang w:val="es-DO"/>
        </w:rPr>
        <w:t>Academía MINPRE</w:t>
      </w:r>
      <w:r>
        <w:rPr>
          <w:rFonts w:eastAsia="Calibri"/>
          <w:b/>
          <w:bCs/>
          <w:noProof/>
          <w:color w:val="4C4747"/>
          <w:lang w:val="es-DO"/>
        </w:rPr>
        <w:t xml:space="preserve"> (MINPRE Academy)</w:t>
      </w:r>
      <w:r w:rsidRPr="0069178A">
        <w:rPr>
          <w:rFonts w:eastAsia="Calibri"/>
          <w:b/>
          <w:bCs/>
          <w:noProof/>
          <w:color w:val="4C4747"/>
          <w:lang w:val="es-DO"/>
        </w:rPr>
        <w:t>:</w:t>
      </w:r>
      <w:r>
        <w:rPr>
          <w:rFonts w:eastAsia="Calibri"/>
          <w:noProof/>
          <w:color w:val="4C4747"/>
          <w:lang w:val="es-DO"/>
        </w:rPr>
        <w:t xml:space="preserve"> </w:t>
      </w:r>
      <w:r w:rsidRPr="002F6640">
        <w:rPr>
          <w:rFonts w:eastAsia="Calibri"/>
          <w:noProof/>
          <w:color w:val="4C4747"/>
          <w:lang w:val="es-DO"/>
        </w:rPr>
        <w:t>es una plataforma institucional</w:t>
      </w:r>
      <w:r>
        <w:rPr>
          <w:rFonts w:eastAsia="Calibri"/>
          <w:noProof/>
          <w:color w:val="4C4747"/>
          <w:lang w:val="es-DO"/>
        </w:rPr>
        <w:t xml:space="preserve"> desarrollada por la DTI,</w:t>
      </w:r>
      <w:r w:rsidRPr="002F6640">
        <w:rPr>
          <w:rFonts w:eastAsia="Calibri"/>
          <w:noProof/>
          <w:color w:val="4C4747"/>
          <w:lang w:val="es-DO"/>
        </w:rPr>
        <w:t xml:space="preserve"> basada en Moodle que tiene como propósito central gestionar, organizar y supervisar las formaciones internas, inducciones y programas de capacitación dirigidos a los colaboradores del Ministerio de la Presidencia (MINPRE). Esta iniciativa surge de la necesidad de fortalecer el desarrollo de competencias del personal, garantizar la estandarización del conocimiento y facilitar el </w:t>
      </w:r>
      <w:r w:rsidRPr="002F6640">
        <w:rPr>
          <w:rFonts w:eastAsia="Calibri"/>
          <w:noProof/>
          <w:color w:val="4C4747"/>
          <w:lang w:val="es-DO"/>
        </w:rPr>
        <w:lastRenderedPageBreak/>
        <w:t>acceso a recursos formativos de manera moderna, eficiente y centralizada.</w:t>
      </w:r>
    </w:p>
    <w:p w14:paraId="1933331E" w14:textId="77777777" w:rsidR="00EC0AEC" w:rsidRDefault="00EC0AEC" w:rsidP="00886F32">
      <w:pPr>
        <w:spacing w:after="0" w:line="360" w:lineRule="auto"/>
        <w:ind w:left="720"/>
        <w:jc w:val="both"/>
        <w:rPr>
          <w:rFonts w:eastAsia="Calibri"/>
          <w:noProof/>
          <w:color w:val="4C4747"/>
          <w:lang w:val="es-DO"/>
        </w:rPr>
      </w:pPr>
    </w:p>
    <w:p w14:paraId="35DF5BEE" w14:textId="1FD3BE2B" w:rsidR="00E27E54" w:rsidRPr="002F6640" w:rsidRDefault="00E27E54" w:rsidP="00886F32">
      <w:pPr>
        <w:spacing w:after="0" w:line="360" w:lineRule="auto"/>
        <w:ind w:left="720"/>
        <w:jc w:val="both"/>
        <w:rPr>
          <w:rFonts w:eastAsia="Calibri"/>
          <w:noProof/>
          <w:color w:val="4C4747"/>
          <w:lang w:val="es-DO"/>
        </w:rPr>
      </w:pPr>
      <w:r w:rsidRPr="002F6640">
        <w:rPr>
          <w:rFonts w:eastAsia="Calibri"/>
          <w:noProof/>
          <w:color w:val="4C4747"/>
          <w:lang w:val="es-DO"/>
        </w:rPr>
        <w:t>La implementación de MINPRE Academy permite disponer de un entorno virtual que reúne todo el contenido formativo relevante para el desempeño de las funciones institucionales, asegurando que cada colaborador cuente con las herramientas, conocimientos y buenas prácticas necesarias para cumplir con sus responsabilidades de manera efectiva. Asimismo, contribuye a fomentar una cultura de aprendizaje continuo y de mejora permanente dentro de la institución.</w:t>
      </w:r>
    </w:p>
    <w:p w14:paraId="21E81ACE" w14:textId="77777777" w:rsidR="00EC0AEC" w:rsidRDefault="00EC0AEC" w:rsidP="00886F32">
      <w:pPr>
        <w:spacing w:after="0" w:line="360" w:lineRule="auto"/>
        <w:ind w:left="720"/>
        <w:jc w:val="both"/>
        <w:rPr>
          <w:rFonts w:eastAsia="Calibri"/>
          <w:noProof/>
          <w:color w:val="4C4747"/>
          <w:lang w:val="es-DO"/>
        </w:rPr>
      </w:pPr>
    </w:p>
    <w:p w14:paraId="54D67A46" w14:textId="5C3CC1EA" w:rsidR="00E27E54" w:rsidRPr="002F6640" w:rsidRDefault="00E27E54" w:rsidP="00886F32">
      <w:pPr>
        <w:spacing w:after="0" w:line="360" w:lineRule="auto"/>
        <w:ind w:left="720"/>
        <w:jc w:val="both"/>
        <w:rPr>
          <w:rFonts w:eastAsia="Calibri"/>
          <w:noProof/>
          <w:color w:val="4C4747"/>
          <w:lang w:val="es-DO"/>
        </w:rPr>
      </w:pPr>
      <w:r w:rsidRPr="002F6640">
        <w:rPr>
          <w:rFonts w:eastAsia="Calibri"/>
          <w:noProof/>
          <w:color w:val="4C4747"/>
          <w:lang w:val="es-DO"/>
        </w:rPr>
        <w:t>Desde la perspectiva de gestión, la plataforma ofrece a la Dirección de Recursos Humanos mecanismos más ágiles y confiables para dar seguimiento al progreso de los colaboradores, verificar el cumplimiento de las capacitaciones obligatorias y evaluar el impacto de los programas formativos. Esto permite optimizar los procesos internos, fortalecer la toma de decisiones basada en datos y asegurar que todas las áreas del MINPRE cuenten con personal debidamente preparado para alcanzar los objetivos estratégicos.</w:t>
      </w:r>
    </w:p>
    <w:p w14:paraId="64A2E5D9" w14:textId="77777777" w:rsidR="00E27E54" w:rsidRPr="00C11D5B" w:rsidRDefault="00E27E54" w:rsidP="00886F32">
      <w:pPr>
        <w:spacing w:after="0" w:line="360" w:lineRule="auto"/>
        <w:ind w:left="720"/>
        <w:jc w:val="both"/>
        <w:rPr>
          <w:rFonts w:eastAsia="Calibri"/>
          <w:noProof/>
          <w:color w:val="4C4747"/>
          <w:lang w:val="es-DO"/>
        </w:rPr>
      </w:pPr>
      <w:r w:rsidRPr="002F6640">
        <w:rPr>
          <w:rFonts w:eastAsia="Calibri"/>
          <w:noProof/>
          <w:color w:val="4C4747"/>
          <w:lang w:val="es-DO"/>
        </w:rPr>
        <w:t>En síntesis, MINPRE Academy constituye una herramienta esencial para la profesionalización del capital humano, la eficiencia institucional y el fortalecimiento de la calidad del servicio público ofrecido por el Ministerio de la Presidencia.</w:t>
      </w:r>
    </w:p>
    <w:p w14:paraId="564B9197" w14:textId="77777777" w:rsidR="00EC0AEC" w:rsidRDefault="00EC0AEC" w:rsidP="00886F32">
      <w:pPr>
        <w:spacing w:after="0" w:line="360" w:lineRule="auto"/>
        <w:ind w:left="720"/>
        <w:jc w:val="both"/>
        <w:rPr>
          <w:rFonts w:eastAsia="Calibri"/>
          <w:b/>
          <w:bCs/>
          <w:noProof/>
          <w:color w:val="4C4747"/>
          <w:lang w:val="es-DO"/>
        </w:rPr>
      </w:pPr>
    </w:p>
    <w:p w14:paraId="5B0D8E51" w14:textId="605920C8" w:rsidR="00E27E54" w:rsidRDefault="00E27E54" w:rsidP="00886F32">
      <w:pPr>
        <w:spacing w:after="0" w:line="360" w:lineRule="auto"/>
        <w:ind w:left="720"/>
        <w:jc w:val="both"/>
        <w:rPr>
          <w:rFonts w:eastAsia="Calibri"/>
          <w:noProof/>
          <w:color w:val="4C4747"/>
          <w:lang w:val="es-DO"/>
        </w:rPr>
      </w:pPr>
      <w:r>
        <w:rPr>
          <w:rFonts w:eastAsia="Calibri"/>
          <w:b/>
          <w:bCs/>
          <w:noProof/>
          <w:color w:val="4C4747"/>
          <w:lang w:val="es-DO"/>
        </w:rPr>
        <w:t xml:space="preserve">Logros en el </w:t>
      </w:r>
      <w:r w:rsidRPr="0069178A">
        <w:rPr>
          <w:rFonts w:eastAsia="Calibri"/>
          <w:b/>
          <w:bCs/>
          <w:noProof/>
          <w:color w:val="4C4747"/>
          <w:lang w:val="es-DO"/>
        </w:rPr>
        <w:t>Índice de Uso de Tecnologías de la Información y Comunicación (ITICGE):</w:t>
      </w:r>
      <w:r>
        <w:rPr>
          <w:rFonts w:eastAsia="Calibri"/>
          <w:noProof/>
          <w:color w:val="4C4747"/>
          <w:lang w:val="es-DO"/>
        </w:rPr>
        <w:t xml:space="preserve"> </w:t>
      </w:r>
      <w:r w:rsidRPr="002F6640">
        <w:rPr>
          <w:rFonts w:eastAsia="Calibri"/>
          <w:noProof/>
          <w:color w:val="4C4747"/>
          <w:lang w:val="es-DO"/>
        </w:rPr>
        <w:t xml:space="preserve">El Ministerio de la Presidencia (MINPRE) ha alcanzado avances significativos en el cumplimiento de las </w:t>
      </w:r>
      <w:r>
        <w:rPr>
          <w:rFonts w:eastAsia="Calibri"/>
          <w:noProof/>
          <w:color w:val="4C4747"/>
          <w:lang w:val="es-DO"/>
        </w:rPr>
        <w:t>NORTIC</w:t>
      </w:r>
      <w:r w:rsidRPr="002F6640">
        <w:rPr>
          <w:rFonts w:eastAsia="Calibri"/>
          <w:noProof/>
          <w:color w:val="4C4747"/>
          <w:lang w:val="es-DO"/>
        </w:rPr>
        <w:t xml:space="preserve"> A2 y </w:t>
      </w:r>
      <w:r>
        <w:rPr>
          <w:rFonts w:eastAsia="Calibri"/>
          <w:noProof/>
          <w:color w:val="4C4747"/>
          <w:lang w:val="es-DO"/>
        </w:rPr>
        <w:t xml:space="preserve">NORTIC </w:t>
      </w:r>
      <w:r w:rsidRPr="002F6640">
        <w:rPr>
          <w:rFonts w:eastAsia="Calibri"/>
          <w:noProof/>
          <w:color w:val="4C4747"/>
          <w:lang w:val="es-DO"/>
        </w:rPr>
        <w:t xml:space="preserve">B2 del Índice de Uso de las Tecnologías de la Información y Comunicación e </w:t>
      </w:r>
      <w:r w:rsidRPr="002F6640">
        <w:rPr>
          <w:rFonts w:eastAsia="Calibri"/>
          <w:noProof/>
          <w:color w:val="4C4747"/>
          <w:lang w:val="es-DO"/>
        </w:rPr>
        <w:lastRenderedPageBreak/>
        <w:t>Implementación de Gobierno Electrónico (ITICGE), reflejando el compromiso institucional con la modernización administrativa y el fortalecimiento de la transparencia, la eficiencia y los servicios orientados al ciudadano.</w:t>
      </w:r>
      <w:r>
        <w:rPr>
          <w:rFonts w:eastAsia="Calibri"/>
          <w:noProof/>
          <w:color w:val="4C4747"/>
          <w:lang w:val="es-DO"/>
        </w:rPr>
        <w:t xml:space="preserve"> </w:t>
      </w:r>
      <w:r w:rsidR="00A33C2F">
        <w:rPr>
          <w:rFonts w:eastAsia="Calibri"/>
          <w:noProof/>
          <w:color w:val="4C4747"/>
          <w:lang w:val="es-DO"/>
        </w:rPr>
        <w:t>Al cierre del periodo dicha puntuación se encuentra situda en 73.15%.</w:t>
      </w:r>
    </w:p>
    <w:p w14:paraId="767FDE36" w14:textId="77777777" w:rsidR="00EC0AEC" w:rsidRDefault="00EC0AEC" w:rsidP="00886F32">
      <w:pPr>
        <w:spacing w:after="0" w:line="360" w:lineRule="auto"/>
        <w:ind w:left="720"/>
        <w:jc w:val="both"/>
        <w:rPr>
          <w:rFonts w:eastAsia="Calibri"/>
          <w:b/>
          <w:bCs/>
          <w:noProof/>
          <w:color w:val="4C4747"/>
          <w:lang w:val="es-DO"/>
        </w:rPr>
      </w:pPr>
    </w:p>
    <w:p w14:paraId="1A64472E" w14:textId="2C1D2E24" w:rsidR="00E27E54" w:rsidRDefault="00E27E54" w:rsidP="00886F32">
      <w:pPr>
        <w:spacing w:after="0" w:line="360" w:lineRule="auto"/>
        <w:ind w:left="720"/>
        <w:jc w:val="both"/>
        <w:rPr>
          <w:rFonts w:eastAsia="Calibri"/>
          <w:noProof/>
          <w:color w:val="4C4747"/>
          <w:lang w:val="es-DO"/>
        </w:rPr>
      </w:pPr>
      <w:r>
        <w:rPr>
          <w:rFonts w:eastAsia="Calibri"/>
          <w:b/>
          <w:bCs/>
          <w:noProof/>
          <w:color w:val="4C4747"/>
          <w:lang w:val="es-DO"/>
        </w:rPr>
        <w:t>Implementación de Firma Digital:</w:t>
      </w:r>
      <w:r>
        <w:rPr>
          <w:rFonts w:eastAsia="Calibri"/>
          <w:noProof/>
          <w:color w:val="4C4747"/>
          <w:lang w:val="es-DO"/>
        </w:rPr>
        <w:t xml:space="preserve"> </w:t>
      </w:r>
      <w:r w:rsidRPr="00006413">
        <w:rPr>
          <w:rFonts w:eastAsia="Calibri"/>
          <w:noProof/>
          <w:color w:val="4C4747"/>
          <w:lang w:val="es-DO"/>
        </w:rPr>
        <w:t>La implementación de la firma digital en el Ministerio constituye un paso estratégico hacia la modernización institucional, la eficiencia administrativa y el fortalecimiento del Gobierno Digital, en cumplimiento con las normativas vigentes y las mejores prácticas internacionales. Esta herramienta tecnológica permite autenticar documentos de manera segura, verificable y legalmente válida, garantizando la integridad de la información y la confiabilidad de los procesos.</w:t>
      </w:r>
    </w:p>
    <w:p w14:paraId="251B0397" w14:textId="77777777" w:rsidR="00EC0AEC" w:rsidRDefault="00EC0AEC" w:rsidP="00886F32">
      <w:pPr>
        <w:spacing w:after="0" w:line="360" w:lineRule="auto"/>
        <w:ind w:left="720"/>
        <w:jc w:val="both"/>
        <w:rPr>
          <w:rFonts w:eastAsia="Calibri"/>
          <w:noProof/>
          <w:color w:val="4C4747"/>
          <w:lang w:val="es-DO"/>
        </w:rPr>
      </w:pPr>
    </w:p>
    <w:p w14:paraId="140B6969" w14:textId="227CB43B" w:rsidR="00E27E54" w:rsidRPr="00006413" w:rsidRDefault="00E27E54" w:rsidP="00886F32">
      <w:pPr>
        <w:spacing w:after="0" w:line="360" w:lineRule="auto"/>
        <w:ind w:left="720"/>
        <w:jc w:val="both"/>
        <w:rPr>
          <w:rFonts w:eastAsia="Calibri"/>
          <w:noProof/>
          <w:color w:val="4C4747"/>
          <w:lang w:val="es-DO"/>
        </w:rPr>
      </w:pPr>
      <w:r w:rsidRPr="00006413">
        <w:rPr>
          <w:rFonts w:eastAsia="Calibri"/>
          <w:noProof/>
          <w:color w:val="4C4747"/>
          <w:lang w:val="es-DO"/>
        </w:rPr>
        <w:t>La firma digital contribuye de manera directa a la optimización de los flujos de trabajo internos, reduciendo los tiempos de aprobación, eliminando el uso excesivo de papel y disminuyendo la dependencia de procesos manuales. Esto se traduce en una gestión más ágil, transparente y sostenible, alineada con los objetivos institucionales de eficiencia operativa y racionalización de recursos.</w:t>
      </w:r>
    </w:p>
    <w:p w14:paraId="0B1D50A4" w14:textId="77777777" w:rsidR="00EC0AEC" w:rsidRDefault="00EC0AEC" w:rsidP="00886F32">
      <w:pPr>
        <w:spacing w:after="0" w:line="360" w:lineRule="auto"/>
        <w:ind w:left="720"/>
        <w:jc w:val="both"/>
        <w:rPr>
          <w:rFonts w:eastAsia="Calibri"/>
          <w:noProof/>
          <w:color w:val="4C4747"/>
          <w:lang w:val="es-DO"/>
        </w:rPr>
      </w:pPr>
    </w:p>
    <w:p w14:paraId="14D78F61" w14:textId="18658EA0" w:rsidR="00E27E54" w:rsidRPr="00006413" w:rsidRDefault="00E27E54" w:rsidP="00886F32">
      <w:pPr>
        <w:spacing w:after="0" w:line="360" w:lineRule="auto"/>
        <w:ind w:left="720"/>
        <w:jc w:val="both"/>
        <w:rPr>
          <w:rFonts w:eastAsia="Calibri"/>
          <w:noProof/>
          <w:color w:val="4C4747"/>
          <w:lang w:val="es-DO"/>
        </w:rPr>
      </w:pPr>
      <w:r w:rsidRPr="00006413">
        <w:rPr>
          <w:rFonts w:eastAsia="Calibri"/>
          <w:noProof/>
          <w:color w:val="4C4747"/>
          <w:lang w:val="es-DO"/>
        </w:rPr>
        <w:t>Asimismo, su adopción fortalece la seguridad institucional, ya que permite identificar con certeza a los firmantes y asegurar que los documentos no hayan sido alterados. Esto resulta fundamental para proteger la información oficial, garantizar la trazabilidad de los procesos y elevar el nivel de cumplimiento en materia de seguridad de la información.</w:t>
      </w:r>
    </w:p>
    <w:p w14:paraId="2CA4327D" w14:textId="77777777" w:rsidR="00E27E54" w:rsidRPr="00006413" w:rsidRDefault="00E27E54" w:rsidP="00886F32">
      <w:pPr>
        <w:spacing w:after="0" w:line="360" w:lineRule="auto"/>
        <w:ind w:left="720"/>
        <w:jc w:val="both"/>
        <w:rPr>
          <w:rFonts w:eastAsia="Calibri"/>
          <w:noProof/>
          <w:color w:val="4C4747"/>
          <w:lang w:val="es-DO"/>
        </w:rPr>
      </w:pPr>
      <w:r w:rsidRPr="00006413">
        <w:rPr>
          <w:rFonts w:eastAsia="Calibri"/>
          <w:noProof/>
          <w:color w:val="4C4747"/>
          <w:lang w:val="es-DO"/>
        </w:rPr>
        <w:lastRenderedPageBreak/>
        <w:t>La firma digital también facilita la interoperabilidad con otras instituciones del Estado que ya han avanzado en procesos similares, permitiendo una mayor coordinación, reducción de tiempos y fortalecimiento de la confianza en los servicios gubernamentales. Además, mejora la experiencia del personal interno y de los usuarios externos al ofrecer respuestas más rápidas, procesos más confiables y operaciones completamente alineadas con el marco del Gobierno Electrónico.</w:t>
      </w:r>
    </w:p>
    <w:p w14:paraId="3231AC5E" w14:textId="77777777" w:rsidR="00E27E54" w:rsidRDefault="00E27E54" w:rsidP="00886F32">
      <w:pPr>
        <w:spacing w:after="0" w:line="360" w:lineRule="auto"/>
        <w:ind w:left="720"/>
        <w:jc w:val="both"/>
        <w:rPr>
          <w:rFonts w:eastAsia="Calibri"/>
          <w:noProof/>
          <w:color w:val="4C4747"/>
          <w:lang w:val="es-DO"/>
        </w:rPr>
      </w:pPr>
    </w:p>
    <w:p w14:paraId="36AE6C83" w14:textId="3718E05B" w:rsidR="00E27E54" w:rsidRPr="00363BBE" w:rsidRDefault="00E27E54" w:rsidP="00886F32">
      <w:pPr>
        <w:spacing w:after="0" w:line="360" w:lineRule="auto"/>
        <w:ind w:left="720"/>
        <w:jc w:val="both"/>
        <w:rPr>
          <w:rFonts w:eastAsia="Calibri"/>
          <w:noProof/>
          <w:color w:val="4C4747"/>
          <w:lang w:val="es-DO"/>
        </w:rPr>
      </w:pPr>
      <w:r w:rsidRPr="00006413">
        <w:rPr>
          <w:rFonts w:eastAsia="Calibri"/>
          <w:b/>
          <w:bCs/>
          <w:noProof/>
          <w:color w:val="4C4747"/>
          <w:lang w:val="es-DO"/>
        </w:rPr>
        <w:t xml:space="preserve">Sesiones de Planificación de Equipamiento TIC en localidad MINPRE (Casona): </w:t>
      </w:r>
      <w:r w:rsidRPr="00363BBE">
        <w:rPr>
          <w:rFonts w:eastAsia="Calibri"/>
          <w:noProof/>
          <w:color w:val="4C4747"/>
          <w:lang w:val="es-DO"/>
        </w:rPr>
        <w:t xml:space="preserve">Como parte del proceso de fortalecimiento tecnológico y adecuación de la infraestructura institucional, se llevaron a cabo reuniones de planificación orientadas a definir los requerimientos de equipamiento TIC para La Casona. Estas reuniones resultaron esenciales para </w:t>
      </w:r>
      <w:r>
        <w:rPr>
          <w:rFonts w:eastAsia="Calibri"/>
          <w:noProof/>
          <w:color w:val="4C4747"/>
          <w:lang w:val="es-DO"/>
        </w:rPr>
        <w:t>asegurar</w:t>
      </w:r>
      <w:r w:rsidRPr="00363BBE">
        <w:rPr>
          <w:rFonts w:eastAsia="Calibri"/>
          <w:noProof/>
          <w:color w:val="4C4747"/>
          <w:lang w:val="es-DO"/>
        </w:rPr>
        <w:t xml:space="preserve"> que las decisiones técnicas y operativas se basen en un análisis preciso de las necesidades actuales y futuras del espacio, asegurando que la </w:t>
      </w:r>
      <w:r>
        <w:rPr>
          <w:rFonts w:eastAsia="Calibri"/>
          <w:noProof/>
          <w:color w:val="4C4747"/>
          <w:lang w:val="es-DO"/>
        </w:rPr>
        <w:t xml:space="preserve">obra civil </w:t>
      </w:r>
      <w:r w:rsidRPr="00363BBE">
        <w:rPr>
          <w:rFonts w:eastAsia="Calibri"/>
          <w:noProof/>
          <w:color w:val="4C4747"/>
          <w:lang w:val="es-DO"/>
        </w:rPr>
        <w:t>responda a los estándares de eficiencia, seguridad y continuidad operativa.</w:t>
      </w:r>
    </w:p>
    <w:p w14:paraId="10794BC4" w14:textId="77777777" w:rsidR="00EC0AEC" w:rsidRDefault="00EC0AEC" w:rsidP="00886F32">
      <w:pPr>
        <w:spacing w:after="0" w:line="360" w:lineRule="auto"/>
        <w:ind w:left="720"/>
        <w:jc w:val="both"/>
        <w:rPr>
          <w:rFonts w:eastAsia="Calibri"/>
          <w:noProof/>
          <w:color w:val="4C4747"/>
          <w:lang w:val="es-DO"/>
        </w:rPr>
      </w:pPr>
    </w:p>
    <w:p w14:paraId="113104C2" w14:textId="7EAB661C" w:rsidR="00E27E54" w:rsidRPr="00363BBE" w:rsidRDefault="00E27E54" w:rsidP="00886F32">
      <w:pPr>
        <w:spacing w:after="0" w:line="360" w:lineRule="auto"/>
        <w:ind w:left="720"/>
        <w:jc w:val="both"/>
        <w:rPr>
          <w:rFonts w:eastAsia="Calibri"/>
          <w:noProof/>
          <w:color w:val="4C4747"/>
          <w:lang w:val="es-DO"/>
        </w:rPr>
      </w:pPr>
      <w:r w:rsidRPr="00363BBE">
        <w:rPr>
          <w:rFonts w:eastAsia="Calibri"/>
          <w:noProof/>
          <w:color w:val="4C4747"/>
          <w:lang w:val="es-DO"/>
        </w:rPr>
        <w:t xml:space="preserve">La planificación incluyó </w:t>
      </w:r>
      <w:r>
        <w:rPr>
          <w:rFonts w:eastAsia="Calibri"/>
          <w:noProof/>
          <w:color w:val="4C4747"/>
          <w:lang w:val="es-DO"/>
        </w:rPr>
        <w:t xml:space="preserve">el dimensionamiento del </w:t>
      </w:r>
      <w:r w:rsidRPr="00363BBE">
        <w:rPr>
          <w:rFonts w:eastAsia="Calibri"/>
          <w:noProof/>
          <w:color w:val="4C4747"/>
          <w:lang w:val="es-DO"/>
        </w:rPr>
        <w:t>cableado estructurado, con el fin de asegurar una red física confiable, de alto rendimiento y preparada para soportar los servicios institucionales críticos. Asimismo, se analizaron alternativas de sistemas de alimentación ininterrumpida (UPS) y soluciones de respaldo energético que garanticen la continuidad de las operaciones tecnológicas ante posibles fallas o interrupciones eléctricas, reduciendo riesgos y tiempos de inactividad.</w:t>
      </w:r>
    </w:p>
    <w:p w14:paraId="2B00B780" w14:textId="77777777" w:rsidR="00EC0AEC" w:rsidRDefault="00EC0AEC" w:rsidP="00886F32">
      <w:pPr>
        <w:spacing w:after="0" w:line="360" w:lineRule="auto"/>
        <w:ind w:left="720"/>
        <w:jc w:val="both"/>
        <w:rPr>
          <w:rFonts w:eastAsia="Calibri"/>
          <w:noProof/>
          <w:color w:val="4C4747"/>
          <w:lang w:val="es-DO"/>
        </w:rPr>
      </w:pPr>
    </w:p>
    <w:p w14:paraId="209030F7" w14:textId="185C60F8" w:rsidR="00E27E54" w:rsidRPr="00363BBE" w:rsidRDefault="00E27E54" w:rsidP="00886F32">
      <w:pPr>
        <w:spacing w:after="0" w:line="360" w:lineRule="auto"/>
        <w:ind w:left="720"/>
        <w:jc w:val="both"/>
        <w:rPr>
          <w:rFonts w:eastAsia="Calibri"/>
          <w:noProof/>
          <w:color w:val="4C4747"/>
          <w:lang w:val="es-DO"/>
        </w:rPr>
      </w:pPr>
      <w:r w:rsidRPr="00363BBE">
        <w:rPr>
          <w:rFonts w:eastAsia="Calibri"/>
          <w:noProof/>
          <w:color w:val="4C4747"/>
          <w:lang w:val="es-DO"/>
        </w:rPr>
        <w:t xml:space="preserve">Como parte del proceso, se realizaron visitas guiadas a diferentes proveedores, lo cual permitió comparar </w:t>
      </w:r>
      <w:r w:rsidRPr="00363BBE">
        <w:rPr>
          <w:rFonts w:eastAsia="Calibri"/>
          <w:noProof/>
          <w:color w:val="4C4747"/>
          <w:lang w:val="es-DO"/>
        </w:rPr>
        <w:lastRenderedPageBreak/>
        <w:t>arquitecturas de soluciones, capacidades técnicas, condiciones de servicio, garantías y costos. Estas visitas fueron determinantes para validar la calidad de los equipos ofrecidos</w:t>
      </w:r>
      <w:r>
        <w:rPr>
          <w:rFonts w:eastAsia="Calibri"/>
          <w:noProof/>
          <w:color w:val="4C4747"/>
          <w:lang w:val="es-DO"/>
        </w:rPr>
        <w:t xml:space="preserve"> y el alcance de cada proveedor de servicio</w:t>
      </w:r>
      <w:r w:rsidRPr="00363BBE">
        <w:rPr>
          <w:rFonts w:eastAsia="Calibri"/>
          <w:noProof/>
          <w:color w:val="4C4747"/>
          <w:lang w:val="es-DO"/>
        </w:rPr>
        <w:t>, y asegurar que las propuestas cumplieran con los requerimientos técnicos establecidos por el Ministerio.</w:t>
      </w:r>
    </w:p>
    <w:p w14:paraId="0B04AD5E" w14:textId="77777777" w:rsidR="00EC0AEC" w:rsidRDefault="00EC0AEC" w:rsidP="00886F32">
      <w:pPr>
        <w:spacing w:after="0" w:line="360" w:lineRule="auto"/>
        <w:ind w:left="720"/>
        <w:jc w:val="both"/>
        <w:rPr>
          <w:rFonts w:eastAsia="Calibri"/>
          <w:noProof/>
          <w:color w:val="4C4747"/>
          <w:lang w:val="es-DO"/>
        </w:rPr>
      </w:pPr>
    </w:p>
    <w:p w14:paraId="56B326D5" w14:textId="558C862F" w:rsidR="00E27E54" w:rsidRPr="00363BBE" w:rsidRDefault="00E27E54" w:rsidP="00886F32">
      <w:pPr>
        <w:spacing w:after="0" w:line="360" w:lineRule="auto"/>
        <w:ind w:left="720"/>
        <w:jc w:val="both"/>
        <w:rPr>
          <w:rFonts w:eastAsia="Calibri"/>
          <w:noProof/>
          <w:color w:val="4C4747"/>
          <w:lang w:val="es-DO"/>
        </w:rPr>
      </w:pPr>
      <w:r w:rsidRPr="00363BBE">
        <w:rPr>
          <w:rFonts w:eastAsia="Calibri"/>
          <w:noProof/>
          <w:color w:val="4C4747"/>
          <w:lang w:val="es-DO"/>
        </w:rPr>
        <w:t xml:space="preserve">Las reuniones y visitas también facilitaron la integración de los equipos técnicos responsables, promoviendo la toma de decisiones coordinada y fundamentada en criterios técnicos, económicos y de sostenibilidad. Este proceso </w:t>
      </w:r>
      <w:r>
        <w:rPr>
          <w:rFonts w:eastAsia="Calibri"/>
          <w:noProof/>
          <w:color w:val="4C4747"/>
          <w:lang w:val="es-DO"/>
        </w:rPr>
        <w:t>asegura</w:t>
      </w:r>
      <w:r w:rsidRPr="00363BBE">
        <w:rPr>
          <w:rFonts w:eastAsia="Calibri"/>
          <w:noProof/>
          <w:color w:val="4C4747"/>
          <w:lang w:val="es-DO"/>
        </w:rPr>
        <w:t xml:space="preserve"> que la implementación final del equipamiento TIC en La Casona sea eficiente, segura y alineada con las metas institucionales de modernización y mejora continua.</w:t>
      </w:r>
    </w:p>
    <w:p w14:paraId="1A90AC02" w14:textId="77777777" w:rsidR="00EC0AEC" w:rsidRDefault="00EC0AEC" w:rsidP="00886F32">
      <w:pPr>
        <w:spacing w:after="0" w:line="360" w:lineRule="auto"/>
        <w:ind w:left="720"/>
        <w:jc w:val="both"/>
        <w:rPr>
          <w:rFonts w:eastAsia="Calibri"/>
          <w:b/>
          <w:bCs/>
          <w:noProof/>
          <w:color w:val="4C4747"/>
          <w:lang w:val="es-DO"/>
        </w:rPr>
      </w:pPr>
    </w:p>
    <w:p w14:paraId="4E9B6509" w14:textId="4D7B9F07" w:rsidR="00E27E54" w:rsidRPr="003A2965" w:rsidRDefault="00E27E54" w:rsidP="00886F32">
      <w:pPr>
        <w:spacing w:after="0" w:line="360" w:lineRule="auto"/>
        <w:ind w:left="720"/>
        <w:jc w:val="both"/>
        <w:rPr>
          <w:rFonts w:eastAsia="Calibri"/>
          <w:noProof/>
          <w:color w:val="4C4747"/>
          <w:lang w:val="es-DO"/>
        </w:rPr>
      </w:pPr>
      <w:r w:rsidRPr="003A2965">
        <w:rPr>
          <w:rFonts w:eastAsia="Calibri"/>
          <w:b/>
          <w:bCs/>
          <w:noProof/>
          <w:color w:val="4C4747"/>
          <w:lang w:val="es-DO"/>
        </w:rPr>
        <w:t>Implementación de nuevas funcionalidades en MINPRE DIGITAL (Intranet):</w:t>
      </w:r>
      <w:r>
        <w:rPr>
          <w:rFonts w:eastAsia="Calibri"/>
          <w:noProof/>
          <w:color w:val="4C4747"/>
          <w:lang w:val="es-DO"/>
        </w:rPr>
        <w:t xml:space="preserve"> </w:t>
      </w:r>
      <w:r w:rsidRPr="007C56F4">
        <w:rPr>
          <w:rFonts w:eastAsia="Aptos"/>
          <w:color w:val="auto"/>
          <w:spacing w:val="0"/>
          <w:lang w:val="es-DO"/>
          <w14:ligatures w14:val="standardContextual"/>
        </w:rPr>
        <w:tab/>
      </w:r>
      <w:r w:rsidRPr="00E65686">
        <w:rPr>
          <w:rFonts w:eastAsia="Calibri"/>
          <w:noProof/>
          <w:color w:val="4C4747"/>
          <w:lang w:val="es-DO"/>
        </w:rPr>
        <w:t xml:space="preserve">Este año, hemos incorporado </w:t>
      </w:r>
      <w:r w:rsidRPr="003A2965">
        <w:rPr>
          <w:rFonts w:eastAsia="Calibri"/>
          <w:noProof/>
          <w:color w:val="4C4747"/>
          <w:lang w:val="es-DO"/>
        </w:rPr>
        <w:t xml:space="preserve">nuevas funcionalidades en Minpre Digital (Intranet institucional del Ministerio de la Presidencia) </w:t>
      </w:r>
      <w:r>
        <w:rPr>
          <w:rFonts w:eastAsia="Calibri"/>
          <w:noProof/>
          <w:color w:val="4C4747"/>
          <w:lang w:val="es-DO"/>
        </w:rPr>
        <w:t xml:space="preserve">que </w:t>
      </w:r>
      <w:r w:rsidRPr="003A2965">
        <w:rPr>
          <w:rFonts w:eastAsia="Calibri"/>
          <w:noProof/>
          <w:color w:val="4C4747"/>
          <w:lang w:val="es-DO"/>
        </w:rPr>
        <w:t>responde a la necesidad de fortalecer los procesos internos, mejorar la eficiencia administrativa y ofrecer herramientas tecnológicas que faciliten el acceso ágil y seguro a la información y servicios que requieren los colaboradores en el ejercicio de sus funciones.</w:t>
      </w:r>
    </w:p>
    <w:p w14:paraId="5C355EFE" w14:textId="77777777" w:rsidR="00EC0AEC" w:rsidRDefault="00EC0AEC" w:rsidP="00886F32">
      <w:pPr>
        <w:spacing w:after="0" w:line="360" w:lineRule="auto"/>
        <w:ind w:left="720"/>
        <w:jc w:val="both"/>
        <w:rPr>
          <w:rFonts w:eastAsia="Calibri"/>
          <w:noProof/>
          <w:color w:val="4C4747"/>
          <w:lang w:val="es-DO"/>
        </w:rPr>
      </w:pPr>
    </w:p>
    <w:p w14:paraId="3A7FD69F" w14:textId="3B2381BF" w:rsidR="00E27E54" w:rsidRDefault="00E27E54" w:rsidP="00886F32">
      <w:pPr>
        <w:spacing w:after="0" w:line="360" w:lineRule="auto"/>
        <w:ind w:left="720"/>
        <w:jc w:val="both"/>
        <w:rPr>
          <w:rFonts w:eastAsia="Calibri"/>
          <w:noProof/>
          <w:color w:val="4C4747"/>
          <w:lang w:val="es-DO"/>
        </w:rPr>
      </w:pPr>
      <w:r w:rsidRPr="003A2965">
        <w:rPr>
          <w:rFonts w:eastAsia="Calibri"/>
          <w:noProof/>
          <w:color w:val="4C4747"/>
          <w:lang w:val="es-DO"/>
        </w:rPr>
        <w:t xml:space="preserve">El crecimiento de las operaciones institucionales, junto con la demanda de mayor transparencia, trazabilidad y colaboración, hace necesario que la intranet evolucione hacia un entorno más robusto, dinámico y orientado a las necesidades actuales de los usuarios. Las nuevas funcionalidades permiten optimizar la gestión de la información, centralizar trámites internos y </w:t>
      </w:r>
      <w:r w:rsidRPr="003A2965">
        <w:rPr>
          <w:rFonts w:eastAsia="Calibri"/>
          <w:noProof/>
          <w:color w:val="4C4747"/>
          <w:lang w:val="es-DO"/>
        </w:rPr>
        <w:lastRenderedPageBreak/>
        <w:t>proporcionar servicios digitales que reducen cargas operativas, tiempos de respuesta y dependencia de procesos manuales.</w:t>
      </w:r>
    </w:p>
    <w:p w14:paraId="55596F1F" w14:textId="77777777" w:rsidR="00E27E54" w:rsidRPr="00C11D5B" w:rsidRDefault="00E27E54" w:rsidP="00886F32">
      <w:pPr>
        <w:spacing w:after="0" w:line="360" w:lineRule="auto"/>
        <w:ind w:left="720"/>
        <w:jc w:val="both"/>
        <w:rPr>
          <w:rFonts w:eastAsia="Calibri"/>
          <w:noProof/>
          <w:color w:val="4C4747"/>
          <w:lang w:val="es-DO"/>
        </w:rPr>
      </w:pPr>
      <w:r w:rsidRPr="003A2965">
        <w:rPr>
          <w:rFonts w:eastAsia="Calibri"/>
          <w:noProof/>
          <w:color w:val="4C4747"/>
          <w:lang w:val="es-DO"/>
        </w:rPr>
        <w:t>Asimismo, la actualización de la intranet contribuye a crear un entorno de trabajo moderno, eficiente y acorde con las necesidades actuales de la administración pública, potenciando la productividad del personal y facilitando la toma de decisiones basada en datos.</w:t>
      </w:r>
    </w:p>
    <w:p w14:paraId="708BC959" w14:textId="77777777" w:rsidR="0051619E" w:rsidRDefault="0051619E" w:rsidP="00886F32">
      <w:pPr>
        <w:pStyle w:val="ListParagraph"/>
        <w:spacing w:after="0" w:line="360" w:lineRule="auto"/>
        <w:rPr>
          <w:b/>
          <w:bCs/>
        </w:rPr>
      </w:pPr>
    </w:p>
    <w:p w14:paraId="5683AF26" w14:textId="3DB84FEC" w:rsidR="00535822" w:rsidRPr="00535822" w:rsidRDefault="0051619E" w:rsidP="00886F32">
      <w:pPr>
        <w:pStyle w:val="ListParagraph"/>
        <w:numPr>
          <w:ilvl w:val="1"/>
          <w:numId w:val="96"/>
        </w:numPr>
        <w:spacing w:after="0" w:line="360" w:lineRule="auto"/>
        <w:ind w:left="720"/>
        <w:jc w:val="center"/>
        <w:outlineLvl w:val="1"/>
        <w:rPr>
          <w:b/>
          <w:bCs/>
        </w:rPr>
      </w:pPr>
      <w:r>
        <w:rPr>
          <w:b/>
          <w:bCs/>
        </w:rPr>
        <w:t xml:space="preserve"> </w:t>
      </w:r>
      <w:bookmarkStart w:id="129" w:name="_Toc217382622"/>
      <w:r w:rsidR="00535822" w:rsidRPr="00535822">
        <w:rPr>
          <w:b/>
          <w:bCs/>
        </w:rPr>
        <w:t>Desempeño del sistema de Planificación y Desarrollo Institucional</w:t>
      </w:r>
      <w:bookmarkEnd w:id="127"/>
      <w:bookmarkEnd w:id="129"/>
    </w:p>
    <w:p w14:paraId="14E33AE5" w14:textId="77777777" w:rsidR="00535822" w:rsidRPr="00535822" w:rsidRDefault="00535822" w:rsidP="00886F32">
      <w:pPr>
        <w:spacing w:after="0" w:line="360" w:lineRule="auto"/>
        <w:ind w:left="720"/>
        <w:jc w:val="both"/>
        <w:rPr>
          <w:rFonts w:eastAsia="Calibri"/>
          <w:noProof/>
          <w:color w:val="4C4747"/>
          <w:lang w:val="es-419"/>
        </w:rPr>
      </w:pPr>
      <w:r w:rsidRPr="00535822">
        <w:rPr>
          <w:rFonts w:eastAsia="Calibri"/>
          <w:noProof/>
          <w:color w:val="4C4747"/>
          <w:lang w:val="es-419"/>
        </w:rPr>
        <w:t xml:space="preserve">El objetivo fundamental de la Dirección de Planificación y Desarrollo (DPD), es formular, dar seguimiento, coordinar las políticas, planes, programas y proyectos necesarios para el buen desarrollo de la institución, monitoreando y evaluando el cumplimiento de los programas establecidos.  </w:t>
      </w:r>
    </w:p>
    <w:p w14:paraId="6C5720DB" w14:textId="77777777" w:rsidR="00535822" w:rsidRPr="00535822" w:rsidRDefault="00535822" w:rsidP="00886F32">
      <w:pPr>
        <w:spacing w:after="0" w:line="360" w:lineRule="auto"/>
        <w:ind w:left="720"/>
        <w:jc w:val="both"/>
        <w:rPr>
          <w:rFonts w:eastAsia="Calibri"/>
          <w:noProof/>
          <w:color w:val="4C4747"/>
          <w:lang w:val="es-419"/>
        </w:rPr>
      </w:pPr>
    </w:p>
    <w:p w14:paraId="3E4864DE" w14:textId="25CD0C26" w:rsidR="0000128B" w:rsidRPr="0000128B" w:rsidRDefault="0000128B" w:rsidP="00886F32">
      <w:pPr>
        <w:pStyle w:val="ListParagraph"/>
        <w:numPr>
          <w:ilvl w:val="2"/>
          <w:numId w:val="96"/>
        </w:numPr>
        <w:spacing w:after="0" w:line="360" w:lineRule="auto"/>
        <w:ind w:left="720" w:firstLine="90"/>
        <w:jc w:val="both"/>
        <w:rPr>
          <w:rFonts w:eastAsia="Calibri"/>
          <w:b/>
          <w:bCs/>
          <w:noProof/>
          <w:color w:val="4C4747"/>
          <w:lang w:val="es-419"/>
        </w:rPr>
      </w:pPr>
      <w:r w:rsidRPr="0000128B">
        <w:rPr>
          <w:rFonts w:eastAsia="Calibri"/>
          <w:b/>
          <w:bCs/>
          <w:noProof/>
          <w:color w:val="4C4747"/>
          <w:lang w:val="es-419"/>
        </w:rPr>
        <w:t xml:space="preserve">Resultados de la implementación y aplicación de las Normas Básicas de Control Interno (NOBACI) y del Indicador de Control Interno </w:t>
      </w:r>
    </w:p>
    <w:p w14:paraId="7A527DCC"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Las Normas Básicas de Control Interno (NOBACI) para el Sector Público son lineamientos generales emitidos por la Contraloría General de la República Dominicana en su calidad de Órgano Rector del Control Interno, con la finalidad de promover una administración transparente de los recursos públicos en las entidades bajo el ámbito de la Ley 10-07, con los pilares de medición:    </w:t>
      </w:r>
    </w:p>
    <w:p w14:paraId="49B1038E"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01 Ambiente de Control    </w:t>
      </w:r>
    </w:p>
    <w:p w14:paraId="26E22F96"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02 Valoración y Administración de Riesgos    </w:t>
      </w:r>
    </w:p>
    <w:p w14:paraId="4E484E88"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03 Actividades de Control    </w:t>
      </w:r>
    </w:p>
    <w:p w14:paraId="46F9845C"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04 Información y Comunicación    </w:t>
      </w:r>
    </w:p>
    <w:p w14:paraId="6D5785CD"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05 Monitoreo y Control   </w:t>
      </w:r>
    </w:p>
    <w:p w14:paraId="27FAD4D5" w14:textId="77777777" w:rsidR="0000128B" w:rsidRDefault="0000128B" w:rsidP="00886F32">
      <w:pPr>
        <w:spacing w:after="0" w:line="360" w:lineRule="auto"/>
        <w:ind w:left="720"/>
        <w:jc w:val="both"/>
        <w:rPr>
          <w:rFonts w:eastAsia="Calibri"/>
          <w:noProof/>
          <w:color w:val="4C4747"/>
          <w:lang w:val="es-419"/>
        </w:rPr>
      </w:pPr>
    </w:p>
    <w:p w14:paraId="262D6708" w14:textId="0F6EC7FC" w:rsid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Estas normas establecen las pautas básicas y guían el accionar de las entidades del sector público hacia la excelencia operacional.  </w:t>
      </w:r>
    </w:p>
    <w:p w14:paraId="14C567C7" w14:textId="77777777" w:rsidR="003E27C5" w:rsidRPr="0000128B" w:rsidRDefault="003E27C5" w:rsidP="00886F32">
      <w:pPr>
        <w:spacing w:after="0" w:line="360" w:lineRule="auto"/>
        <w:ind w:left="720"/>
        <w:jc w:val="both"/>
        <w:rPr>
          <w:rFonts w:eastAsia="Calibri"/>
          <w:noProof/>
          <w:color w:val="4C4747"/>
          <w:lang w:val="es-419"/>
        </w:rPr>
      </w:pPr>
    </w:p>
    <w:p w14:paraId="5A75264F" w14:textId="77777777" w:rsid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La Dirección de Planificación y Desarrollo ha sido el responsable de velar por el mantenimiento y el mejoramiento continuo de las NOBACI. La puntuación en las NOBACI es de un 91.75% para finales del año 2025, logrando alcanzar un nivel de implementación satisfactorio. </w:t>
      </w:r>
    </w:p>
    <w:p w14:paraId="31858328" w14:textId="77777777" w:rsidR="003E27C5" w:rsidRDefault="003E27C5" w:rsidP="00886F32">
      <w:pPr>
        <w:spacing w:after="0" w:line="360" w:lineRule="auto"/>
        <w:ind w:left="720"/>
        <w:jc w:val="both"/>
        <w:rPr>
          <w:rFonts w:eastAsia="Calibri"/>
          <w:noProof/>
          <w:color w:val="4C4747"/>
          <w:lang w:val="es-419"/>
        </w:rPr>
      </w:pPr>
    </w:p>
    <w:p w14:paraId="7ED4312A" w14:textId="4A585428"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El Ministerio de la Presidencia se encuentra en el proceso de implementación del Índice de Control Interno, que es una métrica agrupada que permite valorar razonablemente un conjunto de dimensiones asociadas al nivel de cumplimiento del control interno de las instituciones bajo el alcance legal de la Contraloría General de la República, órgano rector del control interno.  </w:t>
      </w:r>
    </w:p>
    <w:p w14:paraId="2D6F22BA"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w:t>
      </w:r>
    </w:p>
    <w:p w14:paraId="1B9406D3"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El ICI tiene como objetivos:   </w:t>
      </w:r>
    </w:p>
    <w:p w14:paraId="18D68A8C"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Monitorear y promover el cumplimiento de los aspectos normativos más importantes relacionados con los controles internos en la gestión de los recursos públicos.  </w:t>
      </w:r>
    </w:p>
    <w:p w14:paraId="798DD1AE"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Evaluar el diseño, mantenimiento y aplicación de la documentación que sirve como sustento del sistema de control interno de las Instituciones bajo el alcance legal de la Contraloría General de la República.  </w:t>
      </w:r>
    </w:p>
    <w:p w14:paraId="50B20296"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Promover la generación de evidencias formales y alineadas a las normativas vigentes y aplicables, que permitan sustentar la ejecución de los controles internos en las instituciones.  </w:t>
      </w:r>
    </w:p>
    <w:p w14:paraId="581A106E"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lastRenderedPageBreak/>
        <w:t xml:space="preserve">• Evaluar la eficacia del Sistema de Control Interno por medio de métodos, criterios y herramientas sustentadas sobre la base de las mejores prácticas, y con ello, constatar el funcionamiento de los controles internos y el aseguramiento razonable del logro de los objetivos de la institución.  </w:t>
      </w:r>
    </w:p>
    <w:p w14:paraId="7AF520ED"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w:t>
      </w:r>
    </w:p>
    <w:p w14:paraId="28FD238D"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El marco normativo del ICI se sustenta en la Ley No. 10-07 en los Artículo 3, 5 y 25 respectivamente. Dentro del ICI se mide el cumplimiento de las Normas Básicas de Control Interno; Alineación POA-PACC-Presupuesto; Cronograma de entrega de bienes; Presentación de conciliaciones bancarias entre otros.   </w:t>
      </w:r>
    </w:p>
    <w:p w14:paraId="58F3445E" w14:textId="77777777" w:rsidR="003E27C5" w:rsidRDefault="003E27C5" w:rsidP="00886F32">
      <w:pPr>
        <w:spacing w:after="0" w:line="360" w:lineRule="auto"/>
        <w:ind w:left="720"/>
        <w:jc w:val="both"/>
        <w:rPr>
          <w:rFonts w:eastAsia="Calibri"/>
          <w:noProof/>
          <w:color w:val="4C4747"/>
          <w:lang w:val="es-419"/>
        </w:rPr>
      </w:pPr>
    </w:p>
    <w:p w14:paraId="3018A34C" w14:textId="6DAB1FE3"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Con la implementación de este sistema, el Ministerio de la Presidencia enfatiza su cumplimiento con el Sistema Nacional de Control Interno. Al cierre del tercer trimestre del 2025 la puntuación alcanzada para el porcentaje de evaluación del ICI fue de 98.59%</w:t>
      </w:r>
    </w:p>
    <w:p w14:paraId="3C3D60F8"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w:t>
      </w:r>
    </w:p>
    <w:p w14:paraId="19BDD314" w14:textId="77777777" w:rsidR="0000128B" w:rsidRPr="0000128B" w:rsidRDefault="0000128B" w:rsidP="00886F32">
      <w:pPr>
        <w:pStyle w:val="ListParagraph"/>
        <w:numPr>
          <w:ilvl w:val="2"/>
          <w:numId w:val="96"/>
        </w:numPr>
        <w:spacing w:after="0" w:line="360" w:lineRule="auto"/>
        <w:ind w:left="720" w:firstLine="90"/>
        <w:jc w:val="both"/>
        <w:rPr>
          <w:rFonts w:eastAsia="Calibri"/>
          <w:b/>
          <w:bCs/>
          <w:noProof/>
          <w:color w:val="4C4747"/>
          <w:lang w:val="es-419"/>
        </w:rPr>
      </w:pPr>
      <w:r w:rsidRPr="0000128B">
        <w:rPr>
          <w:rFonts w:eastAsia="Calibri"/>
          <w:b/>
          <w:bCs/>
          <w:noProof/>
          <w:color w:val="4C4747"/>
          <w:lang w:val="es-419"/>
        </w:rPr>
        <w:t>Resultados de los Sistemas de Calidad</w:t>
      </w:r>
    </w:p>
    <w:p w14:paraId="22575699"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w:t>
      </w:r>
    </w:p>
    <w:p w14:paraId="0BA1E521" w14:textId="7545BA30" w:rsidR="0000128B" w:rsidRPr="0000128B" w:rsidRDefault="0000128B" w:rsidP="00886F32">
      <w:pPr>
        <w:spacing w:after="0" w:line="360" w:lineRule="auto"/>
        <w:ind w:left="720"/>
        <w:jc w:val="both"/>
        <w:rPr>
          <w:rFonts w:eastAsia="Calibri"/>
          <w:b/>
          <w:bCs/>
          <w:noProof/>
          <w:color w:val="4C4747"/>
          <w:lang w:val="es-419"/>
        </w:rPr>
      </w:pPr>
      <w:r w:rsidRPr="0000128B">
        <w:rPr>
          <w:rFonts w:eastAsia="Calibri"/>
          <w:b/>
          <w:bCs/>
          <w:noProof/>
          <w:color w:val="4C4747"/>
          <w:lang w:val="es-419"/>
        </w:rPr>
        <w:t>Sistema de Monitoreo de la Administración Pública (SISMAP)</w:t>
      </w:r>
      <w:r w:rsidR="006F425F">
        <w:rPr>
          <w:rFonts w:eastAsia="Calibri"/>
          <w:b/>
          <w:bCs/>
          <w:noProof/>
          <w:color w:val="4C4747"/>
          <w:lang w:val="es-419"/>
        </w:rPr>
        <w:t>:</w:t>
      </w:r>
      <w:r w:rsidRPr="0000128B">
        <w:rPr>
          <w:rFonts w:eastAsia="Calibri"/>
          <w:b/>
          <w:bCs/>
          <w:noProof/>
          <w:color w:val="4C4747"/>
          <w:lang w:val="es-419"/>
        </w:rPr>
        <w:t xml:space="preserve"> </w:t>
      </w:r>
    </w:p>
    <w:p w14:paraId="5CDFE9A5"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El SISMAP es un sistema de monitoreo para medir los niveles de desarrollo de la Administración Pública, que desde el año 2010 ha venido implementando el Ministerio de Administración Pública (MAP). Luego de la publicación de la Resolución No. 212-2020 que actualiza y formaliza el funcionamiento del Sistema de Monitoreo de la Administración Pública (SISMAP) Gestión Pública, este sistema ha pasado por un proceso de transformación para ampliar y eficientizar el </w:t>
      </w:r>
      <w:r w:rsidRPr="0000128B">
        <w:rPr>
          <w:rFonts w:eastAsia="Calibri"/>
          <w:noProof/>
          <w:color w:val="4C4747"/>
          <w:lang w:val="es-419"/>
        </w:rPr>
        <w:lastRenderedPageBreak/>
        <w:t xml:space="preserve">seguimiento dado a las instituciones y así, mejorar la medición de la Gestión Pública. Esta transformación ha cambiado la manera en que las instituciones reportan sus ejecuciones administrativas. </w:t>
      </w:r>
    </w:p>
    <w:p w14:paraId="151343CC" w14:textId="77777777" w:rsidR="0000128B" w:rsidRPr="0000128B" w:rsidRDefault="0000128B" w:rsidP="00886F32">
      <w:pPr>
        <w:spacing w:after="0" w:line="360" w:lineRule="auto"/>
        <w:ind w:left="720"/>
        <w:jc w:val="both"/>
        <w:rPr>
          <w:rFonts w:eastAsia="Calibri"/>
          <w:noProof/>
          <w:color w:val="4C4747"/>
          <w:lang w:val="es-419"/>
        </w:rPr>
      </w:pPr>
    </w:p>
    <w:p w14:paraId="1F1CAF52" w14:textId="0F04C8D0"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El Ministerio de la Presidencia, apegado al cumplimiento de las normativas y la eficacia del Estado, también ha reformulado sus operaciones y reportería hacia el órgano rector. Es por esto por lo que, al cierre del 2025, nos encontramos con una puntuación de 85.77%. </w:t>
      </w:r>
    </w:p>
    <w:p w14:paraId="2A7E97D6" w14:textId="77777777" w:rsidR="0000128B" w:rsidRPr="0000128B" w:rsidRDefault="0000128B" w:rsidP="00886F32">
      <w:pPr>
        <w:spacing w:after="0" w:line="360" w:lineRule="auto"/>
        <w:ind w:left="720"/>
        <w:jc w:val="both"/>
        <w:rPr>
          <w:rFonts w:eastAsia="Calibri"/>
          <w:noProof/>
          <w:color w:val="4C4747"/>
          <w:lang w:val="es-419"/>
        </w:rPr>
      </w:pPr>
    </w:p>
    <w:p w14:paraId="1C39CD39" w14:textId="2DDACBCC" w:rsidR="0000128B" w:rsidRPr="006F425F" w:rsidRDefault="0000128B" w:rsidP="00886F32">
      <w:pPr>
        <w:spacing w:after="0" w:line="360" w:lineRule="auto"/>
        <w:ind w:left="720"/>
        <w:jc w:val="both"/>
        <w:rPr>
          <w:rFonts w:eastAsia="Calibri"/>
          <w:b/>
          <w:bCs/>
          <w:noProof/>
          <w:color w:val="4C4747"/>
          <w:lang w:val="es-419"/>
        </w:rPr>
      </w:pPr>
      <w:r w:rsidRPr="006F425F">
        <w:rPr>
          <w:rFonts w:eastAsia="Calibri"/>
          <w:b/>
          <w:bCs/>
          <w:noProof/>
          <w:color w:val="4C4747"/>
          <w:lang w:val="es-419"/>
        </w:rPr>
        <w:t>Modelo Marco Común de Evaluación</w:t>
      </w:r>
      <w:r w:rsidR="006F425F">
        <w:rPr>
          <w:rFonts w:eastAsia="Calibri"/>
          <w:b/>
          <w:bCs/>
          <w:noProof/>
          <w:color w:val="4C4747"/>
          <w:lang w:val="es-419"/>
        </w:rPr>
        <w:t>:</w:t>
      </w:r>
    </w:p>
    <w:p w14:paraId="7082D168"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Como parte del proceso de mejora continua en las instituciones gubernamentales, el Ministerio de Administración Pública, como órgano rector, ha establecido estrategias para la implementación de la calidad en el sector público, dentro de las cuales se encuentra el compromiso de aplicación del Marco Común de Evaluación (CAF) contenido en el Decreto 211-10.   </w:t>
      </w:r>
    </w:p>
    <w:p w14:paraId="65A86A7B"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 </w:t>
      </w:r>
    </w:p>
    <w:p w14:paraId="0909D983" w14:textId="77777777" w:rsidR="0000128B" w:rsidRPr="0000128B" w:rsidRDefault="0000128B" w:rsidP="00886F32">
      <w:pPr>
        <w:spacing w:after="0" w:line="360" w:lineRule="auto"/>
        <w:ind w:left="720"/>
        <w:jc w:val="both"/>
        <w:rPr>
          <w:rFonts w:eastAsia="Calibri"/>
          <w:noProof/>
          <w:color w:val="4C4747"/>
          <w:lang w:val="es-419"/>
        </w:rPr>
      </w:pPr>
      <w:r w:rsidRPr="0000128B">
        <w:rPr>
          <w:rFonts w:eastAsia="Calibri"/>
          <w:noProof/>
          <w:color w:val="4C4747"/>
          <w:lang w:val="es-419"/>
        </w:rPr>
        <w:t xml:space="preserve">El Ministerio de la Presidencia, acogiendo lo indicado por el órgano rector, apoyando su sistema de gestión integrado y comprometido con la satisfacción de las necesidades de sus grupos de interés, realizó el proceso de autoevaluación con base en este modelo, el cual fue sometido al MAP para su validación y aprobación.   </w:t>
      </w:r>
    </w:p>
    <w:p w14:paraId="781367F4" w14:textId="77777777" w:rsidR="00535822" w:rsidRPr="0000128B" w:rsidRDefault="00535822" w:rsidP="00886F32">
      <w:pPr>
        <w:spacing w:after="0" w:line="360" w:lineRule="auto"/>
        <w:ind w:left="720"/>
        <w:jc w:val="both"/>
        <w:rPr>
          <w:rFonts w:eastAsia="Calibri"/>
          <w:noProof/>
          <w:color w:val="4C4747"/>
          <w:lang w:val="es-419"/>
        </w:rPr>
      </w:pPr>
    </w:p>
    <w:p w14:paraId="5B8D5945" w14:textId="77777777" w:rsidR="00535822" w:rsidRPr="00530B1E" w:rsidRDefault="00535822" w:rsidP="00886F32">
      <w:pPr>
        <w:pStyle w:val="ListParagraph"/>
        <w:numPr>
          <w:ilvl w:val="2"/>
          <w:numId w:val="96"/>
        </w:numPr>
        <w:spacing w:after="0" w:line="360" w:lineRule="auto"/>
        <w:ind w:left="720" w:firstLine="90"/>
        <w:jc w:val="both"/>
        <w:rPr>
          <w:rFonts w:eastAsia="Calibri"/>
          <w:b/>
          <w:bCs/>
          <w:noProof/>
          <w:color w:val="4C4747"/>
          <w:lang w:val="es-419"/>
        </w:rPr>
      </w:pPr>
      <w:r w:rsidRPr="00530B1E">
        <w:rPr>
          <w:rFonts w:eastAsia="Calibri"/>
          <w:b/>
          <w:bCs/>
          <w:noProof/>
          <w:color w:val="4C4747"/>
          <w:lang w:val="es-419"/>
        </w:rPr>
        <w:t>Resultados o Avances en la Implementación de las Políticas Transversales</w:t>
      </w:r>
    </w:p>
    <w:p w14:paraId="71242410" w14:textId="3E477F32" w:rsidR="00530B1E" w:rsidRPr="00530B1E" w:rsidRDefault="00530B1E" w:rsidP="00886F32">
      <w:pPr>
        <w:spacing w:after="0" w:line="360" w:lineRule="auto"/>
        <w:ind w:left="720"/>
        <w:jc w:val="both"/>
        <w:rPr>
          <w:rFonts w:eastAsia="Calibri"/>
          <w:noProof/>
          <w:color w:val="4C4747"/>
          <w:lang w:val="es-419"/>
        </w:rPr>
      </w:pPr>
      <w:r w:rsidRPr="00530B1E">
        <w:rPr>
          <w:rFonts w:eastAsia="Calibri"/>
          <w:noProof/>
          <w:color w:val="4C4747"/>
          <w:lang w:val="es-419"/>
        </w:rPr>
        <w:t xml:space="preserve">El Ministerio de la Presidencia, como miembro rector (junto al MAP y el MEPyD) de la Evaluación del Desempeño Institucional (EDI) lanzada en 2023 y como uno de los 45 </w:t>
      </w:r>
      <w:r w:rsidRPr="00530B1E">
        <w:rPr>
          <w:rFonts w:eastAsia="Calibri"/>
          <w:noProof/>
          <w:color w:val="4C4747"/>
          <w:lang w:val="es-419"/>
        </w:rPr>
        <w:lastRenderedPageBreak/>
        <w:t xml:space="preserve">órganos y entes priorizados, se encuentra en la implementación de esta metodología, con la finalidad de promover transformaciones significativas en la gestión pública a través del monitoreo. Esta metodología contempla el monitoreo de las Políticas Transversales a la Gestión Pública establecidas en la Ley 1-12 sobre la Estrategia Nacional de Desarrollo.  </w:t>
      </w:r>
    </w:p>
    <w:p w14:paraId="128866B0" w14:textId="77777777" w:rsidR="00530B1E" w:rsidRPr="00530B1E" w:rsidRDefault="00530B1E" w:rsidP="00886F32">
      <w:pPr>
        <w:spacing w:after="0" w:line="360" w:lineRule="auto"/>
        <w:ind w:left="720"/>
        <w:jc w:val="both"/>
        <w:rPr>
          <w:rFonts w:eastAsia="Calibri"/>
          <w:noProof/>
          <w:color w:val="4C4747"/>
          <w:lang w:val="es-419"/>
        </w:rPr>
      </w:pPr>
    </w:p>
    <w:p w14:paraId="15D81E92" w14:textId="77777777" w:rsidR="00530B1E" w:rsidRPr="00530B1E" w:rsidRDefault="00530B1E" w:rsidP="00886F32">
      <w:pPr>
        <w:spacing w:after="0" w:line="360" w:lineRule="auto"/>
        <w:ind w:left="720"/>
        <w:jc w:val="both"/>
        <w:rPr>
          <w:rFonts w:eastAsia="Calibri"/>
          <w:noProof/>
          <w:color w:val="4C4747"/>
          <w:lang w:val="es-419"/>
        </w:rPr>
      </w:pPr>
      <w:r w:rsidRPr="00530B1E">
        <w:rPr>
          <w:rFonts w:eastAsia="Calibri"/>
          <w:noProof/>
          <w:color w:val="4C4747"/>
          <w:lang w:val="es-419"/>
        </w:rPr>
        <w:t xml:space="preserve">Las Políticas Transversales abarcan los temas de Enfoque de Género, Cohesión Territorial, Sostenibilidad Ambiental, Gestión de Riesgos, Participación Social y Derechos Humanos los cuales deben estar integradas en los planes, programas, proyectos y políticas públicas que se deriven del Plan Nacional Plurianual del Sector Público y del Programa de Gobierno. Los indicadores que monitorean la implementación de estas políticas han sido modificados para la gestión 2025 por los distintos órganos rectores.  </w:t>
      </w:r>
    </w:p>
    <w:p w14:paraId="1F197619" w14:textId="77777777" w:rsidR="00530B1E" w:rsidRPr="00530B1E" w:rsidRDefault="00530B1E" w:rsidP="00886F32">
      <w:pPr>
        <w:spacing w:after="0" w:line="360" w:lineRule="auto"/>
        <w:ind w:left="720"/>
        <w:jc w:val="both"/>
        <w:rPr>
          <w:rFonts w:eastAsia="Calibri"/>
          <w:noProof/>
          <w:color w:val="4C4747"/>
          <w:lang w:val="es-419"/>
        </w:rPr>
      </w:pPr>
    </w:p>
    <w:p w14:paraId="2ED45342" w14:textId="77777777" w:rsidR="00530B1E" w:rsidRPr="00530B1E" w:rsidRDefault="00530B1E" w:rsidP="00886F32">
      <w:pPr>
        <w:spacing w:after="0" w:line="360" w:lineRule="auto"/>
        <w:ind w:left="720"/>
        <w:jc w:val="both"/>
        <w:rPr>
          <w:rFonts w:eastAsia="Calibri"/>
          <w:noProof/>
          <w:color w:val="4C4747"/>
          <w:lang w:val="es-419"/>
        </w:rPr>
      </w:pPr>
      <w:r w:rsidRPr="00530B1E">
        <w:rPr>
          <w:rFonts w:eastAsia="Calibri"/>
          <w:noProof/>
          <w:color w:val="4C4747"/>
          <w:lang w:val="es-419"/>
        </w:rPr>
        <w:t xml:space="preserve">Durante el año 2025, la Dirección de Planificación y Desarrollo ha participado en los talleres de presentación de los nuevos requisitos a ser medidos para el 2025. Asimismo, ha gestionado la habilitación de las evidencias validadas en 2024 y ha trabajado en la generación y compilación de evidencias de cumplimiento de los requisitos 2025. </w:t>
      </w:r>
    </w:p>
    <w:p w14:paraId="19655AD9" w14:textId="5043F89A" w:rsidR="00535822" w:rsidRDefault="00530B1E" w:rsidP="00886F32">
      <w:pPr>
        <w:spacing w:after="0" w:line="360" w:lineRule="auto"/>
        <w:ind w:left="720"/>
        <w:jc w:val="both"/>
        <w:rPr>
          <w:rFonts w:eastAsia="Calibri"/>
          <w:noProof/>
          <w:color w:val="4C4747"/>
          <w:lang w:val="es-419"/>
        </w:rPr>
      </w:pPr>
      <w:r w:rsidRPr="00530B1E">
        <w:rPr>
          <w:rFonts w:eastAsia="Calibri"/>
          <w:noProof/>
          <w:color w:val="4C4747"/>
          <w:lang w:val="es-419"/>
        </w:rPr>
        <w:t>Al cierre del 2025 el valor del Indicador de Políticas transversales dentro del Índice de Desempeño Institucional (IDI), El Ministerio de la Presidencia fue de 9</w:t>
      </w:r>
      <w:r w:rsidR="00D03859">
        <w:rPr>
          <w:rFonts w:eastAsia="Calibri"/>
          <w:noProof/>
          <w:color w:val="4C4747"/>
          <w:lang w:val="es-419"/>
        </w:rPr>
        <w:t>7.06</w:t>
      </w:r>
      <w:r w:rsidRPr="00530B1E">
        <w:rPr>
          <w:rFonts w:eastAsia="Calibri"/>
          <w:noProof/>
          <w:color w:val="4C4747"/>
          <w:lang w:val="es-419"/>
        </w:rPr>
        <w:t>%. </w:t>
      </w:r>
    </w:p>
    <w:p w14:paraId="07128ABF" w14:textId="77777777" w:rsidR="00D03859" w:rsidRPr="00530B1E" w:rsidRDefault="00D03859" w:rsidP="00886F32">
      <w:pPr>
        <w:spacing w:after="0" w:line="360" w:lineRule="auto"/>
        <w:ind w:left="720"/>
        <w:jc w:val="both"/>
        <w:rPr>
          <w:rFonts w:eastAsia="Calibri"/>
          <w:noProof/>
          <w:color w:val="4C4747"/>
          <w:lang w:val="es-DO"/>
        </w:rPr>
      </w:pPr>
    </w:p>
    <w:p w14:paraId="605B02CF" w14:textId="77777777" w:rsidR="00535822" w:rsidRPr="00FA2F66" w:rsidRDefault="00535822" w:rsidP="00886F32">
      <w:pPr>
        <w:pStyle w:val="ListParagraph"/>
        <w:numPr>
          <w:ilvl w:val="2"/>
          <w:numId w:val="96"/>
        </w:numPr>
        <w:spacing w:after="0" w:line="360" w:lineRule="auto"/>
        <w:ind w:left="720" w:firstLine="90"/>
        <w:jc w:val="both"/>
        <w:rPr>
          <w:rFonts w:eastAsia="Calibri"/>
          <w:b/>
          <w:bCs/>
          <w:noProof/>
          <w:color w:val="4C4747"/>
          <w:lang w:val="es-419"/>
        </w:rPr>
      </w:pPr>
      <w:r w:rsidRPr="00FA2F66">
        <w:rPr>
          <w:rFonts w:eastAsia="Calibri"/>
          <w:b/>
          <w:bCs/>
          <w:noProof/>
          <w:color w:val="4C4747"/>
          <w:lang w:val="es-419"/>
        </w:rPr>
        <w:t>Resultados o Avances en la Implementación de la Evaluación de Desempeño Institucional</w:t>
      </w:r>
    </w:p>
    <w:p w14:paraId="3ABFDF0F" w14:textId="77777777" w:rsidR="00286800" w:rsidRPr="00286800" w:rsidRDefault="00286800" w:rsidP="00886F32">
      <w:pPr>
        <w:spacing w:after="0" w:line="360" w:lineRule="auto"/>
        <w:ind w:left="720"/>
        <w:jc w:val="both"/>
        <w:rPr>
          <w:rFonts w:eastAsia="Calibri"/>
          <w:noProof/>
          <w:color w:val="4C4747"/>
          <w:lang w:val="es-419"/>
        </w:rPr>
      </w:pPr>
      <w:r w:rsidRPr="00286800">
        <w:rPr>
          <w:rFonts w:eastAsia="Calibri"/>
          <w:noProof/>
          <w:color w:val="4C4747"/>
          <w:lang w:val="es-419"/>
        </w:rPr>
        <w:t xml:space="preserve">El Ministerio de la Presidencia, como miembro rector (junto al MAP y el MEPyD) de la nueva Evolución del Desempeño </w:t>
      </w:r>
      <w:r w:rsidRPr="00286800">
        <w:rPr>
          <w:rFonts w:eastAsia="Calibri"/>
          <w:noProof/>
          <w:color w:val="4C4747"/>
          <w:lang w:val="es-419"/>
        </w:rPr>
        <w:lastRenderedPageBreak/>
        <w:t xml:space="preserve">Institucional (EDI) y como uno de los 45 órganos y entes priorizados en el piloto, se encuentra en la implementación de esta metodología, con la finalidad de promover transformaciones significativas en la gestión pública a través del monitoreo. Esta nueva metodología se compone de:  </w:t>
      </w:r>
    </w:p>
    <w:p w14:paraId="6DDD22F4" w14:textId="77777777" w:rsidR="00286800" w:rsidRPr="00286800" w:rsidRDefault="00286800" w:rsidP="00886F32">
      <w:pPr>
        <w:spacing w:after="0" w:line="360" w:lineRule="auto"/>
        <w:ind w:left="720"/>
        <w:jc w:val="both"/>
        <w:rPr>
          <w:rFonts w:eastAsia="Calibri"/>
          <w:noProof/>
          <w:color w:val="4C4747"/>
          <w:lang w:val="es-419"/>
        </w:rPr>
      </w:pPr>
    </w:p>
    <w:p w14:paraId="5792E90B" w14:textId="77777777" w:rsidR="00286800" w:rsidRPr="00286800" w:rsidRDefault="00286800" w:rsidP="00886F32">
      <w:pPr>
        <w:spacing w:after="0" w:line="360" w:lineRule="auto"/>
        <w:ind w:left="720"/>
        <w:jc w:val="both"/>
        <w:rPr>
          <w:rFonts w:eastAsia="Calibri"/>
          <w:noProof/>
          <w:color w:val="4C4747"/>
          <w:lang w:val="es-419"/>
        </w:rPr>
      </w:pPr>
      <w:r w:rsidRPr="00286800">
        <w:rPr>
          <w:rFonts w:eastAsia="Calibri"/>
          <w:b/>
          <w:bCs/>
          <w:noProof/>
          <w:color w:val="4C4747"/>
          <w:lang w:val="es-419"/>
        </w:rPr>
        <w:t>Indicadores de Gestión Interna y Fortalecimiento Institucional</w:t>
      </w:r>
      <w:r w:rsidRPr="00286800">
        <w:rPr>
          <w:rFonts w:eastAsia="Calibri"/>
          <w:noProof/>
          <w:color w:val="4C4747"/>
          <w:lang w:val="es-419"/>
        </w:rPr>
        <w:t xml:space="preserve">, que abordan la medición de la evolución de los procesos administrativos y la calidad en la gestión que ejecutan y desarrollan las instituciones públicas tanto a nivel general como de sus programas sustantivos;   </w:t>
      </w:r>
    </w:p>
    <w:p w14:paraId="243EBDD2" w14:textId="77777777" w:rsidR="003E27C5" w:rsidRDefault="003E27C5" w:rsidP="00886F32">
      <w:pPr>
        <w:spacing w:after="0" w:line="360" w:lineRule="auto"/>
        <w:ind w:left="720"/>
        <w:jc w:val="both"/>
        <w:rPr>
          <w:rFonts w:eastAsia="Calibri"/>
          <w:b/>
          <w:bCs/>
          <w:noProof/>
          <w:color w:val="4C4747"/>
          <w:lang w:val="es-419"/>
        </w:rPr>
      </w:pPr>
    </w:p>
    <w:p w14:paraId="28215AF7" w14:textId="24C7D767" w:rsidR="00286800" w:rsidRPr="00286800" w:rsidRDefault="00286800" w:rsidP="0064754E">
      <w:pPr>
        <w:spacing w:after="0" w:line="360" w:lineRule="auto"/>
        <w:ind w:left="720"/>
        <w:jc w:val="both"/>
        <w:rPr>
          <w:rFonts w:eastAsia="Calibri"/>
          <w:noProof/>
          <w:color w:val="4C4747"/>
          <w:lang w:val="es-419"/>
        </w:rPr>
      </w:pPr>
      <w:r w:rsidRPr="00286800">
        <w:rPr>
          <w:rFonts w:eastAsia="Calibri"/>
          <w:b/>
          <w:bCs/>
          <w:noProof/>
          <w:color w:val="4C4747"/>
          <w:lang w:val="es-419"/>
        </w:rPr>
        <w:t>Indicadores que se orientan a consolidar las estructuras institucionales para poder operativizar</w:t>
      </w:r>
      <w:r w:rsidRPr="00286800">
        <w:rPr>
          <w:rFonts w:eastAsia="Calibri"/>
          <w:noProof/>
          <w:color w:val="4C4747"/>
          <w:lang w:val="es-419"/>
        </w:rPr>
        <w:t>, a lo interno de los entes y órganos, la incorporación de las políticas transversales previstas en la Estrategia Nacional de Desarrollo, en los planes, programas, proyectos y políticas públicas bajo su rectoría;</w:t>
      </w:r>
      <w:r w:rsidR="0064754E">
        <w:rPr>
          <w:rFonts w:eastAsia="Calibri"/>
          <w:noProof/>
          <w:color w:val="4C4747"/>
          <w:lang w:val="es-419"/>
        </w:rPr>
        <w:t xml:space="preserve"> </w:t>
      </w:r>
      <w:r w:rsidRPr="00286800">
        <w:rPr>
          <w:rFonts w:eastAsia="Calibri"/>
          <w:noProof/>
          <w:color w:val="4C4747"/>
          <w:lang w:val="es-419"/>
        </w:rPr>
        <w:t xml:space="preserve">Indicadores de Planificación Estratégica y Orientación a Resultados, que monitorean los efectos en el conjunto de la administración pública y/o en la ciudadanía.  </w:t>
      </w:r>
    </w:p>
    <w:p w14:paraId="22AB76D8" w14:textId="6DE843A8" w:rsidR="00286800" w:rsidRPr="00286800" w:rsidRDefault="00286800" w:rsidP="00886F32">
      <w:pPr>
        <w:spacing w:after="0" w:line="360" w:lineRule="auto"/>
        <w:ind w:left="720"/>
        <w:jc w:val="both"/>
        <w:rPr>
          <w:rFonts w:eastAsia="Calibri"/>
          <w:noProof/>
          <w:color w:val="4C4747"/>
          <w:lang w:val="es-419"/>
        </w:rPr>
      </w:pPr>
      <w:r w:rsidRPr="00286800">
        <w:rPr>
          <w:rFonts w:eastAsia="Calibri"/>
          <w:noProof/>
          <w:color w:val="4C4747"/>
          <w:lang w:val="es-419"/>
        </w:rPr>
        <w:t xml:space="preserve">Durante el año 2025, desde el Ministerio del Presidencia se realizó las acciones necesarias para lograr la meta anual al segundo corte semestral, en donde alcanzamos una puntuación de </w:t>
      </w:r>
      <w:r>
        <w:rPr>
          <w:rFonts w:eastAsia="Calibri"/>
          <w:noProof/>
          <w:color w:val="4C4747"/>
          <w:lang w:val="es-419"/>
        </w:rPr>
        <w:t>90.00</w:t>
      </w:r>
      <w:r w:rsidRPr="00286800">
        <w:rPr>
          <w:rFonts w:eastAsia="Calibri"/>
          <w:noProof/>
          <w:color w:val="4C4747"/>
          <w:lang w:val="es-419"/>
        </w:rPr>
        <w:t>%</w:t>
      </w:r>
      <w:r w:rsidR="00BB1030">
        <w:rPr>
          <w:rFonts w:eastAsia="Calibri"/>
          <w:noProof/>
          <w:color w:val="4C4747"/>
          <w:lang w:val="es-419"/>
        </w:rPr>
        <w:t>.</w:t>
      </w:r>
    </w:p>
    <w:p w14:paraId="59A08C77" w14:textId="77777777" w:rsidR="00535822" w:rsidRPr="00286800" w:rsidRDefault="00535822" w:rsidP="00886F32">
      <w:pPr>
        <w:spacing w:after="0" w:line="360" w:lineRule="auto"/>
        <w:ind w:left="720"/>
        <w:jc w:val="both"/>
        <w:rPr>
          <w:rFonts w:eastAsia="Calibri"/>
          <w:noProof/>
          <w:color w:val="4C4747"/>
          <w:lang w:val="es-419"/>
        </w:rPr>
      </w:pPr>
    </w:p>
    <w:p w14:paraId="7F39A8BD" w14:textId="77777777" w:rsidR="00535822" w:rsidRPr="00A807D2" w:rsidRDefault="00535822" w:rsidP="00886F32">
      <w:pPr>
        <w:pStyle w:val="ListParagraph"/>
        <w:numPr>
          <w:ilvl w:val="2"/>
          <w:numId w:val="96"/>
        </w:numPr>
        <w:spacing w:after="0" w:line="360" w:lineRule="auto"/>
        <w:ind w:left="720" w:firstLine="90"/>
        <w:jc w:val="both"/>
        <w:rPr>
          <w:rFonts w:eastAsia="Calibri"/>
          <w:b/>
          <w:bCs/>
          <w:noProof/>
          <w:color w:val="4C4747"/>
          <w:lang w:val="es-419"/>
        </w:rPr>
      </w:pPr>
      <w:r w:rsidRPr="00A807D2">
        <w:rPr>
          <w:rFonts w:eastAsia="Calibri"/>
          <w:b/>
          <w:bCs/>
          <w:noProof/>
          <w:color w:val="4C4747"/>
          <w:lang w:val="es-419"/>
        </w:rPr>
        <w:t>Plan Operativo Anual</w:t>
      </w:r>
    </w:p>
    <w:p w14:paraId="620B4FFF" w14:textId="77777777" w:rsidR="00535822" w:rsidRPr="00535822" w:rsidRDefault="00535822" w:rsidP="00886F32">
      <w:pPr>
        <w:spacing w:after="0" w:line="360" w:lineRule="auto"/>
        <w:ind w:left="720"/>
        <w:jc w:val="both"/>
        <w:rPr>
          <w:rFonts w:eastAsia="Calibri"/>
          <w:noProof/>
          <w:color w:val="4C4747"/>
          <w:lang w:val="es-419"/>
        </w:rPr>
      </w:pPr>
      <w:r w:rsidRPr="00535822">
        <w:rPr>
          <w:rFonts w:eastAsia="Calibri"/>
          <w:noProof/>
          <w:color w:val="4C4747"/>
          <w:lang w:val="es-419"/>
        </w:rPr>
        <w:t xml:space="preserve">Es el documento oficial donde se plasman las actividades que va a realizar la institución durante el año, colocando las metas a alcanzar. Este instrumento nos marca el punto de partida y nos permite de manera trimestral medir el comportamiento en </w:t>
      </w:r>
      <w:r w:rsidRPr="00535822">
        <w:rPr>
          <w:rFonts w:eastAsia="Calibri"/>
          <w:noProof/>
          <w:color w:val="4C4747"/>
          <w:lang w:val="es-419"/>
        </w:rPr>
        <w:lastRenderedPageBreak/>
        <w:t>el avance de la institución ayudando esto a obtener un óptimo rendimiento institucional.</w:t>
      </w:r>
    </w:p>
    <w:p w14:paraId="58DAD2FD" w14:textId="09224809" w:rsidR="00535822" w:rsidRPr="00535822" w:rsidRDefault="00535822" w:rsidP="00886F32">
      <w:pPr>
        <w:spacing w:after="0" w:line="360" w:lineRule="auto"/>
        <w:ind w:left="720"/>
        <w:jc w:val="both"/>
        <w:rPr>
          <w:rFonts w:eastAsia="Calibri"/>
          <w:noProof/>
          <w:color w:val="4C4747"/>
          <w:lang w:val="es-419"/>
        </w:rPr>
      </w:pPr>
      <w:r w:rsidRPr="00535822">
        <w:rPr>
          <w:rFonts w:eastAsia="Calibri"/>
          <w:noProof/>
          <w:color w:val="4C4747"/>
          <w:lang w:val="es-419"/>
        </w:rPr>
        <w:t>Durante este 202</w:t>
      </w:r>
      <w:r w:rsidR="00A807D2">
        <w:rPr>
          <w:rFonts w:eastAsia="Calibri"/>
          <w:noProof/>
          <w:color w:val="4C4747"/>
          <w:lang w:val="es-419"/>
        </w:rPr>
        <w:t>5</w:t>
      </w:r>
      <w:r w:rsidRPr="00535822">
        <w:rPr>
          <w:rFonts w:eastAsia="Calibri"/>
          <w:noProof/>
          <w:color w:val="4C4747"/>
          <w:lang w:val="es-419"/>
        </w:rPr>
        <w:t xml:space="preserve"> hemos alcanzado un cumplimiento de dicho plan de un 9</w:t>
      </w:r>
      <w:r w:rsidR="00604F17">
        <w:rPr>
          <w:rFonts w:eastAsia="Calibri"/>
          <w:noProof/>
          <w:color w:val="4C4747"/>
          <w:lang w:val="es-419"/>
        </w:rPr>
        <w:t>7</w:t>
      </w:r>
      <w:r w:rsidRPr="00535822">
        <w:rPr>
          <w:rFonts w:eastAsia="Calibri"/>
          <w:noProof/>
          <w:color w:val="4C4747"/>
          <w:lang w:val="es-419"/>
        </w:rPr>
        <w:t>%. Con esto podemos decir que durante este período hemos logrado cumplir con el mayor porcentaje de las actividades pautadas y que seguimos trabajando para la mejora continua de nuestra institución.</w:t>
      </w:r>
    </w:p>
    <w:p w14:paraId="5DDD104C" w14:textId="366C4896" w:rsidR="00535822" w:rsidRPr="00535822" w:rsidRDefault="00535822" w:rsidP="00886F32">
      <w:pPr>
        <w:spacing w:after="0" w:line="360" w:lineRule="auto"/>
        <w:ind w:left="720"/>
        <w:jc w:val="both"/>
        <w:rPr>
          <w:rFonts w:eastAsia="Calibri"/>
          <w:noProof/>
          <w:color w:val="4C4747"/>
          <w:lang w:val="es-419"/>
        </w:rPr>
      </w:pPr>
      <w:r w:rsidRPr="00535822">
        <w:rPr>
          <w:rFonts w:eastAsia="Calibri"/>
          <w:noProof/>
          <w:color w:val="4C4747"/>
          <w:lang w:val="es-419"/>
        </w:rPr>
        <w:t>En la gráfica siguiente se muestra el comportamiento por área durante el 202</w:t>
      </w:r>
      <w:r w:rsidR="00604F17">
        <w:rPr>
          <w:rFonts w:eastAsia="Calibri"/>
          <w:noProof/>
          <w:color w:val="4C4747"/>
          <w:lang w:val="es-419"/>
        </w:rPr>
        <w:t>5</w:t>
      </w:r>
      <w:r w:rsidRPr="00535822">
        <w:rPr>
          <w:rFonts w:eastAsia="Calibri"/>
          <w:noProof/>
          <w:color w:val="4C4747"/>
          <w:lang w:val="es-419"/>
        </w:rPr>
        <w:t>:</w:t>
      </w:r>
    </w:p>
    <w:p w14:paraId="04C70C07" w14:textId="77777777" w:rsidR="00535822" w:rsidRPr="00C8219D" w:rsidRDefault="00535822" w:rsidP="00886F32">
      <w:pPr>
        <w:spacing w:after="0" w:line="360" w:lineRule="auto"/>
        <w:ind w:left="720"/>
        <w:jc w:val="both"/>
        <w:rPr>
          <w:rFonts w:eastAsia="Times New Roman"/>
          <w:lang w:val="es-ES"/>
        </w:rPr>
      </w:pPr>
    </w:p>
    <w:p w14:paraId="632528E8" w14:textId="19822B07" w:rsidR="00535822" w:rsidRPr="00C8219D" w:rsidRDefault="003A21E8" w:rsidP="00886F32">
      <w:pPr>
        <w:spacing w:after="0" w:line="360" w:lineRule="auto"/>
        <w:ind w:left="720"/>
        <w:jc w:val="center"/>
        <w:rPr>
          <w:rFonts w:eastAsia="Times New Roman"/>
          <w:lang w:val="es-ES"/>
        </w:rPr>
      </w:pPr>
      <w:r w:rsidRPr="003A21E8">
        <w:rPr>
          <w:rFonts w:eastAsia="Times New Roman"/>
          <w:noProof/>
          <w:lang w:val="es-ES"/>
        </w:rPr>
        <w:drawing>
          <wp:inline distT="0" distB="0" distL="0" distR="0" wp14:anchorId="31B964DD" wp14:editId="0BB52D88">
            <wp:extent cx="4507255" cy="3520440"/>
            <wp:effectExtent l="0" t="0" r="7620" b="3810"/>
            <wp:docPr id="1836801948" name="Picture 1836801948" descr="A graph of the percentag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48" name="Picture 1836801948" descr="A graph of the percentage of a person&#10;&#10;Description automatically generated with medium confidence"/>
                    <pic:cNvPicPr/>
                  </pic:nvPicPr>
                  <pic:blipFill>
                    <a:blip r:embed="rId49"/>
                    <a:stretch>
                      <a:fillRect/>
                    </a:stretch>
                  </pic:blipFill>
                  <pic:spPr>
                    <a:xfrm>
                      <a:off x="0" y="0"/>
                      <a:ext cx="4520974" cy="3531155"/>
                    </a:xfrm>
                    <a:prstGeom prst="rect">
                      <a:avLst/>
                    </a:prstGeom>
                  </pic:spPr>
                </pic:pic>
              </a:graphicData>
            </a:graphic>
          </wp:inline>
        </w:drawing>
      </w:r>
    </w:p>
    <w:p w14:paraId="239F273F" w14:textId="7E23CC0A" w:rsidR="00535822" w:rsidRPr="004C3C71" w:rsidRDefault="00535822" w:rsidP="00886F32">
      <w:pPr>
        <w:spacing w:after="0" w:line="360" w:lineRule="auto"/>
        <w:ind w:left="720"/>
        <w:jc w:val="center"/>
        <w:rPr>
          <w:rFonts w:eastAsia="Calibri"/>
          <w:i/>
          <w:iCs/>
          <w:noProof/>
          <w:color w:val="4C4747"/>
          <w:lang w:val="es-419"/>
        </w:rPr>
      </w:pPr>
      <w:r w:rsidRPr="004C3C71">
        <w:rPr>
          <w:rFonts w:eastAsia="Calibri"/>
          <w:i/>
          <w:iCs/>
          <w:noProof/>
          <w:color w:val="4C4747"/>
          <w:lang w:val="es-419"/>
        </w:rPr>
        <w:t xml:space="preserve">Gráfico </w:t>
      </w:r>
      <w:r w:rsidR="004C3C71" w:rsidRPr="004C3C71">
        <w:rPr>
          <w:rFonts w:eastAsia="Calibri"/>
          <w:i/>
          <w:iCs/>
          <w:noProof/>
          <w:color w:val="4C4747"/>
          <w:lang w:val="es-419"/>
        </w:rPr>
        <w:t>12</w:t>
      </w:r>
      <w:r w:rsidRPr="004C3C71">
        <w:rPr>
          <w:rFonts w:eastAsia="Calibri"/>
          <w:i/>
          <w:iCs/>
          <w:noProof/>
          <w:color w:val="4C4747"/>
          <w:lang w:val="es-419"/>
        </w:rPr>
        <w:t>: Comportamiento POA Primer Trimestre</w:t>
      </w:r>
    </w:p>
    <w:p w14:paraId="2BB162FF" w14:textId="4239EEE3" w:rsidR="00535822" w:rsidRPr="00535822" w:rsidRDefault="004D4086" w:rsidP="00886F32">
      <w:pPr>
        <w:spacing w:after="0" w:line="360" w:lineRule="auto"/>
        <w:ind w:left="720"/>
        <w:jc w:val="center"/>
        <w:rPr>
          <w:rFonts w:eastAsia="Calibri"/>
          <w:noProof/>
          <w:color w:val="4C4747"/>
          <w:lang w:val="es-419"/>
        </w:rPr>
      </w:pPr>
      <w:r w:rsidRPr="002D4C23">
        <w:rPr>
          <w:noProof/>
          <w:shd w:val="clear" w:color="auto" w:fill="1F3864" w:themeFill="accent1" w:themeFillShade="80"/>
        </w:rPr>
        <w:lastRenderedPageBreak/>
        <w:drawing>
          <wp:inline distT="0" distB="0" distL="0" distR="0" wp14:anchorId="723BF65C" wp14:editId="2B17E3B9">
            <wp:extent cx="4411980" cy="3101340"/>
            <wp:effectExtent l="0" t="0" r="7620" b="3810"/>
            <wp:docPr id="1836801951" name="Chart 1836801951">
              <a:extLst xmlns:a="http://schemas.openxmlformats.org/drawingml/2006/main">
                <a:ext uri="{FF2B5EF4-FFF2-40B4-BE49-F238E27FC236}">
                  <a16:creationId xmlns:a16="http://schemas.microsoft.com/office/drawing/2014/main" id="{BE9B7C6C-6D2C-474A-B3AA-B8372DC3A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F16E53F" w14:textId="06FA0890" w:rsidR="00535822" w:rsidRPr="004C3C71" w:rsidRDefault="00535822" w:rsidP="00886F32">
      <w:pPr>
        <w:spacing w:after="0" w:line="360" w:lineRule="auto"/>
        <w:ind w:left="720"/>
        <w:jc w:val="center"/>
        <w:rPr>
          <w:rFonts w:eastAsia="Calibri"/>
          <w:i/>
          <w:iCs/>
          <w:noProof/>
          <w:color w:val="4C4747"/>
          <w:lang w:val="es-419"/>
        </w:rPr>
      </w:pPr>
      <w:r w:rsidRPr="004C3C71">
        <w:rPr>
          <w:rFonts w:eastAsia="Calibri"/>
          <w:i/>
          <w:iCs/>
          <w:noProof/>
          <w:color w:val="4C4747"/>
          <w:lang w:val="es-419"/>
        </w:rPr>
        <w:t xml:space="preserve">Gráfico </w:t>
      </w:r>
      <w:r w:rsidR="004C3C71" w:rsidRPr="004C3C71">
        <w:rPr>
          <w:rFonts w:eastAsia="Calibri"/>
          <w:i/>
          <w:iCs/>
          <w:noProof/>
          <w:color w:val="4C4747"/>
          <w:lang w:val="es-419"/>
        </w:rPr>
        <w:t>13</w:t>
      </w:r>
      <w:r w:rsidRPr="004C3C71">
        <w:rPr>
          <w:rFonts w:eastAsia="Calibri"/>
          <w:i/>
          <w:iCs/>
          <w:noProof/>
          <w:color w:val="4C4747"/>
          <w:lang w:val="es-419"/>
        </w:rPr>
        <w:t>: Comportamiento POA Segundo Trimestre</w:t>
      </w:r>
    </w:p>
    <w:p w14:paraId="5C65858A" w14:textId="77777777" w:rsidR="00535822" w:rsidRPr="00535822" w:rsidRDefault="00535822" w:rsidP="00886F32">
      <w:pPr>
        <w:spacing w:after="0" w:line="360" w:lineRule="auto"/>
        <w:ind w:left="720"/>
        <w:jc w:val="both"/>
        <w:rPr>
          <w:rFonts w:eastAsia="Calibri"/>
          <w:noProof/>
          <w:color w:val="4C4747"/>
          <w:lang w:val="es-419"/>
        </w:rPr>
      </w:pPr>
    </w:p>
    <w:p w14:paraId="3DC0EF73" w14:textId="6F48E768" w:rsidR="00535822" w:rsidRPr="00535822" w:rsidRDefault="00FB6C70" w:rsidP="00886F32">
      <w:pPr>
        <w:spacing w:after="0" w:line="360" w:lineRule="auto"/>
        <w:ind w:left="720"/>
        <w:jc w:val="center"/>
        <w:rPr>
          <w:rFonts w:eastAsia="Calibri"/>
          <w:noProof/>
          <w:color w:val="4C4747"/>
          <w:lang w:val="es-419"/>
        </w:rPr>
      </w:pPr>
      <w:r>
        <w:rPr>
          <w:noProof/>
        </w:rPr>
        <w:drawing>
          <wp:inline distT="0" distB="0" distL="0" distR="0" wp14:anchorId="5AE2621D" wp14:editId="566F3DA9">
            <wp:extent cx="4488180" cy="3002280"/>
            <wp:effectExtent l="0" t="0" r="7620" b="7620"/>
            <wp:docPr id="1836801952" name="Chart 1836801952">
              <a:extLst xmlns:a="http://schemas.openxmlformats.org/drawingml/2006/main">
                <a:ext uri="{FF2B5EF4-FFF2-40B4-BE49-F238E27FC236}">
                  <a16:creationId xmlns:a16="http://schemas.microsoft.com/office/drawing/2014/main" id="{CD5A0F05-42FD-43EB-89CD-8C267A05E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DAEF355" w14:textId="7FA44E11" w:rsidR="00535822" w:rsidRPr="004C3C71" w:rsidRDefault="00535822" w:rsidP="00886F32">
      <w:pPr>
        <w:spacing w:after="0" w:line="360" w:lineRule="auto"/>
        <w:ind w:left="720"/>
        <w:jc w:val="center"/>
        <w:rPr>
          <w:rFonts w:eastAsia="Calibri"/>
          <w:i/>
          <w:iCs/>
          <w:noProof/>
          <w:color w:val="4C4747"/>
          <w:lang w:val="es-419"/>
        </w:rPr>
      </w:pPr>
      <w:r w:rsidRPr="004C3C71">
        <w:rPr>
          <w:rFonts w:eastAsia="Calibri"/>
          <w:i/>
          <w:iCs/>
          <w:noProof/>
          <w:color w:val="4C4747"/>
          <w:lang w:val="es-419"/>
        </w:rPr>
        <w:t xml:space="preserve">Gráfico </w:t>
      </w:r>
      <w:r w:rsidR="004C3C71" w:rsidRPr="004C3C71">
        <w:rPr>
          <w:rFonts w:eastAsia="Calibri"/>
          <w:i/>
          <w:iCs/>
          <w:noProof/>
          <w:color w:val="4C4747"/>
          <w:lang w:val="es-419"/>
        </w:rPr>
        <w:t>14</w:t>
      </w:r>
      <w:r w:rsidRPr="004C3C71">
        <w:rPr>
          <w:rFonts w:eastAsia="Calibri"/>
          <w:i/>
          <w:iCs/>
          <w:noProof/>
          <w:color w:val="4C4747"/>
          <w:lang w:val="es-419"/>
        </w:rPr>
        <w:t>: Comportamiento POA Tercer Trimestre</w:t>
      </w:r>
    </w:p>
    <w:p w14:paraId="16E4F4C7" w14:textId="77777777" w:rsidR="00E030E0" w:rsidRPr="00535822" w:rsidRDefault="00E030E0" w:rsidP="00886F32">
      <w:pPr>
        <w:spacing w:after="0" w:line="360" w:lineRule="auto"/>
        <w:ind w:left="720"/>
        <w:jc w:val="center"/>
        <w:rPr>
          <w:rFonts w:eastAsia="Calibri"/>
          <w:noProof/>
          <w:color w:val="4C4747"/>
          <w:lang w:val="es-419"/>
        </w:rPr>
      </w:pPr>
    </w:p>
    <w:p w14:paraId="2BB9D494" w14:textId="458F9003" w:rsidR="00535822" w:rsidRPr="00535822" w:rsidRDefault="005C1F44" w:rsidP="00886F32">
      <w:pPr>
        <w:spacing w:after="0" w:line="360" w:lineRule="auto"/>
        <w:ind w:left="720"/>
        <w:jc w:val="center"/>
        <w:rPr>
          <w:rFonts w:eastAsia="Calibri"/>
          <w:noProof/>
          <w:color w:val="4C4747"/>
          <w:lang w:val="es-419"/>
        </w:rPr>
      </w:pPr>
      <w:r>
        <w:rPr>
          <w:noProof/>
        </w:rPr>
        <w:lastRenderedPageBreak/>
        <w:drawing>
          <wp:inline distT="0" distB="0" distL="0" distR="0" wp14:anchorId="2F94998F" wp14:editId="13718DA1">
            <wp:extent cx="4229100" cy="2522220"/>
            <wp:effectExtent l="0" t="0" r="0" b="11430"/>
            <wp:docPr id="1836801960" name="Chart 1836801960">
              <a:extLst xmlns:a="http://schemas.openxmlformats.org/drawingml/2006/main">
                <a:ext uri="{FF2B5EF4-FFF2-40B4-BE49-F238E27FC236}">
                  <a16:creationId xmlns:a16="http://schemas.microsoft.com/office/drawing/2014/main" id="{FAF712EF-6887-4371-B9CE-4774059DC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31CFD4C" w14:textId="759F1AE0" w:rsidR="00535822" w:rsidRPr="004C3C71" w:rsidRDefault="00535822" w:rsidP="00886F32">
      <w:pPr>
        <w:spacing w:after="0" w:line="360" w:lineRule="auto"/>
        <w:ind w:left="720"/>
        <w:jc w:val="center"/>
        <w:rPr>
          <w:rFonts w:eastAsia="Calibri"/>
          <w:i/>
          <w:iCs/>
          <w:noProof/>
          <w:color w:val="4C4747"/>
          <w:lang w:val="es-419"/>
        </w:rPr>
      </w:pPr>
      <w:r w:rsidRPr="004C3C71">
        <w:rPr>
          <w:rFonts w:eastAsia="Calibri"/>
          <w:i/>
          <w:iCs/>
          <w:noProof/>
          <w:color w:val="4C4747"/>
          <w:lang w:val="es-419"/>
        </w:rPr>
        <w:t>Gráfico 1</w:t>
      </w:r>
      <w:r w:rsidR="004C3C71" w:rsidRPr="004C3C71">
        <w:rPr>
          <w:rFonts w:eastAsia="Calibri"/>
          <w:i/>
          <w:iCs/>
          <w:noProof/>
          <w:color w:val="4C4747"/>
          <w:lang w:val="es-419"/>
        </w:rPr>
        <w:t>5</w:t>
      </w:r>
      <w:r w:rsidRPr="004C3C71">
        <w:rPr>
          <w:rFonts w:eastAsia="Calibri"/>
          <w:i/>
          <w:iCs/>
          <w:noProof/>
          <w:color w:val="4C4747"/>
          <w:lang w:val="es-419"/>
        </w:rPr>
        <w:t>: Comportamiento POA Cuarto Trimestre</w:t>
      </w:r>
    </w:p>
    <w:p w14:paraId="7B60E47B" w14:textId="69565C5B" w:rsidR="003C644E" w:rsidRDefault="003C644E" w:rsidP="00886F32">
      <w:pPr>
        <w:spacing w:after="0" w:line="360" w:lineRule="auto"/>
        <w:ind w:left="720"/>
        <w:jc w:val="center"/>
        <w:rPr>
          <w:rFonts w:eastAsia="Calibri"/>
          <w:noProof/>
          <w:color w:val="4C4747"/>
          <w:lang w:val="es-419"/>
        </w:rPr>
      </w:pPr>
    </w:p>
    <w:p w14:paraId="0F60183C" w14:textId="0D9935CF" w:rsidR="003C644E" w:rsidRDefault="000C002B" w:rsidP="00886F32">
      <w:pPr>
        <w:pStyle w:val="ListParagraph"/>
        <w:numPr>
          <w:ilvl w:val="1"/>
          <w:numId w:val="96"/>
        </w:numPr>
        <w:spacing w:after="0" w:line="360" w:lineRule="auto"/>
        <w:ind w:left="720"/>
        <w:jc w:val="center"/>
        <w:outlineLvl w:val="1"/>
        <w:rPr>
          <w:b/>
          <w:bCs/>
        </w:rPr>
      </w:pPr>
      <w:bookmarkStart w:id="130" w:name="_Toc185843638"/>
      <w:r>
        <w:rPr>
          <w:b/>
          <w:bCs/>
        </w:rPr>
        <w:t xml:space="preserve"> </w:t>
      </w:r>
      <w:bookmarkStart w:id="131" w:name="_Toc217382623"/>
      <w:r w:rsidR="003C644E" w:rsidRPr="003A2485">
        <w:rPr>
          <w:rFonts w:eastAsia="Calibri"/>
          <w:b/>
          <w:bCs/>
          <w:noProof/>
          <w:color w:val="4C4747"/>
          <w:lang w:val="es-419"/>
        </w:rPr>
        <w:t>Desempeño del Área de Comunicaciones</w:t>
      </w:r>
      <w:bookmarkEnd w:id="130"/>
      <w:bookmarkEnd w:id="131"/>
    </w:p>
    <w:p w14:paraId="42B78ABA" w14:textId="3777A6FA" w:rsidR="003A2485" w:rsidRP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Durante el año 2025, la Dirección de Comunicaciones del Ministerio de la Presidencia continuó con el desarrollo de la labor estratégica de fortalecer la visibilidad, transparencia y efectividad de la gestión de gobierno por medio a la comunicación integral.</w:t>
      </w:r>
    </w:p>
    <w:p w14:paraId="6195CA6B" w14:textId="77777777" w:rsidR="00225975" w:rsidRDefault="00225975" w:rsidP="00886F32">
      <w:pPr>
        <w:spacing w:after="0" w:line="360" w:lineRule="auto"/>
        <w:ind w:left="720"/>
        <w:jc w:val="both"/>
        <w:rPr>
          <w:rFonts w:eastAsia="Calibri"/>
          <w:noProof/>
          <w:color w:val="4C4747"/>
          <w:lang w:val="es-419"/>
        </w:rPr>
      </w:pPr>
    </w:p>
    <w:p w14:paraId="1651D245" w14:textId="19B576A8" w:rsidR="003A2485" w:rsidRP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La Dirección de Comunicaciones consolidó su rol como ente articulador de los mensajes institucionales, fortaleciendo la narrativa coherente y la presencia del Ministerio en medios de comunicación, plataformas digitales y gestión de supervisión de obras del Estado. Asimismo, se impulsaron procesos de innovación, tecnología y desarrollo que contribuyeron al fortalecimiento de la gobernanza pública.</w:t>
      </w:r>
    </w:p>
    <w:p w14:paraId="2CC6DF90" w14:textId="77777777" w:rsidR="00225975" w:rsidRDefault="00225975" w:rsidP="00886F32">
      <w:pPr>
        <w:spacing w:after="0" w:line="360" w:lineRule="auto"/>
        <w:ind w:left="720"/>
        <w:jc w:val="both"/>
        <w:rPr>
          <w:rFonts w:eastAsia="Calibri"/>
          <w:noProof/>
          <w:color w:val="4C4747"/>
          <w:lang w:val="es-419"/>
        </w:rPr>
      </w:pPr>
    </w:p>
    <w:p w14:paraId="5BFC6C98" w14:textId="4A835E56" w:rsid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 xml:space="preserve">La presente memoria recoge los avances más relevantes alcanzados durante el periodo, así como el impacto generado por las acciones de comunicación corporativa —externa, </w:t>
      </w:r>
      <w:r w:rsidRPr="003A2485">
        <w:rPr>
          <w:rFonts w:eastAsia="Calibri"/>
          <w:noProof/>
          <w:color w:val="4C4747"/>
          <w:lang w:val="es-419"/>
        </w:rPr>
        <w:lastRenderedPageBreak/>
        <w:t>digital, institucional, interinstitucional y de relacionamiento mediático— ejecutadas durante el año.</w:t>
      </w:r>
    </w:p>
    <w:p w14:paraId="6A60E880" w14:textId="77777777" w:rsidR="00225975" w:rsidRPr="003A2485" w:rsidRDefault="00225975" w:rsidP="00886F32">
      <w:pPr>
        <w:spacing w:after="0" w:line="360" w:lineRule="auto"/>
        <w:ind w:left="720"/>
        <w:jc w:val="both"/>
        <w:rPr>
          <w:rFonts w:eastAsia="Calibri"/>
          <w:noProof/>
          <w:color w:val="4C4747"/>
          <w:lang w:val="es-419"/>
        </w:rPr>
      </w:pPr>
    </w:p>
    <w:p w14:paraId="6DED0E5D"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r w:rsidRPr="003A2485">
        <w:rPr>
          <w:rFonts w:eastAsia="Calibri"/>
          <w:noProof/>
          <w:color w:val="4C4747"/>
          <w:spacing w:val="20"/>
          <w:lang w:val="es-419" w:eastAsia="en-US"/>
        </w:rPr>
        <w:t>La Dirección de Comunicaciones ha basado su trabajo en un enfoque integral, que combina:</w:t>
      </w:r>
    </w:p>
    <w:p w14:paraId="3A4D0670" w14:textId="77777777" w:rsidR="003A2485" w:rsidRPr="003A2485" w:rsidRDefault="003A2485" w:rsidP="00886F32">
      <w:pPr>
        <w:pStyle w:val="NormalWeb"/>
        <w:numPr>
          <w:ilvl w:val="0"/>
          <w:numId w:val="51"/>
        </w:numPr>
        <w:spacing w:before="0" w:beforeAutospacing="0" w:after="0" w:afterAutospacing="0" w:line="360" w:lineRule="auto"/>
        <w:jc w:val="both"/>
        <w:rPr>
          <w:rFonts w:eastAsia="Calibri"/>
          <w:noProof/>
          <w:color w:val="4C4747"/>
          <w:spacing w:val="20"/>
          <w:lang w:val="es-419" w:eastAsia="en-US"/>
        </w:rPr>
      </w:pPr>
      <w:r w:rsidRPr="003A2485">
        <w:rPr>
          <w:rFonts w:eastAsia="Calibri"/>
          <w:b/>
          <w:bCs/>
          <w:noProof/>
          <w:color w:val="4C4747"/>
          <w:spacing w:val="20"/>
          <w:lang w:val="es-419" w:eastAsia="en-US"/>
        </w:rPr>
        <w:t>Comunicación estratégica:</w:t>
      </w:r>
      <w:r w:rsidRPr="003A2485">
        <w:rPr>
          <w:rFonts w:eastAsia="Calibri"/>
          <w:noProof/>
          <w:color w:val="4C4747"/>
          <w:spacing w:val="20"/>
          <w:lang w:val="es-419" w:eastAsia="en-US"/>
        </w:rPr>
        <w:t xml:space="preserve"> diseño de mensajes y posicionamiento institucional.</w:t>
      </w:r>
    </w:p>
    <w:p w14:paraId="37FCCBE2" w14:textId="77777777" w:rsidR="003A2485" w:rsidRPr="003A2485" w:rsidRDefault="003A2485" w:rsidP="00886F32">
      <w:pPr>
        <w:pStyle w:val="NormalWeb"/>
        <w:numPr>
          <w:ilvl w:val="0"/>
          <w:numId w:val="51"/>
        </w:numPr>
        <w:spacing w:before="0" w:beforeAutospacing="0" w:after="0" w:afterAutospacing="0" w:line="360" w:lineRule="auto"/>
        <w:jc w:val="both"/>
        <w:rPr>
          <w:rFonts w:eastAsia="Calibri"/>
          <w:noProof/>
          <w:color w:val="4C4747"/>
          <w:spacing w:val="20"/>
          <w:lang w:val="es-419" w:eastAsia="en-US"/>
        </w:rPr>
      </w:pPr>
      <w:r w:rsidRPr="003A2485">
        <w:rPr>
          <w:rFonts w:eastAsia="Calibri"/>
          <w:b/>
          <w:bCs/>
          <w:noProof/>
          <w:color w:val="4C4747"/>
          <w:spacing w:val="20"/>
          <w:lang w:val="es-419" w:eastAsia="en-US"/>
        </w:rPr>
        <w:t>Comunicación digital:</w:t>
      </w:r>
      <w:r w:rsidRPr="003A2485">
        <w:rPr>
          <w:rFonts w:eastAsia="Calibri"/>
          <w:noProof/>
          <w:color w:val="4C4747"/>
          <w:spacing w:val="20"/>
          <w:lang w:val="es-419" w:eastAsia="en-US"/>
        </w:rPr>
        <w:t xml:space="preserve"> fortalecimiento de presencia en plataformas digitales con identidad uniforme.</w:t>
      </w:r>
    </w:p>
    <w:p w14:paraId="782664BB" w14:textId="77777777" w:rsidR="003A2485" w:rsidRPr="003A2485" w:rsidRDefault="003A2485" w:rsidP="00886F32">
      <w:pPr>
        <w:pStyle w:val="NormalWeb"/>
        <w:numPr>
          <w:ilvl w:val="0"/>
          <w:numId w:val="51"/>
        </w:numPr>
        <w:spacing w:before="0" w:beforeAutospacing="0" w:after="0" w:afterAutospacing="0" w:line="360" w:lineRule="auto"/>
        <w:jc w:val="both"/>
        <w:rPr>
          <w:rFonts w:eastAsia="Calibri"/>
          <w:noProof/>
          <w:color w:val="4C4747"/>
          <w:spacing w:val="20"/>
          <w:lang w:val="es-419" w:eastAsia="en-US"/>
        </w:rPr>
      </w:pPr>
      <w:r w:rsidRPr="003A2485">
        <w:rPr>
          <w:rFonts w:eastAsia="Calibri"/>
          <w:b/>
          <w:bCs/>
          <w:noProof/>
          <w:color w:val="4C4747"/>
          <w:spacing w:val="20"/>
          <w:lang w:val="es-419" w:eastAsia="en-US"/>
        </w:rPr>
        <w:t>Comunicación interinstitucional:</w:t>
      </w:r>
      <w:r w:rsidRPr="003A2485">
        <w:rPr>
          <w:rFonts w:eastAsia="Calibri"/>
          <w:noProof/>
          <w:color w:val="4C4747"/>
          <w:spacing w:val="20"/>
          <w:lang w:val="es-419" w:eastAsia="en-US"/>
        </w:rPr>
        <w:t xml:space="preserve"> articulación y coherencia entre las entidades vinculadas al MINPRE.</w:t>
      </w:r>
    </w:p>
    <w:p w14:paraId="73F34CA5" w14:textId="77777777" w:rsidR="003A2485" w:rsidRPr="003A2485" w:rsidRDefault="003A2485" w:rsidP="00886F32">
      <w:pPr>
        <w:pStyle w:val="NormalWeb"/>
        <w:numPr>
          <w:ilvl w:val="0"/>
          <w:numId w:val="51"/>
        </w:numPr>
        <w:spacing w:before="0" w:beforeAutospacing="0" w:after="0" w:afterAutospacing="0" w:line="360" w:lineRule="auto"/>
        <w:jc w:val="both"/>
        <w:rPr>
          <w:rFonts w:eastAsia="Calibri"/>
          <w:noProof/>
          <w:color w:val="4C4747"/>
          <w:spacing w:val="20"/>
          <w:lang w:val="es-419" w:eastAsia="en-US"/>
        </w:rPr>
      </w:pPr>
      <w:r w:rsidRPr="003A2485">
        <w:rPr>
          <w:rFonts w:eastAsia="Calibri"/>
          <w:b/>
          <w:bCs/>
          <w:noProof/>
          <w:color w:val="4C4747"/>
          <w:spacing w:val="20"/>
          <w:lang w:val="es-419" w:eastAsia="en-US"/>
        </w:rPr>
        <w:t>Gestión de medios:</w:t>
      </w:r>
      <w:r w:rsidRPr="003A2485">
        <w:rPr>
          <w:rFonts w:eastAsia="Calibri"/>
          <w:noProof/>
          <w:color w:val="4C4747"/>
          <w:spacing w:val="20"/>
          <w:lang w:val="es-419" w:eastAsia="en-US"/>
        </w:rPr>
        <w:t xml:space="preserve"> construcción de relaciones, vocería institucional y coordinación de coberturas. Encargada de producir y difundir informaciones oficiales, coordinar con medios nacionales e internacionales, elaborar notas de prensa, gestionar entrevistas y apoyar la agenda del ministro de la Presidencia.</w:t>
      </w:r>
    </w:p>
    <w:p w14:paraId="57D059BD" w14:textId="77777777" w:rsidR="003A2485" w:rsidRPr="003A2485" w:rsidRDefault="003A2485" w:rsidP="00886F32">
      <w:pPr>
        <w:pStyle w:val="NormalWeb"/>
        <w:numPr>
          <w:ilvl w:val="0"/>
          <w:numId w:val="51"/>
        </w:numPr>
        <w:spacing w:before="0" w:beforeAutospacing="0" w:after="0" w:afterAutospacing="0" w:line="360" w:lineRule="auto"/>
        <w:jc w:val="both"/>
        <w:rPr>
          <w:rFonts w:eastAsia="Calibri"/>
          <w:noProof/>
          <w:color w:val="4C4747"/>
          <w:spacing w:val="20"/>
          <w:lang w:val="es-419" w:eastAsia="en-US"/>
        </w:rPr>
      </w:pPr>
      <w:r w:rsidRPr="003A2485">
        <w:rPr>
          <w:rFonts w:eastAsia="Calibri"/>
          <w:b/>
          <w:bCs/>
          <w:noProof/>
          <w:color w:val="4C4747"/>
          <w:spacing w:val="20"/>
          <w:lang w:val="es-419" w:eastAsia="en-US"/>
        </w:rPr>
        <w:t>Gestión de crisis:</w:t>
      </w:r>
      <w:r w:rsidRPr="003A2485">
        <w:rPr>
          <w:rFonts w:eastAsia="Calibri"/>
          <w:noProof/>
          <w:color w:val="4C4747"/>
          <w:spacing w:val="20"/>
          <w:lang w:val="es-419" w:eastAsia="en-US"/>
        </w:rPr>
        <w:t xml:space="preserve"> lineamientos y respuestas rápidas ante situaciones de alto interés público.</w:t>
      </w:r>
    </w:p>
    <w:p w14:paraId="6F0F94FA" w14:textId="77777777" w:rsidR="003A2485" w:rsidRPr="003A2485" w:rsidRDefault="003A2485" w:rsidP="00886F32">
      <w:pPr>
        <w:pStyle w:val="NormalWeb"/>
        <w:numPr>
          <w:ilvl w:val="0"/>
          <w:numId w:val="51"/>
        </w:numPr>
        <w:spacing w:before="0" w:beforeAutospacing="0" w:after="0" w:afterAutospacing="0" w:line="360" w:lineRule="auto"/>
        <w:jc w:val="both"/>
        <w:rPr>
          <w:rFonts w:eastAsia="Calibri"/>
          <w:noProof/>
          <w:color w:val="4C4747"/>
          <w:spacing w:val="20"/>
          <w:lang w:val="es-419" w:eastAsia="en-US"/>
        </w:rPr>
      </w:pPr>
      <w:r w:rsidRPr="003A2485">
        <w:rPr>
          <w:rFonts w:eastAsia="Calibri"/>
          <w:b/>
          <w:bCs/>
          <w:noProof/>
          <w:color w:val="4C4747"/>
          <w:spacing w:val="20"/>
          <w:lang w:val="es-419" w:eastAsia="en-US"/>
        </w:rPr>
        <w:t>Comunicación interna:</w:t>
      </w:r>
      <w:r w:rsidRPr="003A2485">
        <w:rPr>
          <w:rFonts w:eastAsia="Calibri"/>
          <w:noProof/>
          <w:color w:val="4C4747"/>
          <w:spacing w:val="20"/>
          <w:lang w:val="es-419" w:eastAsia="en-US"/>
        </w:rPr>
        <w:t xml:space="preserve"> apoyo a la cultura organizacional y fortalecimiento de canales internos por medio al Boletín Conecta, con publicación periódica que refuerza la información que recibe el público interno del MINPRE.</w:t>
      </w:r>
    </w:p>
    <w:p w14:paraId="43D33B8C" w14:textId="77777777" w:rsid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r w:rsidRPr="003A2485">
        <w:rPr>
          <w:rFonts w:eastAsia="Calibri"/>
          <w:noProof/>
          <w:color w:val="4C4747"/>
          <w:spacing w:val="20"/>
          <w:lang w:val="es-419" w:eastAsia="en-US"/>
        </w:rPr>
        <w:t>Este enfoque ha permitido consolidar una línea de comunicación institucional uniforme, posicionada y alineada con la visión estratégica del Gobierno dominicano.</w:t>
      </w:r>
    </w:p>
    <w:p w14:paraId="42F2E68E" w14:textId="315846A4" w:rsidR="00EC7165" w:rsidRPr="003A2485" w:rsidRDefault="00EC7165" w:rsidP="00886F32">
      <w:pPr>
        <w:pStyle w:val="NormalWeb"/>
        <w:spacing w:before="0" w:beforeAutospacing="0" w:after="0" w:afterAutospacing="0" w:line="360" w:lineRule="auto"/>
        <w:ind w:left="720"/>
        <w:jc w:val="both"/>
        <w:rPr>
          <w:rFonts w:eastAsia="Calibri"/>
          <w:noProof/>
          <w:color w:val="4C4747"/>
          <w:spacing w:val="20"/>
          <w:lang w:val="es-419" w:eastAsia="en-US"/>
        </w:rPr>
      </w:pPr>
      <w:r>
        <w:rPr>
          <w:rFonts w:eastAsia="Calibri"/>
          <w:noProof/>
          <w:color w:val="4C4747"/>
          <w:spacing w:val="20"/>
          <w:lang w:val="es-419" w:eastAsia="en-US"/>
        </w:rPr>
        <w:t>Durnte el período 2025 hemos logrado:</w:t>
      </w:r>
    </w:p>
    <w:p w14:paraId="25456C96" w14:textId="77777777" w:rsidR="003A2485" w:rsidRPr="003A2485" w:rsidRDefault="003A2485" w:rsidP="00886F32">
      <w:pPr>
        <w:numPr>
          <w:ilvl w:val="0"/>
          <w:numId w:val="35"/>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Integración de nuevas responsabilidades comunicacionales tras la fusión con áreas del antiguo MEPyD, fortaleciendo la capacidad operativa del departamento.</w:t>
      </w:r>
    </w:p>
    <w:p w14:paraId="736384A4" w14:textId="77777777" w:rsidR="003A2485" w:rsidRPr="003A2485" w:rsidRDefault="003A2485" w:rsidP="00886F32">
      <w:pPr>
        <w:numPr>
          <w:ilvl w:val="0"/>
          <w:numId w:val="35"/>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lastRenderedPageBreak/>
        <w:t>Expansión del volumen de trabajo y ampliación del sistema de coordinación interinstitucional.</w:t>
      </w:r>
    </w:p>
    <w:p w14:paraId="4BE472BA" w14:textId="77777777" w:rsidR="003A2485" w:rsidRPr="003A2485" w:rsidRDefault="003A2485" w:rsidP="00886F32">
      <w:pPr>
        <w:numPr>
          <w:ilvl w:val="0"/>
          <w:numId w:val="35"/>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Mejoras en la sistematización de procesos para alimentar oportunamente los requerimientos de la Dirección de Planificación y Desarrollo.</w:t>
      </w:r>
    </w:p>
    <w:p w14:paraId="161219D2" w14:textId="54FDAAFA" w:rsidR="003A2485" w:rsidRPr="003A2485" w:rsidRDefault="007450F6" w:rsidP="00886F32">
      <w:pPr>
        <w:spacing w:after="0" w:line="360" w:lineRule="auto"/>
        <w:ind w:left="720"/>
        <w:rPr>
          <w:rFonts w:eastAsia="Calibri"/>
          <w:noProof/>
          <w:color w:val="4C4747"/>
          <w:lang w:val="es-419"/>
        </w:rPr>
      </w:pPr>
      <w:r>
        <w:rPr>
          <w:rFonts w:eastAsia="Calibri"/>
          <w:noProof/>
          <w:color w:val="4C4747"/>
          <w:lang w:val="es-419"/>
        </w:rPr>
        <w:t>En el f</w:t>
      </w:r>
      <w:r w:rsidR="003A2485" w:rsidRPr="003A2485">
        <w:rPr>
          <w:rFonts w:eastAsia="Calibri"/>
          <w:noProof/>
          <w:color w:val="4C4747"/>
          <w:lang w:val="es-419"/>
        </w:rPr>
        <w:t>ortalecimiento de la comunicación estratégica</w:t>
      </w:r>
      <w:r>
        <w:rPr>
          <w:rFonts w:eastAsia="Calibri"/>
          <w:noProof/>
          <w:color w:val="4C4747"/>
          <w:lang w:val="es-419"/>
        </w:rPr>
        <w:t>:</w:t>
      </w:r>
    </w:p>
    <w:p w14:paraId="4F75555F" w14:textId="77777777" w:rsidR="003A2485" w:rsidRPr="003A2485" w:rsidRDefault="003A2485" w:rsidP="00886F32">
      <w:pPr>
        <w:numPr>
          <w:ilvl w:val="0"/>
          <w:numId w:val="36"/>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Consolidación de un modelo de trabajo transversal entre las áreas.</w:t>
      </w:r>
    </w:p>
    <w:p w14:paraId="7189790B" w14:textId="77777777" w:rsidR="007450F6" w:rsidRDefault="003A2485" w:rsidP="00886F32">
      <w:pPr>
        <w:numPr>
          <w:ilvl w:val="0"/>
          <w:numId w:val="36"/>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Mayor presencia mediática del Ministerio a través de narrativas alineadas a los ejes de comunicación priorizados.</w:t>
      </w:r>
    </w:p>
    <w:p w14:paraId="6594DAB2" w14:textId="7025B479" w:rsidR="003A2485" w:rsidRPr="007450F6" w:rsidRDefault="003A2485" w:rsidP="00886F32">
      <w:pPr>
        <w:numPr>
          <w:ilvl w:val="0"/>
          <w:numId w:val="36"/>
        </w:numPr>
        <w:tabs>
          <w:tab w:val="clear" w:pos="720"/>
          <w:tab w:val="num" w:pos="360"/>
        </w:tabs>
        <w:spacing w:after="0" w:line="360" w:lineRule="auto"/>
        <w:jc w:val="both"/>
        <w:rPr>
          <w:rFonts w:eastAsia="Calibri"/>
          <w:noProof/>
          <w:color w:val="4C4747"/>
          <w:lang w:val="es-419"/>
        </w:rPr>
      </w:pPr>
      <w:r w:rsidRPr="007450F6">
        <w:rPr>
          <w:rFonts w:eastAsia="Calibri"/>
          <w:noProof/>
          <w:color w:val="4C4747"/>
          <w:lang w:val="es-419"/>
        </w:rPr>
        <w:t xml:space="preserve">Mejor articulación de mensajes institucionales, dando prioridad a las agendas de trabajo de los viceministerios que sirven de brazos ejecutorios de la gestión de gobierno. </w:t>
      </w:r>
    </w:p>
    <w:p w14:paraId="1A96C731" w14:textId="4200EE97" w:rsidR="003A2485" w:rsidRPr="003A2485" w:rsidRDefault="003A2485" w:rsidP="00886F32">
      <w:pPr>
        <w:spacing w:after="0" w:line="360" w:lineRule="auto"/>
        <w:ind w:left="720"/>
        <w:rPr>
          <w:rFonts w:eastAsia="Calibri"/>
          <w:noProof/>
          <w:color w:val="4C4747"/>
          <w:lang w:val="es-419"/>
        </w:rPr>
      </w:pPr>
      <w:r w:rsidRPr="003A2485">
        <w:rPr>
          <w:rFonts w:eastAsia="Calibri"/>
          <w:noProof/>
          <w:color w:val="4C4747"/>
          <w:lang w:val="es-419"/>
        </w:rPr>
        <w:t>Aumento en la producción y difusión de contenido</w:t>
      </w:r>
      <w:r w:rsidR="007450F6">
        <w:rPr>
          <w:rFonts w:eastAsia="Calibri"/>
          <w:noProof/>
          <w:color w:val="4C4747"/>
          <w:lang w:val="es-419"/>
        </w:rPr>
        <w:t>:</w:t>
      </w:r>
    </w:p>
    <w:p w14:paraId="25646530" w14:textId="77777777" w:rsidR="003A2485" w:rsidRPr="003A2485" w:rsidRDefault="003A2485" w:rsidP="00886F32">
      <w:pPr>
        <w:numPr>
          <w:ilvl w:val="0"/>
          <w:numId w:val="37"/>
        </w:numPr>
        <w:spacing w:after="0" w:line="360" w:lineRule="auto"/>
        <w:jc w:val="both"/>
        <w:rPr>
          <w:rFonts w:eastAsia="Calibri"/>
          <w:noProof/>
          <w:color w:val="4C4747"/>
          <w:lang w:val="es-419"/>
        </w:rPr>
      </w:pPr>
      <w:r w:rsidRPr="003A2485">
        <w:rPr>
          <w:rFonts w:eastAsia="Calibri"/>
          <w:noProof/>
          <w:color w:val="4C4747"/>
          <w:lang w:val="es-419"/>
        </w:rPr>
        <w:t>Producción histórica de 126 notas de prensa difundidas entre enero y noviembre del 2025.</w:t>
      </w:r>
    </w:p>
    <w:p w14:paraId="178AB9BB" w14:textId="77777777" w:rsidR="003A2485" w:rsidRPr="003A2485" w:rsidRDefault="003A2485" w:rsidP="00886F32">
      <w:pPr>
        <w:numPr>
          <w:ilvl w:val="0"/>
          <w:numId w:val="37"/>
        </w:numPr>
        <w:spacing w:after="0" w:line="360" w:lineRule="auto"/>
        <w:jc w:val="both"/>
        <w:rPr>
          <w:rFonts w:eastAsia="Calibri"/>
          <w:noProof/>
          <w:color w:val="4C4747"/>
          <w:lang w:val="es-419"/>
        </w:rPr>
      </w:pPr>
      <w:r w:rsidRPr="003A2485">
        <w:rPr>
          <w:rFonts w:eastAsia="Calibri"/>
          <w:noProof/>
          <w:color w:val="4C4747"/>
          <w:lang w:val="es-419"/>
        </w:rPr>
        <w:t>Construcción de un archivo audiovisual robusto para documentar logros y actividades del MINPRE.</w:t>
      </w:r>
    </w:p>
    <w:p w14:paraId="400405DD" w14:textId="77777777" w:rsidR="003A2485" w:rsidRDefault="003A2485" w:rsidP="00886F32">
      <w:pPr>
        <w:numPr>
          <w:ilvl w:val="0"/>
          <w:numId w:val="37"/>
        </w:numPr>
        <w:spacing w:after="0" w:line="360" w:lineRule="auto"/>
        <w:jc w:val="both"/>
        <w:rPr>
          <w:rFonts w:eastAsia="Calibri"/>
          <w:noProof/>
          <w:color w:val="4C4747"/>
          <w:lang w:val="es-419"/>
        </w:rPr>
      </w:pPr>
      <w:r w:rsidRPr="003A2485">
        <w:rPr>
          <w:rFonts w:eastAsia="Calibri"/>
          <w:noProof/>
          <w:color w:val="4C4747"/>
          <w:lang w:val="es-419"/>
        </w:rPr>
        <w:t>Fortalecimiento de la producción de contenido especializado en temas de Cooperación Internacional, Reordenamiento Territorial y Asociaciones sin Fines de Lucro, así como también avances en ejecución de proyectos.</w:t>
      </w:r>
    </w:p>
    <w:p w14:paraId="40D9FE0A" w14:textId="77777777" w:rsidR="00225975" w:rsidRPr="003A2485" w:rsidRDefault="00225975" w:rsidP="00225975">
      <w:pPr>
        <w:spacing w:after="0" w:line="360" w:lineRule="auto"/>
        <w:ind w:left="720"/>
        <w:jc w:val="both"/>
        <w:rPr>
          <w:rFonts w:eastAsia="Calibri"/>
          <w:noProof/>
          <w:color w:val="4C4747"/>
          <w:lang w:val="es-419"/>
        </w:rPr>
      </w:pPr>
    </w:p>
    <w:p w14:paraId="6CC343A8" w14:textId="5BE73DA3" w:rsidR="003A2485" w:rsidRPr="007450F6" w:rsidRDefault="003A2485" w:rsidP="00225975">
      <w:pPr>
        <w:pStyle w:val="ListParagraph"/>
        <w:numPr>
          <w:ilvl w:val="2"/>
          <w:numId w:val="96"/>
        </w:numPr>
        <w:spacing w:after="0" w:line="360" w:lineRule="auto"/>
        <w:ind w:left="1350"/>
        <w:rPr>
          <w:rFonts w:eastAsia="Calibri"/>
          <w:b/>
          <w:bCs/>
          <w:noProof/>
          <w:color w:val="4C4747"/>
          <w:lang w:val="es-419"/>
        </w:rPr>
      </w:pPr>
      <w:r w:rsidRPr="007450F6">
        <w:rPr>
          <w:rFonts w:eastAsia="Calibri"/>
          <w:b/>
          <w:bCs/>
          <w:noProof/>
          <w:color w:val="4C4747"/>
          <w:lang w:val="es-419"/>
        </w:rPr>
        <w:t>Área de Medios y Prensa</w:t>
      </w:r>
    </w:p>
    <w:p w14:paraId="1A0769B6" w14:textId="77777777" w:rsid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Durante el año 2025, el área produjo, coordinó y difundió 126 notas de prensa, garantizando una cobertura amplia de los principales anuncios, proyectos, obras y actividades lideradas por el Ministro de la Presidencia.</w:t>
      </w:r>
    </w:p>
    <w:p w14:paraId="536EB20F" w14:textId="77777777" w:rsidR="00225975" w:rsidRPr="003A2485" w:rsidRDefault="00225975" w:rsidP="00886F32">
      <w:pPr>
        <w:spacing w:after="0" w:line="360" w:lineRule="auto"/>
        <w:ind w:left="720"/>
        <w:jc w:val="both"/>
        <w:rPr>
          <w:rFonts w:eastAsia="Calibri"/>
          <w:noProof/>
          <w:color w:val="4C4747"/>
          <w:lang w:val="es-419"/>
        </w:rPr>
      </w:pPr>
    </w:p>
    <w:p w14:paraId="296F3154" w14:textId="77777777" w:rsid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A continuación, se presenta el detalle mensual:</w:t>
      </w:r>
    </w:p>
    <w:p w14:paraId="37081AC5" w14:textId="77777777" w:rsidR="00225975" w:rsidRPr="003A2485" w:rsidRDefault="00225975" w:rsidP="00886F32">
      <w:pPr>
        <w:spacing w:after="0" w:line="360" w:lineRule="auto"/>
        <w:ind w:left="720"/>
        <w:jc w:val="both"/>
        <w:rPr>
          <w:rFonts w:eastAsia="Calibri"/>
          <w:noProof/>
          <w:color w:val="4C4747"/>
          <w:lang w:val="es-419"/>
        </w:rPr>
      </w:pPr>
    </w:p>
    <w:p w14:paraId="54C5A6DC" w14:textId="735A3F26" w:rsidR="006A5634" w:rsidRPr="006A5634" w:rsidRDefault="006A5634" w:rsidP="00886F32">
      <w:pPr>
        <w:spacing w:after="0" w:line="360" w:lineRule="auto"/>
        <w:ind w:left="720"/>
        <w:jc w:val="center"/>
        <w:rPr>
          <w:rFonts w:eastAsia="Calibri"/>
          <w:b/>
          <w:bCs/>
          <w:noProof/>
          <w:color w:val="4C4747"/>
          <w:lang w:val="es-419"/>
        </w:rPr>
      </w:pPr>
      <w:r w:rsidRPr="003A2485">
        <w:rPr>
          <w:rFonts w:eastAsia="Calibri"/>
          <w:noProof/>
          <w:color w:val="4C4747"/>
          <w:lang w:val="es-419"/>
        </w:rPr>
        <w:lastRenderedPageBreak/>
        <w:t>Enero</w:t>
      </w:r>
      <w:r w:rsidR="003A2485" w:rsidRPr="003A2485">
        <w:rPr>
          <w:rFonts w:eastAsia="Calibri"/>
          <w:noProof/>
          <w:color w:val="4C4747"/>
          <w:lang w:val="es-419"/>
        </w:rPr>
        <w:t>:</w:t>
      </w:r>
      <w:r w:rsidRPr="006A5634">
        <w:rPr>
          <w:rFonts w:eastAsia="Calibri"/>
          <w:b/>
          <w:bCs/>
          <w:noProof/>
          <w:color w:val="4C4747"/>
          <w:lang w:val="es-419"/>
        </w:rPr>
        <w:t xml:space="preserve"> 9 NOTAS</w:t>
      </w:r>
    </w:p>
    <w:p w14:paraId="37C42BB5" w14:textId="77777777" w:rsidR="003A2485" w:rsidRPr="003A2485" w:rsidRDefault="003A2485" w:rsidP="00886F32">
      <w:pPr>
        <w:pStyle w:val="NormalWeb"/>
        <w:numPr>
          <w:ilvl w:val="0"/>
          <w:numId w:val="4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entrega 40 millones de pesos a Alcaldía de Puerto Plata para adquisición de equipos de recolección de residuos</w:t>
      </w:r>
    </w:p>
    <w:p w14:paraId="7BCD8243" w14:textId="77777777" w:rsidR="003A2485" w:rsidRPr="003A2485" w:rsidRDefault="003A2485" w:rsidP="00886F32">
      <w:pPr>
        <w:pStyle w:val="NormalWeb"/>
        <w:numPr>
          <w:ilvl w:val="0"/>
          <w:numId w:val="4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de la Presidencia, José Ignacio Paliza, encabeza inauguración de puente en Luperón y de la Casa de los Periodistas en Puerto Plata</w:t>
      </w:r>
    </w:p>
    <w:p w14:paraId="160B376F" w14:textId="77777777" w:rsidR="003A2485" w:rsidRPr="003A2485" w:rsidRDefault="003A2485" w:rsidP="00886F32">
      <w:pPr>
        <w:pStyle w:val="ListParagraph"/>
        <w:numPr>
          <w:ilvl w:val="0"/>
          <w:numId w:val="40"/>
        </w:numPr>
        <w:spacing w:after="0" w:line="360" w:lineRule="auto"/>
        <w:jc w:val="both"/>
        <w:rPr>
          <w:rFonts w:eastAsia="Calibri"/>
          <w:noProof/>
          <w:color w:val="4C4747"/>
          <w:lang w:val="es-419"/>
        </w:rPr>
      </w:pPr>
      <w:r w:rsidRPr="003A2485">
        <w:rPr>
          <w:rFonts w:eastAsia="Calibri"/>
          <w:noProof/>
          <w:color w:val="4C4747"/>
          <w:lang w:val="es-419"/>
        </w:rPr>
        <w:t>Ministros José Paliza y Joel Santos inspeccionan avances de proyectos estratégicos en Manzanillo</w:t>
      </w:r>
    </w:p>
    <w:p w14:paraId="475A50CD" w14:textId="77777777" w:rsidR="003A2485" w:rsidRPr="003A2485" w:rsidRDefault="003A2485" w:rsidP="00886F32">
      <w:pPr>
        <w:pStyle w:val="NormalWeb"/>
        <w:numPr>
          <w:ilvl w:val="0"/>
          <w:numId w:val="4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supervisa avances de proyectos clave en Santiago y Oviedo</w:t>
      </w:r>
    </w:p>
    <w:p w14:paraId="6EDA9A24" w14:textId="77777777" w:rsidR="003A2485" w:rsidRPr="003A2485" w:rsidRDefault="003A2485" w:rsidP="00886F32">
      <w:pPr>
        <w:pStyle w:val="NormalWeb"/>
        <w:numPr>
          <w:ilvl w:val="0"/>
          <w:numId w:val="4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Ministros de Presidencia y Educación impulsan estrategias para cumplir metas educativas prioritarias</w:t>
      </w:r>
    </w:p>
    <w:p w14:paraId="535856D4" w14:textId="77777777" w:rsidR="003A2485" w:rsidRPr="003A2485" w:rsidRDefault="003A2485" w:rsidP="00886F32">
      <w:pPr>
        <w:pStyle w:val="ListParagraph"/>
        <w:numPr>
          <w:ilvl w:val="0"/>
          <w:numId w:val="40"/>
        </w:numPr>
        <w:spacing w:after="0" w:line="360" w:lineRule="auto"/>
        <w:jc w:val="both"/>
        <w:rPr>
          <w:rFonts w:eastAsia="Calibri"/>
          <w:noProof/>
          <w:color w:val="4C4747"/>
          <w:lang w:val="es-419"/>
        </w:rPr>
      </w:pPr>
      <w:r w:rsidRPr="003A2485">
        <w:rPr>
          <w:rFonts w:eastAsia="Calibri"/>
          <w:noProof/>
          <w:color w:val="4C4747"/>
          <w:lang w:val="es-419"/>
        </w:rPr>
        <w:t>Ministros Paliza y Kelvin Cruz dan inicio a construcción de techados en dos clubes deportivos en Puerto Plata</w:t>
      </w:r>
    </w:p>
    <w:p w14:paraId="7F07F7AD" w14:textId="77777777" w:rsidR="003A2485" w:rsidRPr="003A2485" w:rsidRDefault="003A2485" w:rsidP="00886F32">
      <w:pPr>
        <w:pStyle w:val="ListParagraph"/>
        <w:numPr>
          <w:ilvl w:val="0"/>
          <w:numId w:val="40"/>
        </w:numPr>
        <w:spacing w:after="0" w:line="360" w:lineRule="auto"/>
        <w:jc w:val="both"/>
        <w:rPr>
          <w:rFonts w:eastAsia="Calibri"/>
          <w:noProof/>
          <w:color w:val="4C4747"/>
          <w:lang w:val="es-419"/>
        </w:rPr>
      </w:pPr>
      <w:r w:rsidRPr="003A2485">
        <w:rPr>
          <w:rFonts w:eastAsia="Calibri"/>
          <w:noProof/>
          <w:color w:val="4C4747"/>
          <w:lang w:val="es-419"/>
        </w:rPr>
        <w:t>Minpre y la DAEH reciben 120 ambulancias donadas por China; Gobierno incorporará 200 más</w:t>
      </w:r>
    </w:p>
    <w:p w14:paraId="6FB5A0EE" w14:textId="77777777" w:rsidR="003A2485" w:rsidRPr="003A2485" w:rsidRDefault="003A2485" w:rsidP="00886F32">
      <w:pPr>
        <w:pStyle w:val="ListParagraph"/>
        <w:numPr>
          <w:ilvl w:val="0"/>
          <w:numId w:val="40"/>
        </w:numPr>
        <w:spacing w:after="0" w:line="360" w:lineRule="auto"/>
        <w:jc w:val="both"/>
        <w:rPr>
          <w:rFonts w:eastAsia="Calibri"/>
          <w:noProof/>
          <w:color w:val="4C4747"/>
          <w:lang w:val="es-419"/>
        </w:rPr>
      </w:pPr>
      <w:r w:rsidRPr="003A2485">
        <w:rPr>
          <w:rFonts w:eastAsia="Calibri"/>
          <w:noProof/>
          <w:color w:val="4C4747"/>
          <w:lang w:val="es-419"/>
        </w:rPr>
        <w:t>Gobierno realiza primer Consejo de Ministros del año; pasa balance a metas priorizadas</w:t>
      </w:r>
    </w:p>
    <w:p w14:paraId="25EBB8AF" w14:textId="77777777" w:rsidR="003A2485" w:rsidRDefault="003A2485" w:rsidP="00886F32">
      <w:pPr>
        <w:pStyle w:val="ListParagraph"/>
        <w:numPr>
          <w:ilvl w:val="0"/>
          <w:numId w:val="40"/>
        </w:numPr>
        <w:spacing w:after="0" w:line="360" w:lineRule="auto"/>
        <w:jc w:val="both"/>
        <w:rPr>
          <w:rFonts w:eastAsia="Calibri"/>
          <w:noProof/>
          <w:color w:val="4C4747"/>
          <w:lang w:val="es-419"/>
        </w:rPr>
      </w:pPr>
      <w:r w:rsidRPr="003A2485">
        <w:rPr>
          <w:rFonts w:eastAsia="Calibri"/>
          <w:noProof/>
          <w:color w:val="4C4747"/>
          <w:lang w:val="es-419"/>
        </w:rPr>
        <w:t>Paliza: “nuestro compromiso con Venezuela es de principios, no de oportunidad”</w:t>
      </w:r>
    </w:p>
    <w:p w14:paraId="5A3D738C" w14:textId="77777777" w:rsidR="00225975" w:rsidRPr="003A2485" w:rsidRDefault="00225975" w:rsidP="00225975">
      <w:pPr>
        <w:pStyle w:val="ListParagraph"/>
        <w:spacing w:after="0" w:line="360" w:lineRule="auto"/>
        <w:jc w:val="both"/>
        <w:rPr>
          <w:rFonts w:eastAsia="Calibri"/>
          <w:noProof/>
          <w:color w:val="4C4747"/>
          <w:lang w:val="es-419"/>
        </w:rPr>
      </w:pPr>
    </w:p>
    <w:p w14:paraId="556BC876" w14:textId="5C89AB78" w:rsidR="003A2485" w:rsidRPr="006A5634" w:rsidRDefault="006A5634" w:rsidP="00886F32">
      <w:pPr>
        <w:spacing w:after="0" w:line="360" w:lineRule="auto"/>
        <w:ind w:left="720"/>
        <w:jc w:val="center"/>
        <w:rPr>
          <w:rFonts w:eastAsia="Calibri"/>
          <w:b/>
          <w:bCs/>
          <w:noProof/>
          <w:color w:val="4C4747"/>
          <w:lang w:val="es-419"/>
        </w:rPr>
      </w:pPr>
      <w:r w:rsidRPr="006A5634">
        <w:rPr>
          <w:rFonts w:eastAsia="Calibri"/>
          <w:b/>
          <w:bCs/>
          <w:noProof/>
          <w:color w:val="4C4747"/>
          <w:lang w:val="es-419"/>
        </w:rPr>
        <w:t>Febrero: 9 NOTAS</w:t>
      </w:r>
    </w:p>
    <w:p w14:paraId="22F63A26"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afirma honorabilidad no es un asunto de edad; exalta a héroes de la patria</w:t>
      </w:r>
    </w:p>
    <w:p w14:paraId="5B219121"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busca impulsar desarrollo de Espaillat junto a ADEPE</w:t>
      </w:r>
    </w:p>
    <w:p w14:paraId="31C98A36"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entrega memorias de gestión 2024 en el Congreso Nacional</w:t>
      </w:r>
    </w:p>
    <w:p w14:paraId="1BC810B0"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Ministro Paliza juramenta a Andrés Lugo Risk como titular de la Dirección General de Alianzas Público-Privadas</w:t>
      </w:r>
    </w:p>
    <w:p w14:paraId="6534E5F5"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juramentó a los nuevos ministros de Cultura y Trabajo</w:t>
      </w:r>
    </w:p>
    <w:p w14:paraId="3966E6C9"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supervisa avances en la modernización de la pista aérea de San Isidro</w:t>
      </w:r>
    </w:p>
    <w:p w14:paraId="3BB06D62"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MINPRE presenta proyecto Rescate Ozama a la Alcaldía de SDE</w:t>
      </w:r>
    </w:p>
    <w:p w14:paraId="7A612390"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MINPRE y ANJE acuerdan colaborar en temas clave para el desarrollo económico y social del país</w:t>
      </w:r>
    </w:p>
    <w:p w14:paraId="7B9E38C8" w14:textId="77777777" w:rsidR="003A2485" w:rsidRPr="003A2485" w:rsidRDefault="003A2485" w:rsidP="00886F32">
      <w:pPr>
        <w:pStyle w:val="NormalWeb"/>
        <w:numPr>
          <w:ilvl w:val="0"/>
          <w:numId w:val="41"/>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y Suberví supervisan saneamiento de la cañada La Ochocienta en Los Ríos</w:t>
      </w:r>
    </w:p>
    <w:p w14:paraId="7FF53907"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47F55941" w14:textId="461014D6"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Marzo: 10 NOTAS</w:t>
      </w:r>
    </w:p>
    <w:p w14:paraId="558DD5E4"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Exitosa jornada “Gobierno en las Provincias”</w:t>
      </w:r>
    </w:p>
    <w:p w14:paraId="3D536717"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activa comités sectoriales de Meta RD 2036; proyecto busca duplicar PIB</w:t>
      </w:r>
    </w:p>
    <w:p w14:paraId="43A6C056"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reafirma que no impulsará reforma fiscal ni revisión de incentivos</w:t>
      </w:r>
    </w:p>
    <w:p w14:paraId="6F2D7B0E"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realizará amplia jornada nacional este sábado; funcionarios se desplazarán a las provincias</w:t>
      </w:r>
    </w:p>
    <w:p w14:paraId="3ED6C3CB"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supervisa Presa de Monte Grande; se reúne con comunitarios</w:t>
      </w:r>
    </w:p>
    <w:p w14:paraId="50221863"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asume presidencia de Comité Organizador de Abadina; reafirma su compromiso con el deporte</w:t>
      </w:r>
    </w:p>
    <w:p w14:paraId="470E7F68"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presenta avances del Sistema 911 en Puerto Plata; entregan ambulancias, cámaras de vigilancia y equipos de rescate</w:t>
      </w:r>
    </w:p>
    <w:p w14:paraId="123A92C6"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supervisa construcción aeropuerto de San Juan; inaugura obras en el sur</w:t>
      </w:r>
    </w:p>
    <w:p w14:paraId="6C1D6F2C"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Paliza supervisa intervención del centro histórico de Santiago; avanzan trabajos del Monorriel</w:t>
      </w:r>
    </w:p>
    <w:p w14:paraId="403EE27F" w14:textId="77777777" w:rsidR="003A2485" w:rsidRPr="003A2485" w:rsidRDefault="003A2485" w:rsidP="00886F32">
      <w:pPr>
        <w:pStyle w:val="NormalWeb"/>
        <w:numPr>
          <w:ilvl w:val="0"/>
          <w:numId w:val="42"/>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y Estrella supervisan obras viales en Plaza de la Bandera e Isabel Aguiar; se realizan con recursos de Aerodom</w:t>
      </w:r>
    </w:p>
    <w:p w14:paraId="1F937F4E" w14:textId="77777777" w:rsidR="006A5634" w:rsidRDefault="006A5634"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64BD5A48" w14:textId="5089F31F"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Abril: 5 NOTAS</w:t>
      </w:r>
    </w:p>
    <w:p w14:paraId="03FE30ED" w14:textId="77777777" w:rsidR="003A2485" w:rsidRPr="003A2485" w:rsidRDefault="003A2485" w:rsidP="00886F32">
      <w:pPr>
        <w:pStyle w:val="NormalWeb"/>
        <w:numPr>
          <w:ilvl w:val="0"/>
          <w:numId w:val="43"/>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en las provincias” continuará este fin de semana con enfoque en educación</w:t>
      </w:r>
    </w:p>
    <w:p w14:paraId="49A7AD6B" w14:textId="77777777" w:rsidR="003A2485" w:rsidRPr="003A2485" w:rsidRDefault="003A2485" w:rsidP="00886F32">
      <w:pPr>
        <w:pStyle w:val="NormalWeb"/>
        <w:numPr>
          <w:ilvl w:val="0"/>
          <w:numId w:val="43"/>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pacta con alcaldes fortalecer estrategias contra la migración irregular</w:t>
      </w:r>
    </w:p>
    <w:p w14:paraId="40B4B9FD" w14:textId="77777777" w:rsidR="003A2485" w:rsidRPr="003A2485" w:rsidRDefault="003A2485" w:rsidP="00886F32">
      <w:pPr>
        <w:pStyle w:val="NormalWeb"/>
        <w:numPr>
          <w:ilvl w:val="0"/>
          <w:numId w:val="43"/>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trabaja en una nueva Hoja de Balance para fortalecer la seguridad alimentaria</w:t>
      </w:r>
    </w:p>
    <w:p w14:paraId="704FE9C3" w14:textId="77777777" w:rsidR="003A2485" w:rsidRPr="003A2485" w:rsidRDefault="003A2485" w:rsidP="00886F32">
      <w:pPr>
        <w:pStyle w:val="NormalWeb"/>
        <w:numPr>
          <w:ilvl w:val="0"/>
          <w:numId w:val="43"/>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resalta importancia de la sostenibilidad; destaca Ley de Ordenamiento Territorial</w:t>
      </w:r>
    </w:p>
    <w:p w14:paraId="44C7C949" w14:textId="77777777" w:rsidR="003A2485" w:rsidRPr="003A2485" w:rsidRDefault="003A2485" w:rsidP="00886F32">
      <w:pPr>
        <w:pStyle w:val="NormalWeb"/>
        <w:numPr>
          <w:ilvl w:val="0"/>
          <w:numId w:val="43"/>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Santos y Freund recorren zonas de tierras raras en Pedernales</w:t>
      </w:r>
    </w:p>
    <w:p w14:paraId="2598356F"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5B4699F2" w14:textId="060F9A99"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Mayo</w:t>
      </w:r>
      <w:r w:rsidR="003A2485" w:rsidRPr="006A5634">
        <w:rPr>
          <w:rFonts w:eastAsia="Calibri"/>
          <w:b/>
          <w:bCs/>
          <w:noProof/>
          <w:color w:val="4C4747"/>
          <w:spacing w:val="20"/>
          <w:lang w:val="es-419" w:eastAsia="en-US"/>
        </w:rPr>
        <w:t>:</w:t>
      </w:r>
      <w:r w:rsidRPr="006A5634">
        <w:rPr>
          <w:rFonts w:eastAsia="Calibri"/>
          <w:b/>
          <w:bCs/>
          <w:noProof/>
          <w:color w:val="4C4747"/>
          <w:spacing w:val="20"/>
          <w:lang w:val="es-419" w:eastAsia="en-US"/>
        </w:rPr>
        <w:t xml:space="preserve"> 10 NOTAS</w:t>
      </w:r>
    </w:p>
    <w:p w14:paraId="3916AC3D"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presenta avances en metas priorizadas tras el 49° Consejo de Ministros</w:t>
      </w:r>
    </w:p>
    <w:p w14:paraId="35DA7E1F"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IDAC inaugura radar meteorológico en Loma Isabel de Torres</w:t>
      </w:r>
    </w:p>
    <w:p w14:paraId="1A253C90"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Incorporan dos corredores nuevos al Sistema Integrado de Transporte de Santiago</w:t>
      </w:r>
    </w:p>
    <w:p w14:paraId="219116DD"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Meta RD 2036: Gobierno presenta hoja de ruta para duplicar el PIB nacional para el 2036 ante AMCHAMDR</w:t>
      </w:r>
    </w:p>
    <w:p w14:paraId="5626D8C0"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anuncia nuevo modelo de patrullaje de la Policía Nacional</w:t>
      </w:r>
    </w:p>
    <w:p w14:paraId="2B562DFF"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anuncia puesta en valor de la bahía de Luperón</w:t>
      </w:r>
    </w:p>
    <w:p w14:paraId="242F46DC"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inaugura Parque Infantil en Ciudad Juan Bosch; supervisa obras en la comunidad</w:t>
      </w:r>
    </w:p>
    <w:p w14:paraId="44BE3ABE"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Paliza inaugura remozado Hospital Municipal Guananico, Puerto Plata</w:t>
      </w:r>
    </w:p>
    <w:p w14:paraId="50E0562D"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y Bonilla supervisan construcción de la UASD en SDE</w:t>
      </w:r>
    </w:p>
    <w:p w14:paraId="4956DD4E" w14:textId="77777777" w:rsidR="003A2485" w:rsidRPr="003A2485" w:rsidRDefault="003A2485" w:rsidP="00886F32">
      <w:pPr>
        <w:pStyle w:val="NormalWeb"/>
        <w:numPr>
          <w:ilvl w:val="0"/>
          <w:numId w:val="44"/>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y Estrella supervisan daños por lluvias en Espaillat y Puerto Plata; coordinan respuestas inmediatas</w:t>
      </w:r>
    </w:p>
    <w:p w14:paraId="2474D4D3"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441667F1" w14:textId="3998AF69"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Junio</w:t>
      </w:r>
      <w:r w:rsidR="003A2485" w:rsidRPr="006A5634">
        <w:rPr>
          <w:rFonts w:eastAsia="Calibri"/>
          <w:b/>
          <w:bCs/>
          <w:noProof/>
          <w:color w:val="4C4747"/>
          <w:spacing w:val="20"/>
          <w:lang w:val="es-419" w:eastAsia="en-US"/>
        </w:rPr>
        <w:t>:</w:t>
      </w:r>
      <w:r w:rsidRPr="006A5634">
        <w:rPr>
          <w:rFonts w:eastAsia="Calibri"/>
          <w:b/>
          <w:bCs/>
          <w:noProof/>
          <w:color w:val="4C4747"/>
          <w:spacing w:val="20"/>
          <w:lang w:val="es-419" w:eastAsia="en-US"/>
        </w:rPr>
        <w:t xml:space="preserve"> 17 NOTAS</w:t>
      </w:r>
    </w:p>
    <w:p w14:paraId="16F8419C"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Crean Comité Consultivo para reformar Ley de Protección de la Niñez y Adolescencia</w:t>
      </w:r>
    </w:p>
    <w:p w14:paraId="4CF9BB0A"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celebra 50º Consejo de Ministros: aprueba Política Presupuestaria 2026 y presenta avances de metas priorizadas</w:t>
      </w:r>
    </w:p>
    <w:p w14:paraId="23893F68"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presenta nueva estrategia integral para la gestión del tránsito en el Gran Santo Domingo</w:t>
      </w:r>
    </w:p>
    <w:p w14:paraId="63524B47"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Miles de madres celebran una tarde llena de alegría en Puerto Plata junto a Paliza</w:t>
      </w:r>
    </w:p>
    <w:p w14:paraId="671EBC1B"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afirma que el desarrollo sostenible es prioridad nacional y resalta apoyo del Banco Mundial</w:t>
      </w:r>
    </w:p>
    <w:p w14:paraId="2123456E"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encabeza entrega de 341 títulos de propiedad en El Café de Herrera</w:t>
      </w:r>
    </w:p>
    <w:p w14:paraId="612B5CD5"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encabeza entrega de hogar de día para adultos mayores en el Nuevo Domingo Savio</w:t>
      </w:r>
    </w:p>
    <w:p w14:paraId="57954958"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entrega 317 títulos de propiedad en San Pedro de Macorís</w:t>
      </w:r>
    </w:p>
    <w:p w14:paraId="152B9960"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Ministros de la Presidencia y de Defensa dan primer palazo para iniciar segunda fase de la verja perimetral fronteriza en Dajabón</w:t>
      </w:r>
    </w:p>
    <w:p w14:paraId="44A7BAA3"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celebra Día del Medio Ambiente junto a niños de San Cristóbal en Palacio; destaca legado de Jorge Mera</w:t>
      </w:r>
    </w:p>
    <w:p w14:paraId="71AFD2FB"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destaca importancia del diálogo abierto sobre crisis haitiana en el CES</w:t>
      </w:r>
    </w:p>
    <w:p w14:paraId="013DEA3D"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Paliza encabeza entrega de más de 300 títulos de propiedad en Samaná</w:t>
      </w:r>
    </w:p>
    <w:p w14:paraId="3F4FCDCC"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encabeza visita de Comisión de Transparencia a Ocoa y San Cristóbal; escuchan a líderes comunitarios</w:t>
      </w:r>
    </w:p>
    <w:p w14:paraId="7396E852"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saluda decisión del TC que declara inadmisible acción contra disposición transitoria que limita reelección presidencial</w:t>
      </w:r>
    </w:p>
    <w:p w14:paraId="7F5B7597"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supervisa avances de planta de residuos sólidos en Puerto Plata</w:t>
      </w:r>
    </w:p>
    <w:p w14:paraId="72BB1FF5"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visita el Merca SD tras incendio; asegura compromiso del Gobierno para su recuperación</w:t>
      </w:r>
    </w:p>
    <w:p w14:paraId="0FC5EED2" w14:textId="77777777" w:rsidR="003A2485" w:rsidRPr="003A2485" w:rsidRDefault="003A2485" w:rsidP="00886F32">
      <w:pPr>
        <w:pStyle w:val="NormalWeb"/>
        <w:numPr>
          <w:ilvl w:val="0"/>
          <w:numId w:val="45"/>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República Dominicana destaca a nivel global con el reconocimiento de la OGTIC en los Premios WSIS 2025</w:t>
      </w:r>
    </w:p>
    <w:p w14:paraId="4528928B" w14:textId="77777777" w:rsidR="00373C07" w:rsidRPr="003A2485" w:rsidRDefault="00373C07"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158D5716" w14:textId="423E8A27"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Julio: 11 NOTAS</w:t>
      </w:r>
    </w:p>
    <w:p w14:paraId="7F10B2D9"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en las Provincias” continuará este fin de semana; ejecutarán obras en respuesta a necesidades</w:t>
      </w:r>
    </w:p>
    <w:p w14:paraId="3EAA2299"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lanzará “República de Ideas”: un llamado a construir el futuro desde la creatividad y la participación ciudadana</w:t>
      </w:r>
    </w:p>
    <w:p w14:paraId="1FFE137D"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presentará detalles del proyecto vial en el entorno del Jardín Botánico; Paliza y Estrella supervisan el área</w:t>
      </w:r>
    </w:p>
    <w:p w14:paraId="713E55F5"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de la Presidencia y DA supervisan avances en ampliación del AILA</w:t>
      </w:r>
    </w:p>
    <w:p w14:paraId="7F749701"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anuncia respaldo del Gobierno a iniciativas de desarrollo de la Mancomunidad de Alcaldes de Puerto Plata</w:t>
      </w:r>
    </w:p>
    <w:p w14:paraId="36D1FD12"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garantiza Teleférico de Puerto Plata no será privatizado; anuncia será rehabilitado</w:t>
      </w:r>
    </w:p>
    <w:p w14:paraId="30E6712F"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llama al PRM a concentrarse en gobernar y atender prioridades del pueblo dominicano</w:t>
      </w:r>
    </w:p>
    <w:p w14:paraId="1390E328"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Paliza supervisa avances del nuevo Hospital Traumatológico de Sosúa</w:t>
      </w:r>
    </w:p>
    <w:p w14:paraId="38672928"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Meta RD 2036 busca colocar a la gente en el centro de cada política pública</w:t>
      </w:r>
    </w:p>
    <w:p w14:paraId="68A2C323" w14:textId="77777777" w:rsidR="003A2485" w:rsidRPr="003A2485" w:rsidRDefault="003A2485" w:rsidP="00886F32">
      <w:pPr>
        <w:pStyle w:val="NormalWeb"/>
        <w:numPr>
          <w:ilvl w:val="0"/>
          <w:numId w:val="46"/>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República Dominicana consolida hoja de ruta para la convergencia de Sistemas Alimentarios Sostenibles y Acción Climática</w:t>
      </w:r>
    </w:p>
    <w:p w14:paraId="0C8E4612"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4922E9BE" w14:textId="70636FFC"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Agosto: 17 NOTAS</w:t>
      </w:r>
    </w:p>
    <w:p w14:paraId="2773EC4F"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da seguimiento con técnicos de Educación al programa “Escuela como Centro de Desarrollo”</w:t>
      </w:r>
    </w:p>
    <w:p w14:paraId="253D5A7C"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dominicano fortalece capacidades para monitorear el cambio climático en parques nacionales con el apoyo de KOICA</w:t>
      </w:r>
    </w:p>
    <w:p w14:paraId="3DC4FAF9"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impulsa desarrollo integral en Manzanillo; Paliza anuncia obras de gran impacto y nueva estación policial</w:t>
      </w:r>
    </w:p>
    <w:p w14:paraId="48DCF793"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desarrolla agenda estratégica en Japón con sectores empresariales y autoridades de alto nivel</w:t>
      </w:r>
    </w:p>
    <w:p w14:paraId="6012A96D"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encabeza reunión regional de directores de aviación civil en Santo Domingo</w:t>
      </w:r>
    </w:p>
    <w:p w14:paraId="46FAB16F"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encabeza sesión de aprobación del Informe Final sobre crisis haitiana en el CES</w:t>
      </w:r>
    </w:p>
    <w:p w14:paraId="1A75CC50"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supervisa proyecto Ciudad Antonio Guzmán en Hato del Yaque, Santiago</w:t>
      </w:r>
    </w:p>
    <w:p w14:paraId="342BDC80"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entrega compensación económica y tierras a familias en Monte Grande; desarrolla agenda en San Juan</w:t>
      </w:r>
    </w:p>
    <w:p w14:paraId="11B6E043"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se reúne con Patronato Puntilla para dar seguimiento a intervención del Anfiteatro y Parque de la Puntilla</w:t>
      </w:r>
    </w:p>
    <w:p w14:paraId="2FC621F0"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 xml:space="preserve">República Dominicana celebra con éxito su dia nacional en la expo 2025 Osaka </w:t>
      </w:r>
    </w:p>
    <w:p w14:paraId="5F10C57C" w14:textId="77777777" w:rsidR="003A2485" w:rsidRPr="003A2485" w:rsidRDefault="003A2485" w:rsidP="00886F32">
      <w:pPr>
        <w:pStyle w:val="NormalWeb"/>
        <w:numPr>
          <w:ilvl w:val="0"/>
          <w:numId w:val="47"/>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República Dominicana celebrará Día Nacional en la Expo 2025 Osaka para promover lo mejor del país</w:t>
      </w:r>
    </w:p>
    <w:p w14:paraId="217502F6" w14:textId="77777777" w:rsidR="003A2485" w:rsidRPr="003A2485" w:rsidRDefault="003A2485" w:rsidP="00886F32">
      <w:pPr>
        <w:pStyle w:val="ListParagraph"/>
        <w:numPr>
          <w:ilvl w:val="0"/>
          <w:numId w:val="47"/>
        </w:numPr>
        <w:spacing w:after="0" w:line="360" w:lineRule="auto"/>
        <w:jc w:val="both"/>
        <w:rPr>
          <w:rFonts w:eastAsia="Calibri"/>
          <w:noProof/>
          <w:color w:val="4C4747"/>
          <w:lang w:val="es-419"/>
        </w:rPr>
      </w:pPr>
      <w:r w:rsidRPr="003A2485">
        <w:rPr>
          <w:rFonts w:eastAsia="Calibri"/>
          <w:noProof/>
          <w:color w:val="4C4747"/>
          <w:lang w:val="es-419"/>
        </w:rPr>
        <w:t>República Dominicana presenta oportunidades de inversión al empresariado japonés</w:t>
      </w:r>
    </w:p>
    <w:p w14:paraId="20FF53D6" w14:textId="77777777" w:rsidR="003A2485" w:rsidRPr="003A2485" w:rsidRDefault="003A2485" w:rsidP="00886F32">
      <w:pPr>
        <w:pStyle w:val="ListParagraph"/>
        <w:numPr>
          <w:ilvl w:val="0"/>
          <w:numId w:val="47"/>
        </w:numPr>
        <w:spacing w:after="0" w:line="360" w:lineRule="auto"/>
        <w:jc w:val="both"/>
        <w:rPr>
          <w:rFonts w:eastAsia="Calibri"/>
          <w:noProof/>
          <w:color w:val="4C4747"/>
          <w:lang w:val="es-419"/>
        </w:rPr>
      </w:pPr>
      <w:r w:rsidRPr="003A2485">
        <w:rPr>
          <w:rFonts w:eastAsia="Calibri"/>
          <w:noProof/>
          <w:color w:val="4C4747"/>
          <w:lang w:val="es-419"/>
        </w:rPr>
        <w:t>Sosúa se viste de música: concierto sinfónico une a familias y celebra la cultura dominicana</w:t>
      </w:r>
    </w:p>
    <w:p w14:paraId="7E40029E" w14:textId="77777777" w:rsidR="003A2485" w:rsidRPr="003A2485" w:rsidRDefault="003A2485" w:rsidP="00886F32">
      <w:pPr>
        <w:pStyle w:val="ListParagraph"/>
        <w:numPr>
          <w:ilvl w:val="0"/>
          <w:numId w:val="47"/>
        </w:numPr>
        <w:spacing w:after="0" w:line="360" w:lineRule="auto"/>
        <w:jc w:val="both"/>
        <w:rPr>
          <w:rFonts w:eastAsia="Calibri"/>
          <w:noProof/>
          <w:color w:val="4C4747"/>
          <w:lang w:val="es-419"/>
        </w:rPr>
      </w:pPr>
      <w:r w:rsidRPr="003A2485">
        <w:rPr>
          <w:rFonts w:eastAsia="Calibri"/>
          <w:noProof/>
          <w:color w:val="4C4747"/>
          <w:lang w:val="es-419"/>
        </w:rPr>
        <w:t xml:space="preserve">CASFL promueve cambios sociales de largo plazo mediante fortalecimiento de labor de las asociaciones sin fines de lucro </w:t>
      </w:r>
    </w:p>
    <w:p w14:paraId="78B16B58" w14:textId="77777777" w:rsidR="003A2485" w:rsidRPr="003A2485" w:rsidRDefault="003A2485" w:rsidP="00886F32">
      <w:pPr>
        <w:pStyle w:val="ListParagraph"/>
        <w:numPr>
          <w:ilvl w:val="0"/>
          <w:numId w:val="47"/>
        </w:numPr>
        <w:spacing w:after="0" w:line="360" w:lineRule="auto"/>
        <w:jc w:val="both"/>
        <w:rPr>
          <w:rFonts w:eastAsia="Calibri"/>
          <w:noProof/>
          <w:color w:val="4C4747"/>
          <w:lang w:val="es-419"/>
        </w:rPr>
      </w:pPr>
      <w:r w:rsidRPr="003A2485">
        <w:rPr>
          <w:rFonts w:eastAsia="Calibri"/>
          <w:noProof/>
          <w:color w:val="4C4747"/>
          <w:lang w:val="es-419"/>
        </w:rPr>
        <w:t>CASFL y Voluntariado Santo Domingo 2026 aúnan esfuerzos para respaldar la celebración de los Juegos Centroamericanos y del Caribe</w:t>
      </w:r>
    </w:p>
    <w:p w14:paraId="49700A3A" w14:textId="77777777" w:rsidR="003A2485" w:rsidRPr="003A2485" w:rsidRDefault="003A2485" w:rsidP="00886F32">
      <w:pPr>
        <w:pStyle w:val="ListParagraph"/>
        <w:numPr>
          <w:ilvl w:val="0"/>
          <w:numId w:val="47"/>
        </w:numPr>
        <w:spacing w:after="0" w:line="360" w:lineRule="auto"/>
        <w:jc w:val="both"/>
        <w:rPr>
          <w:rFonts w:eastAsia="Calibri"/>
          <w:noProof/>
          <w:color w:val="4C4747"/>
          <w:lang w:val="es-419"/>
        </w:rPr>
      </w:pPr>
      <w:r w:rsidRPr="003A2485">
        <w:rPr>
          <w:rFonts w:eastAsia="Calibri"/>
          <w:noProof/>
          <w:color w:val="4C4747"/>
          <w:lang w:val="es-419"/>
        </w:rPr>
        <w:t>Ministerio de la Presidencia a través de CASFL articula esfuerzos para prevenir uniones tempranas y embarazos en adolescentes</w:t>
      </w:r>
    </w:p>
    <w:p w14:paraId="6A452544" w14:textId="77777777" w:rsidR="003A2485" w:rsidRPr="003A2485" w:rsidRDefault="003A2485" w:rsidP="00886F32">
      <w:pPr>
        <w:pStyle w:val="ListParagraph"/>
        <w:numPr>
          <w:ilvl w:val="0"/>
          <w:numId w:val="47"/>
        </w:numPr>
        <w:spacing w:after="0" w:line="360" w:lineRule="auto"/>
        <w:jc w:val="both"/>
        <w:rPr>
          <w:rFonts w:eastAsia="Calibri"/>
          <w:noProof/>
          <w:color w:val="4C4747"/>
          <w:lang w:val="es-419"/>
        </w:rPr>
      </w:pPr>
      <w:r w:rsidRPr="003A2485">
        <w:rPr>
          <w:rFonts w:eastAsia="Calibri"/>
          <w:noProof/>
          <w:color w:val="4C4747"/>
          <w:lang w:val="es-419"/>
        </w:rPr>
        <w:t>Ministerio de la Presidencia fortalece la cultura del voluntariado con el taller “Las 5C de la gestión de voluntarios”</w:t>
      </w:r>
    </w:p>
    <w:p w14:paraId="6CF54DA2" w14:textId="77777777" w:rsid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p>
    <w:p w14:paraId="14402F8C" w14:textId="0C2B1C9C"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Septiembre: 13 NOTAS</w:t>
      </w:r>
    </w:p>
    <w:p w14:paraId="514A4604"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Consejo de Ministros aprueba proyecto de ley de Presupuesto General del Estado 2026</w:t>
      </w:r>
    </w:p>
    <w:p w14:paraId="296CE57D"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celebra Consejo de Ministros: conocen sanciones y tipos penales en la administración pública del nuevo Código Penal Dominicano y en Ley de Contrataciones Públicas</w:t>
      </w:r>
    </w:p>
    <w:p w14:paraId="51ACC4AD"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designa veedores para procurar licitación participativa Monorriel de Santo Domingo</w:t>
      </w:r>
    </w:p>
    <w:p w14:paraId="6C01F9A3"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entrega 12 nuevos camiones de bomberos para fortalecer respuesta a emergencias</w:t>
      </w:r>
    </w:p>
    <w:p w14:paraId="22D2C56C"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lanza Programa de Movilidad Urbana Sostenible en República Dominicana</w:t>
      </w:r>
    </w:p>
    <w:p w14:paraId="0AEC8698"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Ministro Paliza encabeza inauguración del Sistema 911 y Centro de Superación Comunitaria en Pedernales</w:t>
      </w:r>
    </w:p>
    <w:p w14:paraId="2EF43E33"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“Duplicar las exportaciones agropecuarias al 2036 es nuestra meta”</w:t>
      </w:r>
    </w:p>
    <w:p w14:paraId="6B030138"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Corea del Sur dona al país equipos médicos valorados en US$100,000 para fortalecer bioseguridad en hospitales dominicanos</w:t>
      </w:r>
    </w:p>
    <w:p w14:paraId="6D52A140"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dominicano y KOICA dan primer palazo para construir centro de capacitación de mujeres en Hatillo Palma</w:t>
      </w:r>
    </w:p>
    <w:p w14:paraId="16010146"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MINPRE lanza 2da convocatoria 2025 para solicitar voluntarios japoneses</w:t>
      </w:r>
    </w:p>
    <w:p w14:paraId="3F9A98FF"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República Dominicana recibe a dos voluntarios japoneses que aportarán al sector salud y la conservación ambiental</w:t>
      </w:r>
    </w:p>
    <w:p w14:paraId="28EC3BD1" w14:textId="77777777" w:rsidR="003A2485" w:rsidRP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República Dominicana recibe misión de cooperación chilena para fortalecer la protección de recursos hídricos en el municipio Guerra</w:t>
      </w:r>
    </w:p>
    <w:p w14:paraId="09BF77DA" w14:textId="19B02C33" w:rsidR="003A2485" w:rsidRDefault="003A2485" w:rsidP="00886F32">
      <w:pPr>
        <w:pStyle w:val="NormalWeb"/>
        <w:numPr>
          <w:ilvl w:val="0"/>
          <w:numId w:val="48"/>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República Dominicana y Francia firman acuerdo para impulsar finanzas públicas sostenibles e inclusivas</w:t>
      </w:r>
      <w:r w:rsidR="006A5634">
        <w:rPr>
          <w:rFonts w:eastAsia="Calibri"/>
          <w:noProof/>
          <w:color w:val="4C4747"/>
          <w:spacing w:val="20"/>
          <w:lang w:val="es-419" w:eastAsia="en-US"/>
        </w:rPr>
        <w:t>.</w:t>
      </w:r>
    </w:p>
    <w:p w14:paraId="177D33D9" w14:textId="77777777" w:rsidR="00D84359" w:rsidRDefault="00D84359" w:rsidP="00D84359">
      <w:pPr>
        <w:pStyle w:val="NormalWeb"/>
        <w:spacing w:before="0" w:beforeAutospacing="0" w:after="0" w:afterAutospacing="0" w:line="360" w:lineRule="auto"/>
        <w:ind w:left="720"/>
        <w:jc w:val="both"/>
        <w:rPr>
          <w:rFonts w:eastAsia="Calibri"/>
          <w:noProof/>
          <w:color w:val="4C4747"/>
          <w:spacing w:val="20"/>
          <w:lang w:val="es-419" w:eastAsia="en-US"/>
        </w:rPr>
      </w:pPr>
    </w:p>
    <w:p w14:paraId="36BE7AC4" w14:textId="03CFD5C4"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Octubre: 9 NOTAS</w:t>
      </w:r>
    </w:p>
    <w:p w14:paraId="5CC915B4"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consulta sector social para definir acciones que beneficiarán a niños, mujeres y personas envejecientes en 2026</w:t>
      </w:r>
    </w:p>
    <w:p w14:paraId="295291C1" w14:textId="77777777" w:rsidR="003A2485" w:rsidRPr="003A2485" w:rsidRDefault="003A2485" w:rsidP="00886F32">
      <w:pPr>
        <w:pStyle w:val="ListParagraph"/>
        <w:numPr>
          <w:ilvl w:val="0"/>
          <w:numId w:val="49"/>
        </w:numPr>
        <w:spacing w:after="0" w:line="360" w:lineRule="auto"/>
        <w:jc w:val="both"/>
        <w:rPr>
          <w:rFonts w:eastAsia="Calibri"/>
          <w:noProof/>
          <w:color w:val="4C4747"/>
          <w:lang w:val="es-419"/>
        </w:rPr>
      </w:pPr>
      <w:r w:rsidRPr="003A2485">
        <w:rPr>
          <w:rFonts w:eastAsia="Calibri"/>
          <w:noProof/>
          <w:color w:val="4C4747"/>
          <w:lang w:val="es-419"/>
        </w:rPr>
        <w:t>Gobierno coordina acciones preventivas ante los posibles efectos de  la Tormenta Tropical Melissa</w:t>
      </w:r>
    </w:p>
    <w:p w14:paraId="5FAE5A26"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invierte RD$200 millones en obras hidráulicas en Rancho Arriba</w:t>
      </w:r>
    </w:p>
    <w:p w14:paraId="3EC5571F"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presenta al Senado estrategia Meta RD 2036</w:t>
      </w:r>
    </w:p>
    <w:p w14:paraId="33AC08A5" w14:textId="77777777" w:rsidR="003A2485" w:rsidRPr="003A2485" w:rsidRDefault="003A2485" w:rsidP="00886F32">
      <w:pPr>
        <w:pStyle w:val="ListParagraph"/>
        <w:numPr>
          <w:ilvl w:val="0"/>
          <w:numId w:val="49"/>
        </w:numPr>
        <w:spacing w:after="0" w:line="360" w:lineRule="auto"/>
        <w:jc w:val="both"/>
        <w:rPr>
          <w:rFonts w:eastAsia="Calibri"/>
          <w:noProof/>
          <w:color w:val="4C4747"/>
          <w:lang w:val="es-419"/>
        </w:rPr>
      </w:pPr>
      <w:r w:rsidRPr="003A2485">
        <w:rPr>
          <w:rFonts w:eastAsia="Calibri"/>
          <w:noProof/>
          <w:color w:val="4C4747"/>
          <w:lang w:val="es-419"/>
        </w:rPr>
        <w:t>Ministros Paliza y Estrella supervisan avances de la Circunvalación de Navarrete y Moca</w:t>
      </w:r>
    </w:p>
    <w:p w14:paraId="69D4673F"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Paliza destaca avances en gobernanza digital y educación técnica en conferencia ProCompetencia</w:t>
      </w:r>
    </w:p>
    <w:p w14:paraId="1489DCC4"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en solo 5 años pasamos de 8 centros de INFOTEP a 62 en todo el país</w:t>
      </w:r>
    </w:p>
    <w:p w14:paraId="07E70EDE"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Presidente Abinader encabeza apertura del Diálogo Regional sobre Políticas de Transporte, acompañado por el ministro José Ignacio Paliza</w:t>
      </w:r>
    </w:p>
    <w:p w14:paraId="46320EF3" w14:textId="77777777" w:rsidR="003A2485" w:rsidRPr="003A2485" w:rsidRDefault="003A2485" w:rsidP="00886F32">
      <w:pPr>
        <w:pStyle w:val="NormalWeb"/>
        <w:numPr>
          <w:ilvl w:val="0"/>
          <w:numId w:val="49"/>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CASFL promueve buenas prácticas de gobernanza y transparencia en asociaciones sin fines de lucro</w:t>
      </w:r>
    </w:p>
    <w:p w14:paraId="18D7F475"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2FC9F7E2" w14:textId="70F6D02A" w:rsidR="003A2485" w:rsidRPr="006A5634" w:rsidRDefault="006A5634" w:rsidP="00886F32">
      <w:pPr>
        <w:pStyle w:val="NormalWeb"/>
        <w:spacing w:before="0" w:beforeAutospacing="0" w:after="0" w:afterAutospacing="0" w:line="360" w:lineRule="auto"/>
        <w:ind w:left="720"/>
        <w:jc w:val="center"/>
        <w:rPr>
          <w:rFonts w:eastAsia="Calibri"/>
          <w:b/>
          <w:bCs/>
          <w:noProof/>
          <w:color w:val="4C4747"/>
          <w:spacing w:val="20"/>
          <w:lang w:val="es-419" w:eastAsia="en-US"/>
        </w:rPr>
      </w:pPr>
      <w:r w:rsidRPr="006A5634">
        <w:rPr>
          <w:rFonts w:eastAsia="Calibri"/>
          <w:b/>
          <w:bCs/>
          <w:noProof/>
          <w:color w:val="4C4747"/>
          <w:spacing w:val="20"/>
          <w:lang w:val="es-419" w:eastAsia="en-US"/>
        </w:rPr>
        <w:t>Noviembre: 16 NOTAS</w:t>
      </w:r>
    </w:p>
    <w:p w14:paraId="52B4AB12"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Autoridades y empresarios reaccionan positivamente al Foro de Innovación Pública para el futuro de Santiago, encabezado por el ministro Paliza</w:t>
      </w:r>
    </w:p>
    <w:p w14:paraId="7813A42F"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convoca a licitación para el diseño y construcción de la Autopista del Ámbar</w:t>
      </w:r>
    </w:p>
    <w:p w14:paraId="248E8654"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Gobierno pone en marcha obras hidráulicas en Puerto Plata y Espaillat con una inversión superior a 700 millones de pesos</w:t>
      </w:r>
    </w:p>
    <w:p w14:paraId="0AC403AF"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encabeza foro “El Futuro de Santiago”; anuncia licitación Autopista del Ambar</w:t>
      </w:r>
    </w:p>
    <w:p w14:paraId="1CCE08C6"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encabeza misión oficial a Centros de Excelencia de Inteligencia Artificial de NVIDIA en Miami</w:t>
      </w:r>
    </w:p>
    <w:p w14:paraId="27335040"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inaugura estación policial en Nuevo Domingo Savio</w:t>
      </w:r>
    </w:p>
    <w:p w14:paraId="769A6331"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Ministro Paliza supervisa avances del proyecto de transformación en Las Lilas</w:t>
      </w:r>
    </w:p>
    <w:p w14:paraId="1BDC34A2"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anuncia aporte de RD$ 57MM para remozamiento de Catedral San Felipe en Puerto Plata</w:t>
      </w:r>
    </w:p>
    <w:p w14:paraId="69DBD8A1"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destaca aumentos salariales históricos, avances en transparencia y fortaleza de la relación España–RD</w:t>
      </w:r>
    </w:p>
    <w:p w14:paraId="32129804"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lastRenderedPageBreak/>
        <w:t>Paliza encabeza apertura de encuentro Regional de Drogas con la participación de más de 30 países invitados</w:t>
      </w:r>
    </w:p>
    <w:p w14:paraId="0E5EB124"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encabeza inspección del muro fronterizo en Dajabón, canal La Vigía y presa de Guayubín</w:t>
      </w:r>
    </w:p>
    <w:p w14:paraId="61BE63D4"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encabezará visita a Centros de Excelencia de NVIDIA en Miami</w:t>
      </w:r>
    </w:p>
    <w:p w14:paraId="6008AD3B"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Paliza: “República Dominicana cambió. Por fin la impunidad dejó de ser una opción”.</w:t>
      </w:r>
    </w:p>
    <w:p w14:paraId="47EA9BE1"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Secretario de Guerra de EE.UU. reconoce liderazgo del presidente Abinader en la lucha contra el narcotráfico</w:t>
      </w:r>
    </w:p>
    <w:p w14:paraId="0E6AF2B7"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CASFL conmemora el vigésimo aniversario de la ley que regula y fomenta las ASFL en el país</w:t>
      </w:r>
    </w:p>
    <w:p w14:paraId="37EE0024" w14:textId="77777777" w:rsidR="003A2485" w:rsidRPr="003A2485" w:rsidRDefault="003A2485" w:rsidP="00886F32">
      <w:pPr>
        <w:pStyle w:val="NormalWeb"/>
        <w:numPr>
          <w:ilvl w:val="0"/>
          <w:numId w:val="50"/>
        </w:numPr>
        <w:spacing w:before="0" w:beforeAutospacing="0" w:after="0" w:afterAutospacing="0" w:line="360" w:lineRule="auto"/>
        <w:jc w:val="both"/>
        <w:rPr>
          <w:rFonts w:eastAsia="Calibri"/>
          <w:noProof/>
          <w:color w:val="4C4747"/>
          <w:spacing w:val="20"/>
          <w:lang w:val="es-419" w:eastAsia="en-US"/>
        </w:rPr>
      </w:pPr>
      <w:r w:rsidRPr="003A2485">
        <w:rPr>
          <w:rFonts w:eastAsia="Calibri"/>
          <w:noProof/>
          <w:color w:val="4C4747"/>
          <w:spacing w:val="20"/>
          <w:lang w:val="es-419" w:eastAsia="en-US"/>
        </w:rPr>
        <w:t>República Dominicana y Perú aprueban programa de cooperación sobre gestión cultural, riego, residuos sólidos y derechos humanos</w:t>
      </w:r>
    </w:p>
    <w:p w14:paraId="40883E9E" w14:textId="77777777" w:rsidR="003A2485" w:rsidRPr="003A2485" w:rsidRDefault="003A2485" w:rsidP="00886F32">
      <w:pPr>
        <w:pStyle w:val="NormalWeb"/>
        <w:spacing w:before="0" w:beforeAutospacing="0" w:after="0" w:afterAutospacing="0" w:line="360" w:lineRule="auto"/>
        <w:ind w:left="720"/>
        <w:jc w:val="both"/>
        <w:rPr>
          <w:rFonts w:eastAsia="Calibri"/>
          <w:noProof/>
          <w:color w:val="4C4747"/>
          <w:spacing w:val="20"/>
          <w:lang w:val="es-419" w:eastAsia="en-US"/>
        </w:rPr>
      </w:pPr>
    </w:p>
    <w:p w14:paraId="5C7DCD61" w14:textId="73DD4733" w:rsidR="003A2485" w:rsidRPr="00BB1030" w:rsidRDefault="006A5634" w:rsidP="00886F32">
      <w:pPr>
        <w:pStyle w:val="NormalWeb"/>
        <w:spacing w:before="0" w:beforeAutospacing="0" w:after="0" w:afterAutospacing="0" w:line="360" w:lineRule="auto"/>
        <w:ind w:left="720"/>
        <w:jc w:val="both"/>
        <w:rPr>
          <w:rFonts w:eastAsia="Calibri"/>
          <w:b/>
          <w:bCs/>
          <w:noProof/>
          <w:color w:val="4C4747"/>
          <w:spacing w:val="20"/>
          <w:lang w:val="es-419" w:eastAsia="en-US"/>
        </w:rPr>
      </w:pPr>
      <w:r w:rsidRPr="00BB1030">
        <w:rPr>
          <w:rFonts w:eastAsia="Calibri"/>
          <w:b/>
          <w:bCs/>
          <w:noProof/>
          <w:color w:val="4C4747"/>
          <w:spacing w:val="20"/>
          <w:lang w:val="es-419" w:eastAsia="en-US"/>
        </w:rPr>
        <w:t xml:space="preserve">Hasta noviembre: </w:t>
      </w:r>
      <w:r w:rsidR="003A2485" w:rsidRPr="00BB1030">
        <w:rPr>
          <w:rFonts w:eastAsia="Calibri"/>
          <w:b/>
          <w:bCs/>
          <w:noProof/>
          <w:color w:val="4C4747"/>
          <w:spacing w:val="20"/>
          <w:lang w:val="es-419" w:eastAsia="en-US"/>
        </w:rPr>
        <w:t xml:space="preserve">126 NOTAS </w:t>
      </w:r>
    </w:p>
    <w:p w14:paraId="613CDC13" w14:textId="0B015D87" w:rsidR="003A2485" w:rsidRDefault="003A2485" w:rsidP="00886F32">
      <w:pPr>
        <w:spacing w:after="0" w:line="360" w:lineRule="auto"/>
        <w:ind w:left="720"/>
        <w:jc w:val="both"/>
        <w:rPr>
          <w:rFonts w:eastAsia="Calibri"/>
          <w:noProof/>
          <w:color w:val="4C4747"/>
          <w:lang w:val="es-419"/>
        </w:rPr>
      </w:pPr>
    </w:p>
    <w:p w14:paraId="76D3BCEF" w14:textId="54FD2CF0" w:rsidR="003A2485" w:rsidRPr="006A5634" w:rsidRDefault="003A2485" w:rsidP="00D84359">
      <w:pPr>
        <w:pStyle w:val="ListParagraph"/>
        <w:numPr>
          <w:ilvl w:val="2"/>
          <w:numId w:val="96"/>
        </w:numPr>
        <w:spacing w:after="0" w:line="360" w:lineRule="auto"/>
        <w:ind w:left="1350"/>
        <w:rPr>
          <w:rFonts w:eastAsia="Calibri"/>
          <w:b/>
          <w:bCs/>
          <w:noProof/>
          <w:color w:val="4C4747"/>
          <w:lang w:val="es-419"/>
        </w:rPr>
      </w:pPr>
      <w:r w:rsidRPr="006A5634">
        <w:rPr>
          <w:rFonts w:eastAsia="Calibri"/>
          <w:b/>
          <w:bCs/>
          <w:noProof/>
          <w:color w:val="4C4747"/>
          <w:lang w:val="es-419"/>
        </w:rPr>
        <w:t>Área de Redes Sociales</w:t>
      </w:r>
    </w:p>
    <w:p w14:paraId="34041C94" w14:textId="77777777" w:rsidR="003A2485" w:rsidRP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Durante el 2025, el área de Redes Sociales ejecutó acciones para incrementar la presencia digital del Ministerio, optimizar su posicionamiento y fortalecer la narrativa institucional.</w:t>
      </w:r>
    </w:p>
    <w:p w14:paraId="1CC92811" w14:textId="77777777" w:rsidR="003A2485" w:rsidRPr="003A2485"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Principales acciones:</w:t>
      </w:r>
    </w:p>
    <w:p w14:paraId="6C12E6E5" w14:textId="77777777" w:rsidR="003A2485" w:rsidRPr="003A2485" w:rsidRDefault="003A2485" w:rsidP="00886F32">
      <w:pPr>
        <w:numPr>
          <w:ilvl w:val="0"/>
          <w:numId w:val="38"/>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Creación de contenido especializado (cápsulas informativas, videos cortos, líneas gráficas temáticas).</w:t>
      </w:r>
    </w:p>
    <w:p w14:paraId="2C30CD6A" w14:textId="77777777" w:rsidR="003A2485" w:rsidRPr="003A2485" w:rsidRDefault="003A2485" w:rsidP="00886F32">
      <w:pPr>
        <w:numPr>
          <w:ilvl w:val="0"/>
          <w:numId w:val="38"/>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Cobertura en tiempo real de eventos correspondientes a la agenda de Gobierno.</w:t>
      </w:r>
    </w:p>
    <w:p w14:paraId="67451679" w14:textId="77777777" w:rsidR="003A2485" w:rsidRPr="003A2485" w:rsidRDefault="003A2485" w:rsidP="00886F32">
      <w:pPr>
        <w:numPr>
          <w:ilvl w:val="0"/>
          <w:numId w:val="38"/>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Incremento sostenido de interacciones orgánicas.</w:t>
      </w:r>
    </w:p>
    <w:p w14:paraId="607C1E49" w14:textId="77777777" w:rsidR="003A2485" w:rsidRPr="003A2485" w:rsidRDefault="003A2485" w:rsidP="00886F32">
      <w:pPr>
        <w:numPr>
          <w:ilvl w:val="0"/>
          <w:numId w:val="38"/>
        </w:numPr>
        <w:tabs>
          <w:tab w:val="clear" w:pos="720"/>
          <w:tab w:val="num" w:pos="360"/>
        </w:tabs>
        <w:spacing w:after="0" w:line="360" w:lineRule="auto"/>
        <w:jc w:val="both"/>
        <w:rPr>
          <w:rFonts w:eastAsia="Calibri"/>
          <w:noProof/>
          <w:color w:val="4C4747"/>
          <w:lang w:val="es-419"/>
        </w:rPr>
      </w:pPr>
      <w:r w:rsidRPr="003A2485">
        <w:rPr>
          <w:rFonts w:eastAsia="Calibri"/>
          <w:noProof/>
          <w:color w:val="4C4747"/>
          <w:lang w:val="es-419"/>
        </w:rPr>
        <w:t>Coordinación con Presidencia, DICOM y otras instituciones para unificar criterios de comunicación digital.</w:t>
      </w:r>
    </w:p>
    <w:p w14:paraId="08ADD06F" w14:textId="4DE3BAEE" w:rsidR="00373C07" w:rsidRDefault="003A2485" w:rsidP="00886F32">
      <w:pPr>
        <w:numPr>
          <w:ilvl w:val="0"/>
          <w:numId w:val="38"/>
        </w:numPr>
        <w:tabs>
          <w:tab w:val="clear" w:pos="720"/>
          <w:tab w:val="num" w:pos="360"/>
          <w:tab w:val="left" w:pos="4410"/>
        </w:tabs>
        <w:spacing w:after="0" w:line="360" w:lineRule="auto"/>
        <w:jc w:val="both"/>
        <w:rPr>
          <w:rFonts w:eastAsia="Calibri"/>
          <w:noProof/>
          <w:color w:val="4C4747"/>
          <w:lang w:val="es-419"/>
        </w:rPr>
      </w:pPr>
      <w:r w:rsidRPr="003A2485">
        <w:rPr>
          <w:rFonts w:eastAsia="Calibri"/>
          <w:noProof/>
          <w:color w:val="4C4747"/>
          <w:lang w:val="es-419"/>
        </w:rPr>
        <w:lastRenderedPageBreak/>
        <w:t>Producción de interesantes piezas audiovisuales en el 2025.</w:t>
      </w:r>
    </w:p>
    <w:p w14:paraId="5FDD9AF0" w14:textId="77777777" w:rsidR="00D84359" w:rsidRPr="00373C07" w:rsidRDefault="00D84359" w:rsidP="00D84359">
      <w:pPr>
        <w:tabs>
          <w:tab w:val="left" w:pos="4410"/>
        </w:tabs>
        <w:spacing w:after="0" w:line="360" w:lineRule="auto"/>
        <w:ind w:left="720"/>
        <w:jc w:val="both"/>
        <w:rPr>
          <w:rFonts w:eastAsia="Calibri"/>
          <w:noProof/>
          <w:color w:val="4C4747"/>
          <w:lang w:val="es-419"/>
        </w:rPr>
      </w:pPr>
    </w:p>
    <w:p w14:paraId="4D110F55" w14:textId="02ECC067" w:rsidR="003A2485" w:rsidRPr="000F3E77" w:rsidRDefault="003A2485" w:rsidP="00D84359">
      <w:pPr>
        <w:pStyle w:val="ListParagraph"/>
        <w:numPr>
          <w:ilvl w:val="2"/>
          <w:numId w:val="96"/>
        </w:numPr>
        <w:spacing w:after="0" w:line="360" w:lineRule="auto"/>
        <w:ind w:left="1350"/>
        <w:rPr>
          <w:rFonts w:eastAsia="Calibri"/>
          <w:b/>
          <w:bCs/>
          <w:noProof/>
          <w:color w:val="4C4747"/>
          <w:lang w:val="es-419"/>
        </w:rPr>
      </w:pPr>
      <w:r w:rsidRPr="000F3E77">
        <w:rPr>
          <w:rFonts w:eastAsia="Calibri"/>
          <w:b/>
          <w:bCs/>
          <w:noProof/>
          <w:color w:val="4C4747"/>
          <w:lang w:val="es-419"/>
        </w:rPr>
        <w:t>Área de Relaciones Públicas</w:t>
      </w:r>
    </w:p>
    <w:p w14:paraId="4333F5EF" w14:textId="77777777" w:rsidR="000F3E77" w:rsidRDefault="003A2485" w:rsidP="00886F32">
      <w:pPr>
        <w:spacing w:after="0" w:line="360" w:lineRule="auto"/>
        <w:ind w:left="720"/>
        <w:jc w:val="both"/>
        <w:rPr>
          <w:rFonts w:eastAsia="Calibri"/>
          <w:noProof/>
          <w:color w:val="4C4747"/>
          <w:lang w:val="es-419"/>
        </w:rPr>
      </w:pPr>
      <w:r w:rsidRPr="003A2485">
        <w:rPr>
          <w:rFonts w:eastAsia="Calibri"/>
          <w:noProof/>
          <w:color w:val="4C4747"/>
          <w:lang w:val="es-419"/>
        </w:rPr>
        <w:t xml:space="preserve">Responsable de la articulación de todos los eventos institucionales y apoyo a las ejecutorias del Ministro y la gestión de los viceministerios. </w:t>
      </w:r>
    </w:p>
    <w:p w14:paraId="3A51765F" w14:textId="77777777" w:rsidR="00BB1030" w:rsidRDefault="003A2485" w:rsidP="00886F32">
      <w:pPr>
        <w:pStyle w:val="ListParagraph"/>
        <w:numPr>
          <w:ilvl w:val="0"/>
          <w:numId w:val="39"/>
        </w:numPr>
        <w:spacing w:after="0" w:line="360" w:lineRule="auto"/>
        <w:jc w:val="both"/>
        <w:rPr>
          <w:rFonts w:eastAsia="Calibri"/>
          <w:noProof/>
          <w:color w:val="4C4747"/>
          <w:lang w:val="es-419"/>
        </w:rPr>
      </w:pPr>
      <w:r w:rsidRPr="00BB1030">
        <w:rPr>
          <w:rFonts w:eastAsia="Calibri"/>
          <w:noProof/>
          <w:color w:val="4C4747"/>
          <w:lang w:val="es-419"/>
        </w:rPr>
        <w:t>Coordinación integral de más de 90 actividades institucionales en Santo Domingo y las provincias.</w:t>
      </w:r>
    </w:p>
    <w:p w14:paraId="630394B1" w14:textId="4DCFDCAB" w:rsidR="003A2485" w:rsidRPr="00BB1030" w:rsidRDefault="003A2485" w:rsidP="00886F32">
      <w:pPr>
        <w:pStyle w:val="ListParagraph"/>
        <w:numPr>
          <w:ilvl w:val="0"/>
          <w:numId w:val="39"/>
        </w:numPr>
        <w:spacing w:after="0" w:line="360" w:lineRule="auto"/>
        <w:jc w:val="both"/>
        <w:rPr>
          <w:rFonts w:eastAsia="Calibri"/>
          <w:noProof/>
          <w:color w:val="4C4747"/>
          <w:lang w:val="es-419"/>
        </w:rPr>
      </w:pPr>
      <w:r w:rsidRPr="00BB1030">
        <w:rPr>
          <w:rFonts w:eastAsia="Calibri"/>
          <w:noProof/>
          <w:color w:val="4C4747"/>
          <w:lang w:val="es-419"/>
        </w:rPr>
        <w:t>Gestión de cobertura fotográfica y audiovisual del 100% de los eventos institucionales.</w:t>
      </w:r>
    </w:p>
    <w:p w14:paraId="1B6C2544" w14:textId="77777777" w:rsidR="003A2485" w:rsidRPr="003A2485" w:rsidRDefault="003A2485" w:rsidP="00886F32">
      <w:pPr>
        <w:numPr>
          <w:ilvl w:val="0"/>
          <w:numId w:val="39"/>
        </w:numPr>
        <w:spacing w:after="0" w:line="360" w:lineRule="auto"/>
        <w:jc w:val="both"/>
        <w:rPr>
          <w:rFonts w:eastAsia="Calibri"/>
          <w:noProof/>
          <w:color w:val="4C4747"/>
          <w:lang w:val="es-419"/>
        </w:rPr>
      </w:pPr>
      <w:r w:rsidRPr="003A2485">
        <w:rPr>
          <w:rFonts w:eastAsia="Calibri"/>
          <w:noProof/>
          <w:color w:val="4C4747"/>
          <w:lang w:val="es-419"/>
        </w:rPr>
        <w:t>Apoyo logístico y comunicacional a reuniones de alto nivel, Consejos de Ministros, visitas territoriales y cobertura en misiones internacionales.</w:t>
      </w:r>
    </w:p>
    <w:p w14:paraId="6014EA9F" w14:textId="0A713DCA" w:rsidR="003A2485" w:rsidRDefault="003A2485" w:rsidP="00886F32">
      <w:pPr>
        <w:numPr>
          <w:ilvl w:val="0"/>
          <w:numId w:val="39"/>
        </w:numPr>
        <w:spacing w:after="0" w:line="360" w:lineRule="auto"/>
        <w:jc w:val="both"/>
        <w:rPr>
          <w:rFonts w:eastAsia="Calibri"/>
          <w:noProof/>
          <w:color w:val="4C4747"/>
          <w:lang w:val="es-419"/>
        </w:rPr>
      </w:pPr>
      <w:r w:rsidRPr="003A2485">
        <w:rPr>
          <w:rFonts w:eastAsia="Calibri"/>
          <w:noProof/>
          <w:color w:val="4C4747"/>
          <w:lang w:val="es-419"/>
        </w:rPr>
        <w:t>Organización de encuentros con actores comunitarios, empresariales y académicos vinculados a Metas priorizadas, sistema 911, transparencia, educación técnica y obras de infraestructura.</w:t>
      </w:r>
    </w:p>
    <w:p w14:paraId="0802BF46" w14:textId="77777777" w:rsidR="00EE477D" w:rsidRDefault="00EE477D" w:rsidP="00EE477D">
      <w:pPr>
        <w:spacing w:after="0" w:line="360" w:lineRule="auto"/>
        <w:ind w:left="720"/>
        <w:jc w:val="both"/>
        <w:rPr>
          <w:rFonts w:eastAsia="Calibri"/>
          <w:noProof/>
          <w:color w:val="4C4747"/>
          <w:lang w:val="es-419"/>
        </w:rPr>
      </w:pPr>
    </w:p>
    <w:p w14:paraId="3182C719" w14:textId="61707DB5" w:rsidR="0075153A" w:rsidRDefault="0075153A" w:rsidP="00886F32">
      <w:pPr>
        <w:pStyle w:val="ListParagraph"/>
        <w:numPr>
          <w:ilvl w:val="1"/>
          <w:numId w:val="96"/>
        </w:numPr>
        <w:spacing w:after="0" w:line="360" w:lineRule="auto"/>
        <w:ind w:left="720"/>
        <w:jc w:val="center"/>
        <w:outlineLvl w:val="1"/>
        <w:rPr>
          <w:b/>
          <w:bCs/>
        </w:rPr>
      </w:pPr>
      <w:bookmarkStart w:id="132" w:name="_Toc185843639"/>
      <w:r>
        <w:rPr>
          <w:b/>
          <w:bCs/>
        </w:rPr>
        <w:t xml:space="preserve"> </w:t>
      </w:r>
      <w:bookmarkStart w:id="133" w:name="_Toc217382624"/>
      <w:r w:rsidRPr="0075153A">
        <w:rPr>
          <w:b/>
          <w:bCs/>
        </w:rPr>
        <w:t>Desempeño de Protocolo y Eventos</w:t>
      </w:r>
      <w:bookmarkEnd w:id="132"/>
      <w:bookmarkEnd w:id="133"/>
    </w:p>
    <w:p w14:paraId="0D2A76CF" w14:textId="77777777" w:rsid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La Dirección de Protocolo y Eventos del Ministerio de la Presidencia (MINPRE) tiene la responsabilidad primordial de definir, coordinar y organizar los lineamientos y actividades desarrolladas por el Ministerio. Su gestión está orientada a eficientizar los eventos realizados, determinando la complejidad de los actos encabezados por el Ministro de la Presidencia y asegurando la reglamentación protocolar requerida en cada uno de ellos.</w:t>
      </w:r>
    </w:p>
    <w:p w14:paraId="37DB2674" w14:textId="77777777" w:rsidR="00EE477D" w:rsidRPr="00DF56E2" w:rsidRDefault="00EE477D" w:rsidP="00886F32">
      <w:pPr>
        <w:spacing w:after="0" w:line="360" w:lineRule="auto"/>
        <w:ind w:left="720"/>
        <w:jc w:val="both"/>
        <w:rPr>
          <w:rFonts w:eastAsia="Calibri"/>
          <w:noProof/>
          <w:color w:val="4C4747"/>
          <w:lang w:val="es-419"/>
        </w:rPr>
      </w:pPr>
    </w:p>
    <w:p w14:paraId="30C1BD0A" w14:textId="345A472E" w:rsid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 xml:space="preserve">Durante el año 2025, la Dirección ha cumplido con la naturaleza de sus funciones brindando asistencia a un alto </w:t>
      </w:r>
      <w:r w:rsidRPr="00DF56E2">
        <w:rPr>
          <w:rFonts w:eastAsia="Calibri"/>
          <w:noProof/>
          <w:color w:val="4C4747"/>
          <w:lang w:val="es-419"/>
        </w:rPr>
        <w:lastRenderedPageBreak/>
        <w:t>volumen de encuentros.</w:t>
      </w:r>
      <w:r>
        <w:rPr>
          <w:rFonts w:eastAsia="Calibri"/>
          <w:noProof/>
          <w:color w:val="4C4747"/>
          <w:lang w:val="es-419"/>
        </w:rPr>
        <w:t xml:space="preserve">Registrando </w:t>
      </w:r>
      <w:r w:rsidRPr="00DF56E2">
        <w:rPr>
          <w:rFonts w:eastAsia="Calibri"/>
          <w:noProof/>
          <w:color w:val="4C4747"/>
          <w:lang w:val="es-419"/>
        </w:rPr>
        <w:t>una asistencia promedio de más de 3 reuniones al día.</w:t>
      </w:r>
    </w:p>
    <w:p w14:paraId="136A7C53" w14:textId="77777777" w:rsidR="00EE477D" w:rsidRPr="00DF56E2" w:rsidRDefault="00EE477D" w:rsidP="00886F32">
      <w:pPr>
        <w:spacing w:after="0" w:line="360" w:lineRule="auto"/>
        <w:ind w:left="720"/>
        <w:jc w:val="both"/>
        <w:rPr>
          <w:rFonts w:eastAsia="Calibri"/>
          <w:noProof/>
          <w:color w:val="4C4747"/>
          <w:lang w:val="es-419"/>
        </w:rPr>
      </w:pPr>
    </w:p>
    <w:p w14:paraId="137DEC25" w14:textId="69031CC6" w:rsidR="00DF56E2" w:rsidRP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En el periodo de 2025, se registró un notable incremento</w:t>
      </w:r>
      <w:r>
        <w:rPr>
          <w:rFonts w:eastAsia="Calibri"/>
          <w:noProof/>
          <w:color w:val="4C4747"/>
          <w:lang w:val="es-419"/>
        </w:rPr>
        <w:t xml:space="preserve"> en las actividades</w:t>
      </w:r>
      <w:r w:rsidRPr="00DF56E2">
        <w:rPr>
          <w:rFonts w:eastAsia="Calibri"/>
          <w:noProof/>
          <w:color w:val="4C4747"/>
          <w:lang w:val="es-419"/>
        </w:rPr>
        <w:t>, asistiendo a un total trimestral de 312 reuniones en las que tuvo presencia el Ministro de la Presidencia.</w:t>
      </w:r>
    </w:p>
    <w:p w14:paraId="60D9142B" w14:textId="3773BE0F" w:rsid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Se brindó acompañamiento protocolar a todas las reuniones encabezadas por el Ministro, asegurando el cumplimiento de los lineamientos establecidos.</w:t>
      </w:r>
    </w:p>
    <w:p w14:paraId="12577A5B" w14:textId="77777777" w:rsidR="00EE477D" w:rsidRPr="00DF56E2" w:rsidRDefault="00EE477D" w:rsidP="00886F32">
      <w:pPr>
        <w:spacing w:after="0" w:line="360" w:lineRule="auto"/>
        <w:ind w:left="720"/>
        <w:jc w:val="both"/>
        <w:rPr>
          <w:rFonts w:eastAsia="Calibri"/>
          <w:noProof/>
          <w:color w:val="4C4747"/>
          <w:lang w:val="es-419"/>
        </w:rPr>
      </w:pPr>
    </w:p>
    <w:p w14:paraId="02E78F77" w14:textId="4A7FDE04" w:rsid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Se coordinó la organización de los Consejos de Ministros en conjunto con el protocolo de la Presidencia</w:t>
      </w:r>
      <w:r>
        <w:rPr>
          <w:rFonts w:eastAsia="Calibri"/>
          <w:noProof/>
          <w:color w:val="4C4747"/>
          <w:lang w:val="es-419"/>
        </w:rPr>
        <w:t>; e</w:t>
      </w:r>
      <w:r w:rsidRPr="00DF56E2">
        <w:rPr>
          <w:rFonts w:eastAsia="Calibri"/>
          <w:noProof/>
          <w:color w:val="4C4747"/>
          <w:lang w:val="es-419"/>
        </w:rPr>
        <w:t>sto incluyó la planificación de la agenda, preparación de los espacios, gestión logística de transporte, disposición de documentos a discutir y la observancia de las normas protocolarias.</w:t>
      </w:r>
    </w:p>
    <w:p w14:paraId="60B584BB" w14:textId="77777777" w:rsidR="00EE477D" w:rsidRPr="00DF56E2" w:rsidRDefault="00EE477D" w:rsidP="00886F32">
      <w:pPr>
        <w:spacing w:after="0" w:line="360" w:lineRule="auto"/>
        <w:ind w:left="720"/>
        <w:jc w:val="both"/>
        <w:rPr>
          <w:rFonts w:eastAsia="Calibri"/>
          <w:noProof/>
          <w:color w:val="4C4747"/>
          <w:lang w:val="es-419"/>
        </w:rPr>
      </w:pPr>
    </w:p>
    <w:p w14:paraId="0877738B" w14:textId="71EBEF80" w:rsidR="00DF56E2" w:rsidRDefault="00DF56E2" w:rsidP="00886F32">
      <w:pPr>
        <w:spacing w:after="0" w:line="360" w:lineRule="auto"/>
        <w:ind w:left="720"/>
        <w:jc w:val="both"/>
        <w:rPr>
          <w:rFonts w:eastAsia="Calibri"/>
          <w:noProof/>
          <w:color w:val="4C4747"/>
          <w:lang w:val="es-419"/>
        </w:rPr>
      </w:pPr>
      <w:r>
        <w:rPr>
          <w:rFonts w:eastAsia="Calibri"/>
          <w:noProof/>
          <w:color w:val="4C4747"/>
          <w:lang w:val="es-419"/>
        </w:rPr>
        <w:t xml:space="preserve">También se realizó la planificación </w:t>
      </w:r>
      <w:r w:rsidRPr="00DF56E2">
        <w:rPr>
          <w:rFonts w:eastAsia="Calibri"/>
          <w:noProof/>
          <w:color w:val="4C4747"/>
          <w:lang w:val="es-419"/>
        </w:rPr>
        <w:t>de espacio y recursos necesarios para la ejecución de reuniones y eventos presididos por el Ministro.</w:t>
      </w:r>
    </w:p>
    <w:p w14:paraId="77E51B49" w14:textId="77777777" w:rsidR="00EE477D" w:rsidRPr="00DF56E2" w:rsidRDefault="00EE477D" w:rsidP="00886F32">
      <w:pPr>
        <w:spacing w:after="0" w:line="360" w:lineRule="auto"/>
        <w:ind w:left="720"/>
        <w:jc w:val="both"/>
        <w:rPr>
          <w:rFonts w:eastAsia="Calibri"/>
          <w:noProof/>
          <w:color w:val="4C4747"/>
          <w:lang w:val="es-419"/>
        </w:rPr>
      </w:pPr>
    </w:p>
    <w:p w14:paraId="69984E86" w14:textId="77777777" w:rsidR="00DF56E2" w:rsidRP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Gestión eficiente de los espacios para reuniones programadas con funcionarios gubernamentales e instituciones privadas.</w:t>
      </w:r>
    </w:p>
    <w:p w14:paraId="13094FE7" w14:textId="77777777" w:rsid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Coordinación de mesas de trabajo con otras dependencias del MINPRE, otros ministerios, y sectores clave de la sociedad civil y empresarial.</w:t>
      </w:r>
    </w:p>
    <w:p w14:paraId="6EC19D24" w14:textId="77777777" w:rsidR="00EE477D" w:rsidRPr="00DF56E2" w:rsidRDefault="00EE477D" w:rsidP="00886F32">
      <w:pPr>
        <w:spacing w:after="0" w:line="360" w:lineRule="auto"/>
        <w:ind w:left="720"/>
        <w:jc w:val="both"/>
        <w:rPr>
          <w:rFonts w:eastAsia="Calibri"/>
          <w:noProof/>
          <w:color w:val="4C4747"/>
          <w:lang w:val="es-419"/>
        </w:rPr>
      </w:pPr>
    </w:p>
    <w:p w14:paraId="674B0451" w14:textId="77777777" w:rsidR="00DF56E2" w:rsidRP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La Dirección gestionó y coordinó actos de relevancia institucional y nacional:</w:t>
      </w:r>
    </w:p>
    <w:p w14:paraId="43F1887E" w14:textId="77777777" w:rsidR="00DF56E2" w:rsidRPr="00DF56E2" w:rsidRDefault="00DF56E2" w:rsidP="00886F32">
      <w:pPr>
        <w:pStyle w:val="ListParagraph"/>
        <w:numPr>
          <w:ilvl w:val="0"/>
          <w:numId w:val="52"/>
        </w:numPr>
        <w:spacing w:after="0" w:line="360" w:lineRule="auto"/>
        <w:jc w:val="both"/>
        <w:rPr>
          <w:rFonts w:eastAsia="Calibri"/>
          <w:noProof/>
          <w:color w:val="4C4747"/>
          <w:lang w:val="es-419"/>
        </w:rPr>
      </w:pPr>
      <w:r w:rsidRPr="00DF56E2">
        <w:rPr>
          <w:rFonts w:eastAsia="Calibri"/>
          <w:noProof/>
          <w:color w:val="4C4747"/>
          <w:lang w:val="es-419"/>
        </w:rPr>
        <w:t>Recepción de misiones diplomáticas: Se organizó y coordinó el protocolo para el recibimiento de visitas de los Embajadores de distintas naciones al despacho del Ministro.</w:t>
      </w:r>
    </w:p>
    <w:p w14:paraId="240E2749" w14:textId="77777777" w:rsidR="00DF56E2" w:rsidRPr="00DF56E2" w:rsidRDefault="00DF56E2" w:rsidP="00886F32">
      <w:pPr>
        <w:pStyle w:val="ListParagraph"/>
        <w:numPr>
          <w:ilvl w:val="0"/>
          <w:numId w:val="52"/>
        </w:numPr>
        <w:spacing w:after="0" w:line="360" w:lineRule="auto"/>
        <w:jc w:val="both"/>
        <w:rPr>
          <w:rFonts w:eastAsia="Calibri"/>
          <w:noProof/>
          <w:color w:val="4C4747"/>
          <w:lang w:val="es-419"/>
        </w:rPr>
      </w:pPr>
      <w:r w:rsidRPr="00DF56E2">
        <w:rPr>
          <w:rFonts w:eastAsia="Calibri"/>
          <w:noProof/>
          <w:color w:val="4C4747"/>
          <w:lang w:val="es-419"/>
        </w:rPr>
        <w:lastRenderedPageBreak/>
        <w:t>Firma de acuerdos: Organización de la firma de convenios y acuerdos con otras entidades estatales y organismos internacionales.</w:t>
      </w:r>
    </w:p>
    <w:p w14:paraId="4E05E95F" w14:textId="77777777" w:rsidR="00DF56E2" w:rsidRPr="00DF56E2" w:rsidRDefault="00DF56E2" w:rsidP="00886F32">
      <w:pPr>
        <w:pStyle w:val="ListParagraph"/>
        <w:numPr>
          <w:ilvl w:val="0"/>
          <w:numId w:val="52"/>
        </w:numPr>
        <w:spacing w:after="0" w:line="360" w:lineRule="auto"/>
        <w:jc w:val="both"/>
        <w:rPr>
          <w:rFonts w:eastAsia="Calibri"/>
          <w:noProof/>
          <w:color w:val="4C4747"/>
          <w:lang w:val="es-419"/>
        </w:rPr>
      </w:pPr>
      <w:r w:rsidRPr="00DF56E2">
        <w:rPr>
          <w:rFonts w:eastAsia="Calibri"/>
          <w:noProof/>
          <w:color w:val="4C4747"/>
          <w:lang w:val="es-419"/>
        </w:rPr>
        <w:t>Visitas provinciales: Coordinación logística y protocolo durante las visitas del Ministro a las diferentes provincias, incluyendo la visita a Pedernales para dar inicio a las funciones del 911 en dicha provincia.</w:t>
      </w:r>
    </w:p>
    <w:p w14:paraId="53D6B0C9" w14:textId="77777777" w:rsidR="00DF56E2" w:rsidRPr="00DF56E2" w:rsidRDefault="00DF56E2" w:rsidP="00886F32">
      <w:pPr>
        <w:pStyle w:val="ListParagraph"/>
        <w:numPr>
          <w:ilvl w:val="0"/>
          <w:numId w:val="52"/>
        </w:numPr>
        <w:spacing w:after="0" w:line="360" w:lineRule="auto"/>
        <w:jc w:val="both"/>
        <w:rPr>
          <w:rFonts w:eastAsia="Calibri"/>
          <w:noProof/>
          <w:color w:val="4C4747"/>
          <w:lang w:val="es-419"/>
        </w:rPr>
      </w:pPr>
      <w:r w:rsidRPr="00DF56E2">
        <w:rPr>
          <w:rFonts w:eastAsia="Calibri"/>
          <w:noProof/>
          <w:color w:val="4C4747"/>
          <w:lang w:val="es-419"/>
        </w:rPr>
        <w:t xml:space="preserve">Coordinación del acto protocolar de entregas de fondos a afectados de la Presa de Monte Grande en Azua. </w:t>
      </w:r>
    </w:p>
    <w:p w14:paraId="6E48EF99" w14:textId="03D926A3" w:rsidR="00DF56E2" w:rsidRPr="00DF56E2" w:rsidRDefault="00DF56E2" w:rsidP="00886F32">
      <w:pPr>
        <w:spacing w:after="0" w:line="360" w:lineRule="auto"/>
        <w:ind w:left="720"/>
        <w:jc w:val="both"/>
        <w:rPr>
          <w:rFonts w:eastAsia="Calibri"/>
          <w:noProof/>
          <w:color w:val="4C4747"/>
          <w:lang w:val="es-419"/>
        </w:rPr>
      </w:pPr>
      <w:r>
        <w:rPr>
          <w:rFonts w:eastAsia="Calibri"/>
          <w:noProof/>
          <w:color w:val="4C4747"/>
          <w:lang w:val="es-419"/>
        </w:rPr>
        <w:t>También coordinamos la p</w:t>
      </w:r>
      <w:r w:rsidRPr="00DF56E2">
        <w:rPr>
          <w:rFonts w:eastAsia="Calibri"/>
          <w:noProof/>
          <w:color w:val="4C4747"/>
          <w:lang w:val="es-419"/>
        </w:rPr>
        <w:t>rovisión de servicios de catering y suministro de insumos (café, agua) para todas las actividades de los Viceministerios y Direcciones del MINPRE.</w:t>
      </w:r>
    </w:p>
    <w:p w14:paraId="7F1CC5F3" w14:textId="77777777" w:rsidR="00DF56E2" w:rsidRP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Asistencia semanal a la reunión del Plan de Seguridad Ciudadana en la Policía Nacional para contribuir a la transformación y el buen manejo de la logística policial.</w:t>
      </w:r>
    </w:p>
    <w:p w14:paraId="0DE307C5" w14:textId="77777777" w:rsidR="00DF56E2" w:rsidRDefault="00DF56E2" w:rsidP="00886F32">
      <w:pPr>
        <w:spacing w:after="0" w:line="360" w:lineRule="auto"/>
        <w:ind w:left="720"/>
        <w:jc w:val="both"/>
        <w:rPr>
          <w:rFonts w:eastAsia="Calibri"/>
          <w:noProof/>
          <w:color w:val="4C4747"/>
          <w:lang w:val="es-419"/>
        </w:rPr>
      </w:pPr>
      <w:r w:rsidRPr="00DF56E2">
        <w:rPr>
          <w:rFonts w:eastAsia="Calibri"/>
          <w:noProof/>
          <w:color w:val="4C4747"/>
          <w:lang w:val="es-419"/>
        </w:rPr>
        <w:t>Planificación y coordinación del Foro de Innovación Pública: El Futuro de Santiago, llevado a cabo en la Ciudad Corazón, y al cual asistieron más de 1,200 personas.</w:t>
      </w:r>
    </w:p>
    <w:p w14:paraId="63F5D2FF" w14:textId="77777777" w:rsidR="00F464A7" w:rsidRDefault="00F464A7" w:rsidP="00886F32">
      <w:pPr>
        <w:spacing w:after="0" w:line="360" w:lineRule="auto"/>
        <w:ind w:left="720"/>
        <w:jc w:val="both"/>
        <w:rPr>
          <w:rFonts w:eastAsia="Calibri"/>
          <w:noProof/>
          <w:color w:val="4C4747"/>
          <w:lang w:val="es-419"/>
        </w:rPr>
      </w:pPr>
    </w:p>
    <w:p w14:paraId="652688B8" w14:textId="77777777" w:rsidR="00F464A7" w:rsidRDefault="00F464A7" w:rsidP="00886F32">
      <w:pPr>
        <w:spacing w:after="0" w:line="360" w:lineRule="auto"/>
        <w:ind w:left="720"/>
        <w:jc w:val="both"/>
        <w:rPr>
          <w:rFonts w:eastAsia="Calibri"/>
          <w:noProof/>
          <w:color w:val="4C4747"/>
          <w:lang w:val="es-419"/>
        </w:rPr>
      </w:pPr>
    </w:p>
    <w:p w14:paraId="51053289" w14:textId="77777777" w:rsidR="00F464A7" w:rsidRDefault="00F464A7" w:rsidP="00886F32">
      <w:pPr>
        <w:spacing w:after="0" w:line="360" w:lineRule="auto"/>
        <w:ind w:left="720"/>
        <w:jc w:val="both"/>
        <w:rPr>
          <w:rFonts w:eastAsia="Calibri"/>
          <w:noProof/>
          <w:color w:val="4C4747"/>
          <w:lang w:val="es-419"/>
        </w:rPr>
      </w:pPr>
    </w:p>
    <w:p w14:paraId="2C77A809" w14:textId="77777777" w:rsidR="00F464A7" w:rsidRDefault="00F464A7" w:rsidP="00886F32">
      <w:pPr>
        <w:spacing w:after="0" w:line="360" w:lineRule="auto"/>
        <w:ind w:left="720"/>
        <w:jc w:val="both"/>
        <w:rPr>
          <w:rFonts w:eastAsia="Calibri"/>
          <w:noProof/>
          <w:color w:val="4C4747"/>
          <w:lang w:val="es-419"/>
        </w:rPr>
      </w:pPr>
    </w:p>
    <w:p w14:paraId="1F7C6440" w14:textId="77777777" w:rsidR="00F464A7" w:rsidRDefault="00F464A7" w:rsidP="00886F32">
      <w:pPr>
        <w:spacing w:after="0" w:line="360" w:lineRule="auto"/>
        <w:ind w:left="720"/>
        <w:jc w:val="both"/>
        <w:rPr>
          <w:rFonts w:eastAsia="Calibri"/>
          <w:noProof/>
          <w:color w:val="4C4747"/>
          <w:lang w:val="es-419"/>
        </w:rPr>
      </w:pPr>
    </w:p>
    <w:p w14:paraId="6BDE95B0" w14:textId="77777777" w:rsidR="00F464A7" w:rsidRDefault="00F464A7" w:rsidP="00886F32">
      <w:pPr>
        <w:spacing w:after="0" w:line="360" w:lineRule="auto"/>
        <w:ind w:left="720"/>
        <w:jc w:val="both"/>
        <w:rPr>
          <w:rFonts w:eastAsia="Calibri"/>
          <w:noProof/>
          <w:color w:val="4C4747"/>
          <w:lang w:val="es-419"/>
        </w:rPr>
      </w:pPr>
    </w:p>
    <w:p w14:paraId="7FA97EAA" w14:textId="77777777" w:rsidR="00F464A7" w:rsidRDefault="00F464A7" w:rsidP="00886F32">
      <w:pPr>
        <w:spacing w:after="0" w:line="360" w:lineRule="auto"/>
        <w:ind w:left="720"/>
        <w:jc w:val="both"/>
        <w:rPr>
          <w:rFonts w:eastAsia="Calibri"/>
          <w:noProof/>
          <w:color w:val="4C4747"/>
          <w:lang w:val="es-419"/>
        </w:rPr>
      </w:pPr>
    </w:p>
    <w:p w14:paraId="0FED9EAA" w14:textId="77777777" w:rsidR="00F464A7" w:rsidRDefault="00F464A7" w:rsidP="00886F32">
      <w:pPr>
        <w:spacing w:after="0" w:line="360" w:lineRule="auto"/>
        <w:ind w:left="720"/>
        <w:jc w:val="both"/>
        <w:rPr>
          <w:rFonts w:eastAsia="Calibri"/>
          <w:noProof/>
          <w:color w:val="4C4747"/>
          <w:lang w:val="es-419"/>
        </w:rPr>
      </w:pPr>
    </w:p>
    <w:p w14:paraId="7499CDCD" w14:textId="77777777" w:rsidR="00F464A7" w:rsidRDefault="00F464A7" w:rsidP="00886F32">
      <w:pPr>
        <w:spacing w:after="0" w:line="360" w:lineRule="auto"/>
        <w:ind w:left="720"/>
        <w:jc w:val="both"/>
        <w:rPr>
          <w:rFonts w:eastAsia="Calibri"/>
          <w:noProof/>
          <w:color w:val="4C4747"/>
          <w:lang w:val="es-419"/>
        </w:rPr>
      </w:pPr>
    </w:p>
    <w:p w14:paraId="023FF95D" w14:textId="77777777" w:rsidR="00F464A7" w:rsidRDefault="00F464A7" w:rsidP="00886F32">
      <w:pPr>
        <w:spacing w:after="0" w:line="360" w:lineRule="auto"/>
        <w:ind w:left="720"/>
        <w:jc w:val="both"/>
        <w:rPr>
          <w:rFonts w:eastAsia="Calibri"/>
          <w:noProof/>
          <w:color w:val="4C4747"/>
          <w:lang w:val="es-419"/>
        </w:rPr>
      </w:pPr>
    </w:p>
    <w:p w14:paraId="5AA4CC56" w14:textId="77777777" w:rsidR="002A49E9" w:rsidRPr="00DF56E2" w:rsidRDefault="002A49E9" w:rsidP="00886F32">
      <w:pPr>
        <w:spacing w:after="0" w:line="360" w:lineRule="auto"/>
        <w:ind w:left="720"/>
        <w:jc w:val="both"/>
        <w:rPr>
          <w:rFonts w:eastAsia="Calibri"/>
          <w:noProof/>
          <w:color w:val="4C4747"/>
          <w:lang w:val="es-419"/>
        </w:rPr>
      </w:pPr>
    </w:p>
    <w:p w14:paraId="0A54B7AA" w14:textId="20BDEC4C" w:rsidR="00DD7615" w:rsidRPr="0082260F" w:rsidRDefault="0004248F" w:rsidP="004A7B4D">
      <w:pPr>
        <w:pStyle w:val="Heading1"/>
        <w:numPr>
          <w:ilvl w:val="0"/>
          <w:numId w:val="101"/>
        </w:numPr>
        <w:tabs>
          <w:tab w:val="left" w:pos="900"/>
          <w:tab w:val="left" w:pos="990"/>
        </w:tabs>
        <w:spacing w:before="0"/>
        <w:ind w:left="810"/>
        <w:rPr>
          <w:color w:val="4C4747"/>
          <w:lang w:val="es-DO"/>
        </w:rPr>
      </w:pPr>
      <w:bookmarkStart w:id="134" w:name="_Toc217382625"/>
      <w:r w:rsidRPr="0082260F">
        <w:rPr>
          <w:color w:val="4C4747"/>
          <w:lang w:val="es-DO"/>
        </w:rPr>
        <w:lastRenderedPageBreak/>
        <w:t xml:space="preserve">SERVICIO </w:t>
      </w:r>
      <w:r w:rsidR="00DD7615" w:rsidRPr="0082260F">
        <w:rPr>
          <w:color w:val="4C4747"/>
          <w:lang w:val="es-DO"/>
        </w:rPr>
        <w:t>AL CIUDADANO Y TRANSPARENCIA INSTITUCIONAL</w:t>
      </w:r>
      <w:bookmarkEnd w:id="134"/>
    </w:p>
    <w:p w14:paraId="6F16AFF3" w14:textId="77777777" w:rsidR="00DD7615" w:rsidRPr="0082260F" w:rsidRDefault="00DD7615" w:rsidP="00886F32">
      <w:pPr>
        <w:spacing w:after="0" w:line="360" w:lineRule="auto"/>
        <w:ind w:left="720"/>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544576" behindDoc="0" locked="0" layoutInCell="1" allowOverlap="1" wp14:anchorId="5B826A78" wp14:editId="56553083">
                <wp:simplePos x="0" y="0"/>
                <wp:positionH relativeFrom="margin">
                  <wp:align>center</wp:align>
                </wp:positionH>
                <wp:positionV relativeFrom="paragraph">
                  <wp:posOffset>35560</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9A5E5" id="Straight Connector 3" o:spid="_x0000_s1026" style="position:absolute;z-index:251544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pt" to="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" strokecolor="#ee2a24" strokeweight="2.25pt">
                <v:stroke joinstyle="miter"/>
                <w10:wrap anchorx="margin"/>
              </v:line>
            </w:pict>
          </mc:Fallback>
        </mc:AlternateContent>
      </w:r>
    </w:p>
    <w:p w14:paraId="5468EA26" w14:textId="2A4A339F" w:rsidR="00DD7615" w:rsidRDefault="00DD7615" w:rsidP="00886F32">
      <w:pPr>
        <w:spacing w:after="0" w:line="360" w:lineRule="auto"/>
        <w:ind w:left="720"/>
        <w:jc w:val="center"/>
        <w:rPr>
          <w:rFonts w:eastAsia="Calibri"/>
          <w:color w:val="4C4747"/>
          <w:szCs w:val="36"/>
          <w:lang w:val="es-DO"/>
        </w:rPr>
      </w:pPr>
      <w:r w:rsidRPr="005654BB">
        <w:rPr>
          <w:rFonts w:eastAsia="Calibri"/>
          <w:color w:val="4C4747"/>
          <w:szCs w:val="36"/>
          <w:lang w:val="es-DO"/>
        </w:rPr>
        <w:t xml:space="preserve">Memoria </w:t>
      </w:r>
      <w:r w:rsidR="00F05DF4" w:rsidRPr="005654BB">
        <w:rPr>
          <w:rFonts w:eastAsia="Calibri"/>
          <w:color w:val="4C4747"/>
          <w:szCs w:val="36"/>
          <w:lang w:val="es-DO"/>
        </w:rPr>
        <w:t>I</w:t>
      </w:r>
      <w:r w:rsidRPr="005654BB">
        <w:rPr>
          <w:rFonts w:eastAsia="Calibri"/>
          <w:color w:val="4C4747"/>
          <w:szCs w:val="36"/>
          <w:lang w:val="es-DO"/>
        </w:rPr>
        <w:t xml:space="preserve">nstitucional </w:t>
      </w:r>
      <w:r w:rsidR="000025D4" w:rsidRPr="005654BB">
        <w:rPr>
          <w:rFonts w:eastAsia="Calibri"/>
          <w:color w:val="4C4747"/>
          <w:szCs w:val="36"/>
          <w:lang w:val="es-DO"/>
        </w:rPr>
        <w:t>20</w:t>
      </w:r>
      <w:r w:rsidR="00A5647B" w:rsidRPr="005654BB">
        <w:rPr>
          <w:rFonts w:eastAsia="Calibri"/>
          <w:color w:val="4C4747"/>
          <w:szCs w:val="36"/>
          <w:lang w:val="es-DO"/>
        </w:rPr>
        <w:t>25</w:t>
      </w:r>
    </w:p>
    <w:p w14:paraId="1663510D" w14:textId="77777777" w:rsidR="002A49E9" w:rsidRPr="005654BB" w:rsidRDefault="002A49E9" w:rsidP="00886F32">
      <w:pPr>
        <w:spacing w:after="0" w:line="360" w:lineRule="auto"/>
        <w:ind w:left="720"/>
        <w:jc w:val="center"/>
        <w:rPr>
          <w:rFonts w:eastAsia="Calibri"/>
          <w:color w:val="4C4747"/>
          <w:szCs w:val="36"/>
          <w:lang w:val="es-DO"/>
        </w:rPr>
      </w:pPr>
    </w:p>
    <w:p w14:paraId="17DC7366" w14:textId="77777777" w:rsidR="00DD2D46"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El Departamento de Acceso a</w:t>
      </w:r>
      <w:r w:rsidR="00DD2D46">
        <w:rPr>
          <w:rFonts w:eastAsia="Calibri"/>
          <w:noProof/>
          <w:color w:val="4C4747"/>
          <w:lang w:val="es-419"/>
        </w:rPr>
        <w:t xml:space="preserve"> l</w:t>
      </w:r>
      <w:r w:rsidRPr="00D27ADB">
        <w:rPr>
          <w:rFonts w:eastAsia="Calibri"/>
          <w:noProof/>
          <w:color w:val="4C4747"/>
          <w:lang w:val="es-419"/>
        </w:rPr>
        <w:t>a Información Pública del Ministerio de la Presidencia, fue creado considerando que el derecho de los ciudadanos a investigar y recibir informaciones y a difundirlas, está consagrado como un principio universal en varias convenciones internacionales, ratificado por la República Dominicana conforme lo establece el Art. 3 de nuestra Carta Magna. De igual manera, el Art. 8, que consagra la protección efectiva de los derechos de la persona humana, el orden público y el bienestar en general como la finalidad principal del Estado.</w:t>
      </w:r>
    </w:p>
    <w:p w14:paraId="657DFE45" w14:textId="53E51ED3" w:rsidR="0063379A"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 xml:space="preserve"> </w:t>
      </w:r>
    </w:p>
    <w:p w14:paraId="1F72959E" w14:textId="2F8C07BF" w:rsidR="00D27ADB" w:rsidRPr="00BB1030" w:rsidRDefault="005E299F" w:rsidP="004A7B4D">
      <w:pPr>
        <w:pStyle w:val="ListParagraph"/>
        <w:numPr>
          <w:ilvl w:val="1"/>
          <w:numId w:val="101"/>
        </w:numPr>
        <w:spacing w:after="0" w:line="360" w:lineRule="auto"/>
        <w:ind w:left="1080"/>
        <w:rPr>
          <w:rFonts w:eastAsia="Calibri"/>
          <w:b/>
          <w:bCs/>
          <w:noProof/>
          <w:color w:val="4C4747"/>
          <w:lang w:val="es-419"/>
        </w:rPr>
      </w:pPr>
      <w:r w:rsidRPr="00BB1030">
        <w:rPr>
          <w:rFonts w:eastAsia="Calibri"/>
          <w:b/>
          <w:bCs/>
          <w:noProof/>
          <w:color w:val="4C4747"/>
          <w:lang w:val="es-419"/>
        </w:rPr>
        <w:t xml:space="preserve"> </w:t>
      </w:r>
      <w:r w:rsidR="00D27ADB" w:rsidRPr="00BB1030">
        <w:rPr>
          <w:rFonts w:eastAsia="Calibri"/>
          <w:b/>
          <w:bCs/>
          <w:noProof/>
          <w:color w:val="4C4747"/>
          <w:lang w:val="es-419"/>
        </w:rPr>
        <w:t>Nivel de la satisfacción con el servicio</w:t>
      </w:r>
    </w:p>
    <w:p w14:paraId="6B5BEDE3" w14:textId="50326683" w:rsidR="00D27ADB"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Durante el presente año, el Ministerio de la Presidencia de la República Dominicana ha demostrado un compromiso destacado en el cumplimiento de sus objetivos acorde a los términos estipulados en la Carta Compromiso. La institución ha logrado mantener estándares de calidad, proporcionando respuestas oportunas y cumpliendo con los plazos establecidos. Estos indicadores positivos refuerzan la confianza en la capacidad del Ministerio de la Presidencia para brindar servicios que responden a las expectativas y necesidades de la ciudadanía</w:t>
      </w:r>
      <w:r w:rsidR="005E299F">
        <w:rPr>
          <w:rFonts w:eastAsia="Calibri"/>
          <w:noProof/>
          <w:color w:val="4C4747"/>
          <w:lang w:val="es-419"/>
        </w:rPr>
        <w:t>.</w:t>
      </w:r>
    </w:p>
    <w:p w14:paraId="1F58B877" w14:textId="77777777" w:rsidR="0063379A" w:rsidRDefault="0063379A" w:rsidP="00886F32">
      <w:pPr>
        <w:spacing w:after="0" w:line="360" w:lineRule="auto"/>
        <w:ind w:left="720"/>
        <w:jc w:val="both"/>
        <w:rPr>
          <w:rFonts w:eastAsia="Calibri"/>
          <w:noProof/>
          <w:color w:val="4C4747"/>
          <w:lang w:val="es-419"/>
        </w:rPr>
      </w:pPr>
    </w:p>
    <w:p w14:paraId="712FC3EB" w14:textId="165CA65A" w:rsidR="00D27ADB" w:rsidRPr="005E299F" w:rsidRDefault="005E299F" w:rsidP="004A7B4D">
      <w:pPr>
        <w:pStyle w:val="ListParagraph"/>
        <w:numPr>
          <w:ilvl w:val="1"/>
          <w:numId w:val="101"/>
        </w:numPr>
        <w:spacing w:after="0" w:line="360" w:lineRule="auto"/>
        <w:ind w:left="1080"/>
        <w:rPr>
          <w:rFonts w:eastAsia="Calibri"/>
          <w:b/>
          <w:bCs/>
          <w:noProof/>
          <w:color w:val="4C4747"/>
          <w:lang w:val="es-419"/>
        </w:rPr>
      </w:pPr>
      <w:r>
        <w:rPr>
          <w:rFonts w:eastAsia="Calibri"/>
          <w:b/>
          <w:bCs/>
          <w:noProof/>
          <w:color w:val="4C4747"/>
          <w:lang w:val="es-419"/>
        </w:rPr>
        <w:t xml:space="preserve"> </w:t>
      </w:r>
      <w:r w:rsidR="00D27ADB" w:rsidRPr="005E299F">
        <w:rPr>
          <w:rFonts w:eastAsia="Calibri"/>
          <w:b/>
          <w:bCs/>
          <w:noProof/>
          <w:color w:val="4C4747"/>
          <w:lang w:val="es-419"/>
        </w:rPr>
        <w:t>Nivel de cumplimiento acceso a la información</w:t>
      </w:r>
    </w:p>
    <w:p w14:paraId="407EE3A3" w14:textId="77777777" w:rsidR="00D27ADB" w:rsidRPr="00D27ADB"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 xml:space="preserve">Atendiendo a que este es un gobierno íntegro, transparente y de cambio, en este año el Departamento de Acceso a la </w:t>
      </w:r>
      <w:r w:rsidRPr="00D27ADB">
        <w:rPr>
          <w:rFonts w:eastAsia="Calibri"/>
          <w:noProof/>
          <w:color w:val="4C4747"/>
          <w:lang w:val="es-419"/>
        </w:rPr>
        <w:lastRenderedPageBreak/>
        <w:t>Información  Pública del Ministerio de la Presidencia ha recibido y atendido un total de Doscientos trece (213) solicitudes de información, recibidas por distintas vías, entre ellas, correo electrónico institucional, en formato físico y a través del Portal Único de Solicitudes de Acceso a la Información Pública (SAIP). Las mismas han sido respondidas en cumplimiento con la Ley No. 200-04 General de Libre Acceso a la Información Pública.</w:t>
      </w:r>
    </w:p>
    <w:p w14:paraId="2EBF8C3C" w14:textId="77777777" w:rsidR="00D27ADB"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Entre los ciudadanos de quienes hemos recibido dichas solicitudes se encuentran estudiantes universitarios, periodistas, abogados, gerentes de empresas, ingenieros, miembros de la sociedad civil y ciudadanos en general.</w:t>
      </w:r>
    </w:p>
    <w:p w14:paraId="27ABFEE2" w14:textId="77777777" w:rsidR="0063379A" w:rsidRPr="00D27ADB" w:rsidRDefault="0063379A" w:rsidP="00886F32">
      <w:pPr>
        <w:spacing w:after="0" w:line="360" w:lineRule="auto"/>
        <w:ind w:left="720"/>
        <w:jc w:val="both"/>
        <w:rPr>
          <w:rFonts w:eastAsia="Calibri"/>
          <w:noProof/>
          <w:color w:val="4C4747"/>
          <w:lang w:val="es-419"/>
        </w:rPr>
      </w:pPr>
    </w:p>
    <w:p w14:paraId="3E4FD8F9" w14:textId="77777777" w:rsidR="00D27ADB" w:rsidRPr="005E299F" w:rsidRDefault="00D27ADB" w:rsidP="004A7B4D">
      <w:pPr>
        <w:pStyle w:val="ListParagraph"/>
        <w:numPr>
          <w:ilvl w:val="1"/>
          <w:numId w:val="101"/>
        </w:numPr>
        <w:spacing w:after="0" w:line="360" w:lineRule="auto"/>
        <w:ind w:left="1080"/>
        <w:rPr>
          <w:rFonts w:eastAsia="Calibri"/>
          <w:b/>
          <w:bCs/>
          <w:noProof/>
          <w:color w:val="4C4747"/>
          <w:lang w:val="es-419"/>
        </w:rPr>
      </w:pPr>
      <w:r w:rsidRPr="005E299F">
        <w:rPr>
          <w:rFonts w:eastAsia="Calibri"/>
          <w:b/>
          <w:bCs/>
          <w:noProof/>
          <w:color w:val="4C4747"/>
          <w:lang w:val="es-419"/>
        </w:rPr>
        <w:t xml:space="preserve"> Resultados sistema de quejas, reclamos y sugerencias</w:t>
      </w:r>
    </w:p>
    <w:p w14:paraId="726055B0" w14:textId="205435C3" w:rsidR="00D27ADB" w:rsidRPr="00D27ADB"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Comprometidos con asistir de manera eficiente a los ciudadanos, el Ministerio de la Presidencia ha tramitado a las instituciones correspondientes y dado respuesta eficaz y oportuna a un total de ciento catorce (114) casos de quejas, reclamaciones y sugerencias que han tenido un satisfactorio desenlace para los usuarios.</w:t>
      </w:r>
    </w:p>
    <w:p w14:paraId="74C43D04" w14:textId="77777777" w:rsidR="00D27ADB" w:rsidRPr="00D27ADB" w:rsidRDefault="00D27ADB" w:rsidP="00886F32">
      <w:pPr>
        <w:spacing w:after="0" w:line="360" w:lineRule="auto"/>
        <w:ind w:left="720"/>
        <w:jc w:val="both"/>
        <w:rPr>
          <w:rFonts w:eastAsia="Calibri"/>
          <w:noProof/>
          <w:color w:val="4C4747"/>
          <w:lang w:val="es-419"/>
        </w:rPr>
      </w:pPr>
    </w:p>
    <w:p w14:paraId="2765BADD" w14:textId="77777777" w:rsidR="00D27ADB" w:rsidRPr="005E299F" w:rsidRDefault="00D27ADB" w:rsidP="004A7B4D">
      <w:pPr>
        <w:pStyle w:val="ListParagraph"/>
        <w:numPr>
          <w:ilvl w:val="1"/>
          <w:numId w:val="101"/>
        </w:numPr>
        <w:spacing w:after="0" w:line="360" w:lineRule="auto"/>
        <w:ind w:left="1080"/>
        <w:rPr>
          <w:rFonts w:eastAsia="Calibri"/>
          <w:b/>
          <w:bCs/>
          <w:noProof/>
          <w:color w:val="4C4747"/>
          <w:lang w:val="es-419"/>
        </w:rPr>
      </w:pPr>
      <w:r w:rsidRPr="005E299F">
        <w:rPr>
          <w:rFonts w:eastAsia="Calibri"/>
          <w:b/>
          <w:bCs/>
          <w:noProof/>
          <w:color w:val="4C4747"/>
          <w:lang w:val="es-419"/>
        </w:rPr>
        <w:t xml:space="preserve"> Resultados mediciones del portal de transparencia</w:t>
      </w:r>
    </w:p>
    <w:p w14:paraId="1C304606" w14:textId="77777777" w:rsidR="00D27ADB" w:rsidRDefault="00D27ADB" w:rsidP="00886F32">
      <w:pPr>
        <w:spacing w:after="0" w:line="360" w:lineRule="auto"/>
        <w:ind w:left="720"/>
        <w:jc w:val="both"/>
        <w:rPr>
          <w:rFonts w:eastAsia="Calibri"/>
          <w:noProof/>
          <w:color w:val="4C4747"/>
          <w:lang w:val="es-419"/>
        </w:rPr>
      </w:pPr>
      <w:r w:rsidRPr="00D27ADB">
        <w:rPr>
          <w:rFonts w:eastAsia="Calibri"/>
          <w:noProof/>
          <w:color w:val="4C4747"/>
          <w:lang w:val="es-419"/>
        </w:rPr>
        <w:t>De conformidad con la Resolución No. 002-2021 que crea el Portal Único de Transparencia y establece las Políticas de Estandarización de las Divisiones de Transparencia, la cual deroga a la Resolución No.001/2018, el Ministerio de la Presidencia obtuvo 97.61 puntos en la última evaluación realizada por el Órgano Rector en materia de Ética y Transparencia como lo es la Dirección General de Ética e Integridad Gubernamental.</w:t>
      </w:r>
    </w:p>
    <w:p w14:paraId="1D6EABB7" w14:textId="77777777" w:rsidR="00041187" w:rsidRPr="00D27ADB" w:rsidRDefault="00041187" w:rsidP="00886F32">
      <w:pPr>
        <w:spacing w:after="0" w:line="360" w:lineRule="auto"/>
        <w:ind w:left="720"/>
        <w:jc w:val="both"/>
        <w:rPr>
          <w:rFonts w:eastAsia="Calibri"/>
          <w:noProof/>
          <w:color w:val="4C4747"/>
          <w:lang w:val="es-419"/>
        </w:rPr>
      </w:pPr>
    </w:p>
    <w:p w14:paraId="30FF63ED" w14:textId="43479593" w:rsidR="00DD7615" w:rsidRPr="0052297B" w:rsidRDefault="00DD7615" w:rsidP="004A7B4D">
      <w:pPr>
        <w:pStyle w:val="Heading1"/>
        <w:numPr>
          <w:ilvl w:val="0"/>
          <w:numId w:val="101"/>
        </w:numPr>
        <w:spacing w:before="0"/>
        <w:ind w:left="720"/>
        <w:rPr>
          <w:color w:val="4C4747"/>
          <w:lang w:val="es-DO"/>
        </w:rPr>
      </w:pPr>
      <w:bookmarkStart w:id="135" w:name="_Toc217382626"/>
      <w:r w:rsidRPr="0052297B">
        <w:rPr>
          <w:color w:val="4C4747"/>
          <w:lang w:val="es-DO"/>
        </w:rPr>
        <w:lastRenderedPageBreak/>
        <w:t>PROYECCIONES AL PRÓXIMO AÑO</w:t>
      </w:r>
      <w:bookmarkEnd w:id="135"/>
    </w:p>
    <w:p w14:paraId="50A93A1D" w14:textId="77777777" w:rsidR="00DD7615" w:rsidRPr="0052297B" w:rsidRDefault="00DD7615" w:rsidP="00886F32">
      <w:pPr>
        <w:spacing w:after="0" w:line="360" w:lineRule="auto"/>
        <w:ind w:left="720"/>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553792" behindDoc="0" locked="0" layoutInCell="1" allowOverlap="1" wp14:anchorId="456CF742" wp14:editId="389DEAF9">
                <wp:simplePos x="0" y="0"/>
                <wp:positionH relativeFrom="margin">
                  <wp:align>center</wp:align>
                </wp:positionH>
                <wp:positionV relativeFrom="paragraph">
                  <wp:posOffset>46990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8535E" id="Straight Connector 11" o:spid="_x0000_s1026" style="position:absolute;z-index:251553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7pt" to="3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M0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" strokecolor="#ee2a24" strokeweight="2.25pt">
                <v:stroke joinstyle="miter"/>
                <w10:wrap anchorx="margin"/>
              </v:line>
            </w:pict>
          </mc:Fallback>
        </mc:AlternateContent>
      </w:r>
    </w:p>
    <w:p w14:paraId="07273B29" w14:textId="4491E2D1" w:rsidR="00DD7615" w:rsidRPr="0052297B" w:rsidRDefault="00DD7615" w:rsidP="00886F32">
      <w:pPr>
        <w:spacing w:after="0" w:line="360" w:lineRule="auto"/>
        <w:ind w:left="720"/>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w:t>
      </w:r>
      <w:r w:rsidR="00A5647B">
        <w:rPr>
          <w:rFonts w:eastAsia="Calibri"/>
          <w:color w:val="4C4747"/>
          <w:szCs w:val="36"/>
          <w:lang w:val="es-DO"/>
        </w:rPr>
        <w:t>25</w:t>
      </w:r>
    </w:p>
    <w:p w14:paraId="07155875" w14:textId="77777777" w:rsidR="00DD7615" w:rsidRPr="0052297B" w:rsidRDefault="00DD7615" w:rsidP="00886F32">
      <w:pPr>
        <w:spacing w:after="0" w:line="360" w:lineRule="auto"/>
        <w:ind w:left="720"/>
        <w:jc w:val="both"/>
        <w:rPr>
          <w:rFonts w:eastAsia="Calibri"/>
          <w:color w:val="4C4747"/>
          <w:lang w:val="es-DO"/>
        </w:rPr>
      </w:pPr>
    </w:p>
    <w:p w14:paraId="72A44FCE" w14:textId="77777777" w:rsidR="00470C75" w:rsidRPr="00470C75" w:rsidRDefault="00470C75" w:rsidP="00886F32">
      <w:pPr>
        <w:spacing w:after="0" w:line="360" w:lineRule="auto"/>
        <w:ind w:left="720"/>
        <w:jc w:val="center"/>
        <w:rPr>
          <w:rFonts w:eastAsia="Calibri"/>
          <w:b/>
          <w:bCs/>
          <w:noProof/>
          <w:color w:val="4C4747"/>
          <w:lang w:val="es-DO"/>
        </w:rPr>
      </w:pPr>
      <w:r w:rsidRPr="00470C75">
        <w:rPr>
          <w:rFonts w:eastAsia="Calibri"/>
          <w:b/>
          <w:bCs/>
          <w:noProof/>
          <w:color w:val="4C4747"/>
          <w:lang w:val="es-DO"/>
        </w:rPr>
        <w:t>Secretaría Técnica para la Soberanía y Seguridad Alimentaria y Nutricional (SETESSAN)</w:t>
      </w:r>
    </w:p>
    <w:p w14:paraId="7088A47A" w14:textId="642B77EB" w:rsidR="00270DA8" w:rsidRDefault="00270DA8" w:rsidP="00886F32">
      <w:pPr>
        <w:spacing w:after="0" w:line="360" w:lineRule="auto"/>
        <w:ind w:left="720"/>
        <w:jc w:val="both"/>
        <w:rPr>
          <w:rFonts w:eastAsia="Calibri"/>
          <w:noProof/>
          <w:color w:val="4C4747"/>
          <w:lang w:val="es-DO"/>
        </w:rPr>
      </w:pPr>
      <w:r w:rsidRPr="0087124E">
        <w:rPr>
          <w:rFonts w:eastAsia="Calibri"/>
          <w:noProof/>
          <w:color w:val="4C4747"/>
          <w:lang w:val="es-DO"/>
        </w:rPr>
        <w:t>En el marco de los desafíos actuales para garantizar la soberanía y seguridad alimentaria y nutricional, la Secretaría Técnica de S</w:t>
      </w:r>
      <w:r>
        <w:rPr>
          <w:rFonts w:eastAsia="Calibri"/>
          <w:noProof/>
          <w:color w:val="4C4747"/>
          <w:lang w:val="es-DO"/>
        </w:rPr>
        <w:t xml:space="preserve">oberanía y Seguridad Alimentaria y Nutricional, </w:t>
      </w:r>
      <w:r w:rsidRPr="0087124E">
        <w:rPr>
          <w:rFonts w:eastAsia="Calibri"/>
          <w:noProof/>
          <w:color w:val="4C4747"/>
          <w:lang w:val="es-DO"/>
        </w:rPr>
        <w:t>proyecta para 202</w:t>
      </w:r>
      <w:r>
        <w:rPr>
          <w:rFonts w:eastAsia="Calibri"/>
          <w:noProof/>
          <w:color w:val="4C4747"/>
          <w:lang w:val="es-DO"/>
        </w:rPr>
        <w:t>6</w:t>
      </w:r>
      <w:r w:rsidRPr="0087124E">
        <w:rPr>
          <w:rFonts w:eastAsia="Calibri"/>
          <w:noProof/>
          <w:color w:val="4C4747"/>
          <w:lang w:val="es-DO"/>
        </w:rPr>
        <w:t xml:space="preserve"> un fortalecimiento integral de sus mecanismos de monitoreo, </w:t>
      </w:r>
      <w:r>
        <w:rPr>
          <w:rFonts w:eastAsia="Calibri"/>
          <w:noProof/>
          <w:color w:val="4C4747"/>
          <w:lang w:val="es-DO"/>
        </w:rPr>
        <w:t>implementación</w:t>
      </w:r>
      <w:r w:rsidRPr="0087124E">
        <w:rPr>
          <w:rFonts w:eastAsia="Calibri"/>
          <w:noProof/>
          <w:color w:val="4C4747"/>
          <w:lang w:val="es-DO"/>
        </w:rPr>
        <w:t xml:space="preserve"> de políticas públ</w:t>
      </w:r>
      <w:r>
        <w:rPr>
          <w:rFonts w:eastAsia="Calibri"/>
          <w:noProof/>
          <w:color w:val="4C4747"/>
          <w:lang w:val="es-DO"/>
        </w:rPr>
        <w:t xml:space="preserve">icas a nivel territorial </w:t>
      </w:r>
      <w:r w:rsidRPr="0087124E">
        <w:rPr>
          <w:rFonts w:eastAsia="Calibri"/>
          <w:noProof/>
          <w:color w:val="4C4747"/>
          <w:lang w:val="es-DO"/>
        </w:rPr>
        <w:t xml:space="preserve">y coordinación interinstitucional. </w:t>
      </w:r>
    </w:p>
    <w:p w14:paraId="451AC4FF" w14:textId="77777777" w:rsidR="00270DA8" w:rsidRDefault="00270DA8" w:rsidP="00886F32">
      <w:pPr>
        <w:spacing w:after="0" w:line="360" w:lineRule="auto"/>
        <w:ind w:left="720"/>
        <w:jc w:val="both"/>
        <w:rPr>
          <w:rFonts w:eastAsia="Calibri"/>
          <w:noProof/>
          <w:color w:val="4C4747"/>
          <w:lang w:val="es-DO"/>
        </w:rPr>
      </w:pPr>
      <w:r w:rsidRPr="0087124E">
        <w:rPr>
          <w:rFonts w:eastAsia="Calibri"/>
          <w:noProof/>
          <w:color w:val="4C4747"/>
          <w:lang w:val="es-DO"/>
        </w:rPr>
        <w:t>Estas acciones buscan consolidar un enfoque estratégico y basado en evidencia para responder a las necesidades alimentarias y nutricionales de la población, con énfasis en la sostenibilidad y la eficiencia</w:t>
      </w:r>
      <w:r>
        <w:rPr>
          <w:rFonts w:eastAsia="Calibri"/>
          <w:noProof/>
          <w:color w:val="4C4747"/>
          <w:lang w:val="es-DO"/>
        </w:rPr>
        <w:t xml:space="preserve">; y sobretodo con el objetivo de avanzar hacia el logro de la meta presidencial Hambre Cero. </w:t>
      </w:r>
    </w:p>
    <w:p w14:paraId="004AC1B9" w14:textId="77777777" w:rsidR="00F408B0" w:rsidRDefault="00F408B0" w:rsidP="00886F32">
      <w:pPr>
        <w:spacing w:after="0" w:line="360" w:lineRule="auto"/>
        <w:ind w:left="720"/>
        <w:jc w:val="both"/>
        <w:rPr>
          <w:rFonts w:eastAsia="Calibri"/>
          <w:noProof/>
          <w:color w:val="4C4747"/>
          <w:lang w:val="es-DO"/>
        </w:rPr>
      </w:pPr>
    </w:p>
    <w:p w14:paraId="2F043B09" w14:textId="6DAC266B" w:rsidR="00270DA8" w:rsidRPr="00E40151"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A lo largo del período 2026, la SETESSAN proyecta un fortalecimiento integral de los mecanismos de seguimiento, coordinación y comunicación que sustentan la soberanía y la seguridad alimentaria y nutricional del país. Uno de los avances más significativos será la consolidación de un sistema robusto de monitoreo de indicadores, orientado a evaluar de manera precisa los progresos del Plan SSAN, identificar de forma temprana áreas críticas y asegurar que la toma de decisiones se apoye en datos confiables y actualizados. Este esfuerzo permitirá un seguimiento continuo y la posibilidad de realizar ajustes estratégicos en tiempo real, garantizando una gestión más eficiente y oportuna.</w:t>
      </w:r>
    </w:p>
    <w:p w14:paraId="632F4EB2" w14:textId="77777777" w:rsidR="00F408B0" w:rsidRDefault="00F408B0" w:rsidP="00886F32">
      <w:pPr>
        <w:spacing w:after="0" w:line="360" w:lineRule="auto"/>
        <w:ind w:left="720"/>
        <w:jc w:val="both"/>
        <w:rPr>
          <w:rFonts w:eastAsia="Calibri"/>
          <w:noProof/>
          <w:color w:val="4C4747"/>
          <w:lang w:val="es-DO"/>
        </w:rPr>
      </w:pPr>
    </w:p>
    <w:p w14:paraId="50599E49" w14:textId="4EF68A95" w:rsidR="00270DA8"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lastRenderedPageBreak/>
        <w:t xml:space="preserve">A partir de la evidencia generada por el monitoreo, se impulsará la formulación y el redireccionamiento de políticas públicas, especialmente aquellas vinculadas al Plan Hambre Cero. </w:t>
      </w:r>
    </w:p>
    <w:p w14:paraId="55874D9F" w14:textId="77777777" w:rsidR="00F408B0" w:rsidRDefault="00F408B0" w:rsidP="00886F32">
      <w:pPr>
        <w:spacing w:after="0" w:line="360" w:lineRule="auto"/>
        <w:ind w:left="720"/>
        <w:jc w:val="both"/>
        <w:rPr>
          <w:rFonts w:eastAsia="Calibri"/>
          <w:noProof/>
          <w:color w:val="4C4747"/>
          <w:lang w:val="es-DO"/>
        </w:rPr>
      </w:pPr>
    </w:p>
    <w:p w14:paraId="191A4471" w14:textId="28EADF5A" w:rsidR="00270DA8" w:rsidRPr="00E40151"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Esto permitirá que las políticas del sector sean más inclusivas, sostenibles y alineadas con las necesidades reales de la población. La actualización constante de estas políticas responderá a los desafíos emergentes, optimizará los recursos disponibles y asegurará intervenciones efectivas frente a las diversas manifestaciones de la malnutrición y la inseguridad alimentaria.</w:t>
      </w:r>
    </w:p>
    <w:p w14:paraId="66AF39D3" w14:textId="77777777" w:rsidR="00F408B0" w:rsidRDefault="00F408B0" w:rsidP="00886F32">
      <w:pPr>
        <w:spacing w:after="0" w:line="360" w:lineRule="auto"/>
        <w:ind w:left="720"/>
        <w:jc w:val="both"/>
        <w:rPr>
          <w:rFonts w:eastAsia="Calibri"/>
          <w:noProof/>
          <w:color w:val="4C4747"/>
          <w:lang w:val="es-DO"/>
        </w:rPr>
      </w:pPr>
    </w:p>
    <w:p w14:paraId="1FC06870" w14:textId="42B9A301" w:rsidR="00270DA8" w:rsidRPr="00E40151"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De manera complementaria, la implementación de las líneas de acción del Plan SSAN será objeto de una evaluación permanente que permitirá reforzar su alcance y eficacia. Este seguimiento garantizará una respuesta adecuada a las problemáticas identificadas y promoverá la sostenibilidad de las acciones a mediano y largo plazo, asegurando que las estrategias ejecutadas traduzcan avances concretos en los territorios y entre los grupos poblacionales priorizados.</w:t>
      </w:r>
    </w:p>
    <w:p w14:paraId="1894C2E1" w14:textId="77777777" w:rsidR="00F408B0" w:rsidRDefault="00F408B0" w:rsidP="00886F32">
      <w:pPr>
        <w:spacing w:after="0" w:line="360" w:lineRule="auto"/>
        <w:ind w:left="720"/>
        <w:jc w:val="both"/>
        <w:rPr>
          <w:rFonts w:eastAsia="Calibri"/>
          <w:noProof/>
          <w:color w:val="4C4747"/>
          <w:lang w:val="es-DO"/>
        </w:rPr>
      </w:pPr>
    </w:p>
    <w:p w14:paraId="33734BCF" w14:textId="6B4A3309" w:rsidR="00270DA8" w:rsidRPr="00E40151"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 xml:space="preserve">En este marco, el fortalecimiento de las mesas interinstitucionales de trabajo constituye un elemento clave para afianzar la gobernanza del sistema. Durante 2026 se impulsará una coordinación más eficiente entre las instituciones que integran el SINASSAN, estableciendo responsabilidades claras y aprovechando al máximo las sinergias existentes. Esta articulación permitirá evitar duplicidades, optimizar recursos humanos y financieros, y </w:t>
      </w:r>
      <w:r w:rsidRPr="00E40151">
        <w:rPr>
          <w:rFonts w:eastAsia="Calibri"/>
          <w:noProof/>
          <w:color w:val="4C4747"/>
          <w:lang w:val="es-DO"/>
        </w:rPr>
        <w:lastRenderedPageBreak/>
        <w:t>consolidar una estructura operativa más cohesionada y estratégica.</w:t>
      </w:r>
    </w:p>
    <w:p w14:paraId="3D13BE11" w14:textId="77777777" w:rsidR="00F408B0" w:rsidRDefault="00F408B0" w:rsidP="00886F32">
      <w:pPr>
        <w:spacing w:after="0" w:line="360" w:lineRule="auto"/>
        <w:ind w:left="720"/>
        <w:jc w:val="both"/>
        <w:rPr>
          <w:rFonts w:eastAsia="Calibri"/>
          <w:noProof/>
          <w:color w:val="4C4747"/>
          <w:lang w:val="es-DO"/>
        </w:rPr>
      </w:pPr>
    </w:p>
    <w:p w14:paraId="693003BC" w14:textId="1E04E6B7" w:rsidR="00270DA8"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 xml:space="preserve">Asimismo, la SETESSAN proyecta la creación y consolidación de un sistema integral de información y difusión sobre Seguridad Alimentaria y Nutricional que permita ampliar el acceso a datos, fortalecer la rendición de cuentas y fomentar la participación ciudadana. </w:t>
      </w:r>
    </w:p>
    <w:p w14:paraId="01A3F1BC" w14:textId="77777777" w:rsidR="00F408B0" w:rsidRDefault="00F408B0" w:rsidP="00886F32">
      <w:pPr>
        <w:spacing w:after="0" w:line="360" w:lineRule="auto"/>
        <w:ind w:left="720"/>
        <w:jc w:val="both"/>
        <w:rPr>
          <w:rFonts w:eastAsia="Calibri"/>
          <w:noProof/>
          <w:color w:val="4C4747"/>
          <w:lang w:val="es-DO"/>
        </w:rPr>
      </w:pPr>
    </w:p>
    <w:p w14:paraId="720C44B2" w14:textId="396F65DF" w:rsidR="00270DA8" w:rsidRPr="00E40151"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 xml:space="preserve">Entre las metas destacan la ampliación del Sistema Nacional de Seguimiento y Monitoreo del Plan SSAN —con nuevas visualizaciones, fichas técnicas e informes automatizados—, el </w:t>
      </w:r>
      <w:r>
        <w:rPr>
          <w:rFonts w:eastAsia="Calibri"/>
          <w:noProof/>
          <w:color w:val="4C4747"/>
          <w:lang w:val="es-DO"/>
        </w:rPr>
        <w:t>fortalecimiento</w:t>
      </w:r>
      <w:r w:rsidRPr="00E40151">
        <w:rPr>
          <w:rFonts w:eastAsia="Calibri"/>
          <w:noProof/>
          <w:color w:val="4C4747"/>
          <w:lang w:val="es-DO"/>
        </w:rPr>
        <w:t xml:space="preserve"> de un portal público SAN que reúna información actualizada y accesible, y la</w:t>
      </w:r>
      <w:r>
        <w:rPr>
          <w:rFonts w:eastAsia="Calibri"/>
          <w:noProof/>
          <w:color w:val="4C4747"/>
          <w:lang w:val="es-DO"/>
        </w:rPr>
        <w:t xml:space="preserve"> continuidad de</w:t>
      </w:r>
      <w:r w:rsidRPr="00E40151">
        <w:rPr>
          <w:rFonts w:eastAsia="Calibri"/>
          <w:noProof/>
          <w:color w:val="4C4747"/>
          <w:lang w:val="es-DO"/>
        </w:rPr>
        <w:t xml:space="preserve"> </w:t>
      </w:r>
      <w:r>
        <w:rPr>
          <w:rFonts w:eastAsia="Calibri"/>
          <w:noProof/>
          <w:color w:val="4C4747"/>
          <w:lang w:val="es-DO"/>
        </w:rPr>
        <w:t>capacitaciones y campañas</w:t>
      </w:r>
      <w:r w:rsidRPr="00E40151">
        <w:rPr>
          <w:rFonts w:eastAsia="Calibri"/>
          <w:noProof/>
          <w:color w:val="4C4747"/>
          <w:lang w:val="es-DO"/>
        </w:rPr>
        <w:t xml:space="preserve"> educativas orientadas</w:t>
      </w:r>
      <w:r>
        <w:rPr>
          <w:rFonts w:eastAsia="Calibri"/>
          <w:noProof/>
          <w:color w:val="4C4747"/>
          <w:lang w:val="es-DO"/>
        </w:rPr>
        <w:t xml:space="preserve"> en esta materia</w:t>
      </w:r>
      <w:r w:rsidRPr="00E40151">
        <w:rPr>
          <w:rFonts w:eastAsia="Calibri"/>
          <w:noProof/>
          <w:color w:val="4C4747"/>
          <w:lang w:val="es-DO"/>
        </w:rPr>
        <w:t xml:space="preserve"> a gobiernos locales, productores, comunidades y otros actores clave. Este esfuerzo será acompañado por una estrategia de comunicación interinstitucional del SINASSAN, que asegurará mensajes unificados, contenidos pedagógicos y evidencia técnica disponible para todos los niveles del sistema.</w:t>
      </w:r>
    </w:p>
    <w:p w14:paraId="2A97C70E" w14:textId="77777777" w:rsidR="00F408B0" w:rsidRDefault="00F408B0" w:rsidP="00886F32">
      <w:pPr>
        <w:spacing w:after="0" w:line="360" w:lineRule="auto"/>
        <w:ind w:left="720"/>
        <w:jc w:val="both"/>
        <w:rPr>
          <w:rFonts w:eastAsia="Calibri"/>
          <w:noProof/>
          <w:color w:val="4C4747"/>
          <w:lang w:val="es-DO"/>
        </w:rPr>
      </w:pPr>
    </w:p>
    <w:p w14:paraId="5BB4551A" w14:textId="097D64FC" w:rsidR="00270DA8" w:rsidRDefault="00270DA8" w:rsidP="00886F32">
      <w:pPr>
        <w:spacing w:after="0" w:line="360" w:lineRule="auto"/>
        <w:ind w:left="720"/>
        <w:jc w:val="both"/>
        <w:rPr>
          <w:rFonts w:eastAsia="Calibri"/>
          <w:noProof/>
          <w:color w:val="4C4747"/>
          <w:lang w:val="es-DO"/>
        </w:rPr>
      </w:pPr>
      <w:r w:rsidRPr="00E40151">
        <w:rPr>
          <w:rFonts w:eastAsia="Calibri"/>
          <w:noProof/>
          <w:color w:val="4C4747"/>
          <w:lang w:val="es-DO"/>
        </w:rPr>
        <w:t xml:space="preserve">Con este conjunto de acciones, la Secretaría Técnica se consolida como un ente articulador fundamental en la construcción de políticas públicas basadas en evidencia, orientadas a garantizar el derecho a una alimentación adecuada. Las proyecciones para 2026 anticipan mejoras sustanciales en los indicadores de soberanía y seguridad alimentaria, una reducción de las brechas que afectan a los sectores más vulnerables y la creación de un modelo replicable de gobernanza que fortalezca la capacidad del país para </w:t>
      </w:r>
      <w:r w:rsidRPr="00E40151">
        <w:rPr>
          <w:rFonts w:eastAsia="Calibri"/>
          <w:noProof/>
          <w:color w:val="4C4747"/>
          <w:lang w:val="es-DO"/>
        </w:rPr>
        <w:lastRenderedPageBreak/>
        <w:t>avanzar hacia sistemas alimentarios más sostenibles, inclusivos y resilientes.</w:t>
      </w:r>
    </w:p>
    <w:p w14:paraId="316868BA" w14:textId="77777777" w:rsidR="004F3574" w:rsidRDefault="004F3574" w:rsidP="00886F32">
      <w:pPr>
        <w:spacing w:after="0" w:line="360" w:lineRule="auto"/>
        <w:ind w:left="720"/>
        <w:jc w:val="both"/>
        <w:rPr>
          <w:rFonts w:eastAsia="Calibri"/>
          <w:noProof/>
          <w:color w:val="4C4747"/>
          <w:lang w:val="es-DO"/>
        </w:rPr>
      </w:pPr>
    </w:p>
    <w:p w14:paraId="37741176" w14:textId="77777777" w:rsidR="004F3574" w:rsidRPr="00366DD1" w:rsidRDefault="004F3574" w:rsidP="00886F32">
      <w:pPr>
        <w:spacing w:after="0" w:line="360" w:lineRule="auto"/>
        <w:ind w:left="720"/>
        <w:jc w:val="center"/>
        <w:rPr>
          <w:rFonts w:eastAsia="Calibri"/>
          <w:b/>
          <w:bCs/>
          <w:noProof/>
          <w:color w:val="4C4747"/>
          <w:lang w:val="es-DO"/>
        </w:rPr>
      </w:pPr>
      <w:r w:rsidRPr="00366DD1">
        <w:rPr>
          <w:rFonts w:eastAsia="Calibri"/>
          <w:b/>
          <w:bCs/>
          <w:noProof/>
          <w:color w:val="4C4747"/>
          <w:lang w:val="es-DO"/>
        </w:rPr>
        <w:t>Viceministerio de Desarrollo Social</w:t>
      </w:r>
    </w:p>
    <w:p w14:paraId="7ACEAF1C" w14:textId="05FD3F50" w:rsidR="004F3574" w:rsidRDefault="004F3574" w:rsidP="00886F32">
      <w:pPr>
        <w:pStyle w:val="ListParagraph"/>
        <w:numPr>
          <w:ilvl w:val="0"/>
          <w:numId w:val="5"/>
        </w:numPr>
        <w:spacing w:after="0" w:line="360" w:lineRule="auto"/>
        <w:ind w:left="720"/>
        <w:rPr>
          <w:rFonts w:eastAsia="Calibri"/>
          <w:noProof/>
          <w:color w:val="4C4747"/>
        </w:rPr>
      </w:pPr>
      <w:r w:rsidRPr="00861119">
        <w:rPr>
          <w:rFonts w:eastAsia="Calibri"/>
          <w:noProof/>
          <w:color w:val="4C4747"/>
        </w:rPr>
        <w:t>Mayor cobertura</w:t>
      </w:r>
      <w:r w:rsidR="00FC661A">
        <w:rPr>
          <w:rFonts w:eastAsia="Calibri"/>
          <w:noProof/>
          <w:color w:val="4C4747"/>
        </w:rPr>
        <w:t xml:space="preserve"> en los servicios ofrecidos</w:t>
      </w:r>
      <w:r w:rsidRPr="00861119">
        <w:rPr>
          <w:rFonts w:eastAsia="Calibri"/>
          <w:noProof/>
          <w:color w:val="4C4747"/>
        </w:rPr>
        <w:t xml:space="preserve"> de asistencia social.</w:t>
      </w:r>
    </w:p>
    <w:p w14:paraId="111E72C3" w14:textId="77777777" w:rsidR="004F3574" w:rsidRDefault="004F3574" w:rsidP="00886F32">
      <w:pPr>
        <w:pStyle w:val="ListParagraph"/>
        <w:numPr>
          <w:ilvl w:val="0"/>
          <w:numId w:val="5"/>
        </w:numPr>
        <w:spacing w:after="0" w:line="360" w:lineRule="auto"/>
        <w:ind w:left="720"/>
        <w:rPr>
          <w:rFonts w:eastAsia="Calibri"/>
          <w:noProof/>
          <w:color w:val="4C4747"/>
        </w:rPr>
      </w:pPr>
      <w:r>
        <w:rPr>
          <w:rFonts w:eastAsia="Calibri"/>
          <w:noProof/>
          <w:color w:val="4C4747"/>
        </w:rPr>
        <w:t>Capacidad de respuesta ante emergencias y crisis sociales.</w:t>
      </w:r>
    </w:p>
    <w:p w14:paraId="2C9545C7" w14:textId="432D2881" w:rsidR="004F3574" w:rsidRDefault="004F3574" w:rsidP="00886F32">
      <w:pPr>
        <w:pStyle w:val="ListParagraph"/>
        <w:numPr>
          <w:ilvl w:val="0"/>
          <w:numId w:val="5"/>
        </w:numPr>
        <w:spacing w:after="0" w:line="360" w:lineRule="auto"/>
        <w:ind w:left="720"/>
        <w:rPr>
          <w:rFonts w:eastAsia="Calibri"/>
          <w:noProof/>
          <w:color w:val="4C4747"/>
        </w:rPr>
      </w:pPr>
      <w:r>
        <w:rPr>
          <w:rFonts w:eastAsia="Calibri"/>
          <w:noProof/>
          <w:color w:val="4C4747"/>
        </w:rPr>
        <w:t>Gestionar la creación del observatorio de comportamiento social.</w:t>
      </w:r>
    </w:p>
    <w:p w14:paraId="75A2BA35" w14:textId="3677B73A" w:rsidR="004F3574" w:rsidRPr="000B0140" w:rsidRDefault="004F3574" w:rsidP="00886F32">
      <w:pPr>
        <w:pStyle w:val="ListParagraph"/>
        <w:numPr>
          <w:ilvl w:val="0"/>
          <w:numId w:val="5"/>
        </w:numPr>
        <w:spacing w:after="0" w:line="360" w:lineRule="auto"/>
        <w:ind w:left="720"/>
        <w:rPr>
          <w:rFonts w:eastAsia="Calibri"/>
          <w:noProof/>
          <w:color w:val="4C4747"/>
        </w:rPr>
      </w:pPr>
      <w:r>
        <w:rPr>
          <w:rFonts w:eastAsia="Calibri"/>
          <w:noProof/>
          <w:color w:val="4C4747"/>
        </w:rPr>
        <w:t>Creación del Indice de empoderamiento social basada en las recepciones de manifestaciones</w:t>
      </w:r>
      <w:r w:rsidR="00FC661A">
        <w:rPr>
          <w:rFonts w:eastAsia="Calibri"/>
          <w:noProof/>
          <w:color w:val="4C4747"/>
        </w:rPr>
        <w:t>.</w:t>
      </w:r>
    </w:p>
    <w:p w14:paraId="78D250D6" w14:textId="77777777" w:rsidR="004F3574" w:rsidRPr="00E40151" w:rsidRDefault="004F3574" w:rsidP="00886F32">
      <w:pPr>
        <w:spacing w:after="0" w:line="360" w:lineRule="auto"/>
        <w:ind w:left="720"/>
        <w:jc w:val="both"/>
        <w:rPr>
          <w:rFonts w:eastAsia="Calibri"/>
          <w:noProof/>
          <w:color w:val="4C4747"/>
          <w:lang w:val="es-DO"/>
        </w:rPr>
      </w:pPr>
    </w:p>
    <w:p w14:paraId="3AA0E831" w14:textId="77EAC7FA" w:rsidR="004100B9" w:rsidRPr="00366DD1" w:rsidRDefault="004100B9" w:rsidP="00886F32">
      <w:pPr>
        <w:spacing w:after="0" w:line="360" w:lineRule="auto"/>
        <w:ind w:left="720"/>
        <w:jc w:val="center"/>
        <w:rPr>
          <w:rFonts w:eastAsia="Calibri"/>
          <w:b/>
          <w:bCs/>
          <w:noProof/>
          <w:color w:val="4C4747"/>
          <w:lang w:val="es-DO"/>
        </w:rPr>
      </w:pPr>
      <w:r w:rsidRPr="00366DD1">
        <w:rPr>
          <w:rFonts w:eastAsia="Calibri"/>
          <w:b/>
          <w:bCs/>
          <w:noProof/>
          <w:color w:val="4C4747"/>
          <w:lang w:val="es-DO"/>
        </w:rPr>
        <w:t>Dirección de Recursos Humanos</w:t>
      </w:r>
    </w:p>
    <w:p w14:paraId="31C16760" w14:textId="74FE0891" w:rsidR="00366DD1" w:rsidRDefault="00366DD1" w:rsidP="00886F32">
      <w:pPr>
        <w:spacing w:after="0" w:line="360" w:lineRule="auto"/>
        <w:ind w:left="720"/>
        <w:jc w:val="both"/>
        <w:rPr>
          <w:rFonts w:eastAsia="Calibri"/>
          <w:color w:val="4C4747"/>
          <w:lang w:val="es-DO"/>
        </w:rPr>
      </w:pPr>
      <w:r>
        <w:rPr>
          <w:rFonts w:eastAsia="Calibri"/>
          <w:color w:val="4C4747"/>
          <w:lang w:val="es-DO"/>
        </w:rPr>
        <w:t>Para el próximo año 2026 nos orientamos principalmente a promover la integración del personal, considerando el traspaso a MINPRE de nuevos colaboradores, como resultado de la fusión MEPYD-MINPRE. Para ello, se coordinarán actividades de integración, publicaciones de nuestra misión, visión y valores, difusión de capsulas sobre procesos claves, esto con la finalidad de alinear los nuevos miembros con la cultura, comportamientos y generar sentido de pertenencia y compromiso.</w:t>
      </w:r>
    </w:p>
    <w:p w14:paraId="685D2B4C" w14:textId="77777777" w:rsidR="00DD2D46" w:rsidRDefault="00DD2D46" w:rsidP="00886F32">
      <w:pPr>
        <w:spacing w:after="0" w:line="360" w:lineRule="auto"/>
        <w:ind w:left="720"/>
        <w:jc w:val="both"/>
        <w:rPr>
          <w:rFonts w:eastAsia="Calibri"/>
          <w:color w:val="4C4747"/>
          <w:lang w:val="es-DO"/>
        </w:rPr>
      </w:pPr>
    </w:p>
    <w:p w14:paraId="2E42128A" w14:textId="7F43D55C" w:rsidR="00366DD1" w:rsidRDefault="00366DD1" w:rsidP="00886F32">
      <w:pPr>
        <w:spacing w:after="0" w:line="360" w:lineRule="auto"/>
        <w:ind w:left="720"/>
        <w:jc w:val="both"/>
        <w:rPr>
          <w:rFonts w:eastAsia="Calibri"/>
          <w:color w:val="4C4747"/>
          <w:lang w:val="es-DO"/>
        </w:rPr>
      </w:pPr>
      <w:r>
        <w:rPr>
          <w:rFonts w:eastAsia="Calibri"/>
          <w:color w:val="4C4747"/>
          <w:lang w:val="es-DO"/>
        </w:rPr>
        <w:t xml:space="preserve">De igual manera para el 2026 nos planteamos potencializar la plataforma de aprendizaje virtual </w:t>
      </w:r>
      <w:proofErr w:type="spellStart"/>
      <w:r>
        <w:rPr>
          <w:rFonts w:eastAsia="Calibri"/>
          <w:color w:val="4C4747"/>
          <w:lang w:val="es-DO"/>
        </w:rPr>
        <w:t>Academy</w:t>
      </w:r>
      <w:proofErr w:type="spellEnd"/>
      <w:r>
        <w:rPr>
          <w:rFonts w:eastAsia="Calibri"/>
          <w:color w:val="4C4747"/>
          <w:lang w:val="es-DO"/>
        </w:rPr>
        <w:t>-Minpre, con miras a tener un mayor alcance y reducir gastos en capacitación. Serán incorporados nuevos programas formativos que respondan a las necesidades y brechas de competencias identificadas mediante la evaluación del desempeño y otros medios.</w:t>
      </w:r>
    </w:p>
    <w:p w14:paraId="73EB3949" w14:textId="77777777" w:rsidR="00366DD1" w:rsidRDefault="00366DD1" w:rsidP="00886F32">
      <w:pPr>
        <w:spacing w:after="0" w:line="360" w:lineRule="auto"/>
        <w:ind w:left="720"/>
        <w:jc w:val="both"/>
        <w:rPr>
          <w:rFonts w:eastAsia="Calibri"/>
          <w:color w:val="4C4747"/>
          <w:lang w:val="es-DO"/>
        </w:rPr>
      </w:pPr>
      <w:r>
        <w:rPr>
          <w:rFonts w:eastAsia="Calibri"/>
          <w:color w:val="4C4747"/>
          <w:lang w:val="es-DO"/>
        </w:rPr>
        <w:lastRenderedPageBreak/>
        <w:t>Por otro lado, fortaleceremos las iniciativas de bienestar laboral propiciando las pausas activas, a través de promover pequeños descansos durante la jornada laboral, para evitar el estrés, mejorar la concentración, aumentar la creatividad y prevenir el agotamiento mental.</w:t>
      </w:r>
    </w:p>
    <w:p w14:paraId="24F980BD" w14:textId="77777777" w:rsidR="00BB1030" w:rsidRDefault="00BB1030" w:rsidP="00886F32">
      <w:pPr>
        <w:spacing w:after="0" w:line="360" w:lineRule="auto"/>
        <w:ind w:left="720"/>
        <w:jc w:val="both"/>
        <w:rPr>
          <w:rFonts w:eastAsia="Calibri"/>
          <w:color w:val="4C4747"/>
          <w:lang w:val="es-DO"/>
        </w:rPr>
      </w:pPr>
    </w:p>
    <w:p w14:paraId="09DC4DE3" w14:textId="23813434" w:rsidR="005E7BEE" w:rsidRPr="00366DD1" w:rsidRDefault="005E7BEE" w:rsidP="00886F32">
      <w:pPr>
        <w:spacing w:after="0" w:line="360" w:lineRule="auto"/>
        <w:ind w:left="720"/>
        <w:jc w:val="center"/>
        <w:rPr>
          <w:rFonts w:eastAsia="Calibri"/>
          <w:b/>
          <w:bCs/>
          <w:noProof/>
          <w:color w:val="4C4747"/>
          <w:lang w:val="es-DO"/>
        </w:rPr>
      </w:pPr>
      <w:r w:rsidRPr="00366DD1">
        <w:rPr>
          <w:rFonts w:eastAsia="Calibri"/>
          <w:b/>
          <w:bCs/>
          <w:noProof/>
          <w:color w:val="4C4747"/>
          <w:lang w:val="es-DO"/>
        </w:rPr>
        <w:t xml:space="preserve">Dirección de </w:t>
      </w:r>
      <w:r w:rsidRPr="005E7BEE">
        <w:rPr>
          <w:rFonts w:eastAsia="Calibri"/>
          <w:b/>
          <w:bCs/>
          <w:noProof/>
          <w:color w:val="4C4747"/>
          <w:lang w:val="es-DO"/>
        </w:rPr>
        <w:t>Tecnologías de la Información y Comunicación</w:t>
      </w:r>
    </w:p>
    <w:p w14:paraId="6F8889CF" w14:textId="77777777" w:rsidR="005E7BEE" w:rsidRDefault="005E7BEE" w:rsidP="00886F32">
      <w:pPr>
        <w:spacing w:after="0" w:line="360" w:lineRule="auto"/>
        <w:ind w:left="720"/>
        <w:jc w:val="both"/>
        <w:rPr>
          <w:rFonts w:eastAsia="Calibri"/>
          <w:noProof/>
          <w:color w:val="4C4747"/>
          <w:lang w:val="es-DO"/>
        </w:rPr>
      </w:pPr>
      <w:r w:rsidRPr="003A2965">
        <w:rPr>
          <w:rFonts w:eastAsia="Calibri"/>
          <w:noProof/>
          <w:color w:val="4C4747"/>
          <w:lang w:val="es-DO"/>
        </w:rPr>
        <w:t xml:space="preserve">La planificación estratégica de la Dirección de Tecnologías de la Información y Comunicación (DTIC) para el próximo año </w:t>
      </w:r>
      <w:r>
        <w:rPr>
          <w:rFonts w:eastAsia="Calibri"/>
          <w:noProof/>
          <w:color w:val="4C4747"/>
          <w:lang w:val="es-DO"/>
        </w:rPr>
        <w:t xml:space="preserve">debe </w:t>
      </w:r>
      <w:r w:rsidRPr="003A2965">
        <w:rPr>
          <w:rFonts w:eastAsia="Calibri"/>
          <w:noProof/>
          <w:color w:val="4C4747"/>
          <w:lang w:val="es-DO"/>
        </w:rPr>
        <w:t>responde</w:t>
      </w:r>
      <w:r>
        <w:rPr>
          <w:rFonts w:eastAsia="Calibri"/>
          <w:noProof/>
          <w:color w:val="4C4747"/>
          <w:lang w:val="es-DO"/>
        </w:rPr>
        <w:t>r</w:t>
      </w:r>
      <w:r w:rsidRPr="003A2965">
        <w:rPr>
          <w:rFonts w:eastAsia="Calibri"/>
          <w:noProof/>
          <w:color w:val="4C4747"/>
          <w:lang w:val="es-DO"/>
        </w:rPr>
        <w:t xml:space="preserve"> a la necesidad de fortalecer, modernizar y expandir las capacidades tecnológicas del Ministerio, en concordancia con los objetivos institucionales y los lineamientos de Gobierno Digital. Las proyecciones propuestas se fundamentan en el crecimiento sostenido de las demandas tecnológicas, la necesidad de mejora continua y la importancia de asegurar la estabilidad operativa de los sistemas institucionales.</w:t>
      </w:r>
    </w:p>
    <w:p w14:paraId="5D4CDD83" w14:textId="77777777" w:rsidR="00DD2D46" w:rsidRDefault="00DD2D46" w:rsidP="00886F32">
      <w:pPr>
        <w:spacing w:after="0" w:line="360" w:lineRule="auto"/>
        <w:ind w:left="720"/>
        <w:jc w:val="both"/>
        <w:rPr>
          <w:color w:val="4C4747"/>
          <w:lang w:val="es-DO"/>
        </w:rPr>
      </w:pPr>
    </w:p>
    <w:p w14:paraId="641BC3BB" w14:textId="5952ECA2" w:rsidR="005E7BEE" w:rsidRPr="003A2965" w:rsidRDefault="005E7BEE" w:rsidP="00886F32">
      <w:pPr>
        <w:spacing w:after="0" w:line="360" w:lineRule="auto"/>
        <w:ind w:left="720"/>
        <w:jc w:val="both"/>
        <w:rPr>
          <w:color w:val="4C4747"/>
          <w:lang w:val="es-DO"/>
        </w:rPr>
      </w:pPr>
      <w:r w:rsidRPr="003A2965">
        <w:rPr>
          <w:color w:val="4C4747"/>
          <w:lang w:val="es-DO"/>
        </w:rPr>
        <w:t>El incremento de solicitudes de automatización, digitalización de procesos y creación de herramientas tecnológicas requiere ampliar la capacidad de desarrollo de la DTIC. La implementación de nuevos sistemas permitirá mejorar la eficiencia operativa, reducir cargas administrativas y responder a las necesidades de las distintas áreas del Ministerio. Esta proyección es fundamental para continuar avanzando en la transformación digital institucional y garantizar que las operaciones cuenten con soluciones modernas, seguras y alineadas con las mejores prácticas.</w:t>
      </w:r>
    </w:p>
    <w:p w14:paraId="1830CEC1" w14:textId="77777777" w:rsidR="005E7BEE" w:rsidRPr="003A2965" w:rsidRDefault="005E7BEE" w:rsidP="00886F32">
      <w:pPr>
        <w:spacing w:after="0" w:line="360" w:lineRule="auto"/>
        <w:ind w:left="720"/>
        <w:jc w:val="both"/>
        <w:rPr>
          <w:color w:val="4C4747"/>
          <w:lang w:val="es-DO"/>
        </w:rPr>
      </w:pPr>
      <w:r w:rsidRPr="003A2965">
        <w:rPr>
          <w:color w:val="4C4747"/>
          <w:lang w:val="es-DO"/>
        </w:rPr>
        <w:t xml:space="preserve">Los sistemas actuales requieren mantenimiento continuo, actualizaciones de seguridad, incorporación de nuevas </w:t>
      </w:r>
      <w:r w:rsidRPr="003A2965">
        <w:rPr>
          <w:color w:val="4C4747"/>
          <w:lang w:val="es-DO"/>
        </w:rPr>
        <w:lastRenderedPageBreak/>
        <w:t>funcionalidades y optimización del rendimiento. Estas mejoras son necesarias para garantizar la continuidad operativa, mitigar riesgos tecnológicos y asegurar que los sistemas respondan a los nuevos requerimientos institucionales. Fortalecer los aplicativos existentes contribuye a extender su vida útil, reducir fallas, mejorar la experiencia de usuario y cumplir con estándares técnicos y normativos.</w:t>
      </w:r>
    </w:p>
    <w:p w14:paraId="30320DA5" w14:textId="77777777" w:rsidR="00DD2D46" w:rsidRDefault="00DD2D46" w:rsidP="00886F32">
      <w:pPr>
        <w:spacing w:after="0" w:line="360" w:lineRule="auto"/>
        <w:ind w:left="720"/>
        <w:jc w:val="both"/>
        <w:rPr>
          <w:color w:val="4C4747"/>
          <w:lang w:val="es-DO"/>
        </w:rPr>
      </w:pPr>
    </w:p>
    <w:p w14:paraId="23787238" w14:textId="68DAE28C" w:rsidR="005E7BEE" w:rsidRPr="003A2965" w:rsidRDefault="005E7BEE" w:rsidP="00886F32">
      <w:pPr>
        <w:spacing w:after="0" w:line="360" w:lineRule="auto"/>
        <w:ind w:left="720"/>
        <w:jc w:val="both"/>
        <w:rPr>
          <w:color w:val="4C4747"/>
          <w:lang w:val="es-DO"/>
        </w:rPr>
      </w:pPr>
      <w:r w:rsidRPr="003A2965">
        <w:rPr>
          <w:color w:val="4C4747"/>
          <w:lang w:val="es-DO"/>
        </w:rPr>
        <w:t>La demanda de proyectos transversales y estratégicos continúa en crecimiento, especialmente aquellos que tienen impacto directo en la ciudadanía y en la gestión interna del Ministerio. Expandir el alcance de estos proyectos permitirá fortalecer la modernización institucional, mejorar la calidad de los servicios públicos y facilitar la interoperabilidad con otras entidades del Estado. La ampliación de estos proyectos requiere mayor capacidad técnica, planificación coordinada y recursos adecuados para asegurar su ejecución efectiva.</w:t>
      </w:r>
    </w:p>
    <w:p w14:paraId="0868F344" w14:textId="77777777" w:rsidR="00DD2D46" w:rsidRDefault="00DD2D46" w:rsidP="00886F32">
      <w:pPr>
        <w:spacing w:after="0" w:line="360" w:lineRule="auto"/>
        <w:ind w:left="720"/>
        <w:jc w:val="both"/>
        <w:rPr>
          <w:color w:val="4C4747"/>
          <w:lang w:val="es-DO"/>
        </w:rPr>
      </w:pPr>
    </w:p>
    <w:p w14:paraId="397DA73B" w14:textId="77777777" w:rsidR="00DD2D46" w:rsidRDefault="00DD2D46" w:rsidP="00886F32">
      <w:pPr>
        <w:spacing w:after="0" w:line="360" w:lineRule="auto"/>
        <w:ind w:left="720"/>
        <w:jc w:val="both"/>
        <w:rPr>
          <w:color w:val="4C4747"/>
          <w:lang w:val="es-DO"/>
        </w:rPr>
      </w:pPr>
    </w:p>
    <w:p w14:paraId="5EC29958" w14:textId="3D4920D7" w:rsidR="005E7BEE" w:rsidRDefault="005E7BEE" w:rsidP="00886F32">
      <w:pPr>
        <w:spacing w:after="0" w:line="360" w:lineRule="auto"/>
        <w:ind w:left="720"/>
        <w:jc w:val="both"/>
        <w:rPr>
          <w:color w:val="4C4747"/>
          <w:lang w:val="es-DO"/>
        </w:rPr>
      </w:pPr>
      <w:r w:rsidRPr="003A2965">
        <w:rPr>
          <w:color w:val="4C4747"/>
          <w:lang w:val="es-DO"/>
        </w:rPr>
        <w:t xml:space="preserve">El recurso humano especializado es un componente crítico para la sostenibilidad tecnológica del Ministerio. La retención del personal técnico </w:t>
      </w:r>
      <w:r>
        <w:rPr>
          <w:color w:val="4C4747"/>
          <w:lang w:val="es-DO"/>
        </w:rPr>
        <w:t>asegura</w:t>
      </w:r>
      <w:r w:rsidRPr="003A2965">
        <w:rPr>
          <w:color w:val="4C4747"/>
          <w:lang w:val="es-DO"/>
        </w:rPr>
        <w:t xml:space="preserve"> continuidad en los proyectos, preservación del conocimiento institucional y reducción de costos derivados de rotación y capacitación constante. Contar con equipos estables permite mejorar la productividad, fortalecer la seguridad operativa y asegurar la correcta implementación de los proyectos estratégicos. La proyección incluye medidas para mejorar las condiciones laborales, oportunidades de crecimiento y programas de capacitación continua.</w:t>
      </w:r>
    </w:p>
    <w:p w14:paraId="327C8149" w14:textId="77777777" w:rsidR="008575C0" w:rsidRDefault="008575C0" w:rsidP="00886F32">
      <w:pPr>
        <w:spacing w:after="0" w:line="360" w:lineRule="auto"/>
        <w:ind w:left="720"/>
        <w:jc w:val="both"/>
        <w:rPr>
          <w:color w:val="4C4747"/>
          <w:lang w:val="es-DO"/>
        </w:rPr>
      </w:pPr>
    </w:p>
    <w:p w14:paraId="71E91E23" w14:textId="4CCEDBBB" w:rsidR="008575C0" w:rsidRPr="00366DD1" w:rsidRDefault="008575C0" w:rsidP="008575C0">
      <w:pPr>
        <w:spacing w:after="0" w:line="360" w:lineRule="auto"/>
        <w:ind w:left="720"/>
        <w:jc w:val="center"/>
        <w:rPr>
          <w:rFonts w:eastAsia="Calibri"/>
          <w:b/>
          <w:bCs/>
          <w:noProof/>
          <w:color w:val="4C4747"/>
          <w:lang w:val="es-DO"/>
        </w:rPr>
      </w:pPr>
      <w:r>
        <w:rPr>
          <w:rFonts w:eastAsia="Calibri"/>
          <w:b/>
          <w:bCs/>
          <w:noProof/>
          <w:color w:val="4C4747"/>
          <w:lang w:val="es-DO"/>
        </w:rPr>
        <w:lastRenderedPageBreak/>
        <w:t>Viceministerio de Cooperación Internacional</w:t>
      </w:r>
    </w:p>
    <w:p w14:paraId="3D34DC9A" w14:textId="77777777" w:rsidR="008575C0" w:rsidRPr="00247394" w:rsidRDefault="008575C0" w:rsidP="008575C0">
      <w:pPr>
        <w:spacing w:after="0" w:line="360" w:lineRule="auto"/>
        <w:ind w:left="720"/>
        <w:jc w:val="both"/>
        <w:rPr>
          <w:rFonts w:eastAsia="Calibri"/>
          <w:noProof/>
          <w:color w:val="4C4747"/>
          <w:lang w:val="es-DO"/>
        </w:rPr>
      </w:pPr>
      <w:r w:rsidRPr="00247394">
        <w:rPr>
          <w:rFonts w:eastAsia="Calibri"/>
          <w:noProof/>
          <w:color w:val="4C4747"/>
          <w:lang w:val="es-DO"/>
        </w:rPr>
        <w:t>En 2026, la República Dominicana continuará avanzando en la consecución de nuevos programas e iniciativas de cooperación internacional, alineados a las prioridades nacionales identificadas en el Plan Nacional Plurianual del Sector Público. A continuación, se destacan los programas clave y las acciones proyectadas:</w:t>
      </w:r>
    </w:p>
    <w:p w14:paraId="2FFFC3E8" w14:textId="77777777" w:rsidR="008575C0" w:rsidRPr="00247394"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t>Impulsar la capacitación continua del personal, fortaleciendo competencias técnicas y capacidades de gestión para asegurar la calidad, transparencia y eficiencia en la administración de los recursos de cooperación internacional.</w:t>
      </w:r>
    </w:p>
    <w:p w14:paraId="020B6B75" w14:textId="77777777" w:rsidR="008575C0" w:rsidRPr="00247394"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t>Conformación de nuevos Programas Bilaterales a través de Comisiones Mixtas (Comixtas) con Chile, Costa Rica, México, El Salvador y Guatemala.</w:t>
      </w:r>
    </w:p>
    <w:p w14:paraId="0B26289F" w14:textId="77777777" w:rsidR="008575C0" w:rsidRPr="00247394"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t>Consolidación de una Hoja de Ruta o Plan de Acción para mejorar la Eficacia de la Cooperación Internacional al Desarrollo en República Dominicana</w:t>
      </w:r>
    </w:p>
    <w:p w14:paraId="51F10952" w14:textId="77777777" w:rsidR="008575C0" w:rsidRPr="00247394"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t>Revisión del Plan Nacional Plurianual de la Cooperación Internacional y trabajar hacia la construcción de un nuevo plan 2027-2029. Consolidar la capacidad institucional de las instituciones ejecutoras para administrar proyectos complejos y multidimensionales, asegurando la adecuada implementación de los lineamientos nacionales e internacionales.</w:t>
      </w:r>
    </w:p>
    <w:p w14:paraId="26FF6A0B" w14:textId="77777777" w:rsidR="008575C0" w:rsidRPr="00247394"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t>Garantizar la transparencia y eficiencia en la gestión de recursos, fortaleciendo los mecanismos de control interno y promoviendo la rendición de cuentas frente a los socios cooperantes.</w:t>
      </w:r>
    </w:p>
    <w:p w14:paraId="2F93FBB1" w14:textId="77777777" w:rsidR="008575C0" w:rsidRPr="00247394"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t>Fortalecer la orientación a resultados y sostenibilidad, asegurando que la ejecución de los proyectos genere impactos medibles y concretos en los sectores beneficiados.</w:t>
      </w:r>
    </w:p>
    <w:p w14:paraId="5B2B8B04" w14:textId="77777777" w:rsidR="008575C0" w:rsidRDefault="008575C0" w:rsidP="008575C0">
      <w:pPr>
        <w:numPr>
          <w:ilvl w:val="0"/>
          <w:numId w:val="72"/>
        </w:numPr>
        <w:spacing w:after="0" w:line="360" w:lineRule="auto"/>
        <w:contextualSpacing/>
        <w:jc w:val="both"/>
        <w:rPr>
          <w:rFonts w:eastAsia="Calibri"/>
          <w:noProof/>
          <w:color w:val="4C4747"/>
          <w:lang w:val="es-DO"/>
        </w:rPr>
      </w:pPr>
      <w:r w:rsidRPr="00247394">
        <w:rPr>
          <w:rFonts w:eastAsia="Calibri"/>
          <w:noProof/>
          <w:color w:val="4C4747"/>
          <w:lang w:val="es-DO"/>
        </w:rPr>
        <w:lastRenderedPageBreak/>
        <w:t>Reforzar la coordinación interinstitucional, promoviendo la coherencia en los procedimientos y la articulación efectiva entre instituciones nacionales y socios cooperantes.</w:t>
      </w:r>
    </w:p>
    <w:p w14:paraId="47A272A3" w14:textId="77777777" w:rsidR="008575C0" w:rsidRDefault="008575C0" w:rsidP="00886F32">
      <w:pPr>
        <w:spacing w:after="0" w:line="360" w:lineRule="auto"/>
        <w:ind w:left="720"/>
        <w:jc w:val="both"/>
        <w:rPr>
          <w:color w:val="4C4747"/>
          <w:lang w:val="es-DO"/>
        </w:rPr>
      </w:pPr>
    </w:p>
    <w:p w14:paraId="34C10C9C" w14:textId="691E2925" w:rsidR="00146AA1" w:rsidRPr="00224C04" w:rsidRDefault="00146AA1" w:rsidP="00146AA1">
      <w:pPr>
        <w:spacing w:after="0" w:line="360" w:lineRule="auto"/>
        <w:ind w:left="720"/>
        <w:jc w:val="center"/>
        <w:rPr>
          <w:rFonts w:eastAsia="Calibri"/>
          <w:b/>
          <w:bCs/>
          <w:noProof/>
          <w:color w:val="4C4747"/>
          <w:lang w:val="es-DO"/>
        </w:rPr>
      </w:pPr>
      <w:r>
        <w:rPr>
          <w:rFonts w:eastAsia="Calibri"/>
          <w:b/>
          <w:bCs/>
          <w:noProof/>
          <w:color w:val="4C4747"/>
          <w:lang w:val="es-DO"/>
        </w:rPr>
        <w:t>Viceministerio de Ordenamiento Territorial y Desarrollo Regional</w:t>
      </w:r>
    </w:p>
    <w:p w14:paraId="6D0D8294" w14:textId="77777777" w:rsidR="00146AA1" w:rsidRDefault="00146AA1" w:rsidP="00146AA1">
      <w:pPr>
        <w:spacing w:after="0" w:line="360" w:lineRule="auto"/>
        <w:ind w:left="720"/>
        <w:jc w:val="both"/>
        <w:rPr>
          <w:rFonts w:eastAsia="Calibri"/>
          <w:noProof/>
          <w:color w:val="4C4747"/>
          <w:lang w:val="es-DO"/>
        </w:rPr>
      </w:pPr>
      <w:r w:rsidRPr="00A7627D">
        <w:rPr>
          <w:rFonts w:eastAsia="Calibri"/>
          <w:noProof/>
          <w:color w:val="4C4747"/>
          <w:lang w:val="es-DO"/>
        </w:rPr>
        <w:t>Se cuenta con una propuesta que conducirá a la ejecución de un programa tendente a cumplir con los propósitos del Presidente de la República en relación con que el país disponga de más del 50% de los municipios con instrumentos de planificación. Este plan está contenido en el proyecto “Respuesta a Emergencia y Resiliencia”, con financiamiento del Banco Mundial. También, a través de este programa, se diseñarán los 10 planes regionales de desarrollo y ordenamiento territorial y un conjunto de herramientas en gestión de riesgo y cartografía base.</w:t>
      </w:r>
    </w:p>
    <w:p w14:paraId="738AF40A" w14:textId="77777777" w:rsidR="00146AA1" w:rsidRDefault="00146AA1" w:rsidP="00886F32">
      <w:pPr>
        <w:spacing w:after="0" w:line="360" w:lineRule="auto"/>
        <w:ind w:left="720"/>
        <w:jc w:val="both"/>
        <w:rPr>
          <w:color w:val="4C4747"/>
          <w:lang w:val="es-DO"/>
        </w:rPr>
      </w:pPr>
    </w:p>
    <w:p w14:paraId="687E0EF7" w14:textId="471106AD" w:rsidR="00D94463" w:rsidRPr="00D94463" w:rsidRDefault="00D94463" w:rsidP="00D94463">
      <w:pPr>
        <w:pStyle w:val="ListParagraph"/>
        <w:tabs>
          <w:tab w:val="left" w:pos="450"/>
        </w:tabs>
        <w:spacing w:after="0" w:line="360" w:lineRule="auto"/>
        <w:jc w:val="center"/>
        <w:rPr>
          <w:rFonts w:eastAsia="Calibri"/>
          <w:b/>
          <w:bCs/>
          <w:noProof/>
          <w:color w:val="4C4747"/>
        </w:rPr>
      </w:pPr>
      <w:r w:rsidRPr="00D94463">
        <w:rPr>
          <w:rFonts w:eastAsia="Calibri"/>
          <w:b/>
          <w:bCs/>
          <w:noProof/>
          <w:color w:val="4C4747"/>
        </w:rPr>
        <w:t>Centro Nacional de Fomento y Promoción de las ASFL</w:t>
      </w:r>
    </w:p>
    <w:p w14:paraId="54F4A4C5" w14:textId="68F70B6C" w:rsidR="00D94463"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Pr>
          <w:rFonts w:eastAsia="Calibri"/>
          <w:noProof/>
          <w:color w:val="4C4747"/>
        </w:rPr>
        <w:t>El Centro presentará mejoras integrales al Sistema Integrado de Gestión de las ASFL (SIGASFL) para la mejor de gestión de la información relacionada con los convenios de gestión, las reformulación presupuestaria, la evaluación de la rendición de cuentas y el registro de voluntarios.</w:t>
      </w:r>
    </w:p>
    <w:p w14:paraId="4861EE03" w14:textId="77777777" w:rsidR="00D94463"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Pr>
          <w:rFonts w:eastAsia="Calibri"/>
          <w:noProof/>
          <w:color w:val="4C4747"/>
        </w:rPr>
        <w:t>Durante el 2026, se celebrara la elecciones de los 5 nuevos numebos miembros del Centro Nacional de Fomento y Promoción de las ASFL en representación de la sociedad civil, los cuales tendran un periodo de gestión desde junio 2026 a junio 2028.</w:t>
      </w:r>
    </w:p>
    <w:p w14:paraId="6FF4B7C3" w14:textId="77777777" w:rsidR="00D94463" w:rsidRPr="00261F76"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261F76">
        <w:rPr>
          <w:rFonts w:eastAsia="Calibri"/>
          <w:noProof/>
          <w:color w:val="4C4747"/>
        </w:rPr>
        <w:t xml:space="preserve">Acompañar a las asociaciones sin fines de lucro mediante programas de capacitación, asegurando su cumplimiento con </w:t>
      </w:r>
      <w:r w:rsidRPr="00261F76">
        <w:rPr>
          <w:rFonts w:eastAsia="Calibri"/>
          <w:noProof/>
          <w:color w:val="4C4747"/>
        </w:rPr>
        <w:lastRenderedPageBreak/>
        <w:t>los requisitos establecidos en la Ley 122-05.</w:t>
      </w:r>
    </w:p>
    <w:p w14:paraId="1A3AA968" w14:textId="77777777" w:rsidR="00D94463" w:rsidRPr="00261F76"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261F76">
        <w:rPr>
          <w:rFonts w:eastAsia="Calibri"/>
          <w:noProof/>
          <w:color w:val="4C4747"/>
        </w:rPr>
        <w:t>Coordinar acciones para continuar fortaleciendo a las Unidades de Habilitación de las sectoriales.</w:t>
      </w:r>
    </w:p>
    <w:p w14:paraId="5781AE1B" w14:textId="77777777" w:rsidR="00D94463" w:rsidRPr="00261F76"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261F76">
        <w:rPr>
          <w:rFonts w:eastAsia="Calibri"/>
          <w:noProof/>
          <w:color w:val="4C4747"/>
        </w:rPr>
        <w:t>Acompañar a las entidades en proceso de convertirse en entes habilitadores, conforme a la Ley 122-05.</w:t>
      </w:r>
    </w:p>
    <w:p w14:paraId="25012BE9" w14:textId="77777777" w:rsidR="00D94463" w:rsidRPr="00261F76"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261F76">
        <w:rPr>
          <w:rFonts w:eastAsia="Calibri"/>
          <w:noProof/>
          <w:color w:val="4C4747"/>
        </w:rPr>
        <w:t>Diseñar e implementar políticas de registro para regular el proceso de inscripción de las ASFL por tipo y sub-tipo.</w:t>
      </w:r>
    </w:p>
    <w:p w14:paraId="38FE44EA" w14:textId="77777777" w:rsidR="00D94463"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261F76">
        <w:rPr>
          <w:rFonts w:eastAsia="Calibri"/>
          <w:noProof/>
          <w:color w:val="4C4747"/>
        </w:rPr>
        <w:t>Elaborar un diagnóstico para la simplificación de trámites legales y para establecer condiciones que permitan la interoperabilidad de los sistemas institucionales vinculados con la incorporación de las ASFL.</w:t>
      </w:r>
    </w:p>
    <w:p w14:paraId="0DA6927D" w14:textId="77777777" w:rsidR="00D94463" w:rsidRPr="00D66A92"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D66A92">
        <w:rPr>
          <w:rFonts w:eastAsia="Calibri"/>
          <w:noProof/>
          <w:color w:val="4C4747"/>
        </w:rPr>
        <w:t>En ocasión del Día Nacional de la Ética Ciudadana, el Centro realizará la cuarta edición del Reconocimiento Anual a la Transparencia y Rendición de Cuentas de las ASFL.</w:t>
      </w:r>
    </w:p>
    <w:p w14:paraId="4A4E71D8" w14:textId="77777777" w:rsidR="00D94463" w:rsidRPr="00D66A92"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D66A92">
        <w:rPr>
          <w:rFonts w:eastAsia="Calibri"/>
          <w:noProof/>
          <w:color w:val="4C4747"/>
        </w:rPr>
        <w:t>En el mes de abril de 2026, el Centro publicará el Cuarto Informe Anual de Rendición de Cuentas.</w:t>
      </w:r>
    </w:p>
    <w:p w14:paraId="3E723A4B" w14:textId="77777777" w:rsidR="00D94463" w:rsidRPr="00D66A92"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D66A92">
        <w:rPr>
          <w:rFonts w:eastAsia="Calibri"/>
          <w:noProof/>
          <w:color w:val="4C4747"/>
        </w:rPr>
        <w:t>Durante el año 2026, el Centro realizará 50 auditorías de cumplimiento de rendición de cuentas a las ASFL subvencionadas.</w:t>
      </w:r>
    </w:p>
    <w:p w14:paraId="3F332C62" w14:textId="77777777" w:rsidR="00D94463" w:rsidRPr="00D66A92"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D66A92">
        <w:rPr>
          <w:rFonts w:eastAsia="Calibri"/>
          <w:noProof/>
          <w:color w:val="4C4747"/>
        </w:rPr>
        <w:t>En ese mismo período, el Centro realizará 40 acompañamientos sectoriales orientados a fortalecer las capacidades de los organismos vinculados en materia de rendición de cuentas.</w:t>
      </w:r>
    </w:p>
    <w:p w14:paraId="293A7CFA" w14:textId="77777777" w:rsidR="00D94463"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D66A92">
        <w:rPr>
          <w:rFonts w:eastAsia="Calibri"/>
          <w:noProof/>
          <w:color w:val="4C4747"/>
        </w:rPr>
        <w:t>Asimismo, durante el año 2026, el Centro realizará 10 capacitaciones dirigidas a fortalecer la transparencia y la calidad de los procesos de rendición de cuentas de las ASFL.</w:t>
      </w:r>
    </w:p>
    <w:p w14:paraId="43D94056" w14:textId="77777777" w:rsidR="00D94463"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Pr>
          <w:rFonts w:eastAsia="Calibri"/>
          <w:noProof/>
          <w:color w:val="4C4747"/>
        </w:rPr>
        <w:t xml:space="preserve">Para el año 2026, el Centro fortalecerá sus mecanismos de seguimiento y monitoreo de proyectos subvecionados con la inteción de capturar indicadores de avances que aporte al desarrollo nacional y como las ASFL contribuyen al logros de prioridades defnidas por el Gobierno. </w:t>
      </w:r>
    </w:p>
    <w:p w14:paraId="008601F5" w14:textId="77777777" w:rsidR="00D94463" w:rsidRDefault="00D94463" w:rsidP="00D94463">
      <w:pPr>
        <w:pStyle w:val="ListParagraph"/>
        <w:numPr>
          <w:ilvl w:val="1"/>
          <w:numId w:val="94"/>
        </w:numPr>
        <w:tabs>
          <w:tab w:val="left" w:pos="450"/>
        </w:tabs>
        <w:spacing w:after="0" w:line="360" w:lineRule="auto"/>
        <w:ind w:left="720" w:hanging="360"/>
        <w:jc w:val="both"/>
        <w:rPr>
          <w:rFonts w:eastAsia="Calibri"/>
          <w:noProof/>
          <w:color w:val="4C4747"/>
        </w:rPr>
      </w:pPr>
      <w:r w:rsidRPr="00F10B25">
        <w:rPr>
          <w:rFonts w:eastAsia="Calibri"/>
          <w:noProof/>
          <w:color w:val="4C4747"/>
        </w:rPr>
        <w:lastRenderedPageBreak/>
        <w:t>Para el próximo año, está previsto implementar 38 programas de formación en alianza con 8 universidades e instituciones de educación superior, con el propósito de continuar fortaleciendo las capacidades técnicas, estratégicas y administrativas de las ASFL y elevar el impacto de su gestión en beneficio de las comunidades que sirven.</w:t>
      </w:r>
    </w:p>
    <w:p w14:paraId="46DB66DD" w14:textId="77777777" w:rsidR="00D94463" w:rsidRDefault="00D94463" w:rsidP="00886F32">
      <w:pPr>
        <w:spacing w:after="0" w:line="360" w:lineRule="auto"/>
        <w:ind w:left="720"/>
        <w:jc w:val="both"/>
        <w:rPr>
          <w:color w:val="4C4747"/>
          <w:lang w:val="es-DO"/>
        </w:rPr>
      </w:pPr>
    </w:p>
    <w:p w14:paraId="456930F9" w14:textId="77777777" w:rsidR="005E7BEE" w:rsidRDefault="005E7BEE" w:rsidP="00886F32">
      <w:pPr>
        <w:spacing w:after="0" w:line="360" w:lineRule="auto"/>
        <w:ind w:left="720"/>
        <w:jc w:val="both"/>
        <w:rPr>
          <w:rFonts w:eastAsia="Calibri"/>
          <w:color w:val="4C4747"/>
          <w:lang w:val="es-DO"/>
        </w:rPr>
      </w:pPr>
    </w:p>
    <w:p w14:paraId="235B873C" w14:textId="77777777" w:rsidR="004100B9" w:rsidRPr="00861119" w:rsidRDefault="004100B9" w:rsidP="00886F32">
      <w:pPr>
        <w:spacing w:after="0" w:line="360" w:lineRule="auto"/>
        <w:ind w:left="720"/>
        <w:jc w:val="center"/>
        <w:rPr>
          <w:b/>
          <w:bCs/>
          <w:color w:val="767070"/>
          <w:sz w:val="23"/>
          <w:szCs w:val="23"/>
          <w:lang w:val="es-DO"/>
        </w:rPr>
      </w:pPr>
    </w:p>
    <w:p w14:paraId="509E46B0" w14:textId="4AF69395" w:rsidR="00DD7615" w:rsidRDefault="00DD7615" w:rsidP="00886F32">
      <w:pPr>
        <w:spacing w:after="0" w:line="360" w:lineRule="auto"/>
        <w:ind w:left="720"/>
        <w:jc w:val="both"/>
        <w:rPr>
          <w:rFonts w:eastAsia="Calibri"/>
          <w:noProof/>
          <w:color w:val="4C4747"/>
          <w:lang w:val="es-DO"/>
        </w:rPr>
      </w:pPr>
    </w:p>
    <w:p w14:paraId="29B17A45" w14:textId="77777777" w:rsidR="00041187" w:rsidRDefault="00041187" w:rsidP="00886F32">
      <w:pPr>
        <w:spacing w:after="0" w:line="360" w:lineRule="auto"/>
        <w:ind w:left="720"/>
        <w:jc w:val="both"/>
        <w:rPr>
          <w:rFonts w:eastAsia="Calibri"/>
          <w:noProof/>
          <w:color w:val="4C4747"/>
          <w:lang w:val="es-DO"/>
        </w:rPr>
      </w:pPr>
    </w:p>
    <w:p w14:paraId="2A9A4D50" w14:textId="77777777" w:rsidR="00041187" w:rsidRDefault="00041187" w:rsidP="00886F32">
      <w:pPr>
        <w:spacing w:after="0" w:line="360" w:lineRule="auto"/>
        <w:ind w:left="720"/>
        <w:jc w:val="both"/>
        <w:rPr>
          <w:rFonts w:eastAsia="Calibri"/>
          <w:noProof/>
          <w:color w:val="4C4747"/>
          <w:lang w:val="es-DO"/>
        </w:rPr>
      </w:pPr>
    </w:p>
    <w:p w14:paraId="705DEC1A" w14:textId="77777777" w:rsidR="00041187" w:rsidRDefault="00041187" w:rsidP="00886F32">
      <w:pPr>
        <w:spacing w:after="0" w:line="360" w:lineRule="auto"/>
        <w:ind w:left="720"/>
        <w:jc w:val="both"/>
        <w:rPr>
          <w:rFonts w:eastAsia="Calibri"/>
          <w:noProof/>
          <w:color w:val="4C4747"/>
          <w:lang w:val="es-DO"/>
        </w:rPr>
      </w:pPr>
    </w:p>
    <w:p w14:paraId="143911F9" w14:textId="77777777" w:rsidR="00041187" w:rsidRDefault="00041187" w:rsidP="00886F32">
      <w:pPr>
        <w:spacing w:after="0" w:line="360" w:lineRule="auto"/>
        <w:ind w:left="720"/>
        <w:jc w:val="both"/>
        <w:rPr>
          <w:rFonts w:eastAsia="Calibri"/>
          <w:noProof/>
          <w:color w:val="4C4747"/>
          <w:lang w:val="es-DO"/>
        </w:rPr>
      </w:pPr>
    </w:p>
    <w:p w14:paraId="1B28E6FD" w14:textId="77777777" w:rsidR="00041187" w:rsidRDefault="00041187" w:rsidP="00886F32">
      <w:pPr>
        <w:spacing w:after="0" w:line="360" w:lineRule="auto"/>
        <w:ind w:left="720"/>
        <w:jc w:val="both"/>
        <w:rPr>
          <w:rFonts w:eastAsia="Calibri"/>
          <w:noProof/>
          <w:color w:val="4C4747"/>
          <w:lang w:val="es-DO"/>
        </w:rPr>
      </w:pPr>
    </w:p>
    <w:p w14:paraId="7ED1FACD" w14:textId="77777777" w:rsidR="00135E12" w:rsidRDefault="00135E12" w:rsidP="00886F32">
      <w:pPr>
        <w:spacing w:after="0" w:line="360" w:lineRule="auto"/>
        <w:ind w:left="720"/>
        <w:jc w:val="both"/>
        <w:rPr>
          <w:rFonts w:eastAsia="Calibri"/>
          <w:noProof/>
          <w:color w:val="4C4747"/>
          <w:lang w:val="es-DO"/>
        </w:rPr>
      </w:pPr>
    </w:p>
    <w:p w14:paraId="14101476" w14:textId="77777777" w:rsidR="00135E12" w:rsidRDefault="00135E12" w:rsidP="00886F32">
      <w:pPr>
        <w:spacing w:after="0" w:line="360" w:lineRule="auto"/>
        <w:ind w:left="720"/>
        <w:jc w:val="both"/>
        <w:rPr>
          <w:rFonts w:eastAsia="Calibri"/>
          <w:noProof/>
          <w:color w:val="4C4747"/>
          <w:lang w:val="es-DO"/>
        </w:rPr>
      </w:pPr>
    </w:p>
    <w:p w14:paraId="01D9FDBE" w14:textId="77777777" w:rsidR="00135E12" w:rsidRDefault="00135E12" w:rsidP="00886F32">
      <w:pPr>
        <w:spacing w:after="0" w:line="360" w:lineRule="auto"/>
        <w:ind w:left="720"/>
        <w:jc w:val="both"/>
        <w:rPr>
          <w:rFonts w:eastAsia="Calibri"/>
          <w:noProof/>
          <w:color w:val="4C4747"/>
          <w:lang w:val="es-DO"/>
        </w:rPr>
      </w:pPr>
    </w:p>
    <w:p w14:paraId="3AD01538" w14:textId="77777777" w:rsidR="00135E12" w:rsidRDefault="00135E12" w:rsidP="00886F32">
      <w:pPr>
        <w:spacing w:after="0" w:line="360" w:lineRule="auto"/>
        <w:ind w:left="720"/>
        <w:jc w:val="both"/>
        <w:rPr>
          <w:rFonts w:eastAsia="Calibri"/>
          <w:noProof/>
          <w:color w:val="4C4747"/>
          <w:lang w:val="es-DO"/>
        </w:rPr>
      </w:pPr>
    </w:p>
    <w:p w14:paraId="123F8FF9" w14:textId="77777777" w:rsidR="00135E12" w:rsidRDefault="00135E12" w:rsidP="00886F32">
      <w:pPr>
        <w:spacing w:after="0" w:line="360" w:lineRule="auto"/>
        <w:ind w:left="720"/>
        <w:jc w:val="both"/>
        <w:rPr>
          <w:rFonts w:eastAsia="Calibri"/>
          <w:noProof/>
          <w:color w:val="4C4747"/>
          <w:lang w:val="es-DO"/>
        </w:rPr>
      </w:pPr>
    </w:p>
    <w:p w14:paraId="599B8841" w14:textId="77777777" w:rsidR="00135E12" w:rsidRDefault="00135E12" w:rsidP="00886F32">
      <w:pPr>
        <w:spacing w:after="0" w:line="360" w:lineRule="auto"/>
        <w:ind w:left="720"/>
        <w:jc w:val="both"/>
        <w:rPr>
          <w:rFonts w:eastAsia="Calibri"/>
          <w:noProof/>
          <w:color w:val="4C4747"/>
          <w:lang w:val="es-DO"/>
        </w:rPr>
      </w:pPr>
    </w:p>
    <w:p w14:paraId="75C0FA19" w14:textId="77777777" w:rsidR="00135E12" w:rsidRDefault="00135E12" w:rsidP="00886F32">
      <w:pPr>
        <w:spacing w:after="0" w:line="360" w:lineRule="auto"/>
        <w:ind w:left="720"/>
        <w:jc w:val="both"/>
        <w:rPr>
          <w:rFonts w:eastAsia="Calibri"/>
          <w:noProof/>
          <w:color w:val="4C4747"/>
          <w:lang w:val="es-DO"/>
        </w:rPr>
      </w:pPr>
    </w:p>
    <w:p w14:paraId="606C65F4" w14:textId="77777777" w:rsidR="00135E12" w:rsidRDefault="00135E12" w:rsidP="00886F32">
      <w:pPr>
        <w:spacing w:after="0" w:line="360" w:lineRule="auto"/>
        <w:ind w:left="720"/>
        <w:jc w:val="both"/>
        <w:rPr>
          <w:rFonts w:eastAsia="Calibri"/>
          <w:noProof/>
          <w:color w:val="4C4747"/>
          <w:lang w:val="es-DO"/>
        </w:rPr>
      </w:pPr>
    </w:p>
    <w:p w14:paraId="53B5A0D6" w14:textId="77777777" w:rsidR="00041187" w:rsidRDefault="00041187" w:rsidP="00886F32">
      <w:pPr>
        <w:spacing w:after="0" w:line="360" w:lineRule="auto"/>
        <w:ind w:left="720"/>
        <w:jc w:val="both"/>
        <w:rPr>
          <w:rFonts w:eastAsia="Calibri"/>
          <w:noProof/>
          <w:color w:val="4C4747"/>
          <w:lang w:val="es-DO"/>
        </w:rPr>
      </w:pPr>
    </w:p>
    <w:p w14:paraId="58E86415" w14:textId="77777777" w:rsidR="00041187" w:rsidRDefault="00041187" w:rsidP="00886F32">
      <w:pPr>
        <w:spacing w:after="0" w:line="360" w:lineRule="auto"/>
        <w:ind w:left="720"/>
        <w:jc w:val="both"/>
        <w:rPr>
          <w:rFonts w:eastAsia="Calibri"/>
          <w:noProof/>
          <w:color w:val="4C4747"/>
          <w:lang w:val="es-DO"/>
        </w:rPr>
      </w:pPr>
    </w:p>
    <w:p w14:paraId="4AFF00AE" w14:textId="77777777" w:rsidR="00041187" w:rsidRDefault="00041187" w:rsidP="00886F32">
      <w:pPr>
        <w:spacing w:after="0" w:line="360" w:lineRule="auto"/>
        <w:ind w:left="720"/>
        <w:jc w:val="both"/>
        <w:rPr>
          <w:rFonts w:eastAsia="Calibri"/>
          <w:noProof/>
          <w:color w:val="4C4747"/>
          <w:lang w:val="es-DO"/>
        </w:rPr>
      </w:pPr>
    </w:p>
    <w:p w14:paraId="212FAA30" w14:textId="77777777" w:rsidR="00041187" w:rsidRDefault="00041187" w:rsidP="00886F32">
      <w:pPr>
        <w:spacing w:after="0" w:line="360" w:lineRule="auto"/>
        <w:ind w:left="720"/>
        <w:jc w:val="both"/>
        <w:rPr>
          <w:rFonts w:eastAsia="Calibri"/>
          <w:noProof/>
          <w:color w:val="4C4747"/>
          <w:lang w:val="es-DO"/>
        </w:rPr>
      </w:pPr>
    </w:p>
    <w:p w14:paraId="7C3B5924" w14:textId="77777777" w:rsidR="00041187" w:rsidRDefault="00041187" w:rsidP="00886F32">
      <w:pPr>
        <w:spacing w:after="0" w:line="360" w:lineRule="auto"/>
        <w:ind w:left="720"/>
        <w:jc w:val="both"/>
        <w:rPr>
          <w:rFonts w:eastAsia="Calibri"/>
          <w:noProof/>
          <w:color w:val="4C4747"/>
          <w:lang w:val="es-DO"/>
        </w:rPr>
      </w:pPr>
    </w:p>
    <w:p w14:paraId="6AD65326" w14:textId="77777777" w:rsidR="00041187" w:rsidRPr="005654BB" w:rsidRDefault="00041187" w:rsidP="00886F32">
      <w:pPr>
        <w:spacing w:after="0" w:line="360" w:lineRule="auto"/>
        <w:ind w:left="720"/>
        <w:jc w:val="both"/>
        <w:rPr>
          <w:rFonts w:eastAsia="Calibri"/>
          <w:noProof/>
          <w:color w:val="4C4747"/>
          <w:lang w:val="es-DO"/>
        </w:rPr>
      </w:pPr>
    </w:p>
    <w:p w14:paraId="630A9C63" w14:textId="77777777" w:rsidR="00DD7615" w:rsidRDefault="00DD7615" w:rsidP="00886F32">
      <w:pPr>
        <w:spacing w:after="0" w:line="360" w:lineRule="auto"/>
        <w:ind w:left="720"/>
        <w:jc w:val="both"/>
        <w:rPr>
          <w:rFonts w:eastAsia="Calibri"/>
          <w:noProof/>
          <w:color w:val="4C4747"/>
          <w:lang w:val="es-DO"/>
        </w:rPr>
      </w:pPr>
    </w:p>
    <w:p w14:paraId="291E62A0" w14:textId="47A36AB4" w:rsidR="00DD7615" w:rsidRPr="005654BB" w:rsidRDefault="00DD7615" w:rsidP="004A7B4D">
      <w:pPr>
        <w:pStyle w:val="Heading1"/>
        <w:numPr>
          <w:ilvl w:val="0"/>
          <w:numId w:val="101"/>
        </w:numPr>
        <w:spacing w:before="0"/>
        <w:ind w:left="720"/>
        <w:rPr>
          <w:color w:val="4C4747"/>
          <w:lang w:val="es-DO"/>
        </w:rPr>
      </w:pPr>
      <w:bookmarkStart w:id="136" w:name="_Toc217382627"/>
      <w:r w:rsidRPr="005654BB">
        <w:rPr>
          <w:color w:val="4C4747"/>
          <w:lang w:val="es-DO"/>
        </w:rPr>
        <w:lastRenderedPageBreak/>
        <w:t>ANEXOS</w:t>
      </w:r>
      <w:bookmarkEnd w:id="136"/>
      <w:r w:rsidRPr="005654BB">
        <w:rPr>
          <w:color w:val="4C4747"/>
          <w:lang w:val="es-DO"/>
        </w:rPr>
        <w:t xml:space="preserve"> </w:t>
      </w:r>
    </w:p>
    <w:p w14:paraId="0DBA53BE" w14:textId="77777777" w:rsidR="00DD7615" w:rsidRPr="005654BB" w:rsidRDefault="00DD7615" w:rsidP="00886F32">
      <w:pPr>
        <w:spacing w:after="0" w:line="360" w:lineRule="auto"/>
        <w:ind w:left="720"/>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563008" behindDoc="0" locked="0" layoutInCell="1" allowOverlap="1" wp14:anchorId="0E9CB02A" wp14:editId="5563503A">
                <wp:simplePos x="0" y="0"/>
                <wp:positionH relativeFrom="margin">
                  <wp:align>center</wp:align>
                </wp:positionH>
                <wp:positionV relativeFrom="paragraph">
                  <wp:posOffset>24130</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2CD4D" id="Straight Connector 12" o:spid="_x0000_s1026" style="position:absolute;z-index:251563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" strokecolor="#ee2a24" strokeweight="2.25pt">
                <v:stroke joinstyle="miter"/>
                <w10:wrap anchorx="margin"/>
              </v:line>
            </w:pict>
          </mc:Fallback>
        </mc:AlternateContent>
      </w:r>
    </w:p>
    <w:p w14:paraId="402B5BAB" w14:textId="06414EA0" w:rsidR="00DD7615" w:rsidRPr="005654BB" w:rsidRDefault="00DD7615" w:rsidP="00886F32">
      <w:pPr>
        <w:spacing w:after="0" w:line="360" w:lineRule="auto"/>
        <w:ind w:left="720"/>
        <w:jc w:val="center"/>
        <w:rPr>
          <w:rFonts w:eastAsia="Calibri"/>
          <w:color w:val="4C4747"/>
          <w:szCs w:val="36"/>
          <w:lang w:val="es-DO"/>
        </w:rPr>
      </w:pPr>
      <w:r w:rsidRPr="005654BB">
        <w:rPr>
          <w:rFonts w:eastAsia="Calibri"/>
          <w:color w:val="4C4747"/>
          <w:szCs w:val="36"/>
          <w:lang w:val="es-DO"/>
        </w:rPr>
        <w:t xml:space="preserve">Memoria </w:t>
      </w:r>
      <w:r w:rsidR="00F05DF4" w:rsidRPr="005654BB">
        <w:rPr>
          <w:rFonts w:eastAsia="Calibri"/>
          <w:color w:val="4C4747"/>
          <w:szCs w:val="36"/>
          <w:lang w:val="es-DO"/>
        </w:rPr>
        <w:t>I</w:t>
      </w:r>
      <w:r w:rsidRPr="005654BB">
        <w:rPr>
          <w:rFonts w:eastAsia="Calibri"/>
          <w:color w:val="4C4747"/>
          <w:szCs w:val="36"/>
          <w:lang w:val="es-DO"/>
        </w:rPr>
        <w:t xml:space="preserve">nstitucional </w:t>
      </w:r>
      <w:r w:rsidR="000025D4" w:rsidRPr="005654BB">
        <w:rPr>
          <w:rFonts w:eastAsia="Calibri"/>
          <w:color w:val="4C4747"/>
          <w:szCs w:val="36"/>
          <w:lang w:val="es-DO"/>
        </w:rPr>
        <w:t>20</w:t>
      </w:r>
      <w:r w:rsidR="00A5647B" w:rsidRPr="005654BB">
        <w:rPr>
          <w:rFonts w:eastAsia="Calibri"/>
          <w:color w:val="4C4747"/>
          <w:szCs w:val="36"/>
          <w:lang w:val="es-DO"/>
        </w:rPr>
        <w:t>25</w:t>
      </w:r>
    </w:p>
    <w:p w14:paraId="3B0F4C7C" w14:textId="77777777" w:rsidR="00BB1030" w:rsidRDefault="00BB1030" w:rsidP="00886F32">
      <w:pPr>
        <w:spacing w:after="0" w:line="360" w:lineRule="auto"/>
        <w:ind w:left="720"/>
        <w:jc w:val="center"/>
        <w:rPr>
          <w:rFonts w:eastAsia="Calibri"/>
          <w:b/>
          <w:bCs/>
          <w:noProof/>
          <w:color w:val="4C4747"/>
          <w:lang w:val="es-DO"/>
        </w:rPr>
      </w:pPr>
    </w:p>
    <w:p w14:paraId="749C387F" w14:textId="3960EED1" w:rsidR="00A529B4" w:rsidRPr="000B7AD4" w:rsidRDefault="0010702D" w:rsidP="004A7B4D">
      <w:pPr>
        <w:pStyle w:val="ListParagraph"/>
        <w:numPr>
          <w:ilvl w:val="1"/>
          <w:numId w:val="101"/>
        </w:numPr>
        <w:spacing w:after="0" w:line="360" w:lineRule="auto"/>
        <w:ind w:left="720"/>
        <w:jc w:val="center"/>
        <w:outlineLvl w:val="1"/>
        <w:rPr>
          <w:rFonts w:eastAsia="Calibri"/>
          <w:b/>
          <w:bCs/>
          <w:noProof/>
          <w:color w:val="4C4747"/>
        </w:rPr>
      </w:pPr>
      <w:r>
        <w:rPr>
          <w:rFonts w:eastAsia="Calibri"/>
          <w:b/>
          <w:bCs/>
          <w:noProof/>
          <w:color w:val="4C4747"/>
        </w:rPr>
        <w:t xml:space="preserve"> </w:t>
      </w:r>
      <w:bookmarkStart w:id="137" w:name="_Toc217382628"/>
      <w:r w:rsidR="000B7AD4">
        <w:rPr>
          <w:rFonts w:eastAsia="Calibri"/>
          <w:b/>
          <w:bCs/>
          <w:noProof/>
          <w:color w:val="4C4747"/>
        </w:rPr>
        <w:t xml:space="preserve">Anexos </w:t>
      </w:r>
      <w:r w:rsidR="00A529B4" w:rsidRPr="000B7AD4">
        <w:rPr>
          <w:rFonts w:eastAsia="Calibri"/>
          <w:b/>
          <w:bCs/>
          <w:noProof/>
          <w:color w:val="4C4747"/>
        </w:rPr>
        <w:t>Secretaría Técnica para la Soberanía y Seguridad Alimentaria y Nutricional (SETESSAN)</w:t>
      </w:r>
      <w:bookmarkEnd w:id="137"/>
    </w:p>
    <w:p w14:paraId="21F80A80" w14:textId="09FBF363" w:rsidR="00A529B4" w:rsidRDefault="001B0F47" w:rsidP="00886F32">
      <w:pPr>
        <w:spacing w:after="0" w:line="360" w:lineRule="auto"/>
        <w:ind w:left="720"/>
        <w:jc w:val="center"/>
        <w:rPr>
          <w:b/>
          <w:bCs/>
          <w:noProof/>
          <w:color w:val="4C4747"/>
          <w:lang w:val="es-DO"/>
        </w:rPr>
      </w:pPr>
      <w:r w:rsidRPr="001B0F47">
        <w:rPr>
          <w:b/>
          <w:bCs/>
          <w:noProof/>
          <w:color w:val="4C4747"/>
          <w:lang w:val="es-DO"/>
        </w:rPr>
        <w:drawing>
          <wp:inline distT="0" distB="0" distL="0" distR="0" wp14:anchorId="21B4E486" wp14:editId="2A69DAF7">
            <wp:extent cx="3802380" cy="2832646"/>
            <wp:effectExtent l="0" t="0" r="7620" b="6350"/>
            <wp:docPr id="32" name="Picture 32"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oup of people in a room&#10;&#10;Description automatically generated"/>
                    <pic:cNvPicPr/>
                  </pic:nvPicPr>
                  <pic:blipFill>
                    <a:blip r:embed="rId53"/>
                    <a:stretch>
                      <a:fillRect/>
                    </a:stretch>
                  </pic:blipFill>
                  <pic:spPr>
                    <a:xfrm>
                      <a:off x="0" y="0"/>
                      <a:ext cx="3812078" cy="2839870"/>
                    </a:xfrm>
                    <a:prstGeom prst="rect">
                      <a:avLst/>
                    </a:prstGeom>
                  </pic:spPr>
                </pic:pic>
              </a:graphicData>
            </a:graphic>
          </wp:inline>
        </w:drawing>
      </w:r>
    </w:p>
    <w:p w14:paraId="43B78D6B" w14:textId="77777777" w:rsidR="00A529B4" w:rsidRDefault="00A529B4" w:rsidP="00886F32">
      <w:pPr>
        <w:spacing w:after="0" w:line="360" w:lineRule="auto"/>
        <w:ind w:left="720"/>
        <w:jc w:val="center"/>
        <w:rPr>
          <w:b/>
          <w:bCs/>
          <w:noProof/>
          <w:color w:val="4C4747"/>
          <w:lang w:val="es-DO"/>
        </w:rPr>
      </w:pPr>
      <w:r>
        <w:rPr>
          <w:b/>
          <w:bCs/>
          <w:noProof/>
          <w:color w:val="4C4747"/>
          <w:lang w:val="es-DO"/>
        </w:rPr>
        <w:t>Asambleas provinciales y municipales eleccionarias para periodo 2025-2027</w:t>
      </w:r>
    </w:p>
    <w:p w14:paraId="2423D711" w14:textId="037CF59A" w:rsidR="003F6DB4" w:rsidRPr="00E03083" w:rsidRDefault="003F6DB4" w:rsidP="00886F32">
      <w:pPr>
        <w:spacing w:after="0" w:line="360" w:lineRule="auto"/>
        <w:ind w:left="720"/>
        <w:jc w:val="center"/>
        <w:rPr>
          <w:color w:val="4C4747"/>
          <w:lang w:val="es-DO"/>
        </w:rPr>
      </w:pPr>
      <w:r w:rsidRPr="00223A95">
        <w:rPr>
          <w:rFonts w:eastAsia="Times New Roman"/>
          <w:noProof/>
          <w:lang w:val="es-DO"/>
        </w:rPr>
        <w:t xml:space="preserve"> </w:t>
      </w:r>
      <w:r w:rsidR="00E03083" w:rsidRPr="00E03083">
        <w:rPr>
          <w:rFonts w:eastAsia="Times New Roman"/>
          <w:noProof/>
          <w:lang w:val="es-DO"/>
        </w:rPr>
        <w:drawing>
          <wp:inline distT="0" distB="0" distL="0" distR="0" wp14:anchorId="6BE6DA2D" wp14:editId="47CE3B5C">
            <wp:extent cx="3611880" cy="2050869"/>
            <wp:effectExtent l="0" t="0" r="7620" b="6985"/>
            <wp:docPr id="53" name="Picture 53" descr="A collage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collage of people in a room&#10;&#10;Description automatically generated"/>
                    <pic:cNvPicPr/>
                  </pic:nvPicPr>
                  <pic:blipFill>
                    <a:blip r:embed="rId54"/>
                    <a:stretch>
                      <a:fillRect/>
                    </a:stretch>
                  </pic:blipFill>
                  <pic:spPr>
                    <a:xfrm>
                      <a:off x="0" y="0"/>
                      <a:ext cx="3630027" cy="2061173"/>
                    </a:xfrm>
                    <a:prstGeom prst="rect">
                      <a:avLst/>
                    </a:prstGeom>
                  </pic:spPr>
                </pic:pic>
              </a:graphicData>
            </a:graphic>
          </wp:inline>
        </w:drawing>
      </w:r>
    </w:p>
    <w:p w14:paraId="0DFE6478" w14:textId="77777777" w:rsidR="003F6DB4" w:rsidRPr="002702F8" w:rsidRDefault="003F6DB4" w:rsidP="00886F32">
      <w:pPr>
        <w:spacing w:after="0" w:line="360" w:lineRule="auto"/>
        <w:ind w:left="720"/>
        <w:jc w:val="center"/>
        <w:rPr>
          <w:b/>
          <w:color w:val="4C4747"/>
          <w:lang w:val="es-DO"/>
        </w:rPr>
      </w:pPr>
      <w:r w:rsidRPr="002702F8">
        <w:rPr>
          <w:b/>
          <w:color w:val="4C4747"/>
          <w:lang w:val="es-DO"/>
        </w:rPr>
        <w:t>Sensibilización con autoridades Plan SSAN</w:t>
      </w:r>
    </w:p>
    <w:p w14:paraId="73611965" w14:textId="77777777" w:rsidR="003F6DB4" w:rsidRPr="002702F8" w:rsidRDefault="003F6DB4" w:rsidP="00886F32">
      <w:pPr>
        <w:spacing w:after="0" w:line="360" w:lineRule="auto"/>
        <w:ind w:left="720"/>
        <w:jc w:val="center"/>
        <w:rPr>
          <w:color w:val="4C4747"/>
          <w:lang w:val="es-DO"/>
        </w:rPr>
      </w:pPr>
    </w:p>
    <w:p w14:paraId="6F1834AB" w14:textId="77777777" w:rsidR="003F6DB4" w:rsidRPr="002702F8" w:rsidRDefault="003F6DB4" w:rsidP="00886F32">
      <w:pPr>
        <w:spacing w:after="0" w:line="360" w:lineRule="auto"/>
        <w:ind w:left="720"/>
        <w:jc w:val="center"/>
        <w:rPr>
          <w:color w:val="4C4747"/>
          <w:lang w:val="es-DO"/>
        </w:rPr>
      </w:pPr>
    </w:p>
    <w:p w14:paraId="0EA9836D" w14:textId="55D7E92F" w:rsidR="003F6DB4" w:rsidRDefault="00074B63" w:rsidP="00886F32">
      <w:pPr>
        <w:spacing w:after="0" w:line="360" w:lineRule="auto"/>
        <w:ind w:left="720"/>
        <w:jc w:val="center"/>
        <w:rPr>
          <w:color w:val="4C4747"/>
        </w:rPr>
      </w:pPr>
      <w:r>
        <w:rPr>
          <w:rFonts w:eastAsia="Times New Roman"/>
          <w:noProof/>
        </w:rPr>
        <w:lastRenderedPageBreak/>
        <w:drawing>
          <wp:inline distT="0" distB="0" distL="0" distR="0" wp14:anchorId="57198E2F" wp14:editId="04B31D1C">
            <wp:extent cx="2468880" cy="1851660"/>
            <wp:effectExtent l="0" t="0" r="7620" b="0"/>
            <wp:docPr id="29" name="Imagen 29" descr="c0c03c14-62b3-4154-9f10-f77d41d3e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095D4B-51B2-48F4-BC43-30103E50B3B7" descr="c0c03c14-62b3-4154-9f10-f77d41d3e233.JPG"/>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p w14:paraId="1823B774" w14:textId="77777777" w:rsidR="003F6DB4" w:rsidRPr="00010133" w:rsidRDefault="003F6DB4" w:rsidP="00886F32">
      <w:pPr>
        <w:spacing w:after="0" w:line="360" w:lineRule="auto"/>
        <w:ind w:left="720"/>
        <w:jc w:val="center"/>
        <w:rPr>
          <w:color w:val="4C4747"/>
          <w:lang w:val="es-DO"/>
        </w:rPr>
      </w:pPr>
      <w:r w:rsidRPr="00427A1A">
        <w:rPr>
          <w:b/>
          <w:bCs/>
          <w:noProof/>
          <w:color w:val="4C4747"/>
          <w:lang w:val="es-DO"/>
        </w:rPr>
        <w:t>Encuentro:</w:t>
      </w:r>
      <w:r>
        <w:rPr>
          <w:bCs/>
          <w:noProof/>
          <w:color w:val="4C4747"/>
          <w:lang w:val="es-DO"/>
        </w:rPr>
        <w:t xml:space="preserve"> </w:t>
      </w:r>
      <w:r w:rsidRPr="003A44AF">
        <w:rPr>
          <w:b/>
          <w:bCs/>
          <w:noProof/>
          <w:color w:val="4C4747"/>
          <w:lang w:val="es-DO"/>
        </w:rPr>
        <w:t>Impacto del Desarrollo Turístico en la Región para el Sector Agropecuario</w:t>
      </w:r>
    </w:p>
    <w:p w14:paraId="49F950AE" w14:textId="6A788FCF" w:rsidR="003F6DB4" w:rsidRDefault="00AD11E1" w:rsidP="00886F32">
      <w:pPr>
        <w:spacing w:after="0" w:line="360" w:lineRule="auto"/>
        <w:ind w:left="720"/>
        <w:jc w:val="center"/>
        <w:rPr>
          <w:color w:val="4C4747"/>
        </w:rPr>
      </w:pPr>
      <w:r>
        <w:rPr>
          <w:rFonts w:eastAsia="Times New Roman"/>
          <w:noProof/>
        </w:rPr>
        <w:drawing>
          <wp:inline distT="0" distB="0" distL="0" distR="0" wp14:anchorId="2E31E572" wp14:editId="36DA3417">
            <wp:extent cx="2941320" cy="1654492"/>
            <wp:effectExtent l="0" t="0" r="0" b="3175"/>
            <wp:docPr id="54" name="Imagen 31" descr="7a0607e0-20e8-49fd-a614-44269a033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AFCCB8-06CF-4E71-A9A7-77A5D8D78894" descr="7a0607e0-20e8-49fd-a614-44269a033440.JPG"/>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2954005" cy="1661627"/>
                    </a:xfrm>
                    <a:prstGeom prst="rect">
                      <a:avLst/>
                    </a:prstGeom>
                    <a:noFill/>
                    <a:ln>
                      <a:noFill/>
                    </a:ln>
                  </pic:spPr>
                </pic:pic>
              </a:graphicData>
            </a:graphic>
          </wp:inline>
        </w:drawing>
      </w:r>
    </w:p>
    <w:p w14:paraId="7C98F33B" w14:textId="77777777" w:rsidR="003F6DB4" w:rsidRPr="00256EE7" w:rsidRDefault="003F6DB4" w:rsidP="00886F32">
      <w:pPr>
        <w:spacing w:after="0" w:line="360" w:lineRule="auto"/>
        <w:ind w:left="720"/>
        <w:jc w:val="center"/>
        <w:rPr>
          <w:b/>
          <w:color w:val="4C4747"/>
          <w:lang w:val="es-DO"/>
        </w:rPr>
      </w:pPr>
      <w:r w:rsidRPr="00256EE7">
        <w:rPr>
          <w:b/>
          <w:color w:val="4C4747"/>
          <w:lang w:val="es-DO"/>
        </w:rPr>
        <w:t>CONASSAN ampliado, presentación avances Hoja de Balance de Alimentos</w:t>
      </w:r>
    </w:p>
    <w:p w14:paraId="512355DD" w14:textId="68C837F6" w:rsidR="003F6DB4" w:rsidRPr="008855EE" w:rsidRDefault="003F6DB4" w:rsidP="00886F32">
      <w:pPr>
        <w:spacing w:after="0" w:line="360" w:lineRule="auto"/>
        <w:ind w:left="720"/>
        <w:jc w:val="center"/>
        <w:rPr>
          <w:color w:val="4C4747"/>
          <w:lang w:val="es-DO"/>
        </w:rPr>
      </w:pPr>
      <w:r w:rsidRPr="008855EE">
        <w:rPr>
          <w:rFonts w:eastAsia="Times New Roman"/>
          <w:noProof/>
          <w:lang w:val="es-DO"/>
        </w:rPr>
        <w:t xml:space="preserve"> </w:t>
      </w:r>
      <w:r w:rsidR="00B7460D" w:rsidRPr="00B7460D">
        <w:rPr>
          <w:rFonts w:eastAsia="Times New Roman"/>
          <w:noProof/>
          <w:lang w:val="es-DO"/>
        </w:rPr>
        <w:drawing>
          <wp:inline distT="0" distB="0" distL="0" distR="0" wp14:anchorId="6417CF20" wp14:editId="60E9E075">
            <wp:extent cx="4792980" cy="2223537"/>
            <wp:effectExtent l="0" t="0" r="7620" b="5715"/>
            <wp:docPr id="55" name="Picture 55" descr="A person holding a microphone and a child holding a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erson holding a microphone and a child holding a plate&#10;&#10;Description automatically generated"/>
                    <pic:cNvPicPr/>
                  </pic:nvPicPr>
                  <pic:blipFill>
                    <a:blip r:embed="rId59"/>
                    <a:stretch>
                      <a:fillRect/>
                    </a:stretch>
                  </pic:blipFill>
                  <pic:spPr>
                    <a:xfrm>
                      <a:off x="0" y="0"/>
                      <a:ext cx="4797214" cy="2225501"/>
                    </a:xfrm>
                    <a:prstGeom prst="rect">
                      <a:avLst/>
                    </a:prstGeom>
                  </pic:spPr>
                </pic:pic>
              </a:graphicData>
            </a:graphic>
          </wp:inline>
        </w:drawing>
      </w:r>
    </w:p>
    <w:p w14:paraId="53A1D97F" w14:textId="77777777" w:rsidR="003F6DB4" w:rsidRDefault="003F6DB4" w:rsidP="00886F32">
      <w:pPr>
        <w:spacing w:after="0" w:line="360" w:lineRule="auto"/>
        <w:ind w:left="720"/>
        <w:jc w:val="center"/>
        <w:rPr>
          <w:b/>
          <w:color w:val="4C4747"/>
          <w:lang w:val="es-DO"/>
        </w:rPr>
      </w:pPr>
      <w:r w:rsidRPr="00010133">
        <w:rPr>
          <w:b/>
          <w:color w:val="4C4747"/>
          <w:lang w:val="es-DO"/>
        </w:rPr>
        <w:t>Talleres en los territorios sobre Alimentación Saludable</w:t>
      </w:r>
    </w:p>
    <w:p w14:paraId="0321D1A7" w14:textId="77777777" w:rsidR="003F6DB4" w:rsidRPr="00010133" w:rsidRDefault="003F6DB4" w:rsidP="00886F32">
      <w:pPr>
        <w:spacing w:after="0" w:line="360" w:lineRule="auto"/>
        <w:ind w:left="720"/>
        <w:jc w:val="center"/>
        <w:rPr>
          <w:b/>
          <w:color w:val="4C4747"/>
          <w:lang w:val="es-DO"/>
        </w:rPr>
      </w:pPr>
    </w:p>
    <w:p w14:paraId="4374B874" w14:textId="4776CAC8" w:rsidR="003F6DB4" w:rsidRPr="00A33C2F" w:rsidRDefault="003F6DB4" w:rsidP="00886F32">
      <w:pPr>
        <w:spacing w:after="0" w:line="360" w:lineRule="auto"/>
        <w:ind w:left="720"/>
        <w:jc w:val="center"/>
        <w:rPr>
          <w:color w:val="4C4747"/>
          <w:lang w:val="es-DO"/>
        </w:rPr>
      </w:pPr>
    </w:p>
    <w:p w14:paraId="5AF6BDAB" w14:textId="77777777" w:rsidR="003F6DB4" w:rsidRPr="00256EE7" w:rsidRDefault="003F6DB4" w:rsidP="00886F32">
      <w:pPr>
        <w:spacing w:after="0" w:line="360" w:lineRule="auto"/>
        <w:ind w:left="720"/>
        <w:rPr>
          <w:color w:val="4C4747"/>
          <w:lang w:val="es-DO"/>
        </w:rPr>
      </w:pPr>
    </w:p>
    <w:p w14:paraId="3250D5CA" w14:textId="7EC4D742" w:rsidR="003F6DB4" w:rsidRDefault="008614D0" w:rsidP="00886F32">
      <w:pPr>
        <w:spacing w:after="0" w:line="360" w:lineRule="auto"/>
        <w:ind w:left="720"/>
        <w:jc w:val="center"/>
        <w:rPr>
          <w:color w:val="4C4747"/>
        </w:rPr>
      </w:pPr>
      <w:r>
        <w:rPr>
          <w:rFonts w:eastAsia="Times New Roman"/>
          <w:noProof/>
        </w:rPr>
        <w:drawing>
          <wp:inline distT="0" distB="0" distL="0" distR="0" wp14:anchorId="6082F25E" wp14:editId="24058C10">
            <wp:extent cx="1676591" cy="2583180"/>
            <wp:effectExtent l="0" t="0" r="0" b="7620"/>
            <wp:docPr id="38" name="Imagen 38" descr="c7e6b11c-4b8b-41ec-8976-99aea8cdac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D0E32D-A116-4B94-AF86-A34CC6EC1284" descr="c7e6b11c-4b8b-41ec-8976-99aea8cdacae.JPG"/>
                    <pic:cNvPicPr>
                      <a:picLocks noChangeAspect="1" noChangeArrowheads="1"/>
                    </pic:cNvPicPr>
                  </pic:nvPicPr>
                  <pic:blipFill rotWithShape="1">
                    <a:blip r:embed="rId60" r:link="rId61" cstate="print">
                      <a:extLst>
                        <a:ext uri="{28A0092B-C50C-407E-A947-70E740481C1C}">
                          <a14:useLocalDpi xmlns:a14="http://schemas.microsoft.com/office/drawing/2010/main" val="0"/>
                        </a:ext>
                      </a:extLst>
                    </a:blip>
                    <a:srcRect t="6015"/>
                    <a:stretch/>
                  </pic:blipFill>
                  <pic:spPr bwMode="auto">
                    <a:xfrm>
                      <a:off x="0" y="0"/>
                      <a:ext cx="1696245" cy="2613461"/>
                    </a:xfrm>
                    <a:prstGeom prst="rect">
                      <a:avLst/>
                    </a:prstGeom>
                    <a:noFill/>
                    <a:ln>
                      <a:noFill/>
                    </a:ln>
                    <a:extLst>
                      <a:ext uri="{53640926-AAD7-44D8-BBD7-CCE9431645EC}">
                        <a14:shadowObscured xmlns:a14="http://schemas.microsoft.com/office/drawing/2010/main"/>
                      </a:ext>
                    </a:extLst>
                  </pic:spPr>
                </pic:pic>
              </a:graphicData>
            </a:graphic>
          </wp:inline>
        </w:drawing>
      </w:r>
    </w:p>
    <w:p w14:paraId="62266505" w14:textId="77777777" w:rsidR="003F6DB4" w:rsidRDefault="003F6DB4" w:rsidP="00886F32">
      <w:pPr>
        <w:spacing w:after="0" w:line="360" w:lineRule="auto"/>
        <w:ind w:left="720"/>
        <w:jc w:val="center"/>
        <w:rPr>
          <w:b/>
          <w:bCs/>
          <w:noProof/>
          <w:color w:val="4C4747"/>
          <w:lang w:val="es-DO"/>
        </w:rPr>
      </w:pPr>
      <w:r w:rsidRPr="00C1084B">
        <w:rPr>
          <w:b/>
          <w:bCs/>
          <w:noProof/>
          <w:color w:val="4C4747"/>
          <w:lang w:val="es-DO"/>
        </w:rPr>
        <w:t>Cumbre de Sistemas Alimentarios de las Naciones Unidas UNFSS+4 2025</w:t>
      </w:r>
    </w:p>
    <w:p w14:paraId="75FE6B52" w14:textId="77777777" w:rsidR="003F6DB4" w:rsidRPr="00EB6DDB" w:rsidRDefault="003F6DB4" w:rsidP="00886F32">
      <w:pPr>
        <w:spacing w:after="0" w:line="360" w:lineRule="auto"/>
        <w:ind w:left="720"/>
        <w:jc w:val="center"/>
        <w:rPr>
          <w:color w:val="4C4747"/>
          <w:lang w:val="es-DO"/>
        </w:rPr>
      </w:pPr>
    </w:p>
    <w:p w14:paraId="3C682851" w14:textId="06790EFD" w:rsidR="003F6DB4" w:rsidRDefault="00E20C22" w:rsidP="00886F32">
      <w:pPr>
        <w:spacing w:after="0" w:line="360" w:lineRule="auto"/>
        <w:ind w:left="720"/>
        <w:jc w:val="center"/>
        <w:rPr>
          <w:color w:val="4C4747"/>
        </w:rPr>
      </w:pPr>
      <w:r>
        <w:rPr>
          <w:rFonts w:eastAsia="Times New Roman"/>
          <w:noProof/>
        </w:rPr>
        <w:drawing>
          <wp:inline distT="0" distB="0" distL="0" distR="0" wp14:anchorId="6D40BFAC" wp14:editId="4614FD19">
            <wp:extent cx="3070860" cy="2032823"/>
            <wp:effectExtent l="0" t="0" r="0" b="5715"/>
            <wp:docPr id="39" name="Imagen 39" descr="c226c8d4-fc9b-4bab-bef7-01b7646fc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5F6091-22A9-45A0-BC61-20369F4B3DDA" descr="c226c8d4-fc9b-4bab-bef7-01b7646fc20c.JPG"/>
                    <pic:cNvPicPr>
                      <a:picLocks noChangeAspect="1" noChangeArrowheads="1"/>
                    </pic:cNvPicPr>
                  </pic:nvPicPr>
                  <pic:blipFill>
                    <a:blip r:embed="rId62" r:link="rId63" cstate="print">
                      <a:extLst>
                        <a:ext uri="{28A0092B-C50C-407E-A947-70E740481C1C}">
                          <a14:useLocalDpi xmlns:a14="http://schemas.microsoft.com/office/drawing/2010/main" val="0"/>
                        </a:ext>
                      </a:extLst>
                    </a:blip>
                    <a:srcRect/>
                    <a:stretch>
                      <a:fillRect/>
                    </a:stretch>
                  </pic:blipFill>
                  <pic:spPr bwMode="auto">
                    <a:xfrm>
                      <a:off x="0" y="0"/>
                      <a:ext cx="3087929" cy="2044122"/>
                    </a:xfrm>
                    <a:prstGeom prst="rect">
                      <a:avLst/>
                    </a:prstGeom>
                    <a:noFill/>
                    <a:ln>
                      <a:noFill/>
                    </a:ln>
                  </pic:spPr>
                </pic:pic>
              </a:graphicData>
            </a:graphic>
          </wp:inline>
        </w:drawing>
      </w:r>
    </w:p>
    <w:p w14:paraId="02DF8B43" w14:textId="77777777" w:rsidR="003F6DB4" w:rsidRPr="00283453" w:rsidRDefault="003F6DB4" w:rsidP="00886F32">
      <w:pPr>
        <w:spacing w:after="0" w:line="360" w:lineRule="auto"/>
        <w:ind w:left="720"/>
        <w:jc w:val="center"/>
        <w:rPr>
          <w:b/>
          <w:color w:val="4C4747"/>
          <w:lang w:val="es-DO"/>
        </w:rPr>
      </w:pPr>
      <w:r w:rsidRPr="00283453">
        <w:rPr>
          <w:b/>
          <w:color w:val="4C4747"/>
          <w:lang w:val="es-DO"/>
        </w:rPr>
        <w:t>Asamblea Eleccionaria Nacional de la Red SSAN.</w:t>
      </w:r>
    </w:p>
    <w:p w14:paraId="54EE4907" w14:textId="77777777" w:rsidR="003F6DB4" w:rsidRPr="00283453" w:rsidRDefault="003F6DB4" w:rsidP="00886F32">
      <w:pPr>
        <w:spacing w:after="0" w:line="360" w:lineRule="auto"/>
        <w:ind w:left="720"/>
        <w:jc w:val="center"/>
        <w:rPr>
          <w:color w:val="4C4747"/>
          <w:lang w:val="es-DO"/>
        </w:rPr>
      </w:pPr>
    </w:p>
    <w:p w14:paraId="54747A85" w14:textId="77777777" w:rsidR="003F6DB4" w:rsidRPr="00283453" w:rsidRDefault="003F6DB4" w:rsidP="00886F32">
      <w:pPr>
        <w:spacing w:after="0" w:line="360" w:lineRule="auto"/>
        <w:ind w:left="720"/>
        <w:jc w:val="center"/>
        <w:rPr>
          <w:color w:val="4C4747"/>
          <w:lang w:val="es-DO"/>
        </w:rPr>
      </w:pPr>
    </w:p>
    <w:p w14:paraId="138D1D28" w14:textId="73DF2395" w:rsidR="003F6DB4" w:rsidRDefault="00F02664" w:rsidP="00886F32">
      <w:pPr>
        <w:spacing w:after="0" w:line="360" w:lineRule="auto"/>
        <w:ind w:left="720"/>
        <w:jc w:val="center"/>
        <w:rPr>
          <w:color w:val="4C4747"/>
        </w:rPr>
      </w:pPr>
      <w:r>
        <w:rPr>
          <w:rFonts w:eastAsia="Times New Roman"/>
          <w:noProof/>
        </w:rPr>
        <w:lastRenderedPageBreak/>
        <w:drawing>
          <wp:inline distT="0" distB="0" distL="0" distR="0" wp14:anchorId="5264F4ED" wp14:editId="62587155">
            <wp:extent cx="3177540" cy="2119175"/>
            <wp:effectExtent l="0" t="0" r="3810" b="0"/>
            <wp:docPr id="41" name="Imagen 41" descr="cb7b5919-eac4-46c3-a0e6-d226bd5d4f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8FBA21-6E50-4A81-BA44-40DE8FC1B731" descr="cb7b5919-eac4-46c3-a0e6-d226bd5d4f6f.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85149" cy="2124249"/>
                    </a:xfrm>
                    <a:prstGeom prst="rect">
                      <a:avLst/>
                    </a:prstGeom>
                    <a:noFill/>
                    <a:ln>
                      <a:noFill/>
                    </a:ln>
                  </pic:spPr>
                </pic:pic>
              </a:graphicData>
            </a:graphic>
          </wp:inline>
        </w:drawing>
      </w:r>
    </w:p>
    <w:p w14:paraId="27A43D08" w14:textId="77777777" w:rsidR="003F6DB4" w:rsidRPr="00571D52" w:rsidRDefault="003F6DB4" w:rsidP="00886F32">
      <w:pPr>
        <w:spacing w:after="0" w:line="360" w:lineRule="auto"/>
        <w:ind w:left="720"/>
        <w:jc w:val="center"/>
        <w:rPr>
          <w:color w:val="4C4747"/>
          <w:lang w:val="es-DO"/>
        </w:rPr>
      </w:pPr>
      <w:r w:rsidRPr="00571D52">
        <w:rPr>
          <w:b/>
          <w:bCs/>
          <w:noProof/>
          <w:color w:val="4C4747"/>
          <w:lang w:val="es-DO"/>
        </w:rPr>
        <w:t>Panel</w:t>
      </w:r>
      <w:r>
        <w:rPr>
          <w:bCs/>
          <w:noProof/>
          <w:color w:val="4C4747"/>
          <w:lang w:val="es-DO"/>
        </w:rPr>
        <w:t xml:space="preserve"> “</w:t>
      </w:r>
      <w:r w:rsidRPr="001259D4">
        <w:rPr>
          <w:b/>
          <w:bCs/>
          <w:noProof/>
          <w:color w:val="4C4747"/>
          <w:lang w:val="es-DO"/>
        </w:rPr>
        <w:t>Mercado Global: Alianzas para impulsar la agroindustria” del AgroTech Summit 2025 de la Revista Mercado</w:t>
      </w:r>
    </w:p>
    <w:p w14:paraId="62C629E8" w14:textId="77777777" w:rsidR="003F6DB4" w:rsidRPr="00571D52" w:rsidRDefault="003F6DB4" w:rsidP="00886F32">
      <w:pPr>
        <w:spacing w:after="0" w:line="360" w:lineRule="auto"/>
        <w:ind w:left="720"/>
        <w:jc w:val="center"/>
        <w:rPr>
          <w:color w:val="4C4747"/>
          <w:lang w:val="es-DO"/>
        </w:rPr>
      </w:pPr>
    </w:p>
    <w:p w14:paraId="7E2E681C" w14:textId="77777777" w:rsidR="003F6DB4" w:rsidRPr="008855EE" w:rsidRDefault="003F6DB4" w:rsidP="00886F32">
      <w:pPr>
        <w:spacing w:after="0" w:line="360" w:lineRule="auto"/>
        <w:ind w:left="720"/>
        <w:jc w:val="center"/>
        <w:rPr>
          <w:color w:val="4C4747"/>
          <w:lang w:val="es-DO"/>
        </w:rPr>
      </w:pPr>
    </w:p>
    <w:p w14:paraId="555D004B" w14:textId="61B96B54" w:rsidR="003F6DB4" w:rsidRDefault="00B22169" w:rsidP="00886F32">
      <w:pPr>
        <w:spacing w:after="0" w:line="360" w:lineRule="auto"/>
        <w:ind w:left="720"/>
        <w:jc w:val="center"/>
        <w:rPr>
          <w:color w:val="4C4747"/>
        </w:rPr>
      </w:pPr>
      <w:r>
        <w:rPr>
          <w:rFonts w:eastAsia="Times New Roman"/>
          <w:noProof/>
        </w:rPr>
        <w:drawing>
          <wp:inline distT="0" distB="0" distL="0" distR="0" wp14:anchorId="21576DA1" wp14:editId="3CA7E28B">
            <wp:extent cx="3324467" cy="2217420"/>
            <wp:effectExtent l="0" t="0" r="9525" b="0"/>
            <wp:docPr id="43" name="Imagen 43" descr="54981bdf-e800-4c74-9989-4fc7cc4a1a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F446D8-C157-4D1A-9888-95868AC48A13" descr="54981bdf-e800-4c74-9989-4fc7cc4a1a98.JPG"/>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3330881" cy="2221698"/>
                    </a:xfrm>
                    <a:prstGeom prst="rect">
                      <a:avLst/>
                    </a:prstGeom>
                    <a:noFill/>
                    <a:ln>
                      <a:noFill/>
                    </a:ln>
                  </pic:spPr>
                </pic:pic>
              </a:graphicData>
            </a:graphic>
          </wp:inline>
        </w:drawing>
      </w:r>
    </w:p>
    <w:p w14:paraId="6BE11C7A" w14:textId="77777777" w:rsidR="003F6DB4" w:rsidRPr="00AF543A" w:rsidRDefault="003F6DB4" w:rsidP="00886F32">
      <w:pPr>
        <w:spacing w:after="0" w:line="360" w:lineRule="auto"/>
        <w:ind w:left="720"/>
        <w:jc w:val="center"/>
        <w:rPr>
          <w:b/>
          <w:color w:val="4C4747"/>
        </w:rPr>
      </w:pPr>
      <w:r w:rsidRPr="00AF543A">
        <w:rPr>
          <w:b/>
          <w:color w:val="4C4747"/>
        </w:rPr>
        <w:t xml:space="preserve">Taller </w:t>
      </w:r>
      <w:proofErr w:type="spellStart"/>
      <w:r w:rsidRPr="00AF543A">
        <w:rPr>
          <w:b/>
          <w:color w:val="4C4747"/>
        </w:rPr>
        <w:t>Actualización</w:t>
      </w:r>
      <w:proofErr w:type="spellEnd"/>
      <w:r w:rsidRPr="00AF543A">
        <w:rPr>
          <w:b/>
          <w:color w:val="4C4747"/>
        </w:rPr>
        <w:t xml:space="preserve"> Plan SSAN 2026-2028</w:t>
      </w:r>
    </w:p>
    <w:p w14:paraId="360E6F5A" w14:textId="77777777" w:rsidR="003F6DB4" w:rsidRDefault="003F6DB4" w:rsidP="00886F32">
      <w:pPr>
        <w:spacing w:after="0" w:line="360" w:lineRule="auto"/>
        <w:ind w:left="720"/>
        <w:jc w:val="center"/>
        <w:rPr>
          <w:color w:val="4C4747"/>
        </w:rPr>
      </w:pPr>
    </w:p>
    <w:p w14:paraId="62D2B36C" w14:textId="73FFEE66" w:rsidR="003F6DB4" w:rsidRDefault="00D05C4D" w:rsidP="00886F32">
      <w:pPr>
        <w:spacing w:after="0" w:line="360" w:lineRule="auto"/>
        <w:ind w:left="720"/>
        <w:jc w:val="center"/>
        <w:rPr>
          <w:color w:val="4C4747"/>
        </w:rPr>
      </w:pPr>
      <w:r>
        <w:rPr>
          <w:rFonts w:eastAsia="Times New Roman"/>
          <w:noProof/>
        </w:rPr>
        <w:lastRenderedPageBreak/>
        <w:drawing>
          <wp:inline distT="0" distB="0" distL="0" distR="0" wp14:anchorId="3C69AEB3" wp14:editId="3D5FD561">
            <wp:extent cx="3291840" cy="2468880"/>
            <wp:effectExtent l="0" t="0" r="3810" b="7620"/>
            <wp:docPr id="48" name="Imagen 48" descr="ea0490af-a2f4-4bca-bba3-7ecf4e5f3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F9B966-95E5-4111-807D-A0001F71CDF0" descr="ea0490af-a2f4-4bca-bba3-7ecf4e5f3a14.JPG"/>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3291840" cy="2468880"/>
                    </a:xfrm>
                    <a:prstGeom prst="rect">
                      <a:avLst/>
                    </a:prstGeom>
                    <a:noFill/>
                    <a:ln>
                      <a:noFill/>
                    </a:ln>
                  </pic:spPr>
                </pic:pic>
              </a:graphicData>
            </a:graphic>
          </wp:inline>
        </w:drawing>
      </w:r>
    </w:p>
    <w:p w14:paraId="483A2D5F" w14:textId="77777777" w:rsidR="003F6DB4" w:rsidRPr="006A0EA7" w:rsidRDefault="003F6DB4" w:rsidP="00886F32">
      <w:pPr>
        <w:spacing w:after="0" w:line="360" w:lineRule="auto"/>
        <w:ind w:left="720"/>
        <w:jc w:val="center"/>
        <w:rPr>
          <w:b/>
          <w:color w:val="4C4747"/>
          <w:lang w:val="es-DO"/>
        </w:rPr>
      </w:pPr>
      <w:r w:rsidRPr="006A0EA7">
        <w:rPr>
          <w:b/>
          <w:color w:val="4C4747"/>
          <w:lang w:val="es-DO"/>
        </w:rPr>
        <w:t>Foro Internacional para la prevención del Sobrepeso y Obesidad</w:t>
      </w:r>
    </w:p>
    <w:p w14:paraId="7AEB6801" w14:textId="77777777" w:rsidR="003F6DB4" w:rsidRPr="00927F75" w:rsidRDefault="003F6DB4" w:rsidP="00886F32">
      <w:pPr>
        <w:spacing w:after="0" w:line="360" w:lineRule="auto"/>
        <w:ind w:left="720"/>
        <w:jc w:val="center"/>
        <w:rPr>
          <w:color w:val="4C4747"/>
          <w:lang w:val="es-DO"/>
        </w:rPr>
      </w:pPr>
    </w:p>
    <w:p w14:paraId="3401EE0B" w14:textId="77777777" w:rsidR="003F6DB4" w:rsidRPr="00927F75" w:rsidRDefault="003F6DB4" w:rsidP="00886F32">
      <w:pPr>
        <w:spacing w:after="0" w:line="360" w:lineRule="auto"/>
        <w:ind w:left="720"/>
        <w:jc w:val="center"/>
        <w:rPr>
          <w:rFonts w:eastAsia="Times New Roman"/>
          <w:noProof/>
          <w:lang w:val="es-DO"/>
        </w:rPr>
      </w:pPr>
    </w:p>
    <w:p w14:paraId="4915E341" w14:textId="5547AC32" w:rsidR="003F6DB4" w:rsidRPr="00A33C2F" w:rsidRDefault="003F6DB4" w:rsidP="00886F32">
      <w:pPr>
        <w:spacing w:after="0" w:line="360" w:lineRule="auto"/>
        <w:ind w:left="720"/>
        <w:jc w:val="center"/>
        <w:rPr>
          <w:color w:val="4C4747"/>
          <w:lang w:val="es-DO"/>
        </w:rPr>
      </w:pPr>
      <w:r w:rsidRPr="00A33C2F">
        <w:rPr>
          <w:rFonts w:eastAsia="Times New Roman"/>
          <w:noProof/>
          <w:lang w:val="es-DO"/>
        </w:rPr>
        <w:t xml:space="preserve"> </w:t>
      </w:r>
    </w:p>
    <w:p w14:paraId="3304FB04" w14:textId="5B326CC8" w:rsidR="003F6DB4" w:rsidRDefault="00CC5051" w:rsidP="00886F32">
      <w:pPr>
        <w:spacing w:after="0" w:line="360" w:lineRule="auto"/>
        <w:ind w:left="720"/>
        <w:jc w:val="center"/>
        <w:rPr>
          <w:color w:val="4C4747"/>
        </w:rPr>
      </w:pPr>
      <w:r w:rsidRPr="00CC5051">
        <w:rPr>
          <w:noProof/>
          <w:color w:val="4C4747"/>
        </w:rPr>
        <w:drawing>
          <wp:inline distT="0" distB="0" distL="0" distR="0" wp14:anchorId="3884111E" wp14:editId="319614BA">
            <wp:extent cx="4076700" cy="3125692"/>
            <wp:effectExtent l="0" t="0" r="0" b="0"/>
            <wp:docPr id="62" name="Picture 62" descr="A group of people sitting at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group of people sitting at tables&#10;&#10;Description automatically generated"/>
                    <pic:cNvPicPr/>
                  </pic:nvPicPr>
                  <pic:blipFill>
                    <a:blip r:embed="rId70"/>
                    <a:stretch>
                      <a:fillRect/>
                    </a:stretch>
                  </pic:blipFill>
                  <pic:spPr>
                    <a:xfrm>
                      <a:off x="0" y="0"/>
                      <a:ext cx="4090162" cy="3136014"/>
                    </a:xfrm>
                    <a:prstGeom prst="rect">
                      <a:avLst/>
                    </a:prstGeom>
                  </pic:spPr>
                </pic:pic>
              </a:graphicData>
            </a:graphic>
          </wp:inline>
        </w:drawing>
      </w:r>
    </w:p>
    <w:p w14:paraId="611E867E" w14:textId="77777777" w:rsidR="003F6DB4" w:rsidRDefault="003F6DB4" w:rsidP="00886F32">
      <w:pPr>
        <w:spacing w:after="0" w:line="360" w:lineRule="auto"/>
        <w:ind w:left="720"/>
        <w:jc w:val="center"/>
        <w:rPr>
          <w:b/>
          <w:color w:val="4C4747"/>
          <w:lang w:val="es-DO"/>
        </w:rPr>
      </w:pPr>
      <w:r w:rsidRPr="00927F75">
        <w:rPr>
          <w:b/>
          <w:color w:val="4C4747"/>
          <w:lang w:val="es-DO"/>
        </w:rPr>
        <w:t>Mesas bilaterales de coordinación de instancias para actualización del Plan SSAN</w:t>
      </w:r>
    </w:p>
    <w:p w14:paraId="2C7BB0DE" w14:textId="77777777" w:rsidR="00CC5051" w:rsidRPr="00927F75" w:rsidRDefault="00CC5051" w:rsidP="00886F32">
      <w:pPr>
        <w:spacing w:after="0" w:line="360" w:lineRule="auto"/>
        <w:ind w:left="720"/>
        <w:jc w:val="center"/>
        <w:rPr>
          <w:b/>
          <w:color w:val="4C4747"/>
          <w:lang w:val="es-DO"/>
        </w:rPr>
      </w:pPr>
    </w:p>
    <w:p w14:paraId="14BBB4D4" w14:textId="77777777" w:rsidR="00BB1030" w:rsidRDefault="00BB1030" w:rsidP="00886F32">
      <w:pPr>
        <w:spacing w:after="0" w:line="360" w:lineRule="auto"/>
        <w:ind w:left="720"/>
        <w:jc w:val="center"/>
        <w:rPr>
          <w:rFonts w:eastAsia="Calibri"/>
          <w:b/>
          <w:bCs/>
          <w:noProof/>
          <w:color w:val="4C4747"/>
          <w:lang w:val="es-DO"/>
        </w:rPr>
      </w:pPr>
    </w:p>
    <w:p w14:paraId="66045D95" w14:textId="69F5350C" w:rsidR="00366DD1" w:rsidRPr="00C1375D" w:rsidRDefault="00C1375D" w:rsidP="004A7B4D">
      <w:pPr>
        <w:pStyle w:val="ListParagraph"/>
        <w:numPr>
          <w:ilvl w:val="1"/>
          <w:numId w:val="101"/>
        </w:numPr>
        <w:spacing w:after="0" w:line="360" w:lineRule="auto"/>
        <w:ind w:left="720"/>
        <w:jc w:val="center"/>
        <w:outlineLvl w:val="1"/>
        <w:rPr>
          <w:rFonts w:eastAsia="Calibri"/>
          <w:b/>
          <w:bCs/>
          <w:noProof/>
          <w:color w:val="4C4747"/>
        </w:rPr>
      </w:pPr>
      <w:r>
        <w:rPr>
          <w:rFonts w:eastAsia="Calibri"/>
          <w:b/>
          <w:bCs/>
          <w:noProof/>
          <w:color w:val="4C4747"/>
        </w:rPr>
        <w:lastRenderedPageBreak/>
        <w:t xml:space="preserve"> </w:t>
      </w:r>
      <w:bookmarkStart w:id="138" w:name="_Toc217382629"/>
      <w:r>
        <w:rPr>
          <w:rFonts w:eastAsia="Calibri"/>
          <w:b/>
          <w:bCs/>
          <w:noProof/>
          <w:color w:val="4C4747"/>
        </w:rPr>
        <w:t xml:space="preserve">Anexos </w:t>
      </w:r>
      <w:r w:rsidR="00366DD1" w:rsidRPr="00C1375D">
        <w:rPr>
          <w:rFonts w:eastAsia="Calibri"/>
          <w:b/>
          <w:bCs/>
          <w:noProof/>
          <w:color w:val="4C4747"/>
        </w:rPr>
        <w:t>Dirección de Recursos Humanos</w:t>
      </w:r>
      <w:bookmarkEnd w:id="138"/>
    </w:p>
    <w:p w14:paraId="72023D22" w14:textId="77777777" w:rsidR="00135E12" w:rsidRDefault="00135E12" w:rsidP="00886F32">
      <w:pPr>
        <w:spacing w:after="0" w:line="360" w:lineRule="auto"/>
        <w:ind w:left="720"/>
        <w:jc w:val="center"/>
        <w:rPr>
          <w:rFonts w:eastAsia="Calibri"/>
          <w:color w:val="4C4747"/>
          <w:lang w:val="es-419"/>
        </w:rPr>
      </w:pPr>
    </w:p>
    <w:p w14:paraId="3226EE9E" w14:textId="7D6DA28F" w:rsidR="00372065" w:rsidRDefault="001C12EA" w:rsidP="00886F32">
      <w:pPr>
        <w:spacing w:after="0" w:line="360" w:lineRule="auto"/>
        <w:ind w:left="720"/>
        <w:jc w:val="center"/>
        <w:rPr>
          <w:rFonts w:eastAsia="Calibri"/>
          <w:color w:val="4C4747"/>
          <w:lang w:val="es-419"/>
        </w:rPr>
      </w:pPr>
      <w:r w:rsidRPr="0001187A">
        <w:rPr>
          <w:rFonts w:eastAsia="Calibri"/>
          <w:noProof/>
          <w:color w:val="4C4747"/>
        </w:rPr>
        <w:drawing>
          <wp:anchor distT="0" distB="0" distL="114300" distR="114300" simplePos="0" relativeHeight="251785216" behindDoc="1" locked="0" layoutInCell="1" allowOverlap="1" wp14:anchorId="22632B40" wp14:editId="0E8DBD08">
            <wp:simplePos x="0" y="0"/>
            <wp:positionH relativeFrom="page">
              <wp:align>center</wp:align>
            </wp:positionH>
            <wp:positionV relativeFrom="paragraph">
              <wp:posOffset>379730</wp:posOffset>
            </wp:positionV>
            <wp:extent cx="1996440" cy="2495550"/>
            <wp:effectExtent l="0" t="0" r="3810" b="0"/>
            <wp:wrapTight wrapText="bothSides">
              <wp:wrapPolygon edited="0">
                <wp:start x="0" y="0"/>
                <wp:lineTo x="0" y="21435"/>
                <wp:lineTo x="21435" y="21435"/>
                <wp:lineTo x="21435" y="0"/>
                <wp:lineTo x="0" y="0"/>
              </wp:wrapPolygon>
            </wp:wrapTight>
            <wp:docPr id="1836801921" name="Imagen 7" descr="A blue and white poster with a megaphone&#10;&#10;Description automatically generated">
              <a:extLst xmlns:a="http://schemas.openxmlformats.org/drawingml/2006/main">
                <a:ext uri="{FF2B5EF4-FFF2-40B4-BE49-F238E27FC236}">
                  <a16:creationId xmlns:a16="http://schemas.microsoft.com/office/drawing/2014/main" id="{9ACBEC56-2058-4139-A776-C02249AC6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21" name="Imagen 7" descr="A blue and white poster with a megaphone&#10;&#10;Description automatically generated">
                      <a:extLst>
                        <a:ext uri="{FF2B5EF4-FFF2-40B4-BE49-F238E27FC236}">
                          <a16:creationId xmlns:a16="http://schemas.microsoft.com/office/drawing/2014/main" id="{9ACBEC56-2058-4139-A776-C02249AC63BE}"/>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96440" cy="2495550"/>
                    </a:xfrm>
                    <a:prstGeom prst="rect">
                      <a:avLst/>
                    </a:prstGeom>
                  </pic:spPr>
                </pic:pic>
              </a:graphicData>
            </a:graphic>
          </wp:anchor>
        </w:drawing>
      </w:r>
      <w:r w:rsidR="00372065">
        <w:rPr>
          <w:rFonts w:eastAsia="Calibri"/>
          <w:color w:val="4C4747"/>
          <w:lang w:val="es-419"/>
        </w:rPr>
        <w:t>Reclutamiento Proyecto de Emergencia y Resiliencia</w:t>
      </w:r>
    </w:p>
    <w:p w14:paraId="1A9D01BC" w14:textId="4FB24218" w:rsidR="00372065" w:rsidRDefault="00372065" w:rsidP="00886F32">
      <w:pPr>
        <w:spacing w:after="0" w:line="360" w:lineRule="auto"/>
        <w:ind w:left="720"/>
        <w:jc w:val="center"/>
        <w:rPr>
          <w:rFonts w:eastAsia="Calibri"/>
          <w:color w:val="4C4747"/>
          <w:lang w:val="es-419"/>
        </w:rPr>
      </w:pPr>
      <w:r w:rsidRPr="003F707E">
        <w:rPr>
          <w:rFonts w:eastAsia="Calibri"/>
          <w:noProof/>
          <w:color w:val="4C4747"/>
        </w:rPr>
        <w:drawing>
          <wp:inline distT="0" distB="0" distL="0" distR="0" wp14:anchorId="58E591F0" wp14:editId="7A1C89B6">
            <wp:extent cx="4349363" cy="2874946"/>
            <wp:effectExtent l="0" t="0" r="0" b="1905"/>
            <wp:docPr id="1836801922" name="Imagen 5" descr="A screenshot of a computer&#10;&#10;Description automatically generated">
              <a:extLst xmlns:a="http://schemas.openxmlformats.org/drawingml/2006/main">
                <a:ext uri="{FF2B5EF4-FFF2-40B4-BE49-F238E27FC236}">
                  <a16:creationId xmlns:a16="http://schemas.microsoft.com/office/drawing/2014/main" id="{A667A195-E45A-4F04-B699-255D19296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22" name="Imagen 5" descr="A screenshot of a computer&#10;&#10;Description automatically generated">
                      <a:extLst>
                        <a:ext uri="{FF2B5EF4-FFF2-40B4-BE49-F238E27FC236}">
                          <a16:creationId xmlns:a16="http://schemas.microsoft.com/office/drawing/2014/main" id="{A667A195-E45A-4F04-B699-255D19296B35}"/>
                        </a:ext>
                      </a:extLst>
                    </pic:cNvPr>
                    <pic:cNvPicPr>
                      <a:picLocks noChangeAspect="1"/>
                    </pic:cNvPicPr>
                  </pic:nvPicPr>
                  <pic:blipFill>
                    <a:blip r:embed="rId72"/>
                    <a:stretch>
                      <a:fillRect/>
                    </a:stretch>
                  </pic:blipFill>
                  <pic:spPr>
                    <a:xfrm>
                      <a:off x="0" y="0"/>
                      <a:ext cx="4357508" cy="2880330"/>
                    </a:xfrm>
                    <a:prstGeom prst="rect">
                      <a:avLst/>
                    </a:prstGeom>
                  </pic:spPr>
                </pic:pic>
              </a:graphicData>
            </a:graphic>
          </wp:inline>
        </w:drawing>
      </w:r>
    </w:p>
    <w:p w14:paraId="236326E4" w14:textId="77777777" w:rsidR="00CC5051" w:rsidRDefault="00CC5051" w:rsidP="00886F32">
      <w:pPr>
        <w:spacing w:after="0" w:line="360" w:lineRule="auto"/>
        <w:ind w:left="720"/>
        <w:jc w:val="center"/>
        <w:rPr>
          <w:color w:val="4C4747"/>
          <w:lang w:val="es-419"/>
        </w:rPr>
      </w:pPr>
    </w:p>
    <w:p w14:paraId="49893503" w14:textId="77777777" w:rsidR="00CC5051" w:rsidRDefault="00CC5051" w:rsidP="00886F32">
      <w:pPr>
        <w:spacing w:after="0" w:line="360" w:lineRule="auto"/>
        <w:ind w:left="720"/>
        <w:jc w:val="center"/>
        <w:rPr>
          <w:color w:val="4C4747"/>
          <w:lang w:val="es-419"/>
        </w:rPr>
      </w:pPr>
    </w:p>
    <w:p w14:paraId="7BC9D966" w14:textId="77777777" w:rsidR="00CC5051" w:rsidRDefault="00CC5051" w:rsidP="00886F32">
      <w:pPr>
        <w:spacing w:after="0" w:line="360" w:lineRule="auto"/>
        <w:ind w:left="720"/>
        <w:jc w:val="center"/>
        <w:rPr>
          <w:color w:val="4C4747"/>
          <w:lang w:val="es-419"/>
        </w:rPr>
      </w:pPr>
    </w:p>
    <w:p w14:paraId="42349A8F" w14:textId="77777777" w:rsidR="00CC5051" w:rsidRDefault="00CC5051" w:rsidP="00886F32">
      <w:pPr>
        <w:spacing w:after="0" w:line="360" w:lineRule="auto"/>
        <w:ind w:left="720"/>
        <w:jc w:val="center"/>
        <w:rPr>
          <w:color w:val="4C4747"/>
          <w:lang w:val="es-419"/>
        </w:rPr>
      </w:pPr>
    </w:p>
    <w:p w14:paraId="4236826E" w14:textId="77777777" w:rsidR="00CC5051" w:rsidRDefault="00CC5051" w:rsidP="00886F32">
      <w:pPr>
        <w:spacing w:after="0" w:line="360" w:lineRule="auto"/>
        <w:ind w:left="720"/>
        <w:jc w:val="center"/>
        <w:rPr>
          <w:color w:val="4C4747"/>
          <w:lang w:val="es-419"/>
        </w:rPr>
      </w:pPr>
    </w:p>
    <w:p w14:paraId="103512A4" w14:textId="771A2CD3" w:rsidR="00372065" w:rsidRDefault="00372065" w:rsidP="00886F32">
      <w:pPr>
        <w:spacing w:after="0" w:line="360" w:lineRule="auto"/>
        <w:ind w:left="720"/>
        <w:jc w:val="center"/>
        <w:rPr>
          <w:color w:val="4C4747"/>
          <w:lang w:val="es-419"/>
        </w:rPr>
      </w:pPr>
      <w:r>
        <w:rPr>
          <w:color w:val="4C4747"/>
          <w:lang w:val="es-419"/>
        </w:rPr>
        <w:lastRenderedPageBreak/>
        <w:t>Charla Virtual la Reforestación y su importancia</w:t>
      </w:r>
    </w:p>
    <w:p w14:paraId="5F18E0DD" w14:textId="0A32CF0E" w:rsidR="00372065" w:rsidRPr="00FB42D7" w:rsidRDefault="00372065" w:rsidP="00886F32">
      <w:pPr>
        <w:spacing w:after="0" w:line="360" w:lineRule="auto"/>
        <w:ind w:left="720"/>
        <w:jc w:val="center"/>
        <w:rPr>
          <w:rFonts w:eastAsia="Times New Roman"/>
          <w:color w:val="auto"/>
          <w:spacing w:val="0"/>
          <w:lang w:val="es-MX" w:eastAsia="es-MX"/>
        </w:rPr>
      </w:pPr>
      <w:r w:rsidRPr="00FB42D7">
        <w:rPr>
          <w:rFonts w:eastAsia="Times New Roman"/>
          <w:noProof/>
          <w:color w:val="auto"/>
          <w:spacing w:val="0"/>
          <w:lang w:val="es-MX" w:eastAsia="es-MX"/>
        </w:rPr>
        <w:drawing>
          <wp:inline distT="0" distB="0" distL="0" distR="0" wp14:anchorId="33DC100B" wp14:editId="04175FD7">
            <wp:extent cx="3429000" cy="1745732"/>
            <wp:effectExtent l="133350" t="114300" r="133350" b="159385"/>
            <wp:docPr id="1836801923" name="Imagen 3" descr="\\172.16.48.178\RecursosHumano\3R\2025\CHARLAS MEDIO AMBIENTE\Charla La Reforestación y su Importancia\Captu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48.178\RecursosHumano\3R\2025\CHARLAS MEDIO AMBIENTE\Charla La Reforestación y su Importancia\Captura3.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83817" cy="1773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8E30A4" w14:textId="77777777" w:rsidR="00135E12" w:rsidRDefault="00135E12" w:rsidP="00886F32">
      <w:pPr>
        <w:spacing w:after="0" w:line="360" w:lineRule="auto"/>
        <w:ind w:left="720"/>
        <w:jc w:val="center"/>
        <w:rPr>
          <w:color w:val="4C4747"/>
          <w:lang w:val="es-419"/>
        </w:rPr>
      </w:pPr>
    </w:p>
    <w:p w14:paraId="58775C78" w14:textId="5AF044D9" w:rsidR="00372065" w:rsidRDefault="00372065" w:rsidP="00886F32">
      <w:pPr>
        <w:spacing w:after="0" w:line="360" w:lineRule="auto"/>
        <w:ind w:left="720"/>
        <w:jc w:val="center"/>
        <w:rPr>
          <w:color w:val="4C4747"/>
          <w:lang w:val="es-419"/>
        </w:rPr>
      </w:pPr>
      <w:r>
        <w:rPr>
          <w:color w:val="4C4747"/>
          <w:lang w:val="es-419"/>
        </w:rPr>
        <w:t>Charla Virtual Vida Eco Amigable</w:t>
      </w:r>
      <w:r w:rsidRPr="00197101">
        <w:rPr>
          <w:rFonts w:eastAsia="Times New Roman"/>
          <w:noProof/>
          <w:color w:val="auto"/>
          <w:spacing w:val="0"/>
          <w:lang w:val="es-MX" w:eastAsia="es-MX"/>
        </w:rPr>
        <w:drawing>
          <wp:inline distT="0" distB="0" distL="0" distR="0" wp14:anchorId="317CC91C" wp14:editId="1242A1DF">
            <wp:extent cx="3505200" cy="1930511"/>
            <wp:effectExtent l="152400" t="114300" r="152400" b="165100"/>
            <wp:docPr id="1836801924" name="Imagen 8" descr="\\172.16.48.178\RecursosHumano\3R\2025\CHARLAS MEDIO AMBIENTE\Charla Vida Eco Amigable\Captur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2.16.48.178\RecursosHumano\3R\2025\CHARLAS MEDIO AMBIENTE\Charla Vida Eco Amigable\Captura 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31188" cy="19448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5B47C9B" w14:textId="5698160B" w:rsidR="00372065" w:rsidRDefault="00135E12" w:rsidP="00886F32">
      <w:pPr>
        <w:spacing w:after="0" w:line="360" w:lineRule="auto"/>
        <w:ind w:left="720"/>
        <w:jc w:val="center"/>
        <w:rPr>
          <w:rFonts w:eastAsia="Times New Roman"/>
          <w:color w:val="7B7B7B" w:themeColor="accent3" w:themeShade="BF"/>
          <w:spacing w:val="0"/>
          <w:lang w:val="es-MX" w:eastAsia="es-MX"/>
        </w:rPr>
      </w:pPr>
      <w:r w:rsidRPr="006B6521">
        <w:rPr>
          <w:noProof/>
          <w:lang w:val="es-MX" w:eastAsia="es-MX"/>
        </w:rPr>
        <w:drawing>
          <wp:anchor distT="0" distB="0" distL="114300" distR="114300" simplePos="0" relativeHeight="251750400" behindDoc="1" locked="0" layoutInCell="1" allowOverlap="1" wp14:anchorId="6AF52B4B" wp14:editId="4DC0157B">
            <wp:simplePos x="0" y="0"/>
            <wp:positionH relativeFrom="column">
              <wp:posOffset>4282440</wp:posOffset>
            </wp:positionH>
            <wp:positionV relativeFrom="paragraph">
              <wp:posOffset>262890</wp:posOffset>
            </wp:positionV>
            <wp:extent cx="1136015" cy="2019300"/>
            <wp:effectExtent l="0" t="0" r="6985" b="0"/>
            <wp:wrapTight wrapText="bothSides">
              <wp:wrapPolygon edited="0">
                <wp:start x="0" y="0"/>
                <wp:lineTo x="0" y="21396"/>
                <wp:lineTo x="21371" y="21396"/>
                <wp:lineTo x="21371" y="0"/>
                <wp:lineTo x="0" y="0"/>
              </wp:wrapPolygon>
            </wp:wrapTight>
            <wp:docPr id="1836801925" name="Imagen 14" descr="\\172.16.48.178\RecursosHumano\3R\2025\TAPITAS POR QUIMIO\Deposito centro de acopio\WhatsApp Image 2025-07-25 at 2.56.1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48.178\RecursosHumano\3R\2025\TAPITAS POR QUIMIO\Deposito centro de acopio\WhatsApp Image 2025-07-25 at 2.56.15 PM (1).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flipH="1">
                      <a:off x="0" y="0"/>
                      <a:ext cx="113601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065" w:rsidRPr="001F0BBD">
        <w:rPr>
          <w:rFonts w:eastAsia="Times New Roman"/>
          <w:color w:val="7B7B7B" w:themeColor="accent3" w:themeShade="BF"/>
          <w:spacing w:val="0"/>
          <w:lang w:val="es-MX" w:eastAsia="es-MX"/>
        </w:rPr>
        <w:t>Deposito Tapitas por Quimio</w:t>
      </w:r>
    </w:p>
    <w:p w14:paraId="5C9C81CA" w14:textId="77777777" w:rsidR="00135E12" w:rsidRDefault="00135E12" w:rsidP="00886F32">
      <w:pPr>
        <w:spacing w:after="0" w:line="360" w:lineRule="auto"/>
        <w:ind w:left="720"/>
        <w:jc w:val="center"/>
        <w:rPr>
          <w:rFonts w:eastAsia="Times New Roman"/>
          <w:color w:val="7B7B7B" w:themeColor="accent3" w:themeShade="BF"/>
          <w:spacing w:val="0"/>
          <w:lang w:val="es-MX" w:eastAsia="es-MX"/>
        </w:rPr>
      </w:pPr>
    </w:p>
    <w:p w14:paraId="3759845F" w14:textId="421FBCBA" w:rsidR="00C1375D" w:rsidRPr="001F0BBD" w:rsidRDefault="00C1375D" w:rsidP="00886F32">
      <w:pPr>
        <w:spacing w:after="0" w:line="360" w:lineRule="auto"/>
        <w:ind w:left="720"/>
        <w:jc w:val="center"/>
        <w:rPr>
          <w:rFonts w:eastAsia="Times New Roman"/>
          <w:color w:val="7B7B7B" w:themeColor="accent3" w:themeShade="BF"/>
          <w:spacing w:val="0"/>
          <w:lang w:val="es-MX" w:eastAsia="es-MX"/>
        </w:rPr>
      </w:pPr>
      <w:r w:rsidRPr="00602BB2">
        <w:rPr>
          <w:noProof/>
          <w:lang w:val="es-MX" w:eastAsia="es-MX"/>
        </w:rPr>
        <w:drawing>
          <wp:inline distT="0" distB="0" distL="0" distR="0" wp14:anchorId="0F4D11CE" wp14:editId="1AB0B9FF">
            <wp:extent cx="3209925" cy="1805583"/>
            <wp:effectExtent l="0" t="0" r="0" b="4445"/>
            <wp:docPr id="1836801926" name="Imagen 30" descr="\\172.16.48.178\RecursosHumano\3R\2025\TAPITAS POR QUIMIO\Deposito centro de acopio\WhatsApp Image 2025-11-13 at 4.57.5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2.16.48.178\RecursosHumano\3R\2025\TAPITAS POR QUIMIO\Deposito centro de acopio\WhatsApp Image 2025-11-13 at 4.57.51 PM (1).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37495" cy="1821091"/>
                    </a:xfrm>
                    <a:prstGeom prst="rect">
                      <a:avLst/>
                    </a:prstGeom>
                    <a:noFill/>
                    <a:ln>
                      <a:noFill/>
                    </a:ln>
                  </pic:spPr>
                </pic:pic>
              </a:graphicData>
            </a:graphic>
          </wp:inline>
        </w:drawing>
      </w:r>
    </w:p>
    <w:p w14:paraId="7F83A62F" w14:textId="77777777" w:rsidR="00135E12" w:rsidRDefault="00135E12" w:rsidP="00886F32">
      <w:pPr>
        <w:spacing w:after="0" w:line="360" w:lineRule="auto"/>
        <w:ind w:left="720"/>
        <w:jc w:val="center"/>
        <w:rPr>
          <w:rFonts w:eastAsia="Times New Roman"/>
          <w:color w:val="7B7B7B" w:themeColor="accent3" w:themeShade="BF"/>
          <w:spacing w:val="0"/>
          <w:lang w:val="es-MX" w:eastAsia="es-MX"/>
        </w:rPr>
      </w:pPr>
    </w:p>
    <w:p w14:paraId="12A544B9" w14:textId="77777777" w:rsidR="00135E12" w:rsidRDefault="00135E12" w:rsidP="00886F32">
      <w:pPr>
        <w:spacing w:after="0" w:line="360" w:lineRule="auto"/>
        <w:ind w:left="720"/>
        <w:jc w:val="center"/>
        <w:rPr>
          <w:rFonts w:eastAsia="Times New Roman"/>
          <w:color w:val="7B7B7B" w:themeColor="accent3" w:themeShade="BF"/>
          <w:spacing w:val="0"/>
          <w:lang w:val="es-MX" w:eastAsia="es-MX"/>
        </w:rPr>
      </w:pPr>
    </w:p>
    <w:p w14:paraId="3BABE27E" w14:textId="788B4A10" w:rsidR="00372065" w:rsidRPr="001F0BBD" w:rsidRDefault="00372065" w:rsidP="00886F32">
      <w:pPr>
        <w:spacing w:after="0" w:line="360" w:lineRule="auto"/>
        <w:ind w:left="720"/>
        <w:jc w:val="center"/>
        <w:rPr>
          <w:rFonts w:eastAsia="Times New Roman"/>
          <w:color w:val="7B7B7B" w:themeColor="accent3" w:themeShade="BF"/>
          <w:spacing w:val="0"/>
          <w:lang w:val="es-MX" w:eastAsia="es-MX"/>
        </w:rPr>
      </w:pPr>
      <w:r w:rsidRPr="001F0BBD">
        <w:rPr>
          <w:rFonts w:eastAsia="Times New Roman"/>
          <w:color w:val="7B7B7B" w:themeColor="accent3" w:themeShade="BF"/>
          <w:spacing w:val="0"/>
          <w:lang w:val="es-MX" w:eastAsia="es-MX"/>
        </w:rPr>
        <w:lastRenderedPageBreak/>
        <w:t>Jornada de Reforestación 2025</w:t>
      </w:r>
    </w:p>
    <w:p w14:paraId="4C1CE0C7" w14:textId="68CFF90D" w:rsidR="00372065" w:rsidRPr="001F0BBD" w:rsidRDefault="00E8768B" w:rsidP="00886F32">
      <w:pPr>
        <w:spacing w:after="0" w:line="360" w:lineRule="auto"/>
        <w:ind w:left="720"/>
        <w:jc w:val="center"/>
        <w:rPr>
          <w:rFonts w:eastAsia="Times New Roman"/>
          <w:color w:val="7B7B7B" w:themeColor="accent3" w:themeShade="BF"/>
          <w:spacing w:val="0"/>
          <w:lang w:val="es-MX" w:eastAsia="es-MX"/>
        </w:rPr>
      </w:pPr>
      <w:r w:rsidRPr="001F0BBD">
        <w:rPr>
          <w:noProof/>
          <w:color w:val="7B7B7B" w:themeColor="accent3" w:themeShade="BF"/>
        </w:rPr>
        <w:drawing>
          <wp:anchor distT="0" distB="0" distL="114300" distR="114300" simplePos="0" relativeHeight="251572224" behindDoc="0" locked="0" layoutInCell="1" allowOverlap="1" wp14:anchorId="15BF63FF" wp14:editId="343E72F1">
            <wp:simplePos x="0" y="0"/>
            <wp:positionH relativeFrom="page">
              <wp:posOffset>2619375</wp:posOffset>
            </wp:positionH>
            <wp:positionV relativeFrom="paragraph">
              <wp:posOffset>90170</wp:posOffset>
            </wp:positionV>
            <wp:extent cx="3019425" cy="2012950"/>
            <wp:effectExtent l="0" t="0" r="9525" b="6350"/>
            <wp:wrapSquare wrapText="bothSides"/>
            <wp:docPr id="1836801927" name="Imagen 4" descr="A group of people posing for a photo&#10;&#10;Description automatically generated">
              <a:extLst xmlns:a="http://schemas.openxmlformats.org/drawingml/2006/main">
                <a:ext uri="{FF2B5EF4-FFF2-40B4-BE49-F238E27FC236}">
                  <a16:creationId xmlns:a16="http://schemas.microsoft.com/office/drawing/2014/main" id="{E1AA93AC-409E-40EB-82B6-C77FF2C99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27" name="Imagen 4" descr="A group of people posing for a photo&#10;&#10;Description automatically generated">
                      <a:extLst>
                        <a:ext uri="{FF2B5EF4-FFF2-40B4-BE49-F238E27FC236}">
                          <a16:creationId xmlns:a16="http://schemas.microsoft.com/office/drawing/2014/main" id="{E1AA93AC-409E-40EB-82B6-C77FF2C99371}"/>
                        </a:ext>
                      </a:extLst>
                    </pic:cNvPr>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19425" cy="2012950"/>
                    </a:xfrm>
                    <a:prstGeom prst="rect">
                      <a:avLst/>
                    </a:prstGeom>
                  </pic:spPr>
                </pic:pic>
              </a:graphicData>
            </a:graphic>
            <wp14:sizeRelH relativeFrom="margin">
              <wp14:pctWidth>0</wp14:pctWidth>
            </wp14:sizeRelH>
            <wp14:sizeRelV relativeFrom="margin">
              <wp14:pctHeight>0</wp14:pctHeight>
            </wp14:sizeRelV>
          </wp:anchor>
        </w:drawing>
      </w:r>
    </w:p>
    <w:p w14:paraId="0AE80671" w14:textId="77777777" w:rsidR="00372065" w:rsidRPr="001F0BBD" w:rsidRDefault="00372065" w:rsidP="00886F32">
      <w:pPr>
        <w:spacing w:after="0" w:line="360" w:lineRule="auto"/>
        <w:ind w:left="720"/>
        <w:jc w:val="center"/>
        <w:rPr>
          <w:color w:val="7B7B7B" w:themeColor="accent3" w:themeShade="BF"/>
          <w:lang w:val="es-419"/>
        </w:rPr>
      </w:pPr>
    </w:p>
    <w:p w14:paraId="024BCFDB" w14:textId="77777777" w:rsidR="00372065" w:rsidRPr="001F0BBD" w:rsidRDefault="00372065" w:rsidP="00886F32">
      <w:pPr>
        <w:spacing w:after="0" w:line="360" w:lineRule="auto"/>
        <w:ind w:left="720"/>
        <w:jc w:val="center"/>
        <w:rPr>
          <w:color w:val="7B7B7B" w:themeColor="accent3" w:themeShade="BF"/>
          <w:lang w:val="es-419"/>
        </w:rPr>
      </w:pPr>
    </w:p>
    <w:p w14:paraId="3171BDE1" w14:textId="77777777" w:rsidR="00372065" w:rsidRPr="001F0BBD" w:rsidRDefault="00372065" w:rsidP="00886F32">
      <w:pPr>
        <w:spacing w:after="0" w:line="360" w:lineRule="auto"/>
        <w:ind w:left="720"/>
        <w:jc w:val="center"/>
        <w:rPr>
          <w:color w:val="7B7B7B" w:themeColor="accent3" w:themeShade="BF"/>
          <w:lang w:val="es-419"/>
        </w:rPr>
      </w:pPr>
    </w:p>
    <w:p w14:paraId="738E38DA" w14:textId="77777777" w:rsidR="00372065" w:rsidRPr="001F0BBD" w:rsidRDefault="00372065" w:rsidP="00886F32">
      <w:pPr>
        <w:spacing w:after="0" w:line="360" w:lineRule="auto"/>
        <w:ind w:left="720"/>
        <w:jc w:val="center"/>
        <w:rPr>
          <w:color w:val="7B7B7B" w:themeColor="accent3" w:themeShade="BF"/>
          <w:lang w:val="es-419"/>
        </w:rPr>
      </w:pPr>
    </w:p>
    <w:p w14:paraId="32280B6B" w14:textId="77777777" w:rsidR="00372065" w:rsidRPr="001F0BBD" w:rsidRDefault="00372065" w:rsidP="00886F32">
      <w:pPr>
        <w:spacing w:after="0" w:line="360" w:lineRule="auto"/>
        <w:ind w:left="720"/>
        <w:jc w:val="center"/>
        <w:rPr>
          <w:color w:val="7B7B7B" w:themeColor="accent3" w:themeShade="BF"/>
          <w:lang w:val="es-419"/>
        </w:rPr>
      </w:pPr>
    </w:p>
    <w:p w14:paraId="454AC40A" w14:textId="77777777" w:rsidR="00372065" w:rsidRPr="001F0BBD" w:rsidRDefault="00372065" w:rsidP="00886F32">
      <w:pPr>
        <w:spacing w:after="0" w:line="360" w:lineRule="auto"/>
        <w:ind w:left="720"/>
        <w:jc w:val="center"/>
        <w:rPr>
          <w:color w:val="7B7B7B" w:themeColor="accent3" w:themeShade="BF"/>
          <w:lang w:val="es-419"/>
        </w:rPr>
      </w:pPr>
    </w:p>
    <w:p w14:paraId="66215611" w14:textId="77777777" w:rsidR="00372065" w:rsidRPr="001F0BBD" w:rsidRDefault="00372065" w:rsidP="00886F32">
      <w:pPr>
        <w:spacing w:after="0" w:line="360" w:lineRule="auto"/>
        <w:ind w:left="720"/>
        <w:jc w:val="center"/>
        <w:rPr>
          <w:color w:val="7B7B7B" w:themeColor="accent3" w:themeShade="BF"/>
          <w:lang w:val="es-419"/>
        </w:rPr>
      </w:pPr>
    </w:p>
    <w:p w14:paraId="61470A93" w14:textId="77777777" w:rsidR="00135E12" w:rsidRDefault="00135E12" w:rsidP="00886F32">
      <w:pPr>
        <w:spacing w:after="0" w:line="360" w:lineRule="auto"/>
        <w:ind w:left="720"/>
        <w:jc w:val="center"/>
        <w:rPr>
          <w:color w:val="7B7B7B" w:themeColor="accent3" w:themeShade="BF"/>
          <w:lang w:val="es-419"/>
        </w:rPr>
      </w:pPr>
    </w:p>
    <w:p w14:paraId="27EFC3DC" w14:textId="7B2BFAF2" w:rsidR="00372065" w:rsidRPr="001F0BBD" w:rsidRDefault="00372065" w:rsidP="00886F32">
      <w:pPr>
        <w:spacing w:after="0" w:line="360" w:lineRule="auto"/>
        <w:ind w:left="720"/>
        <w:jc w:val="center"/>
        <w:rPr>
          <w:color w:val="7B7B7B" w:themeColor="accent3" w:themeShade="BF"/>
          <w:lang w:val="es-419"/>
        </w:rPr>
      </w:pPr>
      <w:r w:rsidRPr="001F0BBD">
        <w:rPr>
          <w:color w:val="7B7B7B" w:themeColor="accent3" w:themeShade="BF"/>
          <w:lang w:val="es-419"/>
        </w:rPr>
        <w:t>Jornada de Limpieza de Playa 2025</w:t>
      </w:r>
    </w:p>
    <w:p w14:paraId="3439A82A" w14:textId="77777777" w:rsidR="00372065" w:rsidRDefault="00372065" w:rsidP="00886F32">
      <w:pPr>
        <w:spacing w:after="0" w:line="360" w:lineRule="auto"/>
        <w:ind w:left="720"/>
        <w:jc w:val="center"/>
        <w:rPr>
          <w:color w:val="4C4747"/>
          <w:lang w:val="es-419"/>
        </w:rPr>
      </w:pPr>
      <w:r w:rsidRPr="00DD2379">
        <w:rPr>
          <w:noProof/>
          <w:lang w:val="es-MX" w:eastAsia="es-MX"/>
        </w:rPr>
        <w:drawing>
          <wp:inline distT="0" distB="0" distL="0" distR="0" wp14:anchorId="4B4E1D2D" wp14:editId="3780DC98">
            <wp:extent cx="3038475" cy="2027232"/>
            <wp:effectExtent l="0" t="0" r="0" b="0"/>
            <wp:docPr id="1836801928" name="Imagen 21" descr="\\172.16.48.178\RecursosHumano\3R\2025\JORNADA DE LIMPIEZA DE PLAYA\New folder\WhatsApp Image 2025-11-14 at 6.50.27 PM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48.178\RecursosHumano\3R\2025\JORNADA DE LIMPIEZA DE PLAYA\New folder\WhatsApp Image 2025-11-14 at 6.50.27 PM (5).jpe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76269" cy="2052448"/>
                    </a:xfrm>
                    <a:prstGeom prst="rect">
                      <a:avLst/>
                    </a:prstGeom>
                    <a:noFill/>
                    <a:ln>
                      <a:noFill/>
                    </a:ln>
                  </pic:spPr>
                </pic:pic>
              </a:graphicData>
            </a:graphic>
          </wp:inline>
        </w:drawing>
      </w:r>
    </w:p>
    <w:p w14:paraId="22F5138C" w14:textId="77777777" w:rsidR="00372065" w:rsidRDefault="00372065" w:rsidP="00886F32">
      <w:pPr>
        <w:spacing w:after="0" w:line="360" w:lineRule="auto"/>
        <w:ind w:left="720"/>
        <w:rPr>
          <w:color w:val="4C4747"/>
          <w:lang w:val="es-419"/>
        </w:rPr>
      </w:pPr>
    </w:p>
    <w:p w14:paraId="097C5DCA" w14:textId="774F1981" w:rsidR="00372065" w:rsidRDefault="00372065" w:rsidP="00886F32">
      <w:pPr>
        <w:spacing w:after="0" w:line="360" w:lineRule="auto"/>
        <w:ind w:left="720" w:firstLine="720"/>
        <w:jc w:val="center"/>
        <w:rPr>
          <w:color w:val="4C4747"/>
          <w:lang w:val="es-419"/>
        </w:rPr>
      </w:pPr>
      <w:r>
        <w:rPr>
          <w:color w:val="4C4747"/>
          <w:lang w:val="es-419"/>
        </w:rPr>
        <w:t>Día de San Valentín</w:t>
      </w:r>
    </w:p>
    <w:p w14:paraId="0326CFF3" w14:textId="77777777" w:rsidR="00372065" w:rsidRDefault="00372065" w:rsidP="00886F32">
      <w:pPr>
        <w:spacing w:after="0" w:line="360" w:lineRule="auto"/>
        <w:ind w:left="720"/>
        <w:jc w:val="center"/>
        <w:rPr>
          <w:color w:val="4C4747"/>
          <w:lang w:val="es-419"/>
        </w:rPr>
      </w:pPr>
      <w:r>
        <w:rPr>
          <w:noProof/>
        </w:rPr>
        <w:drawing>
          <wp:inline distT="0" distB="0" distL="0" distR="0" wp14:anchorId="48F01B11" wp14:editId="008B68E1">
            <wp:extent cx="2952750" cy="1762125"/>
            <wp:effectExtent l="0" t="0" r="0" b="9525"/>
            <wp:docPr id="1836801929" name="Picture 1836801929" descr="Z:\BENEFICIOS COMPENSACION\2025\ACTIVIDADES\San Valentín\DSC04979.JPG"/>
            <wp:cNvGraphicFramePr/>
            <a:graphic xmlns:a="http://schemas.openxmlformats.org/drawingml/2006/main">
              <a:graphicData uri="http://schemas.openxmlformats.org/drawingml/2006/picture">
                <pic:pic xmlns:pic="http://schemas.openxmlformats.org/drawingml/2006/picture">
                  <pic:nvPicPr>
                    <pic:cNvPr id="1" name="Picture 1" descr="Z:\BENEFICIOS COMPENSACION\2025\ACTIVIDADES\San Valentín\DSC04979.JPG"/>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52750" cy="1762125"/>
                    </a:xfrm>
                    <a:prstGeom prst="rect">
                      <a:avLst/>
                    </a:prstGeom>
                    <a:noFill/>
                    <a:ln>
                      <a:noFill/>
                    </a:ln>
                  </pic:spPr>
                </pic:pic>
              </a:graphicData>
            </a:graphic>
          </wp:inline>
        </w:drawing>
      </w:r>
    </w:p>
    <w:p w14:paraId="03044E49" w14:textId="7F43365C" w:rsidR="00372065" w:rsidRDefault="00372065" w:rsidP="00886F32">
      <w:pPr>
        <w:spacing w:after="0" w:line="360" w:lineRule="auto"/>
        <w:ind w:left="720"/>
        <w:jc w:val="center"/>
        <w:rPr>
          <w:color w:val="4C4747"/>
          <w:lang w:val="es-419"/>
        </w:rPr>
      </w:pPr>
    </w:p>
    <w:p w14:paraId="46DEB0E8" w14:textId="77777777" w:rsidR="00CC5051" w:rsidRDefault="00CC5051" w:rsidP="00886F32">
      <w:pPr>
        <w:spacing w:after="0" w:line="360" w:lineRule="auto"/>
        <w:ind w:left="720"/>
        <w:jc w:val="center"/>
        <w:rPr>
          <w:color w:val="4C4747"/>
          <w:lang w:val="es-419"/>
        </w:rPr>
      </w:pPr>
    </w:p>
    <w:p w14:paraId="6DB2ABA5" w14:textId="77777777" w:rsidR="00135E12" w:rsidRDefault="00135E12" w:rsidP="00886F32">
      <w:pPr>
        <w:spacing w:after="0" w:line="360" w:lineRule="auto"/>
        <w:ind w:left="720"/>
        <w:jc w:val="center"/>
        <w:rPr>
          <w:color w:val="4C4747"/>
          <w:lang w:val="es-419"/>
        </w:rPr>
      </w:pPr>
    </w:p>
    <w:p w14:paraId="573BF20E" w14:textId="0394E5AA" w:rsidR="00372065" w:rsidRDefault="00372065" w:rsidP="00886F32">
      <w:pPr>
        <w:spacing w:after="0" w:line="360" w:lineRule="auto"/>
        <w:ind w:left="720"/>
        <w:jc w:val="center"/>
        <w:rPr>
          <w:color w:val="4C4747"/>
          <w:lang w:val="es-419"/>
        </w:rPr>
      </w:pPr>
      <w:r>
        <w:rPr>
          <w:color w:val="4C4747"/>
          <w:lang w:val="es-419"/>
        </w:rPr>
        <w:lastRenderedPageBreak/>
        <w:t>Día de la Mujer</w:t>
      </w:r>
    </w:p>
    <w:p w14:paraId="31C1E204" w14:textId="77777777" w:rsidR="00372065" w:rsidRDefault="00372065" w:rsidP="00886F32">
      <w:pPr>
        <w:spacing w:after="0" w:line="360" w:lineRule="auto"/>
        <w:ind w:left="720"/>
        <w:jc w:val="center"/>
        <w:rPr>
          <w:color w:val="4C4747"/>
          <w:lang w:val="es-419"/>
        </w:rPr>
      </w:pPr>
      <w:r>
        <w:rPr>
          <w:noProof/>
        </w:rPr>
        <w:drawing>
          <wp:inline distT="0" distB="0" distL="0" distR="0" wp14:anchorId="65159972" wp14:editId="45DC3FB0">
            <wp:extent cx="3228975" cy="2066925"/>
            <wp:effectExtent l="0" t="0" r="9525" b="9525"/>
            <wp:docPr id="1836801930" name="Picture 1836801930" descr="Z:\BENEFICIOS COMPENSACION\2025\ACTIVIDADES\Día de la Mujer\Fotos\RRHH 1.jpeg"/>
            <wp:cNvGraphicFramePr/>
            <a:graphic xmlns:a="http://schemas.openxmlformats.org/drawingml/2006/main">
              <a:graphicData uri="http://schemas.openxmlformats.org/drawingml/2006/picture">
                <pic:pic xmlns:pic="http://schemas.openxmlformats.org/drawingml/2006/picture">
                  <pic:nvPicPr>
                    <pic:cNvPr id="6" name="Picture 6" descr="Z:\BENEFICIOS COMPENSACION\2025\ACTIVIDADES\Día de la Mujer\Fotos\RRHH 1.jpeg"/>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46420" cy="2078092"/>
                    </a:xfrm>
                    <a:prstGeom prst="rect">
                      <a:avLst/>
                    </a:prstGeom>
                    <a:noFill/>
                    <a:ln>
                      <a:noFill/>
                    </a:ln>
                  </pic:spPr>
                </pic:pic>
              </a:graphicData>
            </a:graphic>
          </wp:inline>
        </w:drawing>
      </w:r>
    </w:p>
    <w:p w14:paraId="76088AF7" w14:textId="2D842758" w:rsidR="00372065" w:rsidRDefault="00372065" w:rsidP="00886F32">
      <w:pPr>
        <w:spacing w:after="0" w:line="360" w:lineRule="auto"/>
        <w:ind w:left="720"/>
        <w:jc w:val="center"/>
        <w:rPr>
          <w:color w:val="4C4747"/>
          <w:lang w:val="es-419"/>
        </w:rPr>
      </w:pPr>
    </w:p>
    <w:p w14:paraId="40C82BED" w14:textId="77777777" w:rsidR="00372065" w:rsidRPr="001F0BBD" w:rsidRDefault="00372065" w:rsidP="00886F32">
      <w:pPr>
        <w:spacing w:after="0" w:line="360" w:lineRule="auto"/>
        <w:ind w:left="720"/>
        <w:jc w:val="center"/>
        <w:rPr>
          <w:color w:val="7B7B7B" w:themeColor="accent3" w:themeShade="BF"/>
          <w:lang w:val="es-419"/>
        </w:rPr>
      </w:pPr>
      <w:r w:rsidRPr="001F0BBD">
        <w:rPr>
          <w:color w:val="7B7B7B" w:themeColor="accent3" w:themeShade="BF"/>
          <w:lang w:val="es-419"/>
        </w:rPr>
        <w:t>Día de las Madres</w:t>
      </w:r>
    </w:p>
    <w:p w14:paraId="5A4A0939" w14:textId="77777777" w:rsidR="00372065" w:rsidRPr="001F0BBD" w:rsidRDefault="00372065" w:rsidP="00886F32">
      <w:pPr>
        <w:spacing w:after="0" w:line="360" w:lineRule="auto"/>
        <w:ind w:left="720"/>
        <w:jc w:val="center"/>
        <w:rPr>
          <w:color w:val="7B7B7B" w:themeColor="accent3" w:themeShade="BF"/>
          <w:lang w:val="es-419"/>
        </w:rPr>
      </w:pPr>
      <w:r w:rsidRPr="001F0BBD">
        <w:rPr>
          <w:noProof/>
          <w:color w:val="7B7B7B" w:themeColor="accent3" w:themeShade="BF"/>
        </w:rPr>
        <w:drawing>
          <wp:inline distT="0" distB="0" distL="0" distR="0" wp14:anchorId="5DA81FCB" wp14:editId="729029B1">
            <wp:extent cx="3324225" cy="2133600"/>
            <wp:effectExtent l="0" t="0" r="9525" b="0"/>
            <wp:docPr id="1836801931" name="Imagen 3" descr="A group of women holding gift boxes&#10;&#10;Description automatically generated"/>
            <wp:cNvGraphicFramePr/>
            <a:graphic xmlns:a="http://schemas.openxmlformats.org/drawingml/2006/main">
              <a:graphicData uri="http://schemas.openxmlformats.org/drawingml/2006/picture">
                <pic:pic xmlns:pic="http://schemas.openxmlformats.org/drawingml/2006/picture">
                  <pic:nvPicPr>
                    <pic:cNvPr id="1836801931" name="Imagen 3" descr="A group of women holding gift boxes&#10;&#10;Description automatically generated"/>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35418" cy="2140784"/>
                    </a:xfrm>
                    <a:prstGeom prst="rect">
                      <a:avLst/>
                    </a:prstGeom>
                    <a:noFill/>
                    <a:ln>
                      <a:noFill/>
                    </a:ln>
                  </pic:spPr>
                </pic:pic>
              </a:graphicData>
            </a:graphic>
          </wp:inline>
        </w:drawing>
      </w:r>
    </w:p>
    <w:p w14:paraId="6550BFA6" w14:textId="77777777" w:rsidR="00372065" w:rsidRPr="001F0BBD" w:rsidRDefault="00372065" w:rsidP="00886F32">
      <w:pPr>
        <w:spacing w:after="0" w:line="360" w:lineRule="auto"/>
        <w:ind w:left="720"/>
        <w:jc w:val="center"/>
        <w:rPr>
          <w:color w:val="7B7B7B" w:themeColor="accent3" w:themeShade="BF"/>
          <w:lang w:val="es-419"/>
        </w:rPr>
      </w:pPr>
    </w:p>
    <w:p w14:paraId="65D52B61" w14:textId="77777777" w:rsidR="00372065" w:rsidRPr="001F0BBD" w:rsidRDefault="00372065" w:rsidP="00886F32">
      <w:pPr>
        <w:spacing w:after="0" w:line="360" w:lineRule="auto"/>
        <w:ind w:left="720"/>
        <w:jc w:val="center"/>
        <w:rPr>
          <w:color w:val="7B7B7B" w:themeColor="accent3" w:themeShade="BF"/>
          <w:lang w:val="es-419"/>
        </w:rPr>
      </w:pPr>
      <w:r w:rsidRPr="001F0BBD">
        <w:rPr>
          <w:color w:val="7B7B7B" w:themeColor="accent3" w:themeShade="BF"/>
          <w:lang w:val="es-419"/>
        </w:rPr>
        <w:t>Día del Padre</w:t>
      </w:r>
    </w:p>
    <w:p w14:paraId="3DEE0D8B" w14:textId="77777777" w:rsidR="00372065" w:rsidRDefault="00372065" w:rsidP="00886F32">
      <w:pPr>
        <w:spacing w:after="0" w:line="360" w:lineRule="auto"/>
        <w:ind w:left="720"/>
        <w:jc w:val="center"/>
        <w:rPr>
          <w:color w:val="4C4747"/>
          <w:lang w:val="es-419"/>
        </w:rPr>
      </w:pPr>
      <w:r w:rsidRPr="00E94D62">
        <w:rPr>
          <w:noProof/>
          <w:color w:val="4C4747"/>
          <w:lang w:val="es-419"/>
        </w:rPr>
        <w:drawing>
          <wp:inline distT="0" distB="0" distL="0" distR="0" wp14:anchorId="2F7E0E58" wp14:editId="3E592CF1">
            <wp:extent cx="4057650" cy="1717841"/>
            <wp:effectExtent l="0" t="0" r="0" b="0"/>
            <wp:docPr id="1836801932" name="Picture 1836801932" descr="A cartoon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32" name="Picture 1836801932" descr="A cartoon of a child&#10;&#10;Description automatically generated"/>
                    <pic:cNvPicPr/>
                  </pic:nvPicPr>
                  <pic:blipFill>
                    <a:blip r:embed="rId82"/>
                    <a:stretch>
                      <a:fillRect/>
                    </a:stretch>
                  </pic:blipFill>
                  <pic:spPr>
                    <a:xfrm>
                      <a:off x="0" y="0"/>
                      <a:ext cx="4066915" cy="1721763"/>
                    </a:xfrm>
                    <a:prstGeom prst="rect">
                      <a:avLst/>
                    </a:prstGeom>
                  </pic:spPr>
                </pic:pic>
              </a:graphicData>
            </a:graphic>
          </wp:inline>
        </w:drawing>
      </w:r>
    </w:p>
    <w:p w14:paraId="4B83F1C6" w14:textId="77777777" w:rsidR="001C12EA" w:rsidRDefault="001C12EA" w:rsidP="00886F32">
      <w:pPr>
        <w:spacing w:after="0" w:line="360" w:lineRule="auto"/>
        <w:ind w:left="720"/>
        <w:jc w:val="center"/>
        <w:rPr>
          <w:color w:val="7B7B7B" w:themeColor="accent3" w:themeShade="BF"/>
          <w:lang w:val="es-419"/>
        </w:rPr>
      </w:pPr>
    </w:p>
    <w:p w14:paraId="2D2FB18A" w14:textId="77777777" w:rsidR="00135E12" w:rsidRDefault="00135E12" w:rsidP="00886F32">
      <w:pPr>
        <w:spacing w:after="0" w:line="360" w:lineRule="auto"/>
        <w:ind w:left="720"/>
        <w:jc w:val="center"/>
        <w:rPr>
          <w:color w:val="7B7B7B" w:themeColor="accent3" w:themeShade="BF"/>
          <w:lang w:val="es-419"/>
        </w:rPr>
      </w:pPr>
    </w:p>
    <w:p w14:paraId="063E3BDA" w14:textId="38C72930" w:rsidR="00372065" w:rsidRPr="001F0BBD" w:rsidRDefault="00372065" w:rsidP="00886F32">
      <w:pPr>
        <w:spacing w:after="0" w:line="360" w:lineRule="auto"/>
        <w:ind w:left="720"/>
        <w:jc w:val="center"/>
        <w:rPr>
          <w:color w:val="7B7B7B" w:themeColor="accent3" w:themeShade="BF"/>
          <w:lang w:val="es-419"/>
        </w:rPr>
      </w:pPr>
      <w:r w:rsidRPr="001F0BBD">
        <w:rPr>
          <w:color w:val="7B7B7B" w:themeColor="accent3" w:themeShade="BF"/>
          <w:lang w:val="es-419"/>
        </w:rPr>
        <w:lastRenderedPageBreak/>
        <w:t>Bono Escolar 2025</w:t>
      </w:r>
    </w:p>
    <w:p w14:paraId="1C8AD52B" w14:textId="77777777" w:rsidR="00372065" w:rsidRPr="001F0BBD" w:rsidRDefault="00372065" w:rsidP="00886F32">
      <w:pPr>
        <w:spacing w:after="0" w:line="360" w:lineRule="auto"/>
        <w:ind w:left="720"/>
        <w:jc w:val="center"/>
        <w:rPr>
          <w:color w:val="7B7B7B" w:themeColor="accent3" w:themeShade="BF"/>
          <w:lang w:val="es-419"/>
        </w:rPr>
      </w:pPr>
      <w:r w:rsidRPr="001F0BBD">
        <w:rPr>
          <w:noProof/>
          <w:color w:val="7B7B7B" w:themeColor="accent3" w:themeShade="BF"/>
          <w:lang w:val="es-419"/>
        </w:rPr>
        <w:drawing>
          <wp:inline distT="0" distB="0" distL="0" distR="0" wp14:anchorId="1E292FA8" wp14:editId="10D3E99B">
            <wp:extent cx="3886200" cy="1656051"/>
            <wp:effectExtent l="0" t="0" r="0" b="1905"/>
            <wp:docPr id="1836801933" name="Picture 1836801933" descr="A person standing in front of a blu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33" name="Picture 1836801933" descr="A person standing in front of a blue board&#10;&#10;Description automatically generated"/>
                    <pic:cNvPicPr/>
                  </pic:nvPicPr>
                  <pic:blipFill>
                    <a:blip r:embed="rId83"/>
                    <a:stretch>
                      <a:fillRect/>
                    </a:stretch>
                  </pic:blipFill>
                  <pic:spPr>
                    <a:xfrm>
                      <a:off x="0" y="0"/>
                      <a:ext cx="3906147" cy="1664551"/>
                    </a:xfrm>
                    <a:prstGeom prst="rect">
                      <a:avLst/>
                    </a:prstGeom>
                  </pic:spPr>
                </pic:pic>
              </a:graphicData>
            </a:graphic>
          </wp:inline>
        </w:drawing>
      </w:r>
    </w:p>
    <w:p w14:paraId="4E49E56F" w14:textId="77777777" w:rsidR="001C12EA" w:rsidRDefault="001C12EA" w:rsidP="00886F32">
      <w:pPr>
        <w:spacing w:after="0" w:line="360" w:lineRule="auto"/>
        <w:ind w:left="720"/>
        <w:jc w:val="center"/>
        <w:rPr>
          <w:color w:val="7B7B7B" w:themeColor="accent3" w:themeShade="BF"/>
          <w:lang w:val="es-419"/>
        </w:rPr>
      </w:pPr>
    </w:p>
    <w:p w14:paraId="1B7D61FD" w14:textId="1FDF22E1" w:rsidR="00372065" w:rsidRPr="001F0BBD" w:rsidRDefault="00372065" w:rsidP="00886F32">
      <w:pPr>
        <w:spacing w:after="0" w:line="360" w:lineRule="auto"/>
        <w:ind w:left="720"/>
        <w:jc w:val="center"/>
        <w:rPr>
          <w:color w:val="7B7B7B" w:themeColor="accent3" w:themeShade="BF"/>
          <w:lang w:val="es-419"/>
        </w:rPr>
      </w:pPr>
      <w:r w:rsidRPr="001F0BBD">
        <w:rPr>
          <w:color w:val="7B7B7B" w:themeColor="accent3" w:themeShade="BF"/>
          <w:lang w:val="es-419"/>
        </w:rPr>
        <w:t>Programa Veranito 2025</w:t>
      </w:r>
    </w:p>
    <w:p w14:paraId="3424F43D" w14:textId="77777777" w:rsidR="00372065" w:rsidRDefault="00372065" w:rsidP="00886F32">
      <w:pPr>
        <w:spacing w:after="0" w:line="360" w:lineRule="auto"/>
        <w:ind w:left="720"/>
        <w:jc w:val="center"/>
        <w:rPr>
          <w:color w:val="4C4747"/>
          <w:lang w:val="es-419"/>
        </w:rPr>
      </w:pPr>
      <w:r w:rsidRPr="00E94D62">
        <w:rPr>
          <w:noProof/>
          <w:color w:val="4C4747"/>
          <w:lang w:val="es-419"/>
        </w:rPr>
        <w:drawing>
          <wp:inline distT="0" distB="0" distL="0" distR="0" wp14:anchorId="410E52A9" wp14:editId="1520F1A3">
            <wp:extent cx="3600450" cy="2394679"/>
            <wp:effectExtent l="0" t="0" r="0" b="5715"/>
            <wp:docPr id="1836801934" name="Picture 183680193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34" name="Picture 1836801934" descr="A group of people posing for a photo&#10;&#10;Description automatically generated"/>
                    <pic:cNvPicPr/>
                  </pic:nvPicPr>
                  <pic:blipFill>
                    <a:blip r:embed="rId84"/>
                    <a:stretch>
                      <a:fillRect/>
                    </a:stretch>
                  </pic:blipFill>
                  <pic:spPr>
                    <a:xfrm>
                      <a:off x="0" y="0"/>
                      <a:ext cx="3672974" cy="2442915"/>
                    </a:xfrm>
                    <a:prstGeom prst="rect">
                      <a:avLst/>
                    </a:prstGeom>
                  </pic:spPr>
                </pic:pic>
              </a:graphicData>
            </a:graphic>
          </wp:inline>
        </w:drawing>
      </w:r>
    </w:p>
    <w:p w14:paraId="45713245" w14:textId="77777777" w:rsidR="001C12EA" w:rsidRDefault="001C12EA" w:rsidP="00886F32">
      <w:pPr>
        <w:spacing w:after="0" w:line="360" w:lineRule="auto"/>
        <w:ind w:left="720" w:firstLine="720"/>
        <w:jc w:val="center"/>
        <w:rPr>
          <w:color w:val="4C4747"/>
          <w:lang w:val="es-419"/>
        </w:rPr>
      </w:pPr>
    </w:p>
    <w:p w14:paraId="77C0CFE1" w14:textId="2A34C4DE" w:rsidR="00372065" w:rsidRDefault="00372065" w:rsidP="00886F32">
      <w:pPr>
        <w:spacing w:after="0" w:line="360" w:lineRule="auto"/>
        <w:ind w:left="720" w:firstLine="720"/>
        <w:jc w:val="center"/>
        <w:rPr>
          <w:color w:val="4C4747"/>
          <w:lang w:val="es-419"/>
        </w:rPr>
      </w:pPr>
      <w:r>
        <w:rPr>
          <w:color w:val="4C4747"/>
          <w:lang w:val="es-419"/>
        </w:rPr>
        <w:t>Programa Excelencia Estudiantil 2025</w:t>
      </w:r>
    </w:p>
    <w:p w14:paraId="3AF3ED7D" w14:textId="77777777" w:rsidR="00372065" w:rsidRDefault="00372065" w:rsidP="00886F32">
      <w:pPr>
        <w:spacing w:after="0" w:line="360" w:lineRule="auto"/>
        <w:ind w:left="720"/>
        <w:jc w:val="center"/>
        <w:rPr>
          <w:color w:val="4C4747"/>
          <w:lang w:val="es-419"/>
        </w:rPr>
      </w:pPr>
      <w:r w:rsidRPr="00E94D62">
        <w:rPr>
          <w:noProof/>
          <w:color w:val="4C4747"/>
          <w:lang w:val="es-419"/>
        </w:rPr>
        <w:drawing>
          <wp:inline distT="0" distB="0" distL="0" distR="0" wp14:anchorId="799B113F" wp14:editId="386219CF">
            <wp:extent cx="3371850" cy="2245159"/>
            <wp:effectExtent l="0" t="0" r="0" b="3175"/>
            <wp:docPr id="1836801935" name="Picture 1836801935"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35" name="Picture 1836801935" descr="A group of people standing together&#10;&#10;Description automatically generated"/>
                    <pic:cNvPicPr/>
                  </pic:nvPicPr>
                  <pic:blipFill>
                    <a:blip r:embed="rId85"/>
                    <a:stretch>
                      <a:fillRect/>
                    </a:stretch>
                  </pic:blipFill>
                  <pic:spPr>
                    <a:xfrm>
                      <a:off x="0" y="0"/>
                      <a:ext cx="3393413" cy="2259517"/>
                    </a:xfrm>
                    <a:prstGeom prst="rect">
                      <a:avLst/>
                    </a:prstGeom>
                  </pic:spPr>
                </pic:pic>
              </a:graphicData>
            </a:graphic>
          </wp:inline>
        </w:drawing>
      </w:r>
    </w:p>
    <w:p w14:paraId="30131FEC" w14:textId="77777777" w:rsidR="00135E12" w:rsidRDefault="00135E12" w:rsidP="00886F32">
      <w:pPr>
        <w:spacing w:after="0" w:line="360" w:lineRule="auto"/>
        <w:ind w:left="720"/>
        <w:jc w:val="center"/>
        <w:rPr>
          <w:color w:val="4C4747"/>
          <w:lang w:val="es-419"/>
        </w:rPr>
      </w:pPr>
    </w:p>
    <w:p w14:paraId="57F7E140" w14:textId="19BAD892" w:rsidR="00372065" w:rsidRDefault="00372065" w:rsidP="00886F32">
      <w:pPr>
        <w:spacing w:after="0" w:line="360" w:lineRule="auto"/>
        <w:ind w:left="720"/>
        <w:jc w:val="center"/>
        <w:rPr>
          <w:color w:val="4C4747"/>
          <w:lang w:val="es-419"/>
        </w:rPr>
      </w:pPr>
      <w:r>
        <w:rPr>
          <w:color w:val="4C4747"/>
          <w:lang w:val="es-419"/>
        </w:rPr>
        <w:lastRenderedPageBreak/>
        <w:t>Jornada de Salud 2025</w:t>
      </w:r>
    </w:p>
    <w:p w14:paraId="5B892B17" w14:textId="77777777" w:rsidR="00372065" w:rsidRPr="005F5015" w:rsidRDefault="00372065" w:rsidP="00886F32">
      <w:pPr>
        <w:spacing w:after="0" w:line="360" w:lineRule="auto"/>
        <w:ind w:left="720"/>
        <w:jc w:val="center"/>
        <w:rPr>
          <w:color w:val="4C4747"/>
          <w:lang w:val="es-419"/>
        </w:rPr>
      </w:pPr>
      <w:r w:rsidRPr="00E94D62">
        <w:rPr>
          <w:noProof/>
          <w:color w:val="4C4747"/>
          <w:lang w:val="es-419"/>
        </w:rPr>
        <w:drawing>
          <wp:inline distT="0" distB="0" distL="0" distR="0" wp14:anchorId="6C87074F" wp14:editId="6529A1F4">
            <wp:extent cx="3009900" cy="2008781"/>
            <wp:effectExtent l="0" t="0" r="0" b="0"/>
            <wp:docPr id="1836801936" name="Picture 1836801936" descr="A group of people sitting at table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01936" name="Picture 1836801936" descr="A group of people sitting at tables in a room&#10;&#10;Description automatically generated"/>
                    <pic:cNvPicPr/>
                  </pic:nvPicPr>
                  <pic:blipFill>
                    <a:blip r:embed="rId86"/>
                    <a:stretch>
                      <a:fillRect/>
                    </a:stretch>
                  </pic:blipFill>
                  <pic:spPr>
                    <a:xfrm>
                      <a:off x="0" y="0"/>
                      <a:ext cx="3020490" cy="2015849"/>
                    </a:xfrm>
                    <a:prstGeom prst="rect">
                      <a:avLst/>
                    </a:prstGeom>
                  </pic:spPr>
                </pic:pic>
              </a:graphicData>
            </a:graphic>
          </wp:inline>
        </w:drawing>
      </w:r>
    </w:p>
    <w:p w14:paraId="7B52CA47" w14:textId="77777777" w:rsidR="00372065" w:rsidRPr="00470C75" w:rsidRDefault="00372065" w:rsidP="00886F32">
      <w:pPr>
        <w:spacing w:after="0" w:line="360" w:lineRule="auto"/>
        <w:ind w:left="720"/>
        <w:jc w:val="center"/>
        <w:rPr>
          <w:rFonts w:eastAsia="Calibri"/>
          <w:b/>
          <w:bCs/>
          <w:noProof/>
          <w:color w:val="4C4747"/>
          <w:lang w:val="es-DO"/>
        </w:rPr>
      </w:pPr>
    </w:p>
    <w:p w14:paraId="3F9E4064" w14:textId="4007B4DD" w:rsidR="003E069C" w:rsidRPr="00EC0C00" w:rsidRDefault="003E069C" w:rsidP="00EC0C00">
      <w:pPr>
        <w:spacing w:after="0" w:line="360" w:lineRule="auto"/>
        <w:outlineLvl w:val="1"/>
        <w:rPr>
          <w:rFonts w:eastAsia="Calibri"/>
          <w:noProof/>
          <w:color w:val="4C4747"/>
        </w:rPr>
      </w:pPr>
    </w:p>
    <w:p w14:paraId="6CD0DB2F" w14:textId="2375848D" w:rsidR="003E069C" w:rsidRPr="00723259" w:rsidRDefault="003E069C" w:rsidP="003E069C">
      <w:pPr>
        <w:tabs>
          <w:tab w:val="left" w:pos="450"/>
        </w:tabs>
        <w:spacing w:line="360" w:lineRule="auto"/>
        <w:jc w:val="both"/>
        <w:rPr>
          <w:rFonts w:eastAsia="Calibri"/>
          <w:noProof/>
          <w:color w:val="4C4747"/>
          <w:lang w:val="es-DO"/>
        </w:rPr>
      </w:pPr>
    </w:p>
    <w:p w14:paraId="6E6ACD0B" w14:textId="12490534" w:rsidR="003E069C" w:rsidRPr="00723259" w:rsidRDefault="003E069C" w:rsidP="003E069C">
      <w:pPr>
        <w:tabs>
          <w:tab w:val="left" w:pos="450"/>
        </w:tabs>
        <w:spacing w:line="360" w:lineRule="auto"/>
        <w:jc w:val="both"/>
        <w:rPr>
          <w:rFonts w:eastAsia="Calibri"/>
          <w:noProof/>
          <w:color w:val="4C4747"/>
          <w:lang w:val="es-DO"/>
        </w:rPr>
      </w:pPr>
    </w:p>
    <w:p w14:paraId="5655422F" w14:textId="1FD8DA1F" w:rsidR="003E069C" w:rsidRPr="00723259" w:rsidRDefault="003E069C" w:rsidP="003E069C">
      <w:pPr>
        <w:tabs>
          <w:tab w:val="left" w:pos="450"/>
        </w:tabs>
        <w:spacing w:line="360" w:lineRule="auto"/>
        <w:jc w:val="both"/>
        <w:rPr>
          <w:rFonts w:eastAsia="Calibri"/>
          <w:noProof/>
          <w:color w:val="4C4747"/>
          <w:lang w:val="es-DO"/>
        </w:rPr>
      </w:pPr>
    </w:p>
    <w:p w14:paraId="5D3490F4" w14:textId="44A9DB99" w:rsidR="003E069C" w:rsidRPr="00723259" w:rsidRDefault="003E069C" w:rsidP="003E069C">
      <w:pPr>
        <w:tabs>
          <w:tab w:val="left" w:pos="450"/>
        </w:tabs>
        <w:spacing w:line="360" w:lineRule="auto"/>
        <w:jc w:val="both"/>
        <w:rPr>
          <w:rFonts w:eastAsia="Calibri"/>
          <w:noProof/>
          <w:color w:val="4C4747"/>
          <w:lang w:val="es-DO"/>
        </w:rPr>
      </w:pPr>
    </w:p>
    <w:p w14:paraId="435A5932" w14:textId="12353D06" w:rsidR="003E069C" w:rsidRPr="00723259" w:rsidRDefault="003E069C" w:rsidP="003E069C">
      <w:pPr>
        <w:tabs>
          <w:tab w:val="left" w:pos="450"/>
        </w:tabs>
        <w:spacing w:line="360" w:lineRule="auto"/>
        <w:jc w:val="both"/>
        <w:rPr>
          <w:rFonts w:eastAsia="Calibri"/>
          <w:noProof/>
          <w:color w:val="4C4747"/>
          <w:lang w:val="es-DO"/>
        </w:rPr>
      </w:pPr>
    </w:p>
    <w:p w14:paraId="1F72CC8C" w14:textId="1F4FA3A6" w:rsidR="007113C0" w:rsidRPr="00723259" w:rsidRDefault="007113C0" w:rsidP="003E069C">
      <w:pPr>
        <w:tabs>
          <w:tab w:val="left" w:pos="450"/>
        </w:tabs>
        <w:spacing w:line="360" w:lineRule="auto"/>
        <w:jc w:val="both"/>
        <w:rPr>
          <w:rFonts w:eastAsia="Calibri"/>
          <w:noProof/>
          <w:color w:val="4C4747"/>
          <w:lang w:val="es-DO"/>
        </w:rPr>
      </w:pPr>
    </w:p>
    <w:p w14:paraId="4D45DE90" w14:textId="77777777" w:rsidR="007113C0" w:rsidRPr="00723259" w:rsidRDefault="007113C0" w:rsidP="003E069C">
      <w:pPr>
        <w:tabs>
          <w:tab w:val="left" w:pos="450"/>
        </w:tabs>
        <w:spacing w:line="360" w:lineRule="auto"/>
        <w:jc w:val="both"/>
        <w:rPr>
          <w:rFonts w:eastAsia="Calibri"/>
          <w:noProof/>
          <w:color w:val="4C4747"/>
          <w:lang w:val="es-DO"/>
        </w:rPr>
      </w:pPr>
    </w:p>
    <w:p w14:paraId="7051719F" w14:textId="77777777" w:rsidR="003E069C" w:rsidRPr="00723259" w:rsidRDefault="003E069C" w:rsidP="003E069C">
      <w:pPr>
        <w:tabs>
          <w:tab w:val="left" w:pos="450"/>
        </w:tabs>
        <w:spacing w:line="360" w:lineRule="auto"/>
        <w:jc w:val="both"/>
        <w:rPr>
          <w:rFonts w:eastAsia="Calibri"/>
          <w:noProof/>
          <w:color w:val="4C4747"/>
          <w:lang w:val="es-DO"/>
        </w:rPr>
      </w:pPr>
    </w:p>
    <w:p w14:paraId="0E9F3158" w14:textId="0C34A642" w:rsidR="003E069C" w:rsidRPr="00723259" w:rsidRDefault="003E069C" w:rsidP="003E069C">
      <w:pPr>
        <w:tabs>
          <w:tab w:val="left" w:pos="450"/>
        </w:tabs>
        <w:spacing w:line="360" w:lineRule="auto"/>
        <w:jc w:val="both"/>
        <w:rPr>
          <w:rFonts w:eastAsia="Calibri"/>
          <w:noProof/>
          <w:color w:val="4C4747"/>
          <w:lang w:val="es-DO"/>
        </w:rPr>
      </w:pPr>
    </w:p>
    <w:p w14:paraId="42792240" w14:textId="77777777" w:rsidR="003E069C" w:rsidRPr="00723259" w:rsidRDefault="003E069C" w:rsidP="003E069C">
      <w:pPr>
        <w:tabs>
          <w:tab w:val="left" w:pos="450"/>
        </w:tabs>
        <w:spacing w:line="360" w:lineRule="auto"/>
        <w:jc w:val="both"/>
        <w:rPr>
          <w:rFonts w:eastAsia="Calibri"/>
          <w:noProof/>
          <w:color w:val="4C4747"/>
          <w:lang w:val="es-DO"/>
        </w:rPr>
        <w:sectPr w:rsidR="003E069C" w:rsidRPr="00723259" w:rsidSect="00886F32">
          <w:type w:val="nextColumn"/>
          <w:pgSz w:w="12240" w:h="15840"/>
          <w:pgMar w:top="1440" w:right="2160" w:bottom="1440" w:left="2160" w:header="720" w:footer="720" w:gutter="0"/>
          <w:cols w:space="720"/>
          <w:docGrid w:linePitch="360"/>
        </w:sectPr>
      </w:pPr>
    </w:p>
    <w:p w14:paraId="7AF00004" w14:textId="0B7938BC" w:rsidR="000B7AD4" w:rsidRDefault="00E036CF" w:rsidP="004A7B4D">
      <w:pPr>
        <w:pStyle w:val="Heading2"/>
        <w:numPr>
          <w:ilvl w:val="1"/>
          <w:numId w:val="101"/>
        </w:numPr>
        <w:ind w:left="2160"/>
        <w:rPr>
          <w:b/>
          <w:bCs/>
        </w:rPr>
      </w:pPr>
      <w:bookmarkStart w:id="139" w:name="_Toc185843647"/>
      <w:r w:rsidRPr="00723259">
        <w:rPr>
          <w:b/>
          <w:bCs/>
          <w:lang w:val="es-DO"/>
        </w:rPr>
        <w:lastRenderedPageBreak/>
        <w:t xml:space="preserve"> </w:t>
      </w:r>
      <w:bookmarkStart w:id="140" w:name="_Toc217382630"/>
      <w:proofErr w:type="spellStart"/>
      <w:r w:rsidR="000B7AD4" w:rsidRPr="00C1375D">
        <w:rPr>
          <w:b/>
          <w:bCs/>
        </w:rPr>
        <w:t>Matriz</w:t>
      </w:r>
      <w:proofErr w:type="spellEnd"/>
      <w:r w:rsidR="000B7AD4" w:rsidRPr="00C1375D">
        <w:rPr>
          <w:b/>
          <w:bCs/>
        </w:rPr>
        <w:t xml:space="preserve"> de </w:t>
      </w:r>
      <w:proofErr w:type="spellStart"/>
      <w:r w:rsidR="000B7AD4" w:rsidRPr="00C1375D">
        <w:rPr>
          <w:b/>
          <w:bCs/>
        </w:rPr>
        <w:t>Logros</w:t>
      </w:r>
      <w:proofErr w:type="spellEnd"/>
      <w:r w:rsidR="000B7AD4" w:rsidRPr="00C1375D">
        <w:rPr>
          <w:b/>
          <w:bCs/>
        </w:rPr>
        <w:t xml:space="preserve"> </w:t>
      </w:r>
      <w:proofErr w:type="spellStart"/>
      <w:r w:rsidR="000B7AD4" w:rsidRPr="00C1375D">
        <w:rPr>
          <w:b/>
          <w:bCs/>
        </w:rPr>
        <w:t>Relevantes</w:t>
      </w:r>
      <w:bookmarkEnd w:id="139"/>
      <w:bookmarkEnd w:id="140"/>
      <w:proofErr w:type="spellEnd"/>
    </w:p>
    <w:tbl>
      <w:tblPr>
        <w:tblpPr w:leftFromText="141" w:rightFromText="141" w:vertAnchor="page" w:horzAnchor="margin" w:tblpY="2460"/>
        <w:tblW w:w="13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1"/>
        <w:gridCol w:w="815"/>
        <w:gridCol w:w="816"/>
        <w:gridCol w:w="817"/>
        <w:gridCol w:w="816"/>
        <w:gridCol w:w="816"/>
        <w:gridCol w:w="817"/>
        <w:gridCol w:w="816"/>
        <w:gridCol w:w="816"/>
        <w:gridCol w:w="817"/>
        <w:gridCol w:w="118"/>
        <w:gridCol w:w="698"/>
        <w:gridCol w:w="878"/>
        <w:gridCol w:w="817"/>
        <w:gridCol w:w="1634"/>
      </w:tblGrid>
      <w:tr w:rsidR="007113C0" w:rsidRPr="002346B8" w14:paraId="4E8E32B2" w14:textId="77777777" w:rsidTr="006B06E7">
        <w:trPr>
          <w:trHeight w:val="641"/>
          <w:tblHeader/>
        </w:trPr>
        <w:tc>
          <w:tcPr>
            <w:tcW w:w="1711" w:type="dxa"/>
            <w:tcBorders>
              <w:bottom w:val="single" w:sz="4" w:space="0" w:color="auto"/>
            </w:tcBorders>
            <w:shd w:val="clear" w:color="auto" w:fill="002060"/>
            <w:tcMar>
              <w:top w:w="0" w:type="dxa"/>
              <w:left w:w="70" w:type="dxa"/>
              <w:bottom w:w="0" w:type="dxa"/>
              <w:right w:w="70" w:type="dxa"/>
            </w:tcMar>
            <w:vAlign w:val="center"/>
            <w:hideMark/>
          </w:tcPr>
          <w:p w14:paraId="05B862F1"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Producto / servicio</w:t>
            </w:r>
          </w:p>
        </w:tc>
        <w:tc>
          <w:tcPr>
            <w:tcW w:w="815" w:type="dxa"/>
            <w:tcBorders>
              <w:bottom w:val="single" w:sz="4" w:space="0" w:color="auto"/>
            </w:tcBorders>
            <w:shd w:val="clear" w:color="auto" w:fill="002060"/>
            <w:tcMar>
              <w:top w:w="0" w:type="dxa"/>
              <w:left w:w="70" w:type="dxa"/>
              <w:bottom w:w="0" w:type="dxa"/>
              <w:right w:w="70" w:type="dxa"/>
            </w:tcMar>
            <w:vAlign w:val="center"/>
            <w:hideMark/>
          </w:tcPr>
          <w:p w14:paraId="0DB87226"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Enero</w:t>
            </w:r>
          </w:p>
        </w:tc>
        <w:tc>
          <w:tcPr>
            <w:tcW w:w="816" w:type="dxa"/>
            <w:tcBorders>
              <w:bottom w:val="single" w:sz="4" w:space="0" w:color="auto"/>
            </w:tcBorders>
            <w:shd w:val="clear" w:color="auto" w:fill="002060"/>
            <w:tcMar>
              <w:top w:w="0" w:type="dxa"/>
              <w:left w:w="70" w:type="dxa"/>
              <w:bottom w:w="0" w:type="dxa"/>
              <w:right w:w="70" w:type="dxa"/>
            </w:tcMar>
            <w:vAlign w:val="center"/>
            <w:hideMark/>
          </w:tcPr>
          <w:p w14:paraId="77FFD0ED"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Febrero</w:t>
            </w:r>
          </w:p>
        </w:tc>
        <w:tc>
          <w:tcPr>
            <w:tcW w:w="817" w:type="dxa"/>
            <w:tcBorders>
              <w:bottom w:val="single" w:sz="4" w:space="0" w:color="auto"/>
            </w:tcBorders>
            <w:shd w:val="clear" w:color="auto" w:fill="002060"/>
            <w:tcMar>
              <w:top w:w="0" w:type="dxa"/>
              <w:left w:w="70" w:type="dxa"/>
              <w:bottom w:w="0" w:type="dxa"/>
              <w:right w:w="70" w:type="dxa"/>
            </w:tcMar>
            <w:vAlign w:val="center"/>
            <w:hideMark/>
          </w:tcPr>
          <w:p w14:paraId="2BFF0BFC"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Marzo</w:t>
            </w:r>
          </w:p>
        </w:tc>
        <w:tc>
          <w:tcPr>
            <w:tcW w:w="816" w:type="dxa"/>
            <w:tcBorders>
              <w:bottom w:val="single" w:sz="4" w:space="0" w:color="auto"/>
            </w:tcBorders>
            <w:shd w:val="clear" w:color="auto" w:fill="002060"/>
            <w:tcMar>
              <w:top w:w="0" w:type="dxa"/>
              <w:left w:w="70" w:type="dxa"/>
              <w:bottom w:w="0" w:type="dxa"/>
              <w:right w:w="70" w:type="dxa"/>
            </w:tcMar>
            <w:vAlign w:val="center"/>
            <w:hideMark/>
          </w:tcPr>
          <w:p w14:paraId="727B8DFF"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Abril</w:t>
            </w:r>
          </w:p>
        </w:tc>
        <w:tc>
          <w:tcPr>
            <w:tcW w:w="816" w:type="dxa"/>
            <w:tcBorders>
              <w:bottom w:val="single" w:sz="4" w:space="0" w:color="auto"/>
            </w:tcBorders>
            <w:shd w:val="clear" w:color="auto" w:fill="002060"/>
            <w:tcMar>
              <w:top w:w="0" w:type="dxa"/>
              <w:left w:w="70" w:type="dxa"/>
              <w:bottom w:w="0" w:type="dxa"/>
              <w:right w:w="70" w:type="dxa"/>
            </w:tcMar>
            <w:vAlign w:val="center"/>
            <w:hideMark/>
          </w:tcPr>
          <w:p w14:paraId="09036C79"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Mayo</w:t>
            </w:r>
          </w:p>
        </w:tc>
        <w:tc>
          <w:tcPr>
            <w:tcW w:w="817" w:type="dxa"/>
            <w:tcBorders>
              <w:bottom w:val="single" w:sz="4" w:space="0" w:color="auto"/>
            </w:tcBorders>
            <w:shd w:val="clear" w:color="auto" w:fill="002060"/>
            <w:tcMar>
              <w:top w:w="0" w:type="dxa"/>
              <w:left w:w="70" w:type="dxa"/>
              <w:bottom w:w="0" w:type="dxa"/>
              <w:right w:w="70" w:type="dxa"/>
            </w:tcMar>
            <w:vAlign w:val="center"/>
            <w:hideMark/>
          </w:tcPr>
          <w:p w14:paraId="636502BF" w14:textId="77777777" w:rsidR="00D67F39" w:rsidRPr="00BF4582" w:rsidRDefault="00D67F39" w:rsidP="00303D9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Junio</w:t>
            </w:r>
          </w:p>
        </w:tc>
        <w:tc>
          <w:tcPr>
            <w:tcW w:w="816" w:type="dxa"/>
            <w:tcBorders>
              <w:bottom w:val="single" w:sz="4" w:space="0" w:color="auto"/>
            </w:tcBorders>
            <w:shd w:val="clear" w:color="auto" w:fill="002060"/>
            <w:vAlign w:val="center"/>
          </w:tcPr>
          <w:p w14:paraId="35273A58"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Julio</w:t>
            </w:r>
          </w:p>
        </w:tc>
        <w:tc>
          <w:tcPr>
            <w:tcW w:w="816" w:type="dxa"/>
            <w:tcBorders>
              <w:bottom w:val="single" w:sz="4" w:space="0" w:color="auto"/>
            </w:tcBorders>
            <w:shd w:val="clear" w:color="auto" w:fill="002060"/>
            <w:vAlign w:val="center"/>
          </w:tcPr>
          <w:p w14:paraId="3CF61D75"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Agosto</w:t>
            </w:r>
          </w:p>
        </w:tc>
        <w:tc>
          <w:tcPr>
            <w:tcW w:w="935" w:type="dxa"/>
            <w:gridSpan w:val="2"/>
            <w:tcBorders>
              <w:bottom w:val="single" w:sz="4" w:space="0" w:color="auto"/>
            </w:tcBorders>
            <w:shd w:val="clear" w:color="auto" w:fill="002060"/>
            <w:vAlign w:val="center"/>
          </w:tcPr>
          <w:p w14:paraId="48D4E307"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Septiembre</w:t>
            </w:r>
          </w:p>
        </w:tc>
        <w:tc>
          <w:tcPr>
            <w:tcW w:w="698" w:type="dxa"/>
            <w:tcBorders>
              <w:bottom w:val="single" w:sz="4" w:space="0" w:color="auto"/>
            </w:tcBorders>
            <w:shd w:val="clear" w:color="auto" w:fill="002060"/>
            <w:vAlign w:val="center"/>
          </w:tcPr>
          <w:p w14:paraId="2A164EFF"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Octubre</w:t>
            </w:r>
          </w:p>
        </w:tc>
        <w:tc>
          <w:tcPr>
            <w:tcW w:w="878" w:type="dxa"/>
            <w:tcBorders>
              <w:bottom w:val="single" w:sz="4" w:space="0" w:color="auto"/>
            </w:tcBorders>
            <w:shd w:val="clear" w:color="auto" w:fill="002060"/>
            <w:vAlign w:val="center"/>
          </w:tcPr>
          <w:p w14:paraId="34E1631B"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Noviembre</w:t>
            </w:r>
          </w:p>
        </w:tc>
        <w:tc>
          <w:tcPr>
            <w:tcW w:w="817" w:type="dxa"/>
            <w:tcBorders>
              <w:bottom w:val="single" w:sz="4" w:space="0" w:color="auto"/>
            </w:tcBorders>
            <w:shd w:val="clear" w:color="auto" w:fill="002060"/>
            <w:vAlign w:val="center"/>
          </w:tcPr>
          <w:p w14:paraId="45A3CDD0"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Diciembre</w:t>
            </w:r>
          </w:p>
        </w:tc>
        <w:tc>
          <w:tcPr>
            <w:tcW w:w="1634" w:type="dxa"/>
            <w:tcBorders>
              <w:bottom w:val="single" w:sz="4" w:space="0" w:color="auto"/>
            </w:tcBorders>
            <w:shd w:val="clear" w:color="auto" w:fill="002060"/>
            <w:vAlign w:val="center"/>
          </w:tcPr>
          <w:p w14:paraId="381B7795" w14:textId="77777777" w:rsidR="00D67F39"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Total</w:t>
            </w:r>
            <w:r>
              <w:rPr>
                <w:rFonts w:ascii="Times New Roman" w:hAnsi="Times New Roman" w:cs="Times New Roman"/>
                <w:b/>
                <w:bCs/>
                <w:color w:val="FFFFFF"/>
                <w:sz w:val="18"/>
                <w:szCs w:val="18"/>
                <w:lang w:val="es-ES"/>
              </w:rPr>
              <w:t xml:space="preserve"> </w:t>
            </w:r>
          </w:p>
          <w:p w14:paraId="10C772DD" w14:textId="77777777" w:rsidR="00D67F39" w:rsidRPr="00BF4582" w:rsidRDefault="00D67F39" w:rsidP="00303D91">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año 202</w:t>
            </w:r>
            <w:r>
              <w:rPr>
                <w:rFonts w:ascii="Times New Roman" w:hAnsi="Times New Roman" w:cs="Times New Roman"/>
                <w:b/>
                <w:bCs/>
                <w:color w:val="FFFFFF"/>
                <w:sz w:val="18"/>
                <w:szCs w:val="18"/>
                <w:lang w:val="es-ES"/>
              </w:rPr>
              <w:t>5</w:t>
            </w:r>
          </w:p>
        </w:tc>
      </w:tr>
      <w:tr w:rsidR="00D67F39" w:rsidRPr="002346B8" w14:paraId="6B5B7FA7"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3BA929" w14:textId="77777777" w:rsidR="00D67F39" w:rsidRPr="00BF4582" w:rsidRDefault="00D67F39" w:rsidP="00303D91">
            <w:pPr>
              <w:pStyle w:val="xxmsonormal"/>
              <w:rPr>
                <w:rFonts w:ascii="Times New Roman" w:hAnsi="Times New Roman" w:cs="Times New Roman"/>
                <w:color w:val="4C4747"/>
                <w:sz w:val="18"/>
                <w:szCs w:val="18"/>
              </w:rPr>
            </w:pPr>
            <w:r w:rsidRPr="00D77CD9">
              <w:rPr>
                <w:rFonts w:ascii="Times New Roman" w:eastAsia="Times New Roman" w:hAnsi="Times New Roman" w:cs="Times New Roman"/>
                <w:color w:val="4C4747"/>
                <w:sz w:val="18"/>
                <w:szCs w:val="18"/>
              </w:rPr>
              <w:t>Plan de Capacitación 202</w:t>
            </w:r>
            <w:r>
              <w:rPr>
                <w:rFonts w:ascii="Times New Roman" w:eastAsia="Times New Roman" w:hAnsi="Times New Roman" w:cs="Times New Roman"/>
                <w:color w:val="4C4747"/>
                <w:sz w:val="18"/>
                <w:szCs w:val="18"/>
              </w:rPr>
              <w:t>5</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D56335"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6.33%</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BD5E0"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6.33%</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58C23F"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6.33%</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20DCDA"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11%</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57BAD"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11%</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665A7"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11%</w:t>
            </w:r>
          </w:p>
        </w:tc>
        <w:tc>
          <w:tcPr>
            <w:tcW w:w="816" w:type="dxa"/>
            <w:tcBorders>
              <w:top w:val="single" w:sz="4" w:space="0" w:color="auto"/>
              <w:left w:val="single" w:sz="4" w:space="0" w:color="auto"/>
              <w:bottom w:val="single" w:sz="4" w:space="0" w:color="auto"/>
              <w:right w:val="single" w:sz="4" w:space="0" w:color="auto"/>
            </w:tcBorders>
            <w:vAlign w:val="center"/>
          </w:tcPr>
          <w:p w14:paraId="26168E49"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8.66%</w:t>
            </w:r>
          </w:p>
        </w:tc>
        <w:tc>
          <w:tcPr>
            <w:tcW w:w="816" w:type="dxa"/>
            <w:tcBorders>
              <w:top w:val="single" w:sz="4" w:space="0" w:color="auto"/>
              <w:left w:val="single" w:sz="4" w:space="0" w:color="auto"/>
              <w:bottom w:val="single" w:sz="4" w:space="0" w:color="auto"/>
              <w:right w:val="single" w:sz="4" w:space="0" w:color="auto"/>
            </w:tcBorders>
            <w:vAlign w:val="center"/>
          </w:tcPr>
          <w:p w14:paraId="4A5D5F76"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8.66%</w:t>
            </w:r>
          </w:p>
        </w:tc>
        <w:tc>
          <w:tcPr>
            <w:tcW w:w="817" w:type="dxa"/>
            <w:tcBorders>
              <w:top w:val="single" w:sz="4" w:space="0" w:color="auto"/>
              <w:left w:val="single" w:sz="4" w:space="0" w:color="auto"/>
              <w:bottom w:val="single" w:sz="4" w:space="0" w:color="auto"/>
              <w:right w:val="single" w:sz="4" w:space="0" w:color="auto"/>
            </w:tcBorders>
            <w:vAlign w:val="center"/>
          </w:tcPr>
          <w:p w14:paraId="7B23FCA4"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8.66%</w:t>
            </w: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2EA02A6C"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r>
              <w:rPr>
                <w:rFonts w:ascii="Times New Roman" w:eastAsia="Times New Roman" w:hAnsi="Times New Roman" w:cs="Times New Roman"/>
                <w:color w:val="4C4747"/>
                <w:sz w:val="18"/>
                <w:szCs w:val="18"/>
              </w:rPr>
              <w:t>1.33%</w:t>
            </w:r>
          </w:p>
        </w:tc>
        <w:tc>
          <w:tcPr>
            <w:tcW w:w="878" w:type="dxa"/>
            <w:tcBorders>
              <w:top w:val="single" w:sz="4" w:space="0" w:color="auto"/>
              <w:left w:val="single" w:sz="4" w:space="0" w:color="auto"/>
              <w:bottom w:val="single" w:sz="4" w:space="0" w:color="auto"/>
              <w:right w:val="single" w:sz="4" w:space="0" w:color="auto"/>
            </w:tcBorders>
            <w:vAlign w:val="center"/>
          </w:tcPr>
          <w:p w14:paraId="51883B0A"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1.33%</w:t>
            </w:r>
          </w:p>
        </w:tc>
        <w:tc>
          <w:tcPr>
            <w:tcW w:w="817" w:type="dxa"/>
            <w:tcBorders>
              <w:top w:val="single" w:sz="4" w:space="0" w:color="auto"/>
              <w:left w:val="single" w:sz="4" w:space="0" w:color="auto"/>
              <w:bottom w:val="single" w:sz="4" w:space="0" w:color="auto"/>
              <w:right w:val="single" w:sz="4" w:space="0" w:color="auto"/>
            </w:tcBorders>
            <w:vAlign w:val="center"/>
          </w:tcPr>
          <w:p w14:paraId="724DC53F"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1.33%</w:t>
            </w:r>
          </w:p>
        </w:tc>
        <w:tc>
          <w:tcPr>
            <w:tcW w:w="1634" w:type="dxa"/>
            <w:tcBorders>
              <w:top w:val="single" w:sz="4" w:space="0" w:color="auto"/>
              <w:left w:val="single" w:sz="4" w:space="0" w:color="auto"/>
              <w:bottom w:val="single" w:sz="4" w:space="0" w:color="auto"/>
              <w:right w:val="single" w:sz="4" w:space="0" w:color="auto"/>
            </w:tcBorders>
            <w:vAlign w:val="center"/>
          </w:tcPr>
          <w:p w14:paraId="2C950131" w14:textId="77777777" w:rsidR="00D67F39" w:rsidRPr="007B5D90" w:rsidRDefault="00D67F39" w:rsidP="00303D91">
            <w:pPr>
              <w:pStyle w:val="xxmsonormal"/>
              <w:jc w:val="center"/>
              <w:rPr>
                <w:rFonts w:ascii="Times New Roman" w:hAnsi="Times New Roman" w:cs="Times New Roman"/>
                <w:b/>
                <w:bCs/>
                <w:color w:val="4C4747"/>
                <w:sz w:val="18"/>
                <w:szCs w:val="18"/>
              </w:rPr>
            </w:pPr>
            <w:r w:rsidRPr="007B5D90">
              <w:rPr>
                <w:rFonts w:ascii="Times New Roman" w:hAnsi="Times New Roman" w:cs="Times New Roman"/>
                <w:b/>
                <w:bCs/>
                <w:color w:val="4C4747"/>
                <w:sz w:val="18"/>
                <w:szCs w:val="18"/>
              </w:rPr>
              <w:t>82%</w:t>
            </w:r>
          </w:p>
        </w:tc>
      </w:tr>
      <w:tr w:rsidR="00D67F39" w:rsidRPr="002346B8" w14:paraId="6C04EA0C" w14:textId="77777777" w:rsidTr="007113C0">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3D151E" w14:textId="77777777" w:rsidR="00D67F39" w:rsidRPr="00BF4582" w:rsidRDefault="00D67F39" w:rsidP="00303D91">
            <w:pPr>
              <w:pStyle w:val="xxmsonormal"/>
              <w:rPr>
                <w:rFonts w:ascii="Times New Roman" w:hAnsi="Times New Roman" w:cs="Times New Roman"/>
                <w:color w:val="4C4747"/>
                <w:sz w:val="18"/>
                <w:szCs w:val="18"/>
              </w:rPr>
            </w:pPr>
            <w:r w:rsidRPr="00EC11A0">
              <w:rPr>
                <w:rFonts w:ascii="Times New Roman" w:eastAsia="Times New Roman" w:hAnsi="Times New Roman" w:cs="Times New Roman"/>
                <w:color w:val="4C4747"/>
                <w:sz w:val="18"/>
                <w:szCs w:val="18"/>
              </w:rPr>
              <w:t>Inversión Plan de Capacitación</w:t>
            </w:r>
          </w:p>
        </w:tc>
        <w:tc>
          <w:tcPr>
            <w:tcW w:w="2448"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5FE5A8"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7C26DC">
              <w:rPr>
                <w:rFonts w:ascii="Times New Roman" w:eastAsia="Times New Roman" w:hAnsi="Times New Roman" w:cs="Times New Roman"/>
                <w:b/>
                <w:bCs/>
                <w:color w:val="4C4747"/>
                <w:sz w:val="18"/>
                <w:szCs w:val="18"/>
              </w:rPr>
              <w:t>$</w:t>
            </w:r>
            <w:r w:rsidRPr="007C26DC">
              <w:rPr>
                <w:b/>
                <w:bCs/>
              </w:rPr>
              <w:t xml:space="preserve"> </w:t>
            </w:r>
            <w:r w:rsidRPr="007C26DC">
              <w:rPr>
                <w:rFonts w:ascii="Times New Roman" w:eastAsia="Times New Roman" w:hAnsi="Times New Roman" w:cs="Times New Roman"/>
                <w:b/>
                <w:bCs/>
                <w:color w:val="4C4747"/>
                <w:sz w:val="18"/>
                <w:szCs w:val="18"/>
              </w:rPr>
              <w:t>575,087.00</w:t>
            </w:r>
          </w:p>
        </w:tc>
        <w:tc>
          <w:tcPr>
            <w:tcW w:w="2449"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A3BFE"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t xml:space="preserve"> </w:t>
            </w:r>
            <w:r w:rsidRPr="002960A8">
              <w:rPr>
                <w:rFonts w:ascii="Times New Roman" w:eastAsia="Times New Roman" w:hAnsi="Times New Roman" w:cs="Times New Roman"/>
                <w:b/>
                <w:bCs/>
                <w:color w:val="4C4747"/>
                <w:sz w:val="18"/>
                <w:szCs w:val="18"/>
              </w:rPr>
              <w:t>811</w:t>
            </w:r>
            <w:r>
              <w:rPr>
                <w:rFonts w:ascii="Times New Roman" w:eastAsia="Times New Roman" w:hAnsi="Times New Roman" w:cs="Times New Roman"/>
                <w:b/>
                <w:bCs/>
                <w:color w:val="4C4747"/>
                <w:sz w:val="18"/>
                <w:szCs w:val="18"/>
              </w:rPr>
              <w:t>,</w:t>
            </w:r>
            <w:r w:rsidRPr="002960A8">
              <w:rPr>
                <w:rFonts w:ascii="Times New Roman" w:eastAsia="Times New Roman" w:hAnsi="Times New Roman" w:cs="Times New Roman"/>
                <w:b/>
                <w:bCs/>
                <w:color w:val="4C4747"/>
                <w:sz w:val="18"/>
                <w:szCs w:val="18"/>
              </w:rPr>
              <w:t>773.48</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51DC5092"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sidRPr="006A4039">
              <w:rPr>
                <w:rFonts w:ascii="Times New Roman" w:eastAsia="Times New Roman" w:hAnsi="Times New Roman" w:cs="Times New Roman"/>
                <w:b/>
                <w:bCs/>
                <w:color w:val="4C4747"/>
                <w:sz w:val="18"/>
                <w:szCs w:val="18"/>
              </w:rPr>
              <w:t>1</w:t>
            </w:r>
            <w:r>
              <w:rPr>
                <w:rFonts w:ascii="Times New Roman" w:eastAsia="Times New Roman" w:hAnsi="Times New Roman" w:cs="Times New Roman"/>
                <w:b/>
                <w:bCs/>
                <w:color w:val="4C4747"/>
                <w:sz w:val="18"/>
                <w:szCs w:val="18"/>
              </w:rPr>
              <w:t>,</w:t>
            </w:r>
            <w:r w:rsidRPr="006A4039">
              <w:rPr>
                <w:rFonts w:ascii="Times New Roman" w:eastAsia="Times New Roman" w:hAnsi="Times New Roman" w:cs="Times New Roman"/>
                <w:b/>
                <w:bCs/>
                <w:color w:val="4C4747"/>
                <w:sz w:val="18"/>
                <w:szCs w:val="18"/>
              </w:rPr>
              <w:t>655</w:t>
            </w:r>
            <w:r>
              <w:rPr>
                <w:rFonts w:ascii="Times New Roman" w:eastAsia="Times New Roman" w:hAnsi="Times New Roman" w:cs="Times New Roman"/>
                <w:b/>
                <w:bCs/>
                <w:color w:val="4C4747"/>
                <w:sz w:val="18"/>
                <w:szCs w:val="18"/>
              </w:rPr>
              <w:t>,</w:t>
            </w:r>
            <w:r w:rsidRPr="006A4039">
              <w:rPr>
                <w:rFonts w:ascii="Times New Roman" w:eastAsia="Times New Roman" w:hAnsi="Times New Roman" w:cs="Times New Roman"/>
                <w:b/>
                <w:bCs/>
                <w:color w:val="4C4747"/>
                <w:sz w:val="18"/>
                <w:szCs w:val="18"/>
              </w:rPr>
              <w:t>873.41</w:t>
            </w:r>
          </w:p>
        </w:tc>
        <w:tc>
          <w:tcPr>
            <w:tcW w:w="2511" w:type="dxa"/>
            <w:gridSpan w:val="4"/>
            <w:tcBorders>
              <w:top w:val="single" w:sz="4" w:space="0" w:color="auto"/>
              <w:left w:val="single" w:sz="4" w:space="0" w:color="auto"/>
              <w:bottom w:val="single" w:sz="4" w:space="0" w:color="auto"/>
              <w:right w:val="single" w:sz="4" w:space="0" w:color="auto"/>
            </w:tcBorders>
            <w:vAlign w:val="center"/>
          </w:tcPr>
          <w:p w14:paraId="0C0BCDF4"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sidRPr="00C75937">
              <w:rPr>
                <w:rFonts w:ascii="Times New Roman" w:eastAsia="Times New Roman" w:hAnsi="Times New Roman" w:cs="Times New Roman"/>
                <w:b/>
                <w:bCs/>
                <w:color w:val="4C4747"/>
                <w:sz w:val="18"/>
                <w:szCs w:val="18"/>
              </w:rPr>
              <w:t>327</w:t>
            </w:r>
            <w:r>
              <w:rPr>
                <w:rFonts w:ascii="Times New Roman" w:eastAsia="Times New Roman" w:hAnsi="Times New Roman" w:cs="Times New Roman"/>
                <w:b/>
                <w:bCs/>
                <w:color w:val="4C4747"/>
                <w:sz w:val="18"/>
                <w:szCs w:val="18"/>
              </w:rPr>
              <w:t>,</w:t>
            </w:r>
            <w:r w:rsidRPr="00C75937">
              <w:rPr>
                <w:rFonts w:ascii="Times New Roman" w:eastAsia="Times New Roman" w:hAnsi="Times New Roman" w:cs="Times New Roman"/>
                <w:b/>
                <w:bCs/>
                <w:color w:val="4C4747"/>
                <w:sz w:val="18"/>
                <w:szCs w:val="18"/>
              </w:rPr>
              <w:t>828</w:t>
            </w:r>
            <w:r>
              <w:rPr>
                <w:rFonts w:ascii="Times New Roman" w:eastAsia="Times New Roman" w:hAnsi="Times New Roman" w:cs="Times New Roman"/>
                <w:b/>
                <w:bCs/>
                <w:color w:val="4C4747"/>
                <w:sz w:val="18"/>
                <w:szCs w:val="18"/>
              </w:rPr>
              <w:t>.00</w:t>
            </w:r>
          </w:p>
        </w:tc>
        <w:tc>
          <w:tcPr>
            <w:tcW w:w="1634" w:type="dxa"/>
            <w:tcBorders>
              <w:top w:val="single" w:sz="4" w:space="0" w:color="auto"/>
              <w:left w:val="single" w:sz="4" w:space="0" w:color="auto"/>
              <w:bottom w:val="single" w:sz="4" w:space="0" w:color="auto"/>
              <w:right w:val="single" w:sz="4" w:space="0" w:color="auto"/>
            </w:tcBorders>
            <w:vAlign w:val="center"/>
          </w:tcPr>
          <w:p w14:paraId="3BE8C61C"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eastAsia="Times New Roman" w:hAnsi="Times New Roman" w:cs="Times New Roman"/>
                <w:b/>
                <w:bCs/>
                <w:color w:val="4C4747"/>
                <w:sz w:val="18"/>
                <w:szCs w:val="18"/>
              </w:rPr>
              <w:t>RD$ 3,370,561.89</w:t>
            </w:r>
          </w:p>
        </w:tc>
      </w:tr>
      <w:tr w:rsidR="00D67F39" w:rsidRPr="002346B8" w14:paraId="63EBED84"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93D250" w14:textId="77777777" w:rsidR="00D67F39" w:rsidRPr="00BF4582" w:rsidRDefault="00D67F39" w:rsidP="00303D91">
            <w:pPr>
              <w:pStyle w:val="xxmsonormal"/>
              <w:rPr>
                <w:rFonts w:ascii="Times New Roman" w:hAnsi="Times New Roman" w:cs="Times New Roman"/>
                <w:color w:val="4C4747"/>
                <w:sz w:val="18"/>
                <w:szCs w:val="18"/>
              </w:rPr>
            </w:pPr>
            <w:r w:rsidRPr="00183901">
              <w:rPr>
                <w:rFonts w:ascii="Times New Roman" w:eastAsia="Times New Roman" w:hAnsi="Times New Roman" w:cs="Times New Roman"/>
                <w:color w:val="4C4747"/>
                <w:sz w:val="18"/>
                <w:szCs w:val="18"/>
              </w:rPr>
              <w:t>Plan de Bienestar y Beneficios</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F7F598"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959A57"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ED871"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w:t>
            </w:r>
            <w:r w:rsidRPr="00BF4582">
              <w:rPr>
                <w:rFonts w:ascii="Times New Roman" w:eastAsia="Times New Roman" w:hAnsi="Times New Roman" w:cs="Times New Roman"/>
                <w:color w:val="4C4747"/>
                <w:sz w:val="18"/>
                <w:szCs w:val="18"/>
              </w:rPr>
              <w:t>0</w:t>
            </w:r>
            <w:r>
              <w:rPr>
                <w:rFonts w:ascii="Times New Roman" w:eastAsia="Times New Roman" w:hAnsi="Times New Roman" w:cs="Times New Roman"/>
                <w:color w:val="4C4747"/>
                <w:sz w:val="18"/>
                <w:szCs w:val="18"/>
              </w:rPr>
              <w:t>%</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D242E9"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5DD903"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5AFF04"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vAlign w:val="center"/>
          </w:tcPr>
          <w:p w14:paraId="0DF5F567"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vAlign w:val="center"/>
          </w:tcPr>
          <w:p w14:paraId="2FD425B1"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vAlign w:val="center"/>
          </w:tcPr>
          <w:p w14:paraId="78B6D6C2"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1959BA0E"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78" w:type="dxa"/>
            <w:tcBorders>
              <w:top w:val="single" w:sz="4" w:space="0" w:color="auto"/>
              <w:left w:val="single" w:sz="4" w:space="0" w:color="auto"/>
              <w:bottom w:val="single" w:sz="4" w:space="0" w:color="auto"/>
              <w:right w:val="single" w:sz="4" w:space="0" w:color="auto"/>
            </w:tcBorders>
            <w:vAlign w:val="center"/>
          </w:tcPr>
          <w:p w14:paraId="22435C04"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vAlign w:val="center"/>
          </w:tcPr>
          <w:p w14:paraId="0D2DD063" w14:textId="77777777" w:rsidR="00D67F39" w:rsidRPr="00BF4582"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1634" w:type="dxa"/>
            <w:tcBorders>
              <w:top w:val="single" w:sz="4" w:space="0" w:color="auto"/>
              <w:left w:val="single" w:sz="4" w:space="0" w:color="auto"/>
              <w:bottom w:val="single" w:sz="4" w:space="0" w:color="auto"/>
              <w:right w:val="single" w:sz="4" w:space="0" w:color="auto"/>
            </w:tcBorders>
            <w:vAlign w:val="center"/>
          </w:tcPr>
          <w:p w14:paraId="31A00BA8"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hAnsi="Times New Roman" w:cs="Times New Roman"/>
                <w:b/>
                <w:bCs/>
                <w:color w:val="4C4747"/>
                <w:sz w:val="18"/>
                <w:szCs w:val="18"/>
              </w:rPr>
              <w:t>100%</w:t>
            </w:r>
          </w:p>
        </w:tc>
      </w:tr>
      <w:tr w:rsidR="00D67F39" w:rsidRPr="002346B8" w14:paraId="3DB5F1B1" w14:textId="77777777" w:rsidTr="007113C0">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03D7B6" w14:textId="77777777" w:rsidR="00D67F39" w:rsidRPr="00BF4582" w:rsidRDefault="00D67F39" w:rsidP="00303D91">
            <w:pPr>
              <w:pStyle w:val="xxmsonormal"/>
              <w:rPr>
                <w:rFonts w:ascii="Times New Roman" w:hAnsi="Times New Roman" w:cs="Times New Roman"/>
                <w:color w:val="4C4747"/>
                <w:sz w:val="18"/>
                <w:szCs w:val="18"/>
              </w:rPr>
            </w:pPr>
            <w:r w:rsidRPr="00F1326D">
              <w:rPr>
                <w:rFonts w:ascii="Times New Roman" w:eastAsia="Times New Roman" w:hAnsi="Times New Roman" w:cs="Times New Roman"/>
                <w:color w:val="4C4747"/>
                <w:sz w:val="18"/>
                <w:szCs w:val="18"/>
              </w:rPr>
              <w:t>Inversión Plan de Bienestar</w:t>
            </w:r>
          </w:p>
        </w:tc>
        <w:tc>
          <w:tcPr>
            <w:tcW w:w="2448"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775D7F" w14:textId="77777777" w:rsidR="00D67F39" w:rsidRPr="00182B68" w:rsidRDefault="00D67F39" w:rsidP="00303D91">
            <w:pPr>
              <w:pStyle w:val="xxmsonormal"/>
              <w:jc w:val="center"/>
              <w:rPr>
                <w:rFonts w:ascii="Times New Roman" w:hAnsi="Times New Roman" w:cs="Times New Roman"/>
                <w:b/>
                <w:bCs/>
                <w:color w:val="4C4747"/>
                <w:sz w:val="18"/>
                <w:szCs w:val="18"/>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110,000.00</w:t>
            </w:r>
          </w:p>
        </w:tc>
        <w:tc>
          <w:tcPr>
            <w:tcW w:w="2449"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4ABF0E" w14:textId="77777777" w:rsidR="00D67F39" w:rsidRPr="00182B68" w:rsidRDefault="00D67F39" w:rsidP="00303D91">
            <w:pPr>
              <w:pStyle w:val="xxmsonormal"/>
              <w:jc w:val="center"/>
              <w:rPr>
                <w:rFonts w:ascii="Times New Roman" w:hAnsi="Times New Roman" w:cs="Times New Roman"/>
                <w:b/>
                <w:bCs/>
                <w:color w:val="4C4747"/>
                <w:sz w:val="18"/>
                <w:szCs w:val="18"/>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0.00</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539067D5"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7,219,155.93</w:t>
            </w:r>
          </w:p>
        </w:tc>
        <w:tc>
          <w:tcPr>
            <w:tcW w:w="2511" w:type="dxa"/>
            <w:gridSpan w:val="4"/>
            <w:tcBorders>
              <w:top w:val="single" w:sz="4" w:space="0" w:color="auto"/>
              <w:left w:val="single" w:sz="4" w:space="0" w:color="auto"/>
              <w:bottom w:val="single" w:sz="4" w:space="0" w:color="auto"/>
              <w:right w:val="single" w:sz="4" w:space="0" w:color="auto"/>
            </w:tcBorders>
            <w:vAlign w:val="center"/>
          </w:tcPr>
          <w:p w14:paraId="65EC37DC" w14:textId="77777777" w:rsidR="00D67F39" w:rsidRPr="00BF4582" w:rsidRDefault="00D67F39" w:rsidP="00303D91">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2,460,359.00</w:t>
            </w:r>
          </w:p>
        </w:tc>
        <w:tc>
          <w:tcPr>
            <w:tcW w:w="1634" w:type="dxa"/>
            <w:tcBorders>
              <w:top w:val="single" w:sz="4" w:space="0" w:color="auto"/>
              <w:left w:val="single" w:sz="4" w:space="0" w:color="auto"/>
              <w:bottom w:val="single" w:sz="4" w:space="0" w:color="auto"/>
              <w:right w:val="single" w:sz="4" w:space="0" w:color="auto"/>
            </w:tcBorders>
            <w:vAlign w:val="center"/>
          </w:tcPr>
          <w:p w14:paraId="3227D8D3"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eastAsia="Times New Roman" w:hAnsi="Times New Roman" w:cs="Times New Roman"/>
                <w:b/>
                <w:bCs/>
                <w:color w:val="4C4747"/>
                <w:sz w:val="18"/>
                <w:szCs w:val="18"/>
              </w:rPr>
              <w:t>RD$ 9,789,514.93</w:t>
            </w:r>
          </w:p>
        </w:tc>
      </w:tr>
      <w:tr w:rsidR="00D67F39" w:rsidRPr="002346B8" w14:paraId="33420875"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05E161" w14:textId="77777777" w:rsidR="00D67F39" w:rsidRPr="00A81FE3" w:rsidRDefault="00D67F39" w:rsidP="00303D91">
            <w:pPr>
              <w:pStyle w:val="xxmsonormal"/>
              <w:rPr>
                <w:rFonts w:ascii="Times New Roman" w:hAnsi="Times New Roman" w:cs="Times New Roman"/>
                <w:color w:val="595959" w:themeColor="text1" w:themeTint="A6"/>
                <w:sz w:val="24"/>
                <w:szCs w:val="24"/>
              </w:rPr>
            </w:pPr>
            <w:r w:rsidRPr="00745784">
              <w:rPr>
                <w:rFonts w:ascii="Times New Roman" w:eastAsia="Times New Roman" w:hAnsi="Times New Roman" w:cs="Times New Roman"/>
                <w:color w:val="4C4747"/>
                <w:sz w:val="18"/>
                <w:szCs w:val="18"/>
              </w:rPr>
              <w:t>Plan 3R y Sostenibilidad</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A4040D" w14:textId="77777777" w:rsidR="00D67F39" w:rsidRPr="00D92C54" w:rsidRDefault="00D67F39" w:rsidP="00303D91">
            <w:pPr>
              <w:pStyle w:val="xxmsonormal"/>
              <w:jc w:val="center"/>
              <w:rPr>
                <w:rFonts w:ascii="Times New Roman" w:hAnsi="Times New Roman" w:cs="Times New Roman"/>
                <w:color w:val="4C4747"/>
                <w:sz w:val="18"/>
                <w:szCs w:val="18"/>
              </w:rPr>
            </w:pPr>
            <w:r w:rsidRPr="00D92C54">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3C614F" w14:textId="77777777" w:rsidR="00D67F39" w:rsidRPr="00D92C54" w:rsidRDefault="00D67F39" w:rsidP="00303D91">
            <w:pPr>
              <w:pStyle w:val="xxmsonormal"/>
              <w:jc w:val="center"/>
              <w:rPr>
                <w:rFonts w:ascii="Times New Roman" w:hAnsi="Times New Roman" w:cs="Times New Roman"/>
                <w:color w:val="4C4747"/>
                <w:sz w:val="18"/>
                <w:szCs w:val="18"/>
              </w:rPr>
            </w:pPr>
            <w:r w:rsidRPr="00D92C54">
              <w:rPr>
                <w:rFonts w:ascii="Times New Roman" w:hAnsi="Times New Roman" w:cs="Times New Roman"/>
                <w:color w:val="4C4747"/>
                <w:sz w:val="18"/>
                <w:szCs w:val="18"/>
              </w:rPr>
              <w:t>80%</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6DCD78" w14:textId="77777777" w:rsidR="00D67F39" w:rsidRPr="00D92C54" w:rsidRDefault="00D67F39" w:rsidP="00303D91">
            <w:pPr>
              <w:pStyle w:val="xxmsonormal"/>
              <w:jc w:val="center"/>
              <w:rPr>
                <w:rFonts w:ascii="Times New Roman" w:hAnsi="Times New Roman" w:cs="Times New Roman"/>
                <w:color w:val="4C4747"/>
                <w:sz w:val="18"/>
                <w:szCs w:val="18"/>
              </w:rPr>
            </w:pPr>
            <w:r w:rsidRPr="00D92C54">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705029"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BFFE07"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8110CF"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vAlign w:val="center"/>
          </w:tcPr>
          <w:p w14:paraId="626EACDD"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vAlign w:val="center"/>
          </w:tcPr>
          <w:p w14:paraId="4AEA880E"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vAlign w:val="center"/>
          </w:tcPr>
          <w:p w14:paraId="22725EE6"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18AF60EB"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78" w:type="dxa"/>
            <w:tcBorders>
              <w:top w:val="single" w:sz="4" w:space="0" w:color="auto"/>
              <w:left w:val="single" w:sz="4" w:space="0" w:color="auto"/>
              <w:bottom w:val="single" w:sz="4" w:space="0" w:color="auto"/>
              <w:right w:val="single" w:sz="4" w:space="0" w:color="auto"/>
            </w:tcBorders>
            <w:vAlign w:val="center"/>
          </w:tcPr>
          <w:p w14:paraId="1B25D62A"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vAlign w:val="center"/>
          </w:tcPr>
          <w:p w14:paraId="1595C4FB" w14:textId="77777777" w:rsidR="00D67F39" w:rsidRPr="00D92C54" w:rsidRDefault="00D67F39" w:rsidP="00303D91">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p>
        </w:tc>
        <w:tc>
          <w:tcPr>
            <w:tcW w:w="1634" w:type="dxa"/>
            <w:tcBorders>
              <w:top w:val="single" w:sz="4" w:space="0" w:color="auto"/>
              <w:left w:val="single" w:sz="4" w:space="0" w:color="auto"/>
              <w:bottom w:val="single" w:sz="4" w:space="0" w:color="auto"/>
              <w:right w:val="single" w:sz="4" w:space="0" w:color="auto"/>
            </w:tcBorders>
            <w:vAlign w:val="center"/>
          </w:tcPr>
          <w:p w14:paraId="2DB27BBF"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hAnsi="Times New Roman" w:cs="Times New Roman"/>
                <w:b/>
                <w:bCs/>
                <w:color w:val="4C4747"/>
                <w:sz w:val="18"/>
                <w:szCs w:val="18"/>
              </w:rPr>
              <w:t>98.33%</w:t>
            </w:r>
          </w:p>
        </w:tc>
      </w:tr>
      <w:tr w:rsidR="00D67F39" w:rsidRPr="002346B8" w14:paraId="7C1762A8" w14:textId="77777777" w:rsidTr="007113C0">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4B4195" w14:textId="77777777" w:rsidR="00D67F39" w:rsidRPr="00A81FE3" w:rsidRDefault="00D67F39" w:rsidP="00303D91">
            <w:pPr>
              <w:pStyle w:val="xxmsonormal"/>
              <w:rPr>
                <w:rFonts w:ascii="Times New Roman" w:hAnsi="Times New Roman" w:cs="Times New Roman"/>
                <w:color w:val="595959" w:themeColor="text1" w:themeTint="A6"/>
                <w:sz w:val="24"/>
                <w:szCs w:val="24"/>
              </w:rPr>
            </w:pPr>
            <w:r w:rsidRPr="00C8218F">
              <w:rPr>
                <w:rFonts w:ascii="Times New Roman" w:eastAsia="Times New Roman" w:hAnsi="Times New Roman" w:cs="Times New Roman"/>
                <w:color w:val="4C4747"/>
                <w:sz w:val="18"/>
                <w:szCs w:val="18"/>
              </w:rPr>
              <w:t>Inversión Plan 3R y Sostenibilidad</w:t>
            </w:r>
          </w:p>
        </w:tc>
        <w:tc>
          <w:tcPr>
            <w:tcW w:w="2448"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1F92C5" w14:textId="77777777" w:rsidR="00D67F39" w:rsidRPr="00A81FE3" w:rsidRDefault="00D67F39" w:rsidP="00303D91">
            <w:pPr>
              <w:pStyle w:val="xxmsonormal"/>
              <w:jc w:val="center"/>
              <w:rPr>
                <w:rFonts w:ascii="Times New Roman" w:hAnsi="Times New Roman" w:cs="Times New Roman"/>
                <w:color w:val="595959" w:themeColor="text1" w:themeTint="A6"/>
                <w:sz w:val="24"/>
                <w:szCs w:val="24"/>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0.00</w:t>
            </w:r>
          </w:p>
        </w:tc>
        <w:tc>
          <w:tcPr>
            <w:tcW w:w="2449"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7EC2" w14:textId="77777777" w:rsidR="00D67F39" w:rsidRPr="00A81FE3" w:rsidRDefault="00D67F39" w:rsidP="00303D91">
            <w:pPr>
              <w:pStyle w:val="xxmsonormal"/>
              <w:jc w:val="center"/>
              <w:rPr>
                <w:rFonts w:ascii="Times New Roman" w:hAnsi="Times New Roman" w:cs="Times New Roman"/>
                <w:color w:val="595959" w:themeColor="text1" w:themeTint="A6"/>
                <w:sz w:val="24"/>
                <w:szCs w:val="24"/>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191,594.00</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3161C799" w14:textId="77777777" w:rsidR="00D67F39" w:rsidRPr="00A81FE3" w:rsidRDefault="00D67F39" w:rsidP="00303D91">
            <w:pPr>
              <w:pStyle w:val="xxmsonormal"/>
              <w:jc w:val="center"/>
              <w:rPr>
                <w:rFonts w:ascii="Times New Roman" w:hAnsi="Times New Roman" w:cs="Times New Roman"/>
                <w:color w:val="595959" w:themeColor="text1" w:themeTint="A6"/>
                <w:sz w:val="24"/>
                <w:szCs w:val="24"/>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0.00</w:t>
            </w:r>
          </w:p>
        </w:tc>
        <w:tc>
          <w:tcPr>
            <w:tcW w:w="2511" w:type="dxa"/>
            <w:gridSpan w:val="4"/>
            <w:tcBorders>
              <w:top w:val="single" w:sz="4" w:space="0" w:color="auto"/>
              <w:left w:val="single" w:sz="4" w:space="0" w:color="auto"/>
              <w:bottom w:val="single" w:sz="4" w:space="0" w:color="auto"/>
              <w:right w:val="single" w:sz="4" w:space="0" w:color="auto"/>
            </w:tcBorders>
            <w:vAlign w:val="center"/>
          </w:tcPr>
          <w:p w14:paraId="0F32FA73" w14:textId="77777777" w:rsidR="00D67F39" w:rsidRPr="00A81FE3" w:rsidRDefault="00D67F39" w:rsidP="00303D91">
            <w:pPr>
              <w:pStyle w:val="xxmsonormal"/>
              <w:jc w:val="center"/>
              <w:rPr>
                <w:rFonts w:ascii="Times New Roman" w:hAnsi="Times New Roman" w:cs="Times New Roman"/>
                <w:color w:val="595959" w:themeColor="text1" w:themeTint="A6"/>
                <w:sz w:val="24"/>
                <w:szCs w:val="24"/>
              </w:rPr>
            </w:pPr>
            <w:r w:rsidRPr="00BF458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w:t>
            </w:r>
            <w:r>
              <w:rPr>
                <w:rFonts w:ascii="Times New Roman" w:eastAsia="Times New Roman" w:hAnsi="Times New Roman" w:cs="Times New Roman"/>
                <w:b/>
                <w:bCs/>
                <w:color w:val="4C4747"/>
                <w:sz w:val="18"/>
                <w:szCs w:val="18"/>
              </w:rPr>
              <w:t>59,670.00</w:t>
            </w:r>
          </w:p>
        </w:tc>
        <w:tc>
          <w:tcPr>
            <w:tcW w:w="1634" w:type="dxa"/>
            <w:tcBorders>
              <w:top w:val="single" w:sz="4" w:space="0" w:color="auto"/>
              <w:left w:val="single" w:sz="4" w:space="0" w:color="auto"/>
              <w:bottom w:val="single" w:sz="4" w:space="0" w:color="auto"/>
              <w:right w:val="single" w:sz="4" w:space="0" w:color="auto"/>
            </w:tcBorders>
            <w:vAlign w:val="center"/>
          </w:tcPr>
          <w:p w14:paraId="31BEB44B"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eastAsia="Times New Roman" w:hAnsi="Times New Roman" w:cs="Times New Roman"/>
                <w:b/>
                <w:bCs/>
                <w:color w:val="4C4747"/>
                <w:sz w:val="18"/>
                <w:szCs w:val="18"/>
              </w:rPr>
              <w:t>RD$ 251,264.00</w:t>
            </w:r>
          </w:p>
        </w:tc>
      </w:tr>
      <w:tr w:rsidR="00D67F39" w:rsidRPr="002346B8" w14:paraId="78CFBF19"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30B6D3" w14:textId="77777777" w:rsidR="00D67F39" w:rsidRPr="00C8218F" w:rsidRDefault="00D67F39" w:rsidP="00303D91">
            <w:pPr>
              <w:pStyle w:val="xxmsonormal"/>
              <w:rPr>
                <w:rFonts w:ascii="Times New Roman" w:eastAsia="Times New Roman" w:hAnsi="Times New Roman" w:cs="Times New Roman"/>
                <w:color w:val="4C4747"/>
                <w:sz w:val="18"/>
                <w:szCs w:val="18"/>
              </w:rPr>
            </w:pPr>
            <w:r w:rsidRPr="00AA55CD">
              <w:rPr>
                <w:rFonts w:ascii="Times New Roman" w:eastAsia="Times New Roman" w:hAnsi="Times New Roman" w:cs="Times New Roman"/>
                <w:color w:val="4C4747"/>
                <w:sz w:val="18"/>
                <w:szCs w:val="18"/>
              </w:rPr>
              <w:t>Mantenimiento Indicador Políticas Transversales</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E296CA"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BFB0ED"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F36383"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3D9C9E"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AE0EF8"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14.17%</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813B6D"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tcPr>
          <w:p w14:paraId="20D19DD7"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tcPr>
          <w:p w14:paraId="24A10165"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FBF53AF"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75.34%</w:t>
            </w: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79FA522A"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79.50%</w:t>
            </w:r>
          </w:p>
        </w:tc>
        <w:tc>
          <w:tcPr>
            <w:tcW w:w="878" w:type="dxa"/>
            <w:tcBorders>
              <w:top w:val="single" w:sz="4" w:space="0" w:color="auto"/>
              <w:left w:val="single" w:sz="4" w:space="0" w:color="auto"/>
              <w:bottom w:val="single" w:sz="4" w:space="0" w:color="auto"/>
              <w:right w:val="single" w:sz="4" w:space="0" w:color="auto"/>
            </w:tcBorders>
            <w:vAlign w:val="center"/>
          </w:tcPr>
          <w:p w14:paraId="132EFD30"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86.22%</w:t>
            </w:r>
          </w:p>
        </w:tc>
        <w:tc>
          <w:tcPr>
            <w:tcW w:w="817" w:type="dxa"/>
            <w:tcBorders>
              <w:top w:val="single" w:sz="4" w:space="0" w:color="auto"/>
              <w:left w:val="single" w:sz="4" w:space="0" w:color="auto"/>
              <w:bottom w:val="single" w:sz="4" w:space="0" w:color="auto"/>
              <w:right w:val="single" w:sz="4" w:space="0" w:color="auto"/>
            </w:tcBorders>
            <w:vAlign w:val="center"/>
          </w:tcPr>
          <w:p w14:paraId="0CB3CB85"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97.06%</w:t>
            </w:r>
          </w:p>
        </w:tc>
        <w:tc>
          <w:tcPr>
            <w:tcW w:w="1634" w:type="dxa"/>
            <w:tcBorders>
              <w:top w:val="single" w:sz="4" w:space="0" w:color="auto"/>
              <w:left w:val="single" w:sz="4" w:space="0" w:color="auto"/>
              <w:bottom w:val="single" w:sz="4" w:space="0" w:color="auto"/>
              <w:right w:val="single" w:sz="4" w:space="0" w:color="auto"/>
            </w:tcBorders>
            <w:vAlign w:val="center"/>
          </w:tcPr>
          <w:p w14:paraId="68935FD1"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hAnsi="Times New Roman" w:cs="Times New Roman"/>
                <w:b/>
                <w:bCs/>
                <w:color w:val="4C4747"/>
                <w:sz w:val="18"/>
                <w:szCs w:val="18"/>
              </w:rPr>
              <w:t>97.06%</w:t>
            </w:r>
          </w:p>
        </w:tc>
      </w:tr>
      <w:tr w:rsidR="00D67F39" w:rsidRPr="002346B8" w14:paraId="43D9F22D"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30AAE" w14:textId="77777777" w:rsidR="00D67F39" w:rsidRPr="00C8218F" w:rsidRDefault="00D67F39" w:rsidP="00303D91">
            <w:pPr>
              <w:pStyle w:val="xxmsonormal"/>
              <w:rPr>
                <w:rFonts w:ascii="Times New Roman" w:eastAsia="Times New Roman" w:hAnsi="Times New Roman" w:cs="Times New Roman"/>
                <w:color w:val="4C4747"/>
                <w:sz w:val="18"/>
                <w:szCs w:val="18"/>
              </w:rPr>
            </w:pPr>
            <w:r w:rsidRPr="00AA55CD">
              <w:rPr>
                <w:rFonts w:ascii="Times New Roman" w:eastAsia="Times New Roman" w:hAnsi="Times New Roman" w:cs="Times New Roman"/>
                <w:color w:val="4C4747"/>
                <w:sz w:val="18"/>
                <w:szCs w:val="18"/>
              </w:rPr>
              <w:t xml:space="preserve">Mantenimiento Indicador </w:t>
            </w:r>
            <w:r>
              <w:rPr>
                <w:rFonts w:ascii="Times New Roman" w:eastAsia="Times New Roman" w:hAnsi="Times New Roman" w:cs="Times New Roman"/>
                <w:color w:val="4C4747"/>
                <w:sz w:val="18"/>
                <w:szCs w:val="18"/>
              </w:rPr>
              <w:t>IDI</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1DA4EE"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4D11A1"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AA3F28"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AA22"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CDAEF"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52.36%</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7AA9C"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tcPr>
          <w:p w14:paraId="64A90DD2"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tcPr>
          <w:p w14:paraId="44840CED"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18F0BF8F"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66F19428"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80.03%</w:t>
            </w:r>
          </w:p>
        </w:tc>
        <w:tc>
          <w:tcPr>
            <w:tcW w:w="878" w:type="dxa"/>
            <w:tcBorders>
              <w:top w:val="single" w:sz="4" w:space="0" w:color="auto"/>
              <w:left w:val="single" w:sz="4" w:space="0" w:color="auto"/>
              <w:bottom w:val="single" w:sz="4" w:space="0" w:color="auto"/>
              <w:right w:val="single" w:sz="4" w:space="0" w:color="auto"/>
            </w:tcBorders>
            <w:vAlign w:val="center"/>
          </w:tcPr>
          <w:p w14:paraId="5CCDC01C"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87.02%</w:t>
            </w:r>
          </w:p>
        </w:tc>
        <w:tc>
          <w:tcPr>
            <w:tcW w:w="817" w:type="dxa"/>
            <w:tcBorders>
              <w:top w:val="single" w:sz="4" w:space="0" w:color="auto"/>
              <w:left w:val="single" w:sz="4" w:space="0" w:color="auto"/>
              <w:bottom w:val="single" w:sz="4" w:space="0" w:color="auto"/>
              <w:right w:val="single" w:sz="4" w:space="0" w:color="auto"/>
            </w:tcBorders>
            <w:vAlign w:val="center"/>
          </w:tcPr>
          <w:p w14:paraId="5C4FDC7E"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90.00%</w:t>
            </w:r>
          </w:p>
        </w:tc>
        <w:tc>
          <w:tcPr>
            <w:tcW w:w="1634" w:type="dxa"/>
            <w:tcBorders>
              <w:top w:val="single" w:sz="4" w:space="0" w:color="auto"/>
              <w:left w:val="single" w:sz="4" w:space="0" w:color="auto"/>
              <w:bottom w:val="single" w:sz="4" w:space="0" w:color="auto"/>
              <w:right w:val="single" w:sz="4" w:space="0" w:color="auto"/>
            </w:tcBorders>
            <w:vAlign w:val="center"/>
          </w:tcPr>
          <w:p w14:paraId="7ECAC44E"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hAnsi="Times New Roman" w:cs="Times New Roman"/>
                <w:b/>
                <w:bCs/>
                <w:color w:val="4C4747"/>
                <w:sz w:val="18"/>
                <w:szCs w:val="18"/>
              </w:rPr>
              <w:t>90.00%</w:t>
            </w:r>
          </w:p>
        </w:tc>
      </w:tr>
      <w:tr w:rsidR="00D67F39" w:rsidRPr="002346B8" w14:paraId="49E9B04B"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2C7C58" w14:textId="77777777" w:rsidR="00D67F39" w:rsidRPr="00A41B99" w:rsidRDefault="00D67F39" w:rsidP="00303D91">
            <w:pPr>
              <w:pStyle w:val="xxmsonormal"/>
              <w:rPr>
                <w:rFonts w:ascii="Times New Roman" w:eastAsia="Times New Roman" w:hAnsi="Times New Roman" w:cs="Times New Roman"/>
                <w:color w:val="4C4747"/>
                <w:sz w:val="18"/>
                <w:szCs w:val="18"/>
              </w:rPr>
            </w:pPr>
            <w:r w:rsidRPr="00AA55CD">
              <w:rPr>
                <w:rFonts w:ascii="Times New Roman" w:eastAsia="Times New Roman" w:hAnsi="Times New Roman" w:cs="Times New Roman"/>
                <w:color w:val="4C4747"/>
                <w:sz w:val="18"/>
                <w:szCs w:val="18"/>
              </w:rPr>
              <w:t xml:space="preserve">Mantenimiento Indicador </w:t>
            </w:r>
            <w:r>
              <w:rPr>
                <w:rFonts w:ascii="Times New Roman" w:eastAsia="Times New Roman" w:hAnsi="Times New Roman" w:cs="Times New Roman"/>
                <w:color w:val="4C4747"/>
                <w:sz w:val="18"/>
                <w:szCs w:val="18"/>
              </w:rPr>
              <w:t>IPI</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AB0733"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3FF118"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10D6B9"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22.81%</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0A491C"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A36720" w14:textId="77777777" w:rsidR="00D67F39" w:rsidRPr="00627C73" w:rsidRDefault="00D67F39" w:rsidP="00303D91">
            <w:pPr>
              <w:pStyle w:val="xxmsonormal"/>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81A0E"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22.23%</w:t>
            </w:r>
          </w:p>
        </w:tc>
        <w:tc>
          <w:tcPr>
            <w:tcW w:w="816" w:type="dxa"/>
            <w:tcBorders>
              <w:top w:val="single" w:sz="4" w:space="0" w:color="auto"/>
              <w:left w:val="single" w:sz="4" w:space="0" w:color="auto"/>
              <w:bottom w:val="single" w:sz="4" w:space="0" w:color="auto"/>
              <w:right w:val="single" w:sz="4" w:space="0" w:color="auto"/>
            </w:tcBorders>
            <w:vAlign w:val="center"/>
          </w:tcPr>
          <w:p w14:paraId="6ECC6659"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tcPr>
          <w:p w14:paraId="327F4750" w14:textId="77777777" w:rsidR="00D67F39" w:rsidRPr="00627C73" w:rsidRDefault="00D67F39" w:rsidP="00303D91">
            <w:pPr>
              <w:pStyle w:val="xxmsonormal"/>
              <w:jc w:val="center"/>
              <w:rPr>
                <w:rFonts w:ascii="Times New Roman" w:hAnsi="Times New Roman" w:cs="Times New Roman"/>
                <w:color w:val="4C4747"/>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7DF9FF4"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70.56%</w:t>
            </w: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39082FF4"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70.56%</w:t>
            </w:r>
          </w:p>
        </w:tc>
        <w:tc>
          <w:tcPr>
            <w:tcW w:w="878" w:type="dxa"/>
            <w:tcBorders>
              <w:top w:val="single" w:sz="4" w:space="0" w:color="auto"/>
              <w:left w:val="single" w:sz="4" w:space="0" w:color="auto"/>
              <w:bottom w:val="single" w:sz="4" w:space="0" w:color="auto"/>
              <w:right w:val="single" w:sz="4" w:space="0" w:color="auto"/>
            </w:tcBorders>
            <w:vAlign w:val="center"/>
          </w:tcPr>
          <w:p w14:paraId="0A247517"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98.25%</w:t>
            </w:r>
          </w:p>
        </w:tc>
        <w:tc>
          <w:tcPr>
            <w:tcW w:w="817" w:type="dxa"/>
            <w:tcBorders>
              <w:top w:val="single" w:sz="4" w:space="0" w:color="auto"/>
              <w:left w:val="single" w:sz="4" w:space="0" w:color="auto"/>
              <w:bottom w:val="single" w:sz="4" w:space="0" w:color="auto"/>
              <w:right w:val="single" w:sz="4" w:space="0" w:color="auto"/>
            </w:tcBorders>
            <w:vAlign w:val="center"/>
          </w:tcPr>
          <w:p w14:paraId="33ACB7D7" w14:textId="77777777" w:rsidR="00D67F39" w:rsidRPr="00627C73" w:rsidRDefault="00D67F39" w:rsidP="00303D91">
            <w:pPr>
              <w:pStyle w:val="xxmsonormal"/>
              <w:jc w:val="center"/>
              <w:rPr>
                <w:rFonts w:ascii="Times New Roman" w:hAnsi="Times New Roman" w:cs="Times New Roman"/>
                <w:color w:val="4C4747"/>
                <w:sz w:val="18"/>
                <w:szCs w:val="18"/>
              </w:rPr>
            </w:pPr>
            <w:r w:rsidRPr="00627C73">
              <w:rPr>
                <w:rFonts w:ascii="Times New Roman" w:hAnsi="Times New Roman" w:cs="Times New Roman"/>
                <w:color w:val="4C4747"/>
                <w:sz w:val="18"/>
                <w:szCs w:val="18"/>
              </w:rPr>
              <w:t>98.25%</w:t>
            </w:r>
          </w:p>
        </w:tc>
        <w:tc>
          <w:tcPr>
            <w:tcW w:w="1634" w:type="dxa"/>
            <w:tcBorders>
              <w:top w:val="single" w:sz="4" w:space="0" w:color="auto"/>
              <w:left w:val="single" w:sz="4" w:space="0" w:color="auto"/>
              <w:bottom w:val="single" w:sz="4" w:space="0" w:color="auto"/>
              <w:right w:val="single" w:sz="4" w:space="0" w:color="auto"/>
            </w:tcBorders>
            <w:vAlign w:val="center"/>
          </w:tcPr>
          <w:p w14:paraId="04158DB3" w14:textId="77777777" w:rsidR="00D67F39" w:rsidRPr="007B5D90" w:rsidRDefault="00D67F39" w:rsidP="00303D91">
            <w:pPr>
              <w:pStyle w:val="xxmsonormal"/>
              <w:jc w:val="center"/>
              <w:rPr>
                <w:rFonts w:ascii="Times New Roman" w:hAnsi="Times New Roman" w:cs="Times New Roman"/>
                <w:b/>
                <w:bCs/>
                <w:color w:val="595959" w:themeColor="text1" w:themeTint="A6"/>
                <w:sz w:val="24"/>
                <w:szCs w:val="24"/>
              </w:rPr>
            </w:pPr>
            <w:r w:rsidRPr="007B5D90">
              <w:rPr>
                <w:rFonts w:ascii="Times New Roman" w:hAnsi="Times New Roman" w:cs="Times New Roman"/>
                <w:b/>
                <w:bCs/>
                <w:color w:val="4C4747"/>
                <w:sz w:val="18"/>
                <w:szCs w:val="18"/>
              </w:rPr>
              <w:t>98.25%</w:t>
            </w:r>
          </w:p>
        </w:tc>
      </w:tr>
      <w:tr w:rsidR="006B06E7" w:rsidRPr="002346B8" w14:paraId="1130EA36"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0" w:type="dxa"/>
              <w:left w:w="70" w:type="dxa"/>
              <w:bottom w:w="0" w:type="dxa"/>
              <w:right w:w="70" w:type="dxa"/>
            </w:tcMar>
            <w:vAlign w:val="center"/>
          </w:tcPr>
          <w:p w14:paraId="284CFA1A" w14:textId="1C4124DB" w:rsidR="006B06E7" w:rsidRPr="00D7200D" w:rsidRDefault="006B06E7" w:rsidP="006B06E7">
            <w:pPr>
              <w:pStyle w:val="xxmsonormal"/>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lastRenderedPageBreak/>
              <w:t>Producto / servicio</w:t>
            </w:r>
          </w:p>
        </w:tc>
        <w:tc>
          <w:tcPr>
            <w:tcW w:w="81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70" w:type="dxa"/>
              <w:bottom w:w="0" w:type="dxa"/>
              <w:right w:w="70" w:type="dxa"/>
            </w:tcMar>
            <w:vAlign w:val="center"/>
          </w:tcPr>
          <w:p w14:paraId="2C2384FF" w14:textId="0A2FA0D5" w:rsidR="006B06E7" w:rsidRDefault="006B06E7" w:rsidP="006B06E7">
            <w:pPr>
              <w:pStyle w:val="xxmsonormal"/>
              <w:jc w:val="center"/>
              <w:rPr>
                <w:rFonts w:ascii="Times New Roman" w:hAnsi="Times New Roman" w:cs="Times New Roman"/>
                <w:color w:val="4C4747"/>
                <w:sz w:val="18"/>
                <w:szCs w:val="18"/>
              </w:rPr>
            </w:pPr>
            <w:r w:rsidRPr="00BF4582">
              <w:rPr>
                <w:rFonts w:ascii="Times New Roman" w:hAnsi="Times New Roman" w:cs="Times New Roman"/>
                <w:b/>
                <w:bCs/>
                <w:color w:val="FFFFFF"/>
                <w:sz w:val="18"/>
                <w:szCs w:val="18"/>
                <w:lang w:val="es-ES"/>
              </w:rPr>
              <w:t>Enero</w:t>
            </w:r>
          </w:p>
        </w:tc>
        <w:tc>
          <w:tcPr>
            <w:tcW w:w="81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0" w:type="dxa"/>
              <w:left w:w="70" w:type="dxa"/>
              <w:bottom w:w="0" w:type="dxa"/>
              <w:right w:w="70" w:type="dxa"/>
            </w:tcMar>
            <w:vAlign w:val="center"/>
          </w:tcPr>
          <w:p w14:paraId="69B20466" w14:textId="6039B27D" w:rsidR="006B06E7" w:rsidRDefault="006B06E7" w:rsidP="006B06E7">
            <w:pPr>
              <w:pStyle w:val="xxmsonormal"/>
              <w:jc w:val="center"/>
              <w:rPr>
                <w:rFonts w:ascii="Times New Roman" w:hAnsi="Times New Roman" w:cs="Times New Roman"/>
                <w:color w:val="4C4747"/>
                <w:sz w:val="18"/>
                <w:szCs w:val="18"/>
              </w:rPr>
            </w:pPr>
            <w:r w:rsidRPr="00BF4582">
              <w:rPr>
                <w:rFonts w:ascii="Times New Roman" w:hAnsi="Times New Roman" w:cs="Times New Roman"/>
                <w:b/>
                <w:bCs/>
                <w:color w:val="FFFFFF"/>
                <w:sz w:val="18"/>
                <w:szCs w:val="18"/>
                <w:lang w:val="es-ES"/>
              </w:rPr>
              <w:t>Febrero</w:t>
            </w:r>
          </w:p>
        </w:tc>
        <w:tc>
          <w:tcPr>
            <w:tcW w:w="81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0" w:type="dxa"/>
              <w:left w:w="70" w:type="dxa"/>
              <w:bottom w:w="0" w:type="dxa"/>
              <w:right w:w="70" w:type="dxa"/>
            </w:tcMar>
            <w:vAlign w:val="center"/>
          </w:tcPr>
          <w:p w14:paraId="6D5FAE1E" w14:textId="20815E92"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Marzo</w:t>
            </w:r>
          </w:p>
        </w:tc>
        <w:tc>
          <w:tcPr>
            <w:tcW w:w="81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0" w:type="dxa"/>
              <w:left w:w="70" w:type="dxa"/>
              <w:bottom w:w="0" w:type="dxa"/>
              <w:right w:w="70" w:type="dxa"/>
            </w:tcMar>
            <w:vAlign w:val="center"/>
          </w:tcPr>
          <w:p w14:paraId="0AA7B8C7" w14:textId="1E15D5DE"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Abril</w:t>
            </w:r>
          </w:p>
        </w:tc>
        <w:tc>
          <w:tcPr>
            <w:tcW w:w="81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0" w:type="dxa"/>
              <w:left w:w="70" w:type="dxa"/>
              <w:bottom w:w="0" w:type="dxa"/>
              <w:right w:w="70" w:type="dxa"/>
            </w:tcMar>
            <w:vAlign w:val="center"/>
          </w:tcPr>
          <w:p w14:paraId="5F6851C7" w14:textId="46BA5C6C"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Mayo</w:t>
            </w:r>
          </w:p>
        </w:tc>
        <w:tc>
          <w:tcPr>
            <w:tcW w:w="81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0" w:type="dxa"/>
              <w:left w:w="70" w:type="dxa"/>
              <w:bottom w:w="0" w:type="dxa"/>
              <w:right w:w="70" w:type="dxa"/>
            </w:tcMar>
            <w:vAlign w:val="center"/>
          </w:tcPr>
          <w:p w14:paraId="401634EE" w14:textId="76786C9A" w:rsidR="006B06E7" w:rsidRDefault="006B06E7" w:rsidP="006B06E7">
            <w:pPr>
              <w:pStyle w:val="xxmsonormal"/>
              <w:jc w:val="center"/>
              <w:rPr>
                <w:rFonts w:ascii="Times New Roman" w:hAnsi="Times New Roman" w:cs="Times New Roman"/>
                <w:color w:val="4C4747"/>
                <w:sz w:val="18"/>
                <w:szCs w:val="18"/>
              </w:rPr>
            </w:pPr>
            <w:r w:rsidRPr="00BF4582">
              <w:rPr>
                <w:rFonts w:ascii="Times New Roman" w:hAnsi="Times New Roman" w:cs="Times New Roman"/>
                <w:b/>
                <w:bCs/>
                <w:color w:val="FFFFFF"/>
                <w:sz w:val="18"/>
                <w:szCs w:val="18"/>
                <w:lang w:val="es-ES"/>
              </w:rPr>
              <w:t>Junio</w:t>
            </w:r>
          </w:p>
        </w:tc>
        <w:tc>
          <w:tcPr>
            <w:tcW w:w="81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EF96F0B" w14:textId="04EB5A31"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Julio</w:t>
            </w:r>
          </w:p>
        </w:tc>
        <w:tc>
          <w:tcPr>
            <w:tcW w:w="81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3225D802" w14:textId="53EFC239"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Agosto</w:t>
            </w:r>
          </w:p>
        </w:tc>
        <w:tc>
          <w:tcPr>
            <w:tcW w:w="81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70DC847D" w14:textId="2FFAD5EE" w:rsidR="006B06E7" w:rsidRDefault="006B06E7" w:rsidP="006B06E7">
            <w:pPr>
              <w:pStyle w:val="xxmsonormal"/>
              <w:jc w:val="center"/>
              <w:rPr>
                <w:rFonts w:ascii="Times New Roman" w:hAnsi="Times New Roman" w:cs="Times New Roman"/>
                <w:color w:val="4C4747"/>
                <w:sz w:val="18"/>
                <w:szCs w:val="18"/>
              </w:rPr>
            </w:pPr>
            <w:r w:rsidRPr="00BF4582">
              <w:rPr>
                <w:rFonts w:ascii="Times New Roman" w:hAnsi="Times New Roman" w:cs="Times New Roman"/>
                <w:b/>
                <w:bCs/>
                <w:color w:val="FFFFFF"/>
                <w:sz w:val="18"/>
                <w:szCs w:val="18"/>
                <w:lang w:val="es-ES"/>
              </w:rPr>
              <w:t>Septiembre</w:t>
            </w:r>
          </w:p>
        </w:tc>
        <w:tc>
          <w:tcPr>
            <w:tcW w:w="816"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56D39F5A" w14:textId="44EDE167"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Octubre</w:t>
            </w:r>
          </w:p>
        </w:tc>
        <w:tc>
          <w:tcPr>
            <w:tcW w:w="87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0F9527ED" w14:textId="74ED135E" w:rsidR="006B06E7" w:rsidRDefault="006B06E7" w:rsidP="006B06E7">
            <w:pPr>
              <w:pStyle w:val="xxmsonormal"/>
              <w:jc w:val="center"/>
              <w:rPr>
                <w:rFonts w:ascii="Times New Roman" w:eastAsia="Times New Roman" w:hAnsi="Times New Roman" w:cs="Times New Roman"/>
                <w:color w:val="4C4747"/>
                <w:sz w:val="18"/>
                <w:szCs w:val="18"/>
              </w:rPr>
            </w:pPr>
            <w:r w:rsidRPr="00BF4582">
              <w:rPr>
                <w:rFonts w:ascii="Times New Roman" w:hAnsi="Times New Roman" w:cs="Times New Roman"/>
                <w:b/>
                <w:bCs/>
                <w:color w:val="FFFFFF"/>
                <w:sz w:val="18"/>
                <w:szCs w:val="18"/>
                <w:lang w:val="es-ES"/>
              </w:rPr>
              <w:t>Noviembre</w:t>
            </w:r>
          </w:p>
        </w:tc>
        <w:tc>
          <w:tcPr>
            <w:tcW w:w="81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829559C" w14:textId="460CED04" w:rsidR="006B06E7" w:rsidRDefault="006B06E7" w:rsidP="006B06E7">
            <w:pPr>
              <w:pStyle w:val="xxmsonormal"/>
              <w:jc w:val="center"/>
              <w:rPr>
                <w:rFonts w:ascii="Times New Roman" w:hAnsi="Times New Roman" w:cs="Times New Roman"/>
                <w:color w:val="4C4747"/>
                <w:sz w:val="18"/>
                <w:szCs w:val="18"/>
              </w:rPr>
            </w:pPr>
            <w:r w:rsidRPr="00BF4582">
              <w:rPr>
                <w:rFonts w:ascii="Times New Roman" w:hAnsi="Times New Roman" w:cs="Times New Roman"/>
                <w:b/>
                <w:bCs/>
                <w:color w:val="FFFFFF"/>
                <w:sz w:val="18"/>
                <w:szCs w:val="18"/>
                <w:lang w:val="es-ES"/>
              </w:rPr>
              <w:t>Diciembre</w:t>
            </w:r>
          </w:p>
        </w:tc>
        <w:tc>
          <w:tcPr>
            <w:tcW w:w="163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78ED93A2" w14:textId="77777777" w:rsidR="006B06E7" w:rsidRDefault="006B06E7" w:rsidP="006B06E7">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Total</w:t>
            </w:r>
            <w:r>
              <w:rPr>
                <w:rFonts w:ascii="Times New Roman" w:hAnsi="Times New Roman" w:cs="Times New Roman"/>
                <w:b/>
                <w:bCs/>
                <w:color w:val="FFFFFF"/>
                <w:sz w:val="18"/>
                <w:szCs w:val="18"/>
                <w:lang w:val="es-ES"/>
              </w:rPr>
              <w:t xml:space="preserve"> </w:t>
            </w:r>
          </w:p>
          <w:p w14:paraId="14C62973" w14:textId="4D459E3E" w:rsidR="006B06E7" w:rsidRPr="007B5D90" w:rsidRDefault="006B06E7" w:rsidP="006B06E7">
            <w:pPr>
              <w:pStyle w:val="xxmsonormal"/>
              <w:jc w:val="center"/>
              <w:rPr>
                <w:rFonts w:ascii="Times New Roman" w:hAnsi="Times New Roman" w:cs="Times New Roman"/>
                <w:b/>
                <w:bCs/>
                <w:color w:val="4C4747"/>
                <w:sz w:val="18"/>
                <w:szCs w:val="18"/>
              </w:rPr>
            </w:pPr>
            <w:r w:rsidRPr="00BF4582">
              <w:rPr>
                <w:rFonts w:ascii="Times New Roman" w:hAnsi="Times New Roman" w:cs="Times New Roman"/>
                <w:b/>
                <w:bCs/>
                <w:color w:val="FFFFFF"/>
                <w:sz w:val="18"/>
                <w:szCs w:val="18"/>
                <w:lang w:val="es-ES"/>
              </w:rPr>
              <w:t>año 202</w:t>
            </w:r>
            <w:r>
              <w:rPr>
                <w:rFonts w:ascii="Times New Roman" w:hAnsi="Times New Roman" w:cs="Times New Roman"/>
                <w:b/>
                <w:bCs/>
                <w:color w:val="FFFFFF"/>
                <w:sz w:val="18"/>
                <w:szCs w:val="18"/>
                <w:lang w:val="es-ES"/>
              </w:rPr>
              <w:t>5</w:t>
            </w:r>
          </w:p>
        </w:tc>
      </w:tr>
      <w:tr w:rsidR="006B06E7" w:rsidRPr="002346B8" w14:paraId="5A417EB5"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1D03CA" w14:textId="77777777" w:rsidR="006B06E7" w:rsidRPr="00AA55CD" w:rsidRDefault="006B06E7" w:rsidP="006B06E7">
            <w:pPr>
              <w:pStyle w:val="xxmsonormal"/>
              <w:rPr>
                <w:rFonts w:ascii="Times New Roman" w:eastAsia="Times New Roman" w:hAnsi="Times New Roman" w:cs="Times New Roman"/>
                <w:color w:val="4C4747"/>
                <w:sz w:val="18"/>
                <w:szCs w:val="18"/>
              </w:rPr>
            </w:pPr>
            <w:r w:rsidRPr="00D7200D">
              <w:rPr>
                <w:rFonts w:ascii="Times New Roman" w:eastAsia="Times New Roman" w:hAnsi="Times New Roman" w:cs="Times New Roman"/>
                <w:color w:val="4C4747"/>
                <w:sz w:val="18"/>
                <w:szCs w:val="18"/>
              </w:rPr>
              <w:t>Desarrollo de Obras de Equipamiento Urbano Proyecto Ciudad Juan Bosch (Santo Domingo Este)</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272E5A"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2A27F6"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4BC61D"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w:t>
            </w:r>
            <w:r w:rsidRPr="00BF4582">
              <w:rPr>
                <w:rFonts w:ascii="Times New Roman" w:eastAsia="Times New Roman" w:hAnsi="Times New Roman" w:cs="Times New Roman"/>
                <w:color w:val="4C4747"/>
                <w:sz w:val="18"/>
                <w:szCs w:val="18"/>
              </w:rPr>
              <w:t>0</w:t>
            </w:r>
            <w:r>
              <w:rPr>
                <w:rFonts w:ascii="Times New Roman" w:eastAsia="Times New Roman" w:hAnsi="Times New Roman" w:cs="Times New Roman"/>
                <w:color w:val="4C4747"/>
                <w:sz w:val="18"/>
                <w:szCs w:val="18"/>
              </w:rPr>
              <w:t>%</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FBED6C"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D02C7C"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4792BF"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vAlign w:val="center"/>
          </w:tcPr>
          <w:p w14:paraId="04D5936A"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100%</w:t>
            </w:r>
          </w:p>
        </w:tc>
        <w:tc>
          <w:tcPr>
            <w:tcW w:w="816" w:type="dxa"/>
            <w:tcBorders>
              <w:top w:val="single" w:sz="4" w:space="0" w:color="auto"/>
              <w:left w:val="single" w:sz="4" w:space="0" w:color="auto"/>
              <w:bottom w:val="single" w:sz="4" w:space="0" w:color="auto"/>
              <w:right w:val="single" w:sz="4" w:space="0" w:color="auto"/>
            </w:tcBorders>
            <w:vAlign w:val="center"/>
          </w:tcPr>
          <w:p w14:paraId="1084FDE3"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vAlign w:val="center"/>
          </w:tcPr>
          <w:p w14:paraId="590C9FAA"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4C4747"/>
                <w:sz w:val="18"/>
                <w:szCs w:val="18"/>
              </w:rPr>
              <w:t>100%</w:t>
            </w: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5456316C"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100%</w:t>
            </w:r>
          </w:p>
        </w:tc>
        <w:tc>
          <w:tcPr>
            <w:tcW w:w="878" w:type="dxa"/>
            <w:tcBorders>
              <w:top w:val="single" w:sz="4" w:space="0" w:color="auto"/>
              <w:left w:val="single" w:sz="4" w:space="0" w:color="auto"/>
              <w:bottom w:val="single" w:sz="4" w:space="0" w:color="auto"/>
              <w:right w:val="single" w:sz="4" w:space="0" w:color="auto"/>
            </w:tcBorders>
            <w:vAlign w:val="center"/>
          </w:tcPr>
          <w:p w14:paraId="09B2CEF5"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100%</w:t>
            </w:r>
          </w:p>
        </w:tc>
        <w:tc>
          <w:tcPr>
            <w:tcW w:w="817" w:type="dxa"/>
            <w:tcBorders>
              <w:top w:val="single" w:sz="4" w:space="0" w:color="auto"/>
              <w:left w:val="single" w:sz="4" w:space="0" w:color="auto"/>
              <w:bottom w:val="single" w:sz="4" w:space="0" w:color="auto"/>
              <w:right w:val="single" w:sz="4" w:space="0" w:color="auto"/>
            </w:tcBorders>
            <w:vAlign w:val="center"/>
          </w:tcPr>
          <w:p w14:paraId="2BBA54DD"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4C4747"/>
                <w:sz w:val="18"/>
                <w:szCs w:val="18"/>
              </w:rPr>
              <w:t>100%</w:t>
            </w:r>
          </w:p>
        </w:tc>
        <w:tc>
          <w:tcPr>
            <w:tcW w:w="1634" w:type="dxa"/>
            <w:tcBorders>
              <w:top w:val="single" w:sz="4" w:space="0" w:color="auto"/>
              <w:left w:val="single" w:sz="4" w:space="0" w:color="auto"/>
              <w:bottom w:val="single" w:sz="4" w:space="0" w:color="auto"/>
              <w:right w:val="single" w:sz="4" w:space="0" w:color="auto"/>
            </w:tcBorders>
            <w:vAlign w:val="center"/>
          </w:tcPr>
          <w:p w14:paraId="26565D2E"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sidRPr="007B5D90">
              <w:rPr>
                <w:rFonts w:ascii="Times New Roman" w:hAnsi="Times New Roman" w:cs="Times New Roman"/>
                <w:b/>
                <w:bCs/>
                <w:color w:val="4C4747"/>
                <w:sz w:val="18"/>
                <w:szCs w:val="18"/>
              </w:rPr>
              <w:t>100%</w:t>
            </w:r>
          </w:p>
        </w:tc>
      </w:tr>
      <w:tr w:rsidR="006B06E7" w:rsidRPr="002346B8" w14:paraId="6ABA88CE" w14:textId="77777777" w:rsidTr="006B06E7">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A6CD28" w14:textId="77777777" w:rsidR="006B06E7" w:rsidRPr="00AA55CD" w:rsidRDefault="006B06E7" w:rsidP="006B06E7">
            <w:pPr>
              <w:pStyle w:val="xxmsonormal"/>
              <w:rPr>
                <w:rFonts w:ascii="Times New Roman" w:eastAsia="Times New Roman" w:hAnsi="Times New Roman" w:cs="Times New Roman"/>
                <w:color w:val="4C4747"/>
                <w:sz w:val="18"/>
                <w:szCs w:val="18"/>
              </w:rPr>
            </w:pPr>
            <w:r w:rsidRPr="00BE65B8">
              <w:rPr>
                <w:rFonts w:ascii="Times New Roman" w:eastAsia="Times New Roman" w:hAnsi="Times New Roman" w:cs="Times New Roman"/>
                <w:color w:val="4C4747"/>
                <w:sz w:val="18"/>
                <w:szCs w:val="18"/>
              </w:rPr>
              <w:t xml:space="preserve">Inversión </w:t>
            </w:r>
            <w:r w:rsidRPr="00D7200D">
              <w:rPr>
                <w:rFonts w:ascii="Times New Roman" w:eastAsia="Times New Roman" w:hAnsi="Times New Roman" w:cs="Times New Roman"/>
                <w:color w:val="4C4747"/>
                <w:sz w:val="18"/>
                <w:szCs w:val="18"/>
              </w:rPr>
              <w:t>Desarrollo de Obras de Equipamiento Urbano Proyecto Ciudad Juan Bosch (Santo Domingo Este)</w:t>
            </w:r>
          </w:p>
        </w:tc>
        <w:tc>
          <w:tcPr>
            <w:tcW w:w="2448"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19447C"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 xml:space="preserve">RD$ </w:t>
            </w:r>
            <w:r w:rsidRPr="00EE3D94">
              <w:rPr>
                <w:rFonts w:ascii="Times New Roman" w:eastAsia="Times New Roman" w:hAnsi="Times New Roman" w:cs="Times New Roman"/>
                <w:b/>
                <w:bCs/>
                <w:color w:val="4C4747"/>
                <w:sz w:val="18"/>
                <w:szCs w:val="18"/>
              </w:rPr>
              <w:t>863</w:t>
            </w:r>
            <w:r>
              <w:rPr>
                <w:rFonts w:ascii="Times New Roman" w:eastAsia="Times New Roman" w:hAnsi="Times New Roman" w:cs="Times New Roman"/>
                <w:b/>
                <w:bCs/>
                <w:color w:val="4C4747"/>
                <w:sz w:val="18"/>
                <w:szCs w:val="18"/>
              </w:rPr>
              <w:t>,</w:t>
            </w:r>
            <w:r w:rsidRPr="00EE3D94">
              <w:rPr>
                <w:rFonts w:ascii="Times New Roman" w:eastAsia="Times New Roman" w:hAnsi="Times New Roman" w:cs="Times New Roman"/>
                <w:b/>
                <w:bCs/>
                <w:color w:val="4C4747"/>
                <w:sz w:val="18"/>
                <w:szCs w:val="18"/>
              </w:rPr>
              <w:t>000</w:t>
            </w:r>
            <w:r>
              <w:rPr>
                <w:rFonts w:ascii="Times New Roman" w:eastAsia="Times New Roman" w:hAnsi="Times New Roman" w:cs="Times New Roman"/>
                <w:b/>
                <w:bCs/>
                <w:color w:val="4C4747"/>
                <w:sz w:val="18"/>
                <w:szCs w:val="18"/>
              </w:rPr>
              <w:t>,</w:t>
            </w:r>
            <w:r w:rsidRPr="00EE3D94">
              <w:rPr>
                <w:rFonts w:ascii="Times New Roman" w:eastAsia="Times New Roman" w:hAnsi="Times New Roman" w:cs="Times New Roman"/>
                <w:b/>
                <w:bCs/>
                <w:color w:val="4C4747"/>
                <w:sz w:val="18"/>
                <w:szCs w:val="18"/>
              </w:rPr>
              <w:t>000</w:t>
            </w:r>
            <w:r>
              <w:rPr>
                <w:rFonts w:ascii="Times New Roman" w:eastAsia="Times New Roman" w:hAnsi="Times New Roman" w:cs="Times New Roman"/>
                <w:b/>
                <w:bCs/>
                <w:color w:val="4C4747"/>
                <w:sz w:val="18"/>
                <w:szCs w:val="18"/>
              </w:rPr>
              <w:t>.00</w:t>
            </w: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65116E"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A6E46"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452795"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6" w:type="dxa"/>
            <w:tcBorders>
              <w:top w:val="single" w:sz="4" w:space="0" w:color="auto"/>
              <w:left w:val="single" w:sz="4" w:space="0" w:color="auto"/>
              <w:bottom w:val="single" w:sz="4" w:space="0" w:color="auto"/>
              <w:right w:val="single" w:sz="4" w:space="0" w:color="auto"/>
            </w:tcBorders>
            <w:vAlign w:val="center"/>
          </w:tcPr>
          <w:p w14:paraId="470C42CA"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6" w:type="dxa"/>
            <w:tcBorders>
              <w:top w:val="single" w:sz="4" w:space="0" w:color="auto"/>
              <w:left w:val="single" w:sz="4" w:space="0" w:color="auto"/>
              <w:bottom w:val="single" w:sz="4" w:space="0" w:color="auto"/>
              <w:right w:val="single" w:sz="4" w:space="0" w:color="auto"/>
            </w:tcBorders>
            <w:vAlign w:val="center"/>
          </w:tcPr>
          <w:p w14:paraId="3C6B1A0C"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7" w:type="dxa"/>
            <w:tcBorders>
              <w:top w:val="single" w:sz="4" w:space="0" w:color="auto"/>
              <w:left w:val="single" w:sz="4" w:space="0" w:color="auto"/>
              <w:bottom w:val="single" w:sz="4" w:space="0" w:color="auto"/>
              <w:right w:val="single" w:sz="4" w:space="0" w:color="auto"/>
            </w:tcBorders>
            <w:vAlign w:val="center"/>
          </w:tcPr>
          <w:p w14:paraId="73D30FF4"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14:paraId="0317FC6E"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78" w:type="dxa"/>
            <w:tcBorders>
              <w:top w:val="single" w:sz="4" w:space="0" w:color="auto"/>
              <w:left w:val="single" w:sz="4" w:space="0" w:color="auto"/>
              <w:bottom w:val="single" w:sz="4" w:space="0" w:color="auto"/>
              <w:right w:val="single" w:sz="4" w:space="0" w:color="auto"/>
            </w:tcBorders>
            <w:vAlign w:val="center"/>
          </w:tcPr>
          <w:p w14:paraId="4A3BB3F2"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817" w:type="dxa"/>
            <w:tcBorders>
              <w:top w:val="single" w:sz="4" w:space="0" w:color="auto"/>
              <w:left w:val="single" w:sz="4" w:space="0" w:color="auto"/>
              <w:bottom w:val="single" w:sz="4" w:space="0" w:color="auto"/>
              <w:right w:val="single" w:sz="4" w:space="0" w:color="auto"/>
            </w:tcBorders>
            <w:vAlign w:val="center"/>
          </w:tcPr>
          <w:p w14:paraId="6F73164B"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p>
        </w:tc>
        <w:tc>
          <w:tcPr>
            <w:tcW w:w="1634" w:type="dxa"/>
            <w:tcBorders>
              <w:top w:val="single" w:sz="4" w:space="0" w:color="auto"/>
              <w:left w:val="single" w:sz="4" w:space="0" w:color="auto"/>
              <w:bottom w:val="single" w:sz="4" w:space="0" w:color="auto"/>
              <w:right w:val="single" w:sz="4" w:space="0" w:color="auto"/>
            </w:tcBorders>
            <w:vAlign w:val="center"/>
          </w:tcPr>
          <w:p w14:paraId="2D2B21C0" w14:textId="77777777" w:rsidR="006B06E7" w:rsidRPr="00A81FE3" w:rsidRDefault="006B06E7" w:rsidP="006B06E7">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 xml:space="preserve">RD$ </w:t>
            </w:r>
            <w:r w:rsidRPr="00EE3D94">
              <w:rPr>
                <w:rFonts w:ascii="Times New Roman" w:eastAsia="Times New Roman" w:hAnsi="Times New Roman" w:cs="Times New Roman"/>
                <w:b/>
                <w:bCs/>
                <w:color w:val="4C4747"/>
                <w:sz w:val="18"/>
                <w:szCs w:val="18"/>
              </w:rPr>
              <w:t>863</w:t>
            </w:r>
            <w:r>
              <w:rPr>
                <w:rFonts w:ascii="Times New Roman" w:eastAsia="Times New Roman" w:hAnsi="Times New Roman" w:cs="Times New Roman"/>
                <w:b/>
                <w:bCs/>
                <w:color w:val="4C4747"/>
                <w:sz w:val="18"/>
                <w:szCs w:val="18"/>
              </w:rPr>
              <w:t>,</w:t>
            </w:r>
            <w:r w:rsidRPr="00EE3D94">
              <w:rPr>
                <w:rFonts w:ascii="Times New Roman" w:eastAsia="Times New Roman" w:hAnsi="Times New Roman" w:cs="Times New Roman"/>
                <w:b/>
                <w:bCs/>
                <w:color w:val="4C4747"/>
                <w:sz w:val="18"/>
                <w:szCs w:val="18"/>
              </w:rPr>
              <w:t>000</w:t>
            </w:r>
            <w:r>
              <w:rPr>
                <w:rFonts w:ascii="Times New Roman" w:eastAsia="Times New Roman" w:hAnsi="Times New Roman" w:cs="Times New Roman"/>
                <w:b/>
                <w:bCs/>
                <w:color w:val="4C4747"/>
                <w:sz w:val="18"/>
                <w:szCs w:val="18"/>
              </w:rPr>
              <w:t>,</w:t>
            </w:r>
            <w:r w:rsidRPr="00EE3D94">
              <w:rPr>
                <w:rFonts w:ascii="Times New Roman" w:eastAsia="Times New Roman" w:hAnsi="Times New Roman" w:cs="Times New Roman"/>
                <w:b/>
                <w:bCs/>
                <w:color w:val="4C4747"/>
                <w:sz w:val="18"/>
                <w:szCs w:val="18"/>
              </w:rPr>
              <w:t>000</w:t>
            </w:r>
            <w:r>
              <w:rPr>
                <w:rFonts w:ascii="Times New Roman" w:eastAsia="Times New Roman" w:hAnsi="Times New Roman" w:cs="Times New Roman"/>
                <w:b/>
                <w:bCs/>
                <w:color w:val="4C4747"/>
                <w:sz w:val="18"/>
                <w:szCs w:val="18"/>
              </w:rPr>
              <w:t>.00</w:t>
            </w:r>
          </w:p>
        </w:tc>
      </w:tr>
      <w:tr w:rsidR="006B06E7" w:rsidRPr="002346B8" w14:paraId="322DB4FC" w14:textId="77777777" w:rsidTr="007113C0">
        <w:trPr>
          <w:trHeight w:val="730"/>
        </w:trPr>
        <w:tc>
          <w:tcPr>
            <w:tcW w:w="171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1F40AC" w14:textId="77777777" w:rsidR="006B06E7" w:rsidRPr="00BE65B8" w:rsidRDefault="006B06E7" w:rsidP="006B06E7">
            <w:pPr>
              <w:pStyle w:val="xxmsonormal"/>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Coordinación y seguimiento a la ejecución de las Prioridades Sectoriales</w:t>
            </w:r>
          </w:p>
        </w:tc>
        <w:tc>
          <w:tcPr>
            <w:tcW w:w="2448"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00C74B" w14:textId="77777777" w:rsidR="006B06E7" w:rsidRPr="006E75CC" w:rsidRDefault="006B06E7" w:rsidP="006B06E7">
            <w:pPr>
              <w:pStyle w:val="xxmsonormal"/>
              <w:jc w:val="center"/>
              <w:rPr>
                <w:rFonts w:ascii="Times New Roman" w:hAnsi="Times New Roman" w:cs="Times New Roman"/>
                <w:color w:val="4C4747"/>
                <w:sz w:val="18"/>
                <w:szCs w:val="18"/>
              </w:rPr>
            </w:pPr>
            <w:r w:rsidRPr="006E75CC">
              <w:rPr>
                <w:rFonts w:ascii="Times New Roman" w:hAnsi="Times New Roman" w:cs="Times New Roman"/>
                <w:color w:val="4C4747"/>
                <w:sz w:val="18"/>
                <w:szCs w:val="18"/>
              </w:rPr>
              <w:t>87%</w:t>
            </w:r>
          </w:p>
        </w:tc>
        <w:tc>
          <w:tcPr>
            <w:tcW w:w="2449"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EA8D04" w14:textId="77777777" w:rsidR="006B06E7" w:rsidRPr="006E75CC" w:rsidRDefault="006B06E7" w:rsidP="006B06E7">
            <w:pPr>
              <w:pStyle w:val="xxmsonormal"/>
              <w:jc w:val="center"/>
              <w:rPr>
                <w:rFonts w:ascii="Times New Roman" w:hAnsi="Times New Roman" w:cs="Times New Roman"/>
                <w:color w:val="4C4747"/>
                <w:sz w:val="18"/>
                <w:szCs w:val="18"/>
              </w:rPr>
            </w:pPr>
            <w:r w:rsidRPr="006E75CC">
              <w:rPr>
                <w:rFonts w:ascii="Times New Roman" w:hAnsi="Times New Roman" w:cs="Times New Roman"/>
                <w:color w:val="4C4747"/>
                <w:sz w:val="18"/>
                <w:szCs w:val="18"/>
              </w:rPr>
              <w:t>88%</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0830CD90" w14:textId="77777777" w:rsidR="006B06E7" w:rsidRPr="006E75CC" w:rsidRDefault="006B06E7" w:rsidP="006B06E7">
            <w:pPr>
              <w:pStyle w:val="xxmsonormal"/>
              <w:jc w:val="center"/>
              <w:rPr>
                <w:rFonts w:ascii="Times New Roman" w:hAnsi="Times New Roman" w:cs="Times New Roman"/>
                <w:color w:val="4C4747"/>
                <w:sz w:val="18"/>
                <w:szCs w:val="18"/>
              </w:rPr>
            </w:pPr>
            <w:r w:rsidRPr="006E75CC">
              <w:rPr>
                <w:rFonts w:ascii="Times New Roman" w:hAnsi="Times New Roman" w:cs="Times New Roman"/>
                <w:color w:val="4C4747"/>
                <w:sz w:val="18"/>
                <w:szCs w:val="18"/>
              </w:rPr>
              <w:t>98%</w:t>
            </w:r>
          </w:p>
        </w:tc>
        <w:tc>
          <w:tcPr>
            <w:tcW w:w="2511" w:type="dxa"/>
            <w:gridSpan w:val="4"/>
            <w:tcBorders>
              <w:top w:val="single" w:sz="4" w:space="0" w:color="auto"/>
              <w:left w:val="single" w:sz="4" w:space="0" w:color="auto"/>
              <w:bottom w:val="single" w:sz="4" w:space="0" w:color="auto"/>
              <w:right w:val="single" w:sz="4" w:space="0" w:color="auto"/>
            </w:tcBorders>
            <w:vAlign w:val="center"/>
          </w:tcPr>
          <w:p w14:paraId="534AD192" w14:textId="77777777" w:rsidR="006B06E7" w:rsidRPr="006E75CC" w:rsidRDefault="006B06E7" w:rsidP="006B06E7">
            <w:pPr>
              <w:pStyle w:val="xxmsonormal"/>
              <w:jc w:val="center"/>
              <w:rPr>
                <w:rFonts w:ascii="Times New Roman" w:hAnsi="Times New Roman" w:cs="Times New Roman"/>
                <w:color w:val="4C4747"/>
                <w:sz w:val="18"/>
                <w:szCs w:val="18"/>
              </w:rPr>
            </w:pPr>
            <w:r w:rsidRPr="006E75CC">
              <w:rPr>
                <w:rFonts w:ascii="Times New Roman" w:hAnsi="Times New Roman" w:cs="Times New Roman"/>
                <w:color w:val="4C4747"/>
                <w:sz w:val="18"/>
                <w:szCs w:val="18"/>
              </w:rPr>
              <w:t>96%</w:t>
            </w:r>
          </w:p>
        </w:tc>
        <w:tc>
          <w:tcPr>
            <w:tcW w:w="1634" w:type="dxa"/>
            <w:tcBorders>
              <w:top w:val="single" w:sz="4" w:space="0" w:color="auto"/>
              <w:left w:val="single" w:sz="4" w:space="0" w:color="auto"/>
              <w:bottom w:val="single" w:sz="4" w:space="0" w:color="auto"/>
              <w:right w:val="single" w:sz="4" w:space="0" w:color="auto"/>
            </w:tcBorders>
            <w:vAlign w:val="center"/>
          </w:tcPr>
          <w:p w14:paraId="7856BA15" w14:textId="77777777" w:rsidR="006B06E7" w:rsidRPr="006E75CC" w:rsidRDefault="006B06E7" w:rsidP="006B06E7">
            <w:pPr>
              <w:pStyle w:val="xxmsonormal"/>
              <w:jc w:val="center"/>
              <w:rPr>
                <w:rFonts w:ascii="Times New Roman" w:hAnsi="Times New Roman" w:cs="Times New Roman"/>
                <w:b/>
                <w:bCs/>
                <w:color w:val="4C4747"/>
                <w:sz w:val="18"/>
                <w:szCs w:val="18"/>
              </w:rPr>
            </w:pPr>
            <w:r w:rsidRPr="006E75CC">
              <w:rPr>
                <w:rFonts w:ascii="Times New Roman" w:hAnsi="Times New Roman" w:cs="Times New Roman"/>
                <w:b/>
                <w:bCs/>
                <w:color w:val="4C4747"/>
                <w:sz w:val="18"/>
                <w:szCs w:val="18"/>
              </w:rPr>
              <w:t>92.25%</w:t>
            </w:r>
          </w:p>
        </w:tc>
      </w:tr>
    </w:tbl>
    <w:p w14:paraId="448242CA" w14:textId="54490597" w:rsidR="00D67F39" w:rsidRDefault="00D67F39" w:rsidP="00D67F39"/>
    <w:p w14:paraId="10685344" w14:textId="0D4F1047" w:rsidR="00D67F39" w:rsidRDefault="00D67F39" w:rsidP="00D67F39"/>
    <w:p w14:paraId="2D302C97" w14:textId="2C2B6A8F" w:rsidR="00D67F39" w:rsidRDefault="00D67F39" w:rsidP="00D67F39"/>
    <w:p w14:paraId="18A3B14A" w14:textId="5AD52658" w:rsidR="00D67F39" w:rsidRDefault="00D67F39" w:rsidP="00D67F39"/>
    <w:p w14:paraId="3E2CDC3B" w14:textId="5A098A3D" w:rsidR="00D67F39" w:rsidRDefault="00D67F39" w:rsidP="00D67F39"/>
    <w:p w14:paraId="3B0938F3" w14:textId="6BDAA69B" w:rsidR="00D67F39" w:rsidRDefault="00D67F39" w:rsidP="00D67F39"/>
    <w:p w14:paraId="3E366A77" w14:textId="489F2F45" w:rsidR="00D67F39" w:rsidRDefault="00D67F39" w:rsidP="00D67F39"/>
    <w:p w14:paraId="1DE55451" w14:textId="01E070A3" w:rsidR="00D67F39" w:rsidRDefault="00D67F39" w:rsidP="00D67F39"/>
    <w:p w14:paraId="1A4DBC17" w14:textId="33356B8A" w:rsidR="00D67F39" w:rsidRDefault="00D67F39" w:rsidP="00D67F39"/>
    <w:p w14:paraId="236B6BEB" w14:textId="6B17E797" w:rsidR="00D67F39" w:rsidRDefault="00D67F39" w:rsidP="00D67F39"/>
    <w:p w14:paraId="0F1C882A" w14:textId="54A073EC" w:rsidR="00D67F39" w:rsidRDefault="00D67F39" w:rsidP="00D67F39"/>
    <w:p w14:paraId="4C3BD15E" w14:textId="48F6CDD0" w:rsidR="001E674D" w:rsidRDefault="008C27AA" w:rsidP="004A7B4D">
      <w:pPr>
        <w:pStyle w:val="Heading2"/>
        <w:numPr>
          <w:ilvl w:val="1"/>
          <w:numId w:val="101"/>
        </w:numPr>
        <w:ind w:left="2160"/>
        <w:rPr>
          <w:b/>
          <w:bCs/>
        </w:rPr>
      </w:pPr>
      <w:bookmarkStart w:id="141" w:name="_Toc217382631"/>
      <w:proofErr w:type="spellStart"/>
      <w:r w:rsidRPr="00C1375D">
        <w:rPr>
          <w:b/>
          <w:bCs/>
        </w:rPr>
        <w:t>Matriz</w:t>
      </w:r>
      <w:proofErr w:type="spellEnd"/>
      <w:r w:rsidRPr="00C1375D">
        <w:rPr>
          <w:b/>
          <w:bCs/>
        </w:rPr>
        <w:t xml:space="preserve"> de </w:t>
      </w:r>
      <w:proofErr w:type="spellStart"/>
      <w:r>
        <w:rPr>
          <w:b/>
          <w:bCs/>
        </w:rPr>
        <w:t>Ejecución</w:t>
      </w:r>
      <w:proofErr w:type="spellEnd"/>
      <w:r>
        <w:rPr>
          <w:b/>
          <w:bCs/>
        </w:rPr>
        <w:t xml:space="preserve"> </w:t>
      </w:r>
      <w:proofErr w:type="spellStart"/>
      <w:r>
        <w:rPr>
          <w:b/>
          <w:bCs/>
        </w:rPr>
        <w:t>Presupuestaria</w:t>
      </w:r>
      <w:bookmarkStart w:id="142" w:name="_Toc185843649"/>
      <w:bookmarkEnd w:id="141"/>
      <w:proofErr w:type="spellEnd"/>
    </w:p>
    <w:p w14:paraId="3F4292A2" w14:textId="1DE198FF" w:rsidR="003E069C" w:rsidRDefault="003E069C" w:rsidP="003E069C"/>
    <w:tbl>
      <w:tblPr>
        <w:tblW w:w="11356" w:type="dxa"/>
        <w:tblInd w:w="785" w:type="dxa"/>
        <w:tblCellMar>
          <w:left w:w="70" w:type="dxa"/>
          <w:right w:w="70" w:type="dxa"/>
        </w:tblCellMar>
        <w:tblLook w:val="04A0" w:firstRow="1" w:lastRow="0" w:firstColumn="1" w:lastColumn="0" w:noHBand="0" w:noVBand="1"/>
      </w:tblPr>
      <w:tblGrid>
        <w:gridCol w:w="1431"/>
        <w:gridCol w:w="1914"/>
        <w:gridCol w:w="2280"/>
        <w:gridCol w:w="2280"/>
        <w:gridCol w:w="1150"/>
        <w:gridCol w:w="1108"/>
        <w:gridCol w:w="1430"/>
      </w:tblGrid>
      <w:tr w:rsidR="003E069C" w:rsidRPr="00311827" w14:paraId="24361F3D" w14:textId="77777777" w:rsidTr="00303D91">
        <w:trPr>
          <w:trHeight w:val="586"/>
        </w:trPr>
        <w:tc>
          <w:tcPr>
            <w:tcW w:w="1211"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8C08B8C"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Código Programa / Subprograma</w:t>
            </w:r>
          </w:p>
        </w:tc>
        <w:tc>
          <w:tcPr>
            <w:tcW w:w="2897"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0DB66EAD"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Nombre del Programa</w:t>
            </w:r>
          </w:p>
        </w:tc>
        <w:tc>
          <w:tcPr>
            <w:tcW w:w="194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AC09D38"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 xml:space="preserve">Asignación </w:t>
            </w:r>
            <w:proofErr w:type="gramStart"/>
            <w:r w:rsidRPr="00311827">
              <w:rPr>
                <w:rFonts w:eastAsia="Times New Roman"/>
                <w:b/>
                <w:bCs/>
                <w:color w:val="FFFFFF"/>
                <w:sz w:val="18"/>
                <w:szCs w:val="18"/>
                <w:lang w:val="es-ES"/>
              </w:rPr>
              <w:t>presupuestaria  (</w:t>
            </w:r>
            <w:proofErr w:type="gramEnd"/>
            <w:r w:rsidRPr="00311827">
              <w:rPr>
                <w:rFonts w:eastAsia="Times New Roman"/>
                <w:b/>
                <w:bCs/>
                <w:color w:val="FFFFFF"/>
                <w:sz w:val="18"/>
                <w:szCs w:val="18"/>
                <w:lang w:val="es-ES"/>
              </w:rPr>
              <w:t>RD$)</w:t>
            </w:r>
          </w:p>
        </w:tc>
        <w:tc>
          <w:tcPr>
            <w:tcW w:w="1940" w:type="dxa"/>
            <w:tcBorders>
              <w:top w:val="single" w:sz="8" w:space="0" w:color="auto"/>
              <w:left w:val="nil"/>
              <w:bottom w:val="nil"/>
              <w:right w:val="single" w:sz="8" w:space="0" w:color="auto"/>
            </w:tcBorders>
            <w:shd w:val="clear" w:color="000000" w:fill="002060"/>
            <w:vAlign w:val="center"/>
            <w:hideMark/>
          </w:tcPr>
          <w:p w14:paraId="3A5C33ED"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 xml:space="preserve">Ejecución </w:t>
            </w:r>
          </w:p>
        </w:tc>
        <w:tc>
          <w:tcPr>
            <w:tcW w:w="109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E40E8FB" w14:textId="77777777" w:rsidR="003E069C" w:rsidRPr="003E069C" w:rsidRDefault="003E069C" w:rsidP="00303D91">
            <w:pPr>
              <w:jc w:val="center"/>
              <w:rPr>
                <w:rFonts w:eastAsia="Times New Roman"/>
                <w:b/>
                <w:bCs/>
                <w:color w:val="FFFFFF"/>
                <w:sz w:val="18"/>
                <w:szCs w:val="18"/>
                <w:lang w:val="es-DO"/>
              </w:rPr>
            </w:pPr>
            <w:r w:rsidRPr="00311827">
              <w:rPr>
                <w:rFonts w:eastAsia="Times New Roman"/>
                <w:b/>
                <w:bCs/>
                <w:color w:val="FFFFFF"/>
                <w:sz w:val="18"/>
                <w:szCs w:val="18"/>
                <w:lang w:val="es-ES"/>
              </w:rPr>
              <w:t>Cantidad de Productos Generados por Programa</w:t>
            </w:r>
          </w:p>
        </w:tc>
        <w:tc>
          <w:tcPr>
            <w:tcW w:w="1108"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B36D5E1"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Índice de Ejecución %</w:t>
            </w:r>
          </w:p>
        </w:tc>
        <w:tc>
          <w:tcPr>
            <w:tcW w:w="117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1B7D369"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Participación ejecución por programa (%)</w:t>
            </w:r>
          </w:p>
        </w:tc>
      </w:tr>
      <w:tr w:rsidR="003E069C" w:rsidRPr="00311827" w14:paraId="556DCB0F" w14:textId="77777777" w:rsidTr="00303D91">
        <w:trPr>
          <w:trHeight w:val="286"/>
        </w:trPr>
        <w:tc>
          <w:tcPr>
            <w:tcW w:w="1211" w:type="dxa"/>
            <w:vMerge/>
            <w:tcBorders>
              <w:top w:val="single" w:sz="8" w:space="0" w:color="auto"/>
              <w:left w:val="single" w:sz="8" w:space="0" w:color="auto"/>
              <w:bottom w:val="single" w:sz="8" w:space="0" w:color="000000"/>
              <w:right w:val="single" w:sz="8" w:space="0" w:color="auto"/>
            </w:tcBorders>
            <w:vAlign w:val="center"/>
            <w:hideMark/>
          </w:tcPr>
          <w:p w14:paraId="4B593490" w14:textId="77777777" w:rsidR="003E069C" w:rsidRPr="00311827" w:rsidRDefault="003E069C" w:rsidP="00303D91">
            <w:pPr>
              <w:rPr>
                <w:rFonts w:eastAsia="Times New Roman"/>
                <w:b/>
                <w:bCs/>
                <w:color w:val="FFFFFF"/>
                <w:sz w:val="18"/>
                <w:szCs w:val="18"/>
              </w:rPr>
            </w:pPr>
          </w:p>
        </w:tc>
        <w:tc>
          <w:tcPr>
            <w:tcW w:w="2897" w:type="dxa"/>
            <w:vMerge/>
            <w:tcBorders>
              <w:top w:val="single" w:sz="8" w:space="0" w:color="auto"/>
              <w:left w:val="single" w:sz="8" w:space="0" w:color="auto"/>
              <w:bottom w:val="single" w:sz="8" w:space="0" w:color="000000"/>
              <w:right w:val="single" w:sz="8" w:space="0" w:color="auto"/>
            </w:tcBorders>
            <w:vAlign w:val="center"/>
            <w:hideMark/>
          </w:tcPr>
          <w:p w14:paraId="38424424" w14:textId="77777777" w:rsidR="003E069C" w:rsidRPr="00311827" w:rsidRDefault="003E069C" w:rsidP="00303D91">
            <w:pPr>
              <w:rPr>
                <w:rFonts w:eastAsia="Times New Roman"/>
                <w:b/>
                <w:bCs/>
                <w:color w:val="FFFFFF"/>
                <w:sz w:val="18"/>
                <w:szCs w:val="18"/>
              </w:rPr>
            </w:pPr>
          </w:p>
        </w:tc>
        <w:tc>
          <w:tcPr>
            <w:tcW w:w="1940" w:type="dxa"/>
            <w:vMerge/>
            <w:tcBorders>
              <w:top w:val="single" w:sz="8" w:space="0" w:color="auto"/>
              <w:left w:val="single" w:sz="8" w:space="0" w:color="auto"/>
              <w:bottom w:val="single" w:sz="8" w:space="0" w:color="000000"/>
              <w:right w:val="single" w:sz="8" w:space="0" w:color="auto"/>
            </w:tcBorders>
            <w:vAlign w:val="center"/>
            <w:hideMark/>
          </w:tcPr>
          <w:p w14:paraId="613CEC06" w14:textId="77777777" w:rsidR="003E069C" w:rsidRPr="00311827" w:rsidRDefault="003E069C" w:rsidP="00303D91">
            <w:pPr>
              <w:rPr>
                <w:rFonts w:eastAsia="Times New Roman"/>
                <w:b/>
                <w:bCs/>
                <w:color w:val="FFFFFF"/>
                <w:sz w:val="18"/>
                <w:szCs w:val="18"/>
              </w:rPr>
            </w:pPr>
          </w:p>
        </w:tc>
        <w:tc>
          <w:tcPr>
            <w:tcW w:w="1940" w:type="dxa"/>
            <w:tcBorders>
              <w:top w:val="nil"/>
              <w:left w:val="nil"/>
              <w:bottom w:val="single" w:sz="8" w:space="0" w:color="auto"/>
              <w:right w:val="single" w:sz="8" w:space="0" w:color="auto"/>
            </w:tcBorders>
            <w:shd w:val="clear" w:color="000000" w:fill="002060"/>
            <w:vAlign w:val="center"/>
            <w:hideMark/>
          </w:tcPr>
          <w:p w14:paraId="79377EF0" w14:textId="77777777" w:rsidR="003E069C" w:rsidRPr="00311827" w:rsidRDefault="003E069C" w:rsidP="00303D91">
            <w:pPr>
              <w:jc w:val="center"/>
              <w:rPr>
                <w:rFonts w:eastAsia="Times New Roman"/>
                <w:b/>
                <w:bCs/>
                <w:color w:val="FFFFFF"/>
                <w:sz w:val="18"/>
                <w:szCs w:val="18"/>
              </w:rPr>
            </w:pPr>
            <w:r w:rsidRPr="00311827">
              <w:rPr>
                <w:rFonts w:eastAsia="Times New Roman"/>
                <w:b/>
                <w:bCs/>
                <w:color w:val="FFFFFF"/>
                <w:sz w:val="18"/>
                <w:szCs w:val="18"/>
                <w:lang w:val="es-ES"/>
              </w:rPr>
              <w:t xml:space="preserve"> (RD$)</w:t>
            </w:r>
          </w:p>
        </w:tc>
        <w:tc>
          <w:tcPr>
            <w:tcW w:w="1090" w:type="dxa"/>
            <w:vMerge/>
            <w:tcBorders>
              <w:top w:val="single" w:sz="8" w:space="0" w:color="auto"/>
              <w:left w:val="single" w:sz="8" w:space="0" w:color="auto"/>
              <w:bottom w:val="single" w:sz="8" w:space="0" w:color="000000"/>
              <w:right w:val="single" w:sz="8" w:space="0" w:color="auto"/>
            </w:tcBorders>
            <w:vAlign w:val="center"/>
            <w:hideMark/>
          </w:tcPr>
          <w:p w14:paraId="610DB871" w14:textId="77777777" w:rsidR="003E069C" w:rsidRPr="00311827" w:rsidRDefault="003E069C" w:rsidP="00303D91">
            <w:pPr>
              <w:rPr>
                <w:rFonts w:eastAsia="Times New Roman"/>
                <w:b/>
                <w:bCs/>
                <w:color w:val="FFFFFF"/>
                <w:sz w:val="18"/>
                <w:szCs w:val="18"/>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6669BF9C" w14:textId="77777777" w:rsidR="003E069C" w:rsidRPr="00311827" w:rsidRDefault="003E069C" w:rsidP="00303D91">
            <w:pPr>
              <w:rPr>
                <w:rFonts w:eastAsia="Times New Roman"/>
                <w:b/>
                <w:bCs/>
                <w:color w:val="FFFFFF"/>
                <w:sz w:val="18"/>
                <w:szCs w:val="18"/>
              </w:rPr>
            </w:pPr>
          </w:p>
        </w:tc>
        <w:tc>
          <w:tcPr>
            <w:tcW w:w="1170" w:type="dxa"/>
            <w:vMerge/>
            <w:tcBorders>
              <w:top w:val="single" w:sz="8" w:space="0" w:color="auto"/>
              <w:left w:val="single" w:sz="8" w:space="0" w:color="auto"/>
              <w:bottom w:val="single" w:sz="8" w:space="0" w:color="000000"/>
              <w:right w:val="single" w:sz="8" w:space="0" w:color="auto"/>
            </w:tcBorders>
            <w:vAlign w:val="center"/>
            <w:hideMark/>
          </w:tcPr>
          <w:p w14:paraId="01E8A77B" w14:textId="77777777" w:rsidR="003E069C" w:rsidRPr="00311827" w:rsidRDefault="003E069C" w:rsidP="00303D91">
            <w:pPr>
              <w:rPr>
                <w:rFonts w:eastAsia="Times New Roman"/>
                <w:b/>
                <w:bCs/>
                <w:color w:val="FFFFFF"/>
                <w:sz w:val="18"/>
                <w:szCs w:val="18"/>
              </w:rPr>
            </w:pPr>
          </w:p>
        </w:tc>
      </w:tr>
      <w:tr w:rsidR="003E069C" w:rsidRPr="00311827" w14:paraId="0DCC1084" w14:textId="77777777" w:rsidTr="00303D91">
        <w:trPr>
          <w:trHeight w:val="458"/>
        </w:trPr>
        <w:tc>
          <w:tcPr>
            <w:tcW w:w="12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13F330" w14:textId="77777777" w:rsidR="003E069C" w:rsidRPr="00311827" w:rsidRDefault="003E069C" w:rsidP="00303D91">
            <w:pPr>
              <w:jc w:val="center"/>
              <w:rPr>
                <w:rFonts w:eastAsia="Times New Roman"/>
                <w:color w:val="595959"/>
              </w:rPr>
            </w:pPr>
            <w:r w:rsidRPr="00311827">
              <w:rPr>
                <w:rFonts w:eastAsia="Times New Roman"/>
                <w:color w:val="595959"/>
              </w:rPr>
              <w:t>99</w:t>
            </w:r>
          </w:p>
        </w:tc>
        <w:tc>
          <w:tcPr>
            <w:tcW w:w="2897" w:type="dxa"/>
            <w:vMerge w:val="restart"/>
            <w:tcBorders>
              <w:top w:val="nil"/>
              <w:left w:val="single" w:sz="8" w:space="0" w:color="auto"/>
              <w:bottom w:val="single" w:sz="8" w:space="0" w:color="000000"/>
              <w:right w:val="single" w:sz="8" w:space="0" w:color="auto"/>
            </w:tcBorders>
            <w:shd w:val="clear" w:color="auto" w:fill="auto"/>
            <w:vAlign w:val="bottom"/>
            <w:hideMark/>
          </w:tcPr>
          <w:p w14:paraId="48656921" w14:textId="77777777" w:rsidR="003E069C" w:rsidRPr="003E069C" w:rsidRDefault="003E069C" w:rsidP="00303D91">
            <w:pPr>
              <w:jc w:val="center"/>
              <w:rPr>
                <w:rFonts w:eastAsia="Times New Roman"/>
                <w:color w:val="595959"/>
                <w:lang w:val="es-DO"/>
              </w:rPr>
            </w:pPr>
            <w:r w:rsidRPr="003E069C">
              <w:rPr>
                <w:rFonts w:eastAsia="Times New Roman"/>
                <w:color w:val="595959"/>
                <w:lang w:val="es-DO"/>
              </w:rPr>
              <w:t>Administración de activos, pasivos y transferencias</w:t>
            </w:r>
          </w:p>
        </w:tc>
        <w:tc>
          <w:tcPr>
            <w:tcW w:w="19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7EF804" w14:textId="77777777" w:rsidR="003E069C" w:rsidRPr="00311827" w:rsidRDefault="003E069C" w:rsidP="00303D91">
            <w:pPr>
              <w:jc w:val="right"/>
              <w:rPr>
                <w:rFonts w:eastAsia="Times New Roman"/>
                <w:color w:val="595959"/>
              </w:rPr>
            </w:pPr>
            <w:r w:rsidRPr="00311827">
              <w:rPr>
                <w:rFonts w:eastAsia="Times New Roman"/>
                <w:color w:val="595959"/>
              </w:rPr>
              <w:t>22,204,587,873.00</w:t>
            </w:r>
          </w:p>
        </w:tc>
        <w:tc>
          <w:tcPr>
            <w:tcW w:w="19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2FDBA46" w14:textId="77777777" w:rsidR="003E069C" w:rsidRPr="00311827" w:rsidRDefault="003E069C" w:rsidP="00303D91">
            <w:pPr>
              <w:jc w:val="right"/>
              <w:rPr>
                <w:rFonts w:eastAsia="Times New Roman"/>
                <w:color w:val="595959"/>
              </w:rPr>
            </w:pPr>
            <w:r w:rsidRPr="00311827">
              <w:rPr>
                <w:rFonts w:eastAsia="Times New Roman"/>
                <w:color w:val="595959"/>
              </w:rPr>
              <w:t>20,465,653,854.54</w:t>
            </w:r>
          </w:p>
        </w:tc>
        <w:tc>
          <w:tcPr>
            <w:tcW w:w="10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DFDCFA" w14:textId="77777777" w:rsidR="003E069C" w:rsidRPr="00311827" w:rsidRDefault="003E069C" w:rsidP="00303D91">
            <w:pPr>
              <w:jc w:val="center"/>
              <w:rPr>
                <w:rFonts w:eastAsia="Times New Roman"/>
                <w:color w:val="595959"/>
              </w:rPr>
            </w:pPr>
            <w:r w:rsidRPr="00311827">
              <w:rPr>
                <w:rFonts w:eastAsia="Times New Roman"/>
                <w:color w:val="595959"/>
              </w:rPr>
              <w:t>N/A</w:t>
            </w:r>
          </w:p>
        </w:tc>
        <w:tc>
          <w:tcPr>
            <w:tcW w:w="110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2D62F2" w14:textId="77777777" w:rsidR="003E069C" w:rsidRPr="00311827" w:rsidRDefault="003E069C" w:rsidP="00303D91">
            <w:pPr>
              <w:jc w:val="center"/>
              <w:rPr>
                <w:rFonts w:eastAsia="Times New Roman"/>
                <w:color w:val="595959"/>
              </w:rPr>
            </w:pPr>
            <w:r w:rsidRPr="00311827">
              <w:rPr>
                <w:rFonts w:eastAsia="Times New Roman"/>
                <w:color w:val="595959"/>
              </w:rPr>
              <w:t>92%</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39CF21" w14:textId="77777777" w:rsidR="003E069C" w:rsidRPr="00311827" w:rsidRDefault="003E069C" w:rsidP="00303D91">
            <w:pPr>
              <w:jc w:val="center"/>
              <w:rPr>
                <w:rFonts w:eastAsia="Times New Roman"/>
                <w:color w:val="595959"/>
              </w:rPr>
            </w:pPr>
            <w:r w:rsidRPr="00311827">
              <w:rPr>
                <w:rFonts w:eastAsia="Times New Roman"/>
                <w:color w:val="595959"/>
              </w:rPr>
              <w:t>N/A</w:t>
            </w:r>
          </w:p>
        </w:tc>
      </w:tr>
      <w:tr w:rsidR="003E069C" w:rsidRPr="00311827" w14:paraId="76FD103D" w14:textId="77777777" w:rsidTr="00303D91">
        <w:trPr>
          <w:trHeight w:val="458"/>
        </w:trPr>
        <w:tc>
          <w:tcPr>
            <w:tcW w:w="1211" w:type="dxa"/>
            <w:vMerge/>
            <w:tcBorders>
              <w:top w:val="nil"/>
              <w:left w:val="single" w:sz="8" w:space="0" w:color="auto"/>
              <w:bottom w:val="single" w:sz="8" w:space="0" w:color="000000"/>
              <w:right w:val="single" w:sz="8" w:space="0" w:color="auto"/>
            </w:tcBorders>
            <w:vAlign w:val="center"/>
            <w:hideMark/>
          </w:tcPr>
          <w:p w14:paraId="68A23E2A" w14:textId="77777777" w:rsidR="003E069C" w:rsidRPr="00311827" w:rsidRDefault="003E069C" w:rsidP="00303D91">
            <w:pPr>
              <w:rPr>
                <w:rFonts w:eastAsia="Times New Roman"/>
                <w:color w:val="595959"/>
              </w:rPr>
            </w:pPr>
          </w:p>
        </w:tc>
        <w:tc>
          <w:tcPr>
            <w:tcW w:w="2897" w:type="dxa"/>
            <w:vMerge/>
            <w:tcBorders>
              <w:top w:val="nil"/>
              <w:left w:val="single" w:sz="8" w:space="0" w:color="auto"/>
              <w:bottom w:val="single" w:sz="8" w:space="0" w:color="000000"/>
              <w:right w:val="single" w:sz="8" w:space="0" w:color="auto"/>
            </w:tcBorders>
            <w:vAlign w:val="center"/>
            <w:hideMark/>
          </w:tcPr>
          <w:p w14:paraId="3337C386" w14:textId="77777777" w:rsidR="003E069C" w:rsidRPr="00311827" w:rsidRDefault="003E069C" w:rsidP="00303D91">
            <w:pPr>
              <w:rPr>
                <w:rFonts w:eastAsia="Times New Roman"/>
                <w:color w:val="595959"/>
              </w:rPr>
            </w:pPr>
          </w:p>
        </w:tc>
        <w:tc>
          <w:tcPr>
            <w:tcW w:w="1940" w:type="dxa"/>
            <w:vMerge/>
            <w:tcBorders>
              <w:top w:val="nil"/>
              <w:left w:val="single" w:sz="8" w:space="0" w:color="auto"/>
              <w:bottom w:val="single" w:sz="8" w:space="0" w:color="000000"/>
              <w:right w:val="single" w:sz="8" w:space="0" w:color="auto"/>
            </w:tcBorders>
            <w:vAlign w:val="center"/>
            <w:hideMark/>
          </w:tcPr>
          <w:p w14:paraId="7D54C597" w14:textId="77777777" w:rsidR="003E069C" w:rsidRPr="00311827" w:rsidRDefault="003E069C" w:rsidP="00303D91">
            <w:pPr>
              <w:rPr>
                <w:rFonts w:eastAsia="Times New Roman"/>
                <w:color w:val="595959"/>
              </w:rPr>
            </w:pPr>
          </w:p>
        </w:tc>
        <w:tc>
          <w:tcPr>
            <w:tcW w:w="1940" w:type="dxa"/>
            <w:vMerge/>
            <w:tcBorders>
              <w:top w:val="nil"/>
              <w:left w:val="single" w:sz="8" w:space="0" w:color="auto"/>
              <w:bottom w:val="single" w:sz="8" w:space="0" w:color="000000"/>
              <w:right w:val="single" w:sz="8" w:space="0" w:color="auto"/>
            </w:tcBorders>
            <w:vAlign w:val="center"/>
            <w:hideMark/>
          </w:tcPr>
          <w:p w14:paraId="382D30DC" w14:textId="77777777" w:rsidR="003E069C" w:rsidRPr="00311827" w:rsidRDefault="003E069C" w:rsidP="00303D91">
            <w:pPr>
              <w:rPr>
                <w:rFonts w:eastAsia="Times New Roman"/>
                <w:color w:val="595959"/>
              </w:rPr>
            </w:pPr>
          </w:p>
        </w:tc>
        <w:tc>
          <w:tcPr>
            <w:tcW w:w="1090" w:type="dxa"/>
            <w:vMerge/>
            <w:tcBorders>
              <w:top w:val="nil"/>
              <w:left w:val="single" w:sz="8" w:space="0" w:color="auto"/>
              <w:bottom w:val="single" w:sz="8" w:space="0" w:color="000000"/>
              <w:right w:val="single" w:sz="8" w:space="0" w:color="auto"/>
            </w:tcBorders>
            <w:vAlign w:val="center"/>
            <w:hideMark/>
          </w:tcPr>
          <w:p w14:paraId="38B83D44" w14:textId="77777777" w:rsidR="003E069C" w:rsidRPr="00311827" w:rsidRDefault="003E069C" w:rsidP="00303D91">
            <w:pPr>
              <w:rPr>
                <w:rFonts w:eastAsia="Times New Roman"/>
                <w:color w:val="595959"/>
              </w:rPr>
            </w:pPr>
          </w:p>
        </w:tc>
        <w:tc>
          <w:tcPr>
            <w:tcW w:w="1108" w:type="dxa"/>
            <w:vMerge/>
            <w:tcBorders>
              <w:top w:val="nil"/>
              <w:left w:val="single" w:sz="8" w:space="0" w:color="auto"/>
              <w:bottom w:val="single" w:sz="8" w:space="0" w:color="000000"/>
              <w:right w:val="single" w:sz="8" w:space="0" w:color="auto"/>
            </w:tcBorders>
            <w:vAlign w:val="center"/>
            <w:hideMark/>
          </w:tcPr>
          <w:p w14:paraId="0F132F46" w14:textId="77777777" w:rsidR="003E069C" w:rsidRPr="00311827" w:rsidRDefault="003E069C" w:rsidP="00303D91">
            <w:pPr>
              <w:rPr>
                <w:rFonts w:eastAsia="Times New Roman"/>
                <w:color w:val="595959"/>
              </w:rPr>
            </w:pPr>
          </w:p>
        </w:tc>
        <w:tc>
          <w:tcPr>
            <w:tcW w:w="1170" w:type="dxa"/>
            <w:vMerge/>
            <w:tcBorders>
              <w:top w:val="nil"/>
              <w:left w:val="single" w:sz="8" w:space="0" w:color="auto"/>
              <w:bottom w:val="single" w:sz="8" w:space="0" w:color="000000"/>
              <w:right w:val="single" w:sz="8" w:space="0" w:color="auto"/>
            </w:tcBorders>
            <w:vAlign w:val="center"/>
            <w:hideMark/>
          </w:tcPr>
          <w:p w14:paraId="6E095489" w14:textId="77777777" w:rsidR="003E069C" w:rsidRPr="00311827" w:rsidRDefault="003E069C" w:rsidP="00303D91">
            <w:pPr>
              <w:rPr>
                <w:rFonts w:eastAsia="Times New Roman"/>
                <w:color w:val="595959"/>
              </w:rPr>
            </w:pPr>
          </w:p>
        </w:tc>
      </w:tr>
      <w:tr w:rsidR="003E069C" w:rsidRPr="00311827" w14:paraId="0ADFFD65" w14:textId="77777777" w:rsidTr="00303D91">
        <w:trPr>
          <w:trHeight w:val="458"/>
        </w:trPr>
        <w:tc>
          <w:tcPr>
            <w:tcW w:w="12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64F9C1" w14:textId="77777777" w:rsidR="003E069C" w:rsidRPr="00311827" w:rsidRDefault="003E069C" w:rsidP="00303D91">
            <w:pPr>
              <w:jc w:val="center"/>
              <w:rPr>
                <w:rFonts w:eastAsia="Times New Roman"/>
                <w:color w:val="595959"/>
              </w:rPr>
            </w:pPr>
            <w:r w:rsidRPr="00311827">
              <w:rPr>
                <w:rFonts w:eastAsia="Times New Roman"/>
                <w:color w:val="595959"/>
              </w:rPr>
              <w:t>98</w:t>
            </w:r>
          </w:p>
        </w:tc>
        <w:tc>
          <w:tcPr>
            <w:tcW w:w="2897" w:type="dxa"/>
            <w:vMerge w:val="restart"/>
            <w:tcBorders>
              <w:top w:val="nil"/>
              <w:left w:val="single" w:sz="8" w:space="0" w:color="auto"/>
              <w:bottom w:val="single" w:sz="8" w:space="0" w:color="000000"/>
              <w:right w:val="single" w:sz="8" w:space="0" w:color="auto"/>
            </w:tcBorders>
            <w:shd w:val="clear" w:color="auto" w:fill="auto"/>
            <w:vAlign w:val="bottom"/>
            <w:hideMark/>
          </w:tcPr>
          <w:p w14:paraId="6DCE5C38" w14:textId="77777777" w:rsidR="003E069C" w:rsidRPr="00311827" w:rsidRDefault="003E069C" w:rsidP="00303D91">
            <w:pPr>
              <w:jc w:val="center"/>
              <w:rPr>
                <w:rFonts w:eastAsia="Times New Roman"/>
                <w:color w:val="000000"/>
              </w:rPr>
            </w:pPr>
            <w:proofErr w:type="spellStart"/>
            <w:r w:rsidRPr="00311827">
              <w:rPr>
                <w:rFonts w:eastAsia="Times New Roman"/>
                <w:color w:val="000000"/>
              </w:rPr>
              <w:t>Administración</w:t>
            </w:r>
            <w:proofErr w:type="spellEnd"/>
            <w:r w:rsidRPr="00311827">
              <w:rPr>
                <w:rFonts w:eastAsia="Times New Roman"/>
                <w:color w:val="000000"/>
              </w:rPr>
              <w:t xml:space="preserve"> de </w:t>
            </w:r>
            <w:proofErr w:type="spellStart"/>
            <w:r w:rsidRPr="00311827">
              <w:rPr>
                <w:rFonts w:eastAsia="Times New Roman"/>
                <w:color w:val="000000"/>
              </w:rPr>
              <w:t>contribuciones</w:t>
            </w:r>
            <w:proofErr w:type="spellEnd"/>
            <w:r w:rsidRPr="00311827">
              <w:rPr>
                <w:rFonts w:eastAsia="Times New Roman"/>
                <w:color w:val="000000"/>
              </w:rPr>
              <w:t xml:space="preserve"> </w:t>
            </w:r>
            <w:proofErr w:type="spellStart"/>
            <w:r w:rsidRPr="00311827">
              <w:rPr>
                <w:rFonts w:eastAsia="Times New Roman"/>
                <w:color w:val="000000"/>
              </w:rPr>
              <w:t>especiales</w:t>
            </w:r>
            <w:proofErr w:type="spellEnd"/>
          </w:p>
        </w:tc>
        <w:tc>
          <w:tcPr>
            <w:tcW w:w="19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0B4BAE5" w14:textId="77777777" w:rsidR="003E069C" w:rsidRPr="00311827" w:rsidRDefault="003E069C" w:rsidP="00303D91">
            <w:pPr>
              <w:jc w:val="right"/>
              <w:rPr>
                <w:rFonts w:eastAsia="Times New Roman"/>
                <w:color w:val="595959"/>
              </w:rPr>
            </w:pPr>
            <w:r w:rsidRPr="00311827">
              <w:rPr>
                <w:rFonts w:eastAsia="Times New Roman"/>
                <w:color w:val="595959"/>
              </w:rPr>
              <w:t>55,050,000.00</w:t>
            </w:r>
          </w:p>
        </w:tc>
        <w:tc>
          <w:tcPr>
            <w:tcW w:w="19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72A20E" w14:textId="77777777" w:rsidR="003E069C" w:rsidRPr="00311827" w:rsidRDefault="003E069C" w:rsidP="00303D91">
            <w:pPr>
              <w:jc w:val="right"/>
              <w:rPr>
                <w:rFonts w:eastAsia="Times New Roman"/>
                <w:color w:val="595959"/>
              </w:rPr>
            </w:pPr>
            <w:r w:rsidRPr="00311827">
              <w:rPr>
                <w:rFonts w:eastAsia="Times New Roman"/>
                <w:color w:val="595959"/>
              </w:rPr>
              <w:t>55,050,000.00</w:t>
            </w:r>
          </w:p>
        </w:tc>
        <w:tc>
          <w:tcPr>
            <w:tcW w:w="10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8BFDC22" w14:textId="77777777" w:rsidR="003E069C" w:rsidRPr="00311827" w:rsidRDefault="003E069C" w:rsidP="00303D91">
            <w:pPr>
              <w:jc w:val="center"/>
              <w:rPr>
                <w:rFonts w:eastAsia="Times New Roman"/>
                <w:color w:val="595959"/>
              </w:rPr>
            </w:pPr>
            <w:r w:rsidRPr="00311827">
              <w:rPr>
                <w:rFonts w:eastAsia="Times New Roman"/>
                <w:color w:val="595959"/>
              </w:rPr>
              <w:t>N/A</w:t>
            </w:r>
          </w:p>
        </w:tc>
        <w:tc>
          <w:tcPr>
            <w:tcW w:w="110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6CF784" w14:textId="77777777" w:rsidR="003E069C" w:rsidRPr="00311827" w:rsidRDefault="003E069C" w:rsidP="00303D91">
            <w:pPr>
              <w:jc w:val="center"/>
              <w:rPr>
                <w:rFonts w:eastAsia="Times New Roman"/>
                <w:color w:val="595959"/>
              </w:rPr>
            </w:pPr>
            <w:r w:rsidRPr="00311827">
              <w:rPr>
                <w:rFonts w:eastAsia="Times New Roman"/>
                <w:color w:val="595959"/>
              </w:rPr>
              <w:t>100%</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6063C3" w14:textId="77777777" w:rsidR="003E069C" w:rsidRPr="00311827" w:rsidRDefault="003E069C" w:rsidP="00303D91">
            <w:pPr>
              <w:jc w:val="center"/>
              <w:rPr>
                <w:rFonts w:eastAsia="Times New Roman"/>
                <w:color w:val="595959"/>
              </w:rPr>
            </w:pPr>
            <w:r w:rsidRPr="00311827">
              <w:rPr>
                <w:rFonts w:eastAsia="Times New Roman"/>
                <w:color w:val="595959"/>
              </w:rPr>
              <w:t>N/A</w:t>
            </w:r>
          </w:p>
        </w:tc>
      </w:tr>
      <w:tr w:rsidR="003E069C" w:rsidRPr="00311827" w14:paraId="21167403" w14:textId="77777777" w:rsidTr="00303D91">
        <w:trPr>
          <w:trHeight w:val="458"/>
        </w:trPr>
        <w:tc>
          <w:tcPr>
            <w:tcW w:w="1211" w:type="dxa"/>
            <w:vMerge/>
            <w:tcBorders>
              <w:top w:val="nil"/>
              <w:left w:val="single" w:sz="8" w:space="0" w:color="auto"/>
              <w:bottom w:val="single" w:sz="8" w:space="0" w:color="000000"/>
              <w:right w:val="single" w:sz="8" w:space="0" w:color="auto"/>
            </w:tcBorders>
            <w:vAlign w:val="center"/>
            <w:hideMark/>
          </w:tcPr>
          <w:p w14:paraId="4E08BF17" w14:textId="77777777" w:rsidR="003E069C" w:rsidRPr="00311827" w:rsidRDefault="003E069C" w:rsidP="00303D91">
            <w:pPr>
              <w:rPr>
                <w:rFonts w:eastAsia="Times New Roman"/>
                <w:color w:val="595959"/>
              </w:rPr>
            </w:pPr>
          </w:p>
        </w:tc>
        <w:tc>
          <w:tcPr>
            <w:tcW w:w="2897" w:type="dxa"/>
            <w:vMerge/>
            <w:tcBorders>
              <w:top w:val="nil"/>
              <w:left w:val="single" w:sz="8" w:space="0" w:color="auto"/>
              <w:bottom w:val="single" w:sz="8" w:space="0" w:color="000000"/>
              <w:right w:val="single" w:sz="8" w:space="0" w:color="auto"/>
            </w:tcBorders>
            <w:vAlign w:val="center"/>
            <w:hideMark/>
          </w:tcPr>
          <w:p w14:paraId="4097C66C" w14:textId="77777777" w:rsidR="003E069C" w:rsidRPr="00311827" w:rsidRDefault="003E069C" w:rsidP="00303D91">
            <w:pPr>
              <w:rPr>
                <w:rFonts w:eastAsia="Times New Roman"/>
                <w:color w:val="000000"/>
              </w:rPr>
            </w:pPr>
          </w:p>
        </w:tc>
        <w:tc>
          <w:tcPr>
            <w:tcW w:w="1940" w:type="dxa"/>
            <w:vMerge/>
            <w:tcBorders>
              <w:top w:val="nil"/>
              <w:left w:val="single" w:sz="8" w:space="0" w:color="auto"/>
              <w:bottom w:val="single" w:sz="8" w:space="0" w:color="000000"/>
              <w:right w:val="single" w:sz="8" w:space="0" w:color="auto"/>
            </w:tcBorders>
            <w:vAlign w:val="center"/>
            <w:hideMark/>
          </w:tcPr>
          <w:p w14:paraId="19A3FABF" w14:textId="77777777" w:rsidR="003E069C" w:rsidRPr="00311827" w:rsidRDefault="003E069C" w:rsidP="00303D91">
            <w:pPr>
              <w:rPr>
                <w:rFonts w:eastAsia="Times New Roman"/>
                <w:color w:val="595959"/>
              </w:rPr>
            </w:pPr>
          </w:p>
        </w:tc>
        <w:tc>
          <w:tcPr>
            <w:tcW w:w="1940" w:type="dxa"/>
            <w:vMerge/>
            <w:tcBorders>
              <w:top w:val="nil"/>
              <w:left w:val="single" w:sz="8" w:space="0" w:color="auto"/>
              <w:bottom w:val="single" w:sz="8" w:space="0" w:color="000000"/>
              <w:right w:val="single" w:sz="8" w:space="0" w:color="auto"/>
            </w:tcBorders>
            <w:vAlign w:val="center"/>
            <w:hideMark/>
          </w:tcPr>
          <w:p w14:paraId="42D73F3D" w14:textId="77777777" w:rsidR="003E069C" w:rsidRPr="00311827" w:rsidRDefault="003E069C" w:rsidP="00303D91">
            <w:pPr>
              <w:rPr>
                <w:rFonts w:eastAsia="Times New Roman"/>
                <w:color w:val="595959"/>
              </w:rPr>
            </w:pPr>
          </w:p>
        </w:tc>
        <w:tc>
          <w:tcPr>
            <w:tcW w:w="1090" w:type="dxa"/>
            <w:vMerge/>
            <w:tcBorders>
              <w:top w:val="nil"/>
              <w:left w:val="single" w:sz="8" w:space="0" w:color="auto"/>
              <w:bottom w:val="single" w:sz="8" w:space="0" w:color="000000"/>
              <w:right w:val="single" w:sz="8" w:space="0" w:color="auto"/>
            </w:tcBorders>
            <w:vAlign w:val="center"/>
            <w:hideMark/>
          </w:tcPr>
          <w:p w14:paraId="56A1D66F" w14:textId="77777777" w:rsidR="003E069C" w:rsidRPr="00311827" w:rsidRDefault="003E069C" w:rsidP="00303D91">
            <w:pPr>
              <w:rPr>
                <w:rFonts w:eastAsia="Times New Roman"/>
                <w:color w:val="595959"/>
              </w:rPr>
            </w:pPr>
          </w:p>
        </w:tc>
        <w:tc>
          <w:tcPr>
            <w:tcW w:w="1108" w:type="dxa"/>
            <w:vMerge/>
            <w:tcBorders>
              <w:top w:val="nil"/>
              <w:left w:val="single" w:sz="8" w:space="0" w:color="auto"/>
              <w:bottom w:val="single" w:sz="8" w:space="0" w:color="000000"/>
              <w:right w:val="single" w:sz="8" w:space="0" w:color="auto"/>
            </w:tcBorders>
            <w:vAlign w:val="center"/>
            <w:hideMark/>
          </w:tcPr>
          <w:p w14:paraId="19AC40E9" w14:textId="77777777" w:rsidR="003E069C" w:rsidRPr="00311827" w:rsidRDefault="003E069C" w:rsidP="00303D91">
            <w:pPr>
              <w:rPr>
                <w:rFonts w:eastAsia="Times New Roman"/>
                <w:color w:val="595959"/>
              </w:rPr>
            </w:pPr>
          </w:p>
        </w:tc>
        <w:tc>
          <w:tcPr>
            <w:tcW w:w="1170" w:type="dxa"/>
            <w:vMerge/>
            <w:tcBorders>
              <w:top w:val="nil"/>
              <w:left w:val="single" w:sz="8" w:space="0" w:color="auto"/>
              <w:bottom w:val="single" w:sz="8" w:space="0" w:color="000000"/>
              <w:right w:val="single" w:sz="8" w:space="0" w:color="auto"/>
            </w:tcBorders>
            <w:vAlign w:val="center"/>
            <w:hideMark/>
          </w:tcPr>
          <w:p w14:paraId="0042E34B" w14:textId="77777777" w:rsidR="003E069C" w:rsidRPr="00311827" w:rsidRDefault="003E069C" w:rsidP="00303D91">
            <w:pPr>
              <w:rPr>
                <w:rFonts w:eastAsia="Times New Roman"/>
                <w:color w:val="595959"/>
              </w:rPr>
            </w:pPr>
          </w:p>
        </w:tc>
      </w:tr>
      <w:tr w:rsidR="003E069C" w:rsidRPr="00311827" w14:paraId="47ACD61C" w14:textId="77777777" w:rsidTr="00303D91">
        <w:trPr>
          <w:trHeight w:val="458"/>
        </w:trPr>
        <w:tc>
          <w:tcPr>
            <w:tcW w:w="12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6D60AB" w14:textId="77777777" w:rsidR="003E069C" w:rsidRPr="00311827" w:rsidRDefault="003E069C" w:rsidP="00303D91">
            <w:pPr>
              <w:jc w:val="center"/>
              <w:rPr>
                <w:rFonts w:eastAsia="Times New Roman"/>
                <w:color w:val="595959"/>
              </w:rPr>
            </w:pPr>
            <w:r w:rsidRPr="00311827">
              <w:rPr>
                <w:rFonts w:eastAsia="Times New Roman"/>
                <w:color w:val="595959"/>
              </w:rPr>
              <w:t>13</w:t>
            </w:r>
          </w:p>
        </w:tc>
        <w:tc>
          <w:tcPr>
            <w:tcW w:w="2897" w:type="dxa"/>
            <w:vMerge w:val="restart"/>
            <w:tcBorders>
              <w:top w:val="nil"/>
              <w:left w:val="single" w:sz="8" w:space="0" w:color="auto"/>
              <w:bottom w:val="single" w:sz="8" w:space="0" w:color="000000"/>
              <w:right w:val="single" w:sz="8" w:space="0" w:color="auto"/>
            </w:tcBorders>
            <w:shd w:val="clear" w:color="auto" w:fill="auto"/>
            <w:vAlign w:val="bottom"/>
            <w:hideMark/>
          </w:tcPr>
          <w:p w14:paraId="00227696" w14:textId="77777777" w:rsidR="003E069C" w:rsidRPr="003E069C" w:rsidRDefault="003E069C" w:rsidP="00303D91">
            <w:pPr>
              <w:jc w:val="center"/>
              <w:rPr>
                <w:rFonts w:eastAsia="Times New Roman"/>
                <w:color w:val="000000"/>
                <w:lang w:val="es-DO"/>
              </w:rPr>
            </w:pPr>
            <w:r w:rsidRPr="003E069C">
              <w:rPr>
                <w:rFonts w:eastAsia="Times New Roman"/>
                <w:color w:val="000000"/>
                <w:lang w:val="es-DO"/>
              </w:rPr>
              <w:t>Atención y prevención de desastres</w:t>
            </w:r>
          </w:p>
        </w:tc>
        <w:tc>
          <w:tcPr>
            <w:tcW w:w="19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2C12B6" w14:textId="77777777" w:rsidR="003E069C" w:rsidRPr="00311827" w:rsidRDefault="003E069C" w:rsidP="00303D91">
            <w:pPr>
              <w:jc w:val="right"/>
              <w:rPr>
                <w:rFonts w:eastAsia="Times New Roman"/>
                <w:color w:val="595959"/>
              </w:rPr>
            </w:pPr>
            <w:r w:rsidRPr="00311827">
              <w:rPr>
                <w:rFonts w:eastAsia="Times New Roman"/>
                <w:color w:val="595959"/>
              </w:rPr>
              <w:t>16,000,000.00</w:t>
            </w:r>
          </w:p>
        </w:tc>
        <w:tc>
          <w:tcPr>
            <w:tcW w:w="19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D6AF21" w14:textId="77777777" w:rsidR="003E069C" w:rsidRPr="00311827" w:rsidRDefault="003E069C" w:rsidP="00303D91">
            <w:pPr>
              <w:jc w:val="right"/>
              <w:rPr>
                <w:rFonts w:eastAsia="Times New Roman"/>
                <w:color w:val="595959"/>
              </w:rPr>
            </w:pPr>
            <w:r w:rsidRPr="00311827">
              <w:rPr>
                <w:rFonts w:eastAsia="Times New Roman"/>
                <w:color w:val="595959"/>
              </w:rPr>
              <w:t>4,652,945.30</w:t>
            </w:r>
          </w:p>
        </w:tc>
        <w:tc>
          <w:tcPr>
            <w:tcW w:w="10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5095324" w14:textId="77777777" w:rsidR="003E069C" w:rsidRPr="00311827" w:rsidRDefault="003E069C" w:rsidP="00303D91">
            <w:pPr>
              <w:jc w:val="center"/>
              <w:rPr>
                <w:rFonts w:eastAsia="Times New Roman"/>
                <w:color w:val="595959"/>
              </w:rPr>
            </w:pPr>
            <w:r w:rsidRPr="00311827">
              <w:rPr>
                <w:rFonts w:eastAsia="Times New Roman"/>
                <w:color w:val="595959"/>
              </w:rPr>
              <w:t>N/A</w:t>
            </w:r>
          </w:p>
        </w:tc>
        <w:tc>
          <w:tcPr>
            <w:tcW w:w="110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C750DD" w14:textId="77777777" w:rsidR="003E069C" w:rsidRPr="00311827" w:rsidRDefault="003E069C" w:rsidP="00303D91">
            <w:pPr>
              <w:jc w:val="center"/>
              <w:rPr>
                <w:rFonts w:eastAsia="Times New Roman"/>
                <w:color w:val="595959"/>
              </w:rPr>
            </w:pPr>
            <w:r w:rsidRPr="00311827">
              <w:rPr>
                <w:rFonts w:eastAsia="Times New Roman"/>
                <w:color w:val="595959"/>
              </w:rPr>
              <w:t>29%</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75FE63" w14:textId="77777777" w:rsidR="003E069C" w:rsidRPr="00311827" w:rsidRDefault="003E069C" w:rsidP="00303D91">
            <w:pPr>
              <w:jc w:val="center"/>
              <w:rPr>
                <w:rFonts w:eastAsia="Times New Roman"/>
                <w:color w:val="595959"/>
              </w:rPr>
            </w:pPr>
            <w:r w:rsidRPr="00311827">
              <w:rPr>
                <w:rFonts w:eastAsia="Times New Roman"/>
                <w:color w:val="595959"/>
              </w:rPr>
              <w:t>N/A</w:t>
            </w:r>
          </w:p>
        </w:tc>
      </w:tr>
      <w:tr w:rsidR="003E069C" w:rsidRPr="00311827" w14:paraId="0ADC849F" w14:textId="77777777" w:rsidTr="00303D91">
        <w:trPr>
          <w:trHeight w:val="458"/>
        </w:trPr>
        <w:tc>
          <w:tcPr>
            <w:tcW w:w="1211" w:type="dxa"/>
            <w:vMerge/>
            <w:tcBorders>
              <w:top w:val="nil"/>
              <w:left w:val="single" w:sz="8" w:space="0" w:color="auto"/>
              <w:bottom w:val="single" w:sz="8" w:space="0" w:color="000000"/>
              <w:right w:val="single" w:sz="8" w:space="0" w:color="auto"/>
            </w:tcBorders>
            <w:vAlign w:val="center"/>
            <w:hideMark/>
          </w:tcPr>
          <w:p w14:paraId="4C9EC836" w14:textId="77777777" w:rsidR="003E069C" w:rsidRPr="00311827" w:rsidRDefault="003E069C" w:rsidP="00303D91">
            <w:pPr>
              <w:rPr>
                <w:rFonts w:eastAsia="Times New Roman"/>
                <w:color w:val="595959"/>
              </w:rPr>
            </w:pPr>
          </w:p>
        </w:tc>
        <w:tc>
          <w:tcPr>
            <w:tcW w:w="2897" w:type="dxa"/>
            <w:vMerge/>
            <w:tcBorders>
              <w:top w:val="nil"/>
              <w:left w:val="single" w:sz="8" w:space="0" w:color="auto"/>
              <w:bottom w:val="single" w:sz="8" w:space="0" w:color="000000"/>
              <w:right w:val="single" w:sz="8" w:space="0" w:color="auto"/>
            </w:tcBorders>
            <w:vAlign w:val="center"/>
            <w:hideMark/>
          </w:tcPr>
          <w:p w14:paraId="0273A9DF" w14:textId="77777777" w:rsidR="003E069C" w:rsidRPr="00311827" w:rsidRDefault="003E069C" w:rsidP="00303D91">
            <w:pPr>
              <w:rPr>
                <w:rFonts w:eastAsia="Times New Roman"/>
                <w:color w:val="000000"/>
              </w:rPr>
            </w:pPr>
          </w:p>
        </w:tc>
        <w:tc>
          <w:tcPr>
            <w:tcW w:w="1940" w:type="dxa"/>
            <w:vMerge/>
            <w:tcBorders>
              <w:top w:val="nil"/>
              <w:left w:val="single" w:sz="8" w:space="0" w:color="auto"/>
              <w:bottom w:val="single" w:sz="8" w:space="0" w:color="000000"/>
              <w:right w:val="single" w:sz="8" w:space="0" w:color="auto"/>
            </w:tcBorders>
            <w:vAlign w:val="center"/>
            <w:hideMark/>
          </w:tcPr>
          <w:p w14:paraId="2A4872DB" w14:textId="77777777" w:rsidR="003E069C" w:rsidRPr="00311827" w:rsidRDefault="003E069C" w:rsidP="00303D91">
            <w:pPr>
              <w:rPr>
                <w:rFonts w:eastAsia="Times New Roman"/>
                <w:color w:val="595959"/>
              </w:rPr>
            </w:pPr>
          </w:p>
        </w:tc>
        <w:tc>
          <w:tcPr>
            <w:tcW w:w="1940" w:type="dxa"/>
            <w:vMerge/>
            <w:tcBorders>
              <w:top w:val="nil"/>
              <w:left w:val="single" w:sz="8" w:space="0" w:color="auto"/>
              <w:bottom w:val="single" w:sz="8" w:space="0" w:color="000000"/>
              <w:right w:val="single" w:sz="8" w:space="0" w:color="auto"/>
            </w:tcBorders>
            <w:vAlign w:val="center"/>
            <w:hideMark/>
          </w:tcPr>
          <w:p w14:paraId="386B00CC" w14:textId="77777777" w:rsidR="003E069C" w:rsidRPr="00311827" w:rsidRDefault="003E069C" w:rsidP="00303D91">
            <w:pPr>
              <w:rPr>
                <w:rFonts w:eastAsia="Times New Roman"/>
                <w:color w:val="595959"/>
              </w:rPr>
            </w:pPr>
          </w:p>
        </w:tc>
        <w:tc>
          <w:tcPr>
            <w:tcW w:w="1090" w:type="dxa"/>
            <w:vMerge/>
            <w:tcBorders>
              <w:top w:val="nil"/>
              <w:left w:val="single" w:sz="8" w:space="0" w:color="auto"/>
              <w:bottom w:val="single" w:sz="8" w:space="0" w:color="000000"/>
              <w:right w:val="single" w:sz="8" w:space="0" w:color="auto"/>
            </w:tcBorders>
            <w:vAlign w:val="center"/>
            <w:hideMark/>
          </w:tcPr>
          <w:p w14:paraId="7C0A564A" w14:textId="77777777" w:rsidR="003E069C" w:rsidRPr="00311827" w:rsidRDefault="003E069C" w:rsidP="00303D91">
            <w:pPr>
              <w:rPr>
                <w:rFonts w:eastAsia="Times New Roman"/>
                <w:color w:val="595959"/>
              </w:rPr>
            </w:pPr>
          </w:p>
        </w:tc>
        <w:tc>
          <w:tcPr>
            <w:tcW w:w="1108" w:type="dxa"/>
            <w:vMerge/>
            <w:tcBorders>
              <w:top w:val="nil"/>
              <w:left w:val="single" w:sz="8" w:space="0" w:color="auto"/>
              <w:bottom w:val="single" w:sz="8" w:space="0" w:color="000000"/>
              <w:right w:val="single" w:sz="8" w:space="0" w:color="auto"/>
            </w:tcBorders>
            <w:vAlign w:val="center"/>
            <w:hideMark/>
          </w:tcPr>
          <w:p w14:paraId="339D6053" w14:textId="77777777" w:rsidR="003E069C" w:rsidRPr="00311827" w:rsidRDefault="003E069C" w:rsidP="00303D91">
            <w:pPr>
              <w:rPr>
                <w:rFonts w:eastAsia="Times New Roman"/>
                <w:color w:val="595959"/>
              </w:rPr>
            </w:pPr>
          </w:p>
        </w:tc>
        <w:tc>
          <w:tcPr>
            <w:tcW w:w="1170" w:type="dxa"/>
            <w:vMerge/>
            <w:tcBorders>
              <w:top w:val="nil"/>
              <w:left w:val="single" w:sz="8" w:space="0" w:color="auto"/>
              <w:bottom w:val="single" w:sz="8" w:space="0" w:color="000000"/>
              <w:right w:val="single" w:sz="8" w:space="0" w:color="auto"/>
            </w:tcBorders>
            <w:vAlign w:val="center"/>
            <w:hideMark/>
          </w:tcPr>
          <w:p w14:paraId="37852B57" w14:textId="77777777" w:rsidR="003E069C" w:rsidRPr="00311827" w:rsidRDefault="003E069C" w:rsidP="00303D91">
            <w:pPr>
              <w:rPr>
                <w:rFonts w:eastAsia="Times New Roman"/>
                <w:color w:val="595959"/>
              </w:rPr>
            </w:pPr>
          </w:p>
        </w:tc>
      </w:tr>
      <w:tr w:rsidR="003E069C" w:rsidRPr="00311827" w14:paraId="3AF10655" w14:textId="77777777" w:rsidTr="00303D91">
        <w:trPr>
          <w:trHeight w:val="458"/>
        </w:trPr>
        <w:tc>
          <w:tcPr>
            <w:tcW w:w="1211" w:type="dxa"/>
            <w:vMerge w:val="restart"/>
            <w:tcBorders>
              <w:top w:val="nil"/>
              <w:left w:val="single" w:sz="8" w:space="0" w:color="auto"/>
              <w:bottom w:val="nil"/>
              <w:right w:val="single" w:sz="8" w:space="0" w:color="auto"/>
            </w:tcBorders>
            <w:shd w:val="clear" w:color="auto" w:fill="auto"/>
            <w:noWrap/>
            <w:vAlign w:val="center"/>
            <w:hideMark/>
          </w:tcPr>
          <w:p w14:paraId="48D87D56" w14:textId="77777777" w:rsidR="003E069C" w:rsidRPr="00311827" w:rsidRDefault="003E069C" w:rsidP="00303D91">
            <w:pPr>
              <w:jc w:val="center"/>
              <w:rPr>
                <w:rFonts w:eastAsia="Times New Roman"/>
                <w:color w:val="595959"/>
              </w:rPr>
            </w:pPr>
            <w:r w:rsidRPr="00311827">
              <w:rPr>
                <w:rFonts w:eastAsia="Times New Roman"/>
                <w:color w:val="595959"/>
              </w:rPr>
              <w:t>01</w:t>
            </w:r>
          </w:p>
        </w:tc>
        <w:tc>
          <w:tcPr>
            <w:tcW w:w="2897" w:type="dxa"/>
            <w:vMerge w:val="restart"/>
            <w:tcBorders>
              <w:top w:val="nil"/>
              <w:left w:val="single" w:sz="8" w:space="0" w:color="auto"/>
              <w:bottom w:val="nil"/>
              <w:right w:val="single" w:sz="8" w:space="0" w:color="auto"/>
            </w:tcBorders>
            <w:shd w:val="clear" w:color="auto" w:fill="auto"/>
            <w:vAlign w:val="bottom"/>
            <w:hideMark/>
          </w:tcPr>
          <w:p w14:paraId="344D2136" w14:textId="77777777" w:rsidR="003E069C" w:rsidRPr="00311827" w:rsidRDefault="003E069C" w:rsidP="00303D91">
            <w:pPr>
              <w:jc w:val="center"/>
              <w:rPr>
                <w:rFonts w:eastAsia="Times New Roman"/>
                <w:color w:val="000000"/>
              </w:rPr>
            </w:pPr>
            <w:r w:rsidRPr="00311827">
              <w:rPr>
                <w:rFonts w:eastAsia="Times New Roman"/>
                <w:color w:val="000000"/>
              </w:rPr>
              <w:t>Dirección y Coordinación</w:t>
            </w:r>
          </w:p>
        </w:tc>
        <w:tc>
          <w:tcPr>
            <w:tcW w:w="1940" w:type="dxa"/>
            <w:vMerge w:val="restart"/>
            <w:tcBorders>
              <w:top w:val="nil"/>
              <w:left w:val="single" w:sz="8" w:space="0" w:color="auto"/>
              <w:bottom w:val="nil"/>
              <w:right w:val="single" w:sz="8" w:space="0" w:color="auto"/>
            </w:tcBorders>
            <w:shd w:val="clear" w:color="auto" w:fill="auto"/>
            <w:noWrap/>
            <w:vAlign w:val="center"/>
            <w:hideMark/>
          </w:tcPr>
          <w:p w14:paraId="0DFFEDB6" w14:textId="77777777" w:rsidR="003E069C" w:rsidRPr="00311827" w:rsidRDefault="003E069C" w:rsidP="00303D91">
            <w:pPr>
              <w:jc w:val="right"/>
              <w:rPr>
                <w:rFonts w:eastAsia="Times New Roman"/>
                <w:color w:val="595959"/>
              </w:rPr>
            </w:pPr>
            <w:r w:rsidRPr="00311827">
              <w:rPr>
                <w:rFonts w:eastAsia="Times New Roman"/>
                <w:color w:val="595959"/>
              </w:rPr>
              <w:t>1,000,129,901.13</w:t>
            </w:r>
          </w:p>
        </w:tc>
        <w:tc>
          <w:tcPr>
            <w:tcW w:w="1940" w:type="dxa"/>
            <w:vMerge w:val="restart"/>
            <w:tcBorders>
              <w:top w:val="nil"/>
              <w:left w:val="single" w:sz="8" w:space="0" w:color="auto"/>
              <w:bottom w:val="nil"/>
              <w:right w:val="single" w:sz="8" w:space="0" w:color="auto"/>
            </w:tcBorders>
            <w:shd w:val="clear" w:color="auto" w:fill="auto"/>
            <w:noWrap/>
            <w:vAlign w:val="center"/>
            <w:hideMark/>
          </w:tcPr>
          <w:p w14:paraId="2E4F1178" w14:textId="77777777" w:rsidR="003E069C" w:rsidRPr="00311827" w:rsidRDefault="003E069C" w:rsidP="00303D91">
            <w:pPr>
              <w:jc w:val="right"/>
              <w:rPr>
                <w:rFonts w:eastAsia="Times New Roman"/>
                <w:color w:val="595959"/>
              </w:rPr>
            </w:pPr>
            <w:r w:rsidRPr="00311827">
              <w:rPr>
                <w:rFonts w:eastAsia="Times New Roman"/>
                <w:color w:val="595959"/>
              </w:rPr>
              <w:t>717,905,941.40</w:t>
            </w:r>
          </w:p>
        </w:tc>
        <w:tc>
          <w:tcPr>
            <w:tcW w:w="1090" w:type="dxa"/>
            <w:vMerge w:val="restart"/>
            <w:tcBorders>
              <w:top w:val="nil"/>
              <w:left w:val="single" w:sz="8" w:space="0" w:color="auto"/>
              <w:bottom w:val="nil"/>
              <w:right w:val="single" w:sz="8" w:space="0" w:color="auto"/>
            </w:tcBorders>
            <w:shd w:val="clear" w:color="auto" w:fill="auto"/>
            <w:noWrap/>
            <w:vAlign w:val="center"/>
            <w:hideMark/>
          </w:tcPr>
          <w:p w14:paraId="2A5E04D5" w14:textId="77777777" w:rsidR="003E069C" w:rsidRPr="00311827" w:rsidRDefault="003E069C" w:rsidP="00303D91">
            <w:pPr>
              <w:jc w:val="center"/>
              <w:rPr>
                <w:rFonts w:eastAsia="Times New Roman"/>
                <w:color w:val="595959"/>
              </w:rPr>
            </w:pPr>
            <w:r w:rsidRPr="00311827">
              <w:rPr>
                <w:rFonts w:eastAsia="Times New Roman"/>
                <w:color w:val="595959"/>
              </w:rPr>
              <w:t>N/A</w:t>
            </w:r>
          </w:p>
        </w:tc>
        <w:tc>
          <w:tcPr>
            <w:tcW w:w="1108" w:type="dxa"/>
            <w:vMerge w:val="restart"/>
            <w:tcBorders>
              <w:top w:val="nil"/>
              <w:left w:val="single" w:sz="8" w:space="0" w:color="auto"/>
              <w:bottom w:val="nil"/>
              <w:right w:val="single" w:sz="8" w:space="0" w:color="auto"/>
            </w:tcBorders>
            <w:shd w:val="clear" w:color="auto" w:fill="auto"/>
            <w:noWrap/>
            <w:vAlign w:val="center"/>
            <w:hideMark/>
          </w:tcPr>
          <w:p w14:paraId="73EC29DB" w14:textId="77777777" w:rsidR="003E069C" w:rsidRPr="00311827" w:rsidRDefault="003E069C" w:rsidP="00303D91">
            <w:pPr>
              <w:jc w:val="center"/>
              <w:rPr>
                <w:rFonts w:eastAsia="Times New Roman"/>
                <w:color w:val="595959"/>
              </w:rPr>
            </w:pPr>
            <w:r w:rsidRPr="00311827">
              <w:rPr>
                <w:rFonts w:eastAsia="Times New Roman"/>
                <w:color w:val="595959"/>
              </w:rPr>
              <w:t>72%</w:t>
            </w:r>
          </w:p>
        </w:tc>
        <w:tc>
          <w:tcPr>
            <w:tcW w:w="1170" w:type="dxa"/>
            <w:vMerge w:val="restart"/>
            <w:tcBorders>
              <w:top w:val="nil"/>
              <w:left w:val="single" w:sz="8" w:space="0" w:color="auto"/>
              <w:bottom w:val="nil"/>
              <w:right w:val="single" w:sz="8" w:space="0" w:color="auto"/>
            </w:tcBorders>
            <w:shd w:val="clear" w:color="auto" w:fill="auto"/>
            <w:noWrap/>
            <w:vAlign w:val="center"/>
            <w:hideMark/>
          </w:tcPr>
          <w:p w14:paraId="460EA587" w14:textId="77777777" w:rsidR="003E069C" w:rsidRPr="00311827" w:rsidRDefault="003E069C" w:rsidP="00303D91">
            <w:pPr>
              <w:jc w:val="center"/>
              <w:rPr>
                <w:rFonts w:eastAsia="Times New Roman"/>
                <w:color w:val="595959"/>
              </w:rPr>
            </w:pPr>
            <w:r w:rsidRPr="00311827">
              <w:rPr>
                <w:rFonts w:eastAsia="Times New Roman"/>
                <w:color w:val="595959"/>
              </w:rPr>
              <w:t>N/A</w:t>
            </w:r>
          </w:p>
        </w:tc>
      </w:tr>
      <w:tr w:rsidR="003E069C" w:rsidRPr="00311827" w14:paraId="65975015" w14:textId="77777777" w:rsidTr="00303D91">
        <w:trPr>
          <w:trHeight w:val="458"/>
        </w:trPr>
        <w:tc>
          <w:tcPr>
            <w:tcW w:w="1211" w:type="dxa"/>
            <w:vMerge/>
            <w:tcBorders>
              <w:top w:val="nil"/>
              <w:left w:val="single" w:sz="8" w:space="0" w:color="auto"/>
              <w:bottom w:val="nil"/>
              <w:right w:val="single" w:sz="8" w:space="0" w:color="auto"/>
            </w:tcBorders>
            <w:vAlign w:val="center"/>
            <w:hideMark/>
          </w:tcPr>
          <w:p w14:paraId="4B8CBFFF" w14:textId="77777777" w:rsidR="003E069C" w:rsidRPr="00311827" w:rsidRDefault="003E069C" w:rsidP="00303D91">
            <w:pPr>
              <w:rPr>
                <w:rFonts w:eastAsia="Times New Roman"/>
                <w:color w:val="595959"/>
              </w:rPr>
            </w:pPr>
          </w:p>
        </w:tc>
        <w:tc>
          <w:tcPr>
            <w:tcW w:w="2897" w:type="dxa"/>
            <w:vMerge/>
            <w:tcBorders>
              <w:top w:val="nil"/>
              <w:left w:val="single" w:sz="8" w:space="0" w:color="auto"/>
              <w:bottom w:val="nil"/>
              <w:right w:val="single" w:sz="8" w:space="0" w:color="auto"/>
            </w:tcBorders>
            <w:vAlign w:val="center"/>
            <w:hideMark/>
          </w:tcPr>
          <w:p w14:paraId="71AE80A9" w14:textId="77777777" w:rsidR="003E069C" w:rsidRPr="00311827" w:rsidRDefault="003E069C" w:rsidP="00303D91">
            <w:pPr>
              <w:rPr>
                <w:rFonts w:eastAsia="Times New Roman"/>
                <w:color w:val="000000"/>
              </w:rPr>
            </w:pPr>
          </w:p>
        </w:tc>
        <w:tc>
          <w:tcPr>
            <w:tcW w:w="1940" w:type="dxa"/>
            <w:vMerge/>
            <w:tcBorders>
              <w:top w:val="nil"/>
              <w:left w:val="single" w:sz="8" w:space="0" w:color="auto"/>
              <w:bottom w:val="nil"/>
              <w:right w:val="single" w:sz="8" w:space="0" w:color="auto"/>
            </w:tcBorders>
            <w:vAlign w:val="center"/>
            <w:hideMark/>
          </w:tcPr>
          <w:p w14:paraId="4E8ACA3B" w14:textId="77777777" w:rsidR="003E069C" w:rsidRPr="00311827" w:rsidRDefault="003E069C" w:rsidP="00303D91">
            <w:pPr>
              <w:rPr>
                <w:rFonts w:eastAsia="Times New Roman"/>
                <w:color w:val="595959"/>
              </w:rPr>
            </w:pPr>
          </w:p>
        </w:tc>
        <w:tc>
          <w:tcPr>
            <w:tcW w:w="1940" w:type="dxa"/>
            <w:vMerge/>
            <w:tcBorders>
              <w:top w:val="nil"/>
              <w:left w:val="single" w:sz="8" w:space="0" w:color="auto"/>
              <w:bottom w:val="nil"/>
              <w:right w:val="single" w:sz="8" w:space="0" w:color="auto"/>
            </w:tcBorders>
            <w:vAlign w:val="center"/>
            <w:hideMark/>
          </w:tcPr>
          <w:p w14:paraId="3D7D1692" w14:textId="77777777" w:rsidR="003E069C" w:rsidRPr="00311827" w:rsidRDefault="003E069C" w:rsidP="00303D91">
            <w:pPr>
              <w:rPr>
                <w:rFonts w:eastAsia="Times New Roman"/>
                <w:color w:val="595959"/>
              </w:rPr>
            </w:pPr>
          </w:p>
        </w:tc>
        <w:tc>
          <w:tcPr>
            <w:tcW w:w="1090" w:type="dxa"/>
            <w:vMerge/>
            <w:tcBorders>
              <w:top w:val="nil"/>
              <w:left w:val="single" w:sz="8" w:space="0" w:color="auto"/>
              <w:bottom w:val="nil"/>
              <w:right w:val="single" w:sz="8" w:space="0" w:color="auto"/>
            </w:tcBorders>
            <w:vAlign w:val="center"/>
            <w:hideMark/>
          </w:tcPr>
          <w:p w14:paraId="02D7B06A" w14:textId="77777777" w:rsidR="003E069C" w:rsidRPr="00311827" w:rsidRDefault="003E069C" w:rsidP="00303D91">
            <w:pPr>
              <w:rPr>
                <w:rFonts w:eastAsia="Times New Roman"/>
                <w:color w:val="595959"/>
              </w:rPr>
            </w:pPr>
          </w:p>
        </w:tc>
        <w:tc>
          <w:tcPr>
            <w:tcW w:w="1108" w:type="dxa"/>
            <w:vMerge/>
            <w:tcBorders>
              <w:top w:val="nil"/>
              <w:left w:val="single" w:sz="8" w:space="0" w:color="auto"/>
              <w:bottom w:val="nil"/>
              <w:right w:val="single" w:sz="8" w:space="0" w:color="auto"/>
            </w:tcBorders>
            <w:vAlign w:val="center"/>
            <w:hideMark/>
          </w:tcPr>
          <w:p w14:paraId="27979007" w14:textId="77777777" w:rsidR="003E069C" w:rsidRPr="00311827" w:rsidRDefault="003E069C" w:rsidP="00303D91">
            <w:pPr>
              <w:rPr>
                <w:rFonts w:eastAsia="Times New Roman"/>
                <w:color w:val="595959"/>
              </w:rPr>
            </w:pPr>
          </w:p>
        </w:tc>
        <w:tc>
          <w:tcPr>
            <w:tcW w:w="1170" w:type="dxa"/>
            <w:vMerge/>
            <w:tcBorders>
              <w:top w:val="nil"/>
              <w:left w:val="single" w:sz="8" w:space="0" w:color="auto"/>
              <w:bottom w:val="nil"/>
              <w:right w:val="single" w:sz="8" w:space="0" w:color="auto"/>
            </w:tcBorders>
            <w:vAlign w:val="center"/>
            <w:hideMark/>
          </w:tcPr>
          <w:p w14:paraId="7C7D14E3" w14:textId="77777777" w:rsidR="003E069C" w:rsidRPr="00311827" w:rsidRDefault="003E069C" w:rsidP="00303D91">
            <w:pPr>
              <w:rPr>
                <w:rFonts w:eastAsia="Times New Roman"/>
                <w:color w:val="595959"/>
              </w:rPr>
            </w:pPr>
          </w:p>
        </w:tc>
      </w:tr>
      <w:tr w:rsidR="003E069C" w:rsidRPr="00311827" w14:paraId="65F928C2" w14:textId="77777777" w:rsidTr="00303D91">
        <w:trPr>
          <w:trHeight w:val="272"/>
        </w:trPr>
        <w:tc>
          <w:tcPr>
            <w:tcW w:w="1211" w:type="dxa"/>
            <w:tcBorders>
              <w:top w:val="single" w:sz="8" w:space="0" w:color="auto"/>
              <w:left w:val="single" w:sz="8" w:space="0" w:color="auto"/>
              <w:bottom w:val="nil"/>
              <w:right w:val="single" w:sz="8" w:space="0" w:color="auto"/>
            </w:tcBorders>
            <w:shd w:val="clear" w:color="000000" w:fill="002060"/>
            <w:vAlign w:val="center"/>
            <w:hideMark/>
          </w:tcPr>
          <w:p w14:paraId="78E82D23" w14:textId="77777777" w:rsidR="003E069C" w:rsidRPr="00311827" w:rsidRDefault="003E069C" w:rsidP="00303D91">
            <w:pPr>
              <w:jc w:val="center"/>
              <w:rPr>
                <w:rFonts w:eastAsia="Times New Roman"/>
                <w:b/>
                <w:bCs/>
                <w:color w:val="FFFFFF"/>
              </w:rPr>
            </w:pPr>
            <w:proofErr w:type="spellStart"/>
            <w:r w:rsidRPr="00311827">
              <w:rPr>
                <w:rFonts w:eastAsia="Times New Roman"/>
                <w:b/>
                <w:bCs/>
                <w:color w:val="FFFFFF"/>
              </w:rPr>
              <w:t>Totales</w:t>
            </w:r>
            <w:proofErr w:type="spellEnd"/>
          </w:p>
        </w:tc>
        <w:tc>
          <w:tcPr>
            <w:tcW w:w="2897" w:type="dxa"/>
            <w:tcBorders>
              <w:top w:val="single" w:sz="8" w:space="0" w:color="auto"/>
              <w:left w:val="nil"/>
              <w:bottom w:val="nil"/>
              <w:right w:val="single" w:sz="8" w:space="0" w:color="auto"/>
            </w:tcBorders>
            <w:shd w:val="clear" w:color="000000" w:fill="002060"/>
            <w:vAlign w:val="center"/>
            <w:hideMark/>
          </w:tcPr>
          <w:p w14:paraId="7E188D0D" w14:textId="77777777" w:rsidR="003E069C" w:rsidRPr="00311827" w:rsidRDefault="003E069C" w:rsidP="00303D91">
            <w:pPr>
              <w:jc w:val="center"/>
              <w:rPr>
                <w:rFonts w:eastAsia="Times New Roman"/>
                <w:b/>
                <w:bCs/>
                <w:color w:val="FFFFFF"/>
              </w:rPr>
            </w:pPr>
            <w:r w:rsidRPr="00311827">
              <w:rPr>
                <w:rFonts w:eastAsia="Times New Roman"/>
                <w:b/>
                <w:bCs/>
                <w:color w:val="FFFFFF"/>
              </w:rPr>
              <w:t> </w:t>
            </w:r>
          </w:p>
        </w:tc>
        <w:tc>
          <w:tcPr>
            <w:tcW w:w="1940" w:type="dxa"/>
            <w:tcBorders>
              <w:top w:val="single" w:sz="8" w:space="0" w:color="auto"/>
              <w:left w:val="nil"/>
              <w:bottom w:val="nil"/>
              <w:right w:val="single" w:sz="8" w:space="0" w:color="auto"/>
            </w:tcBorders>
            <w:shd w:val="clear" w:color="000000" w:fill="002060"/>
            <w:vAlign w:val="center"/>
            <w:hideMark/>
          </w:tcPr>
          <w:p w14:paraId="0EE816F3" w14:textId="77777777" w:rsidR="003E069C" w:rsidRPr="00311827" w:rsidRDefault="003E069C" w:rsidP="00303D91">
            <w:pPr>
              <w:jc w:val="center"/>
              <w:rPr>
                <w:rFonts w:eastAsia="Times New Roman"/>
                <w:b/>
                <w:bCs/>
                <w:color w:val="FFFFFF"/>
              </w:rPr>
            </w:pPr>
            <w:r w:rsidRPr="00311827">
              <w:rPr>
                <w:rFonts w:eastAsia="Times New Roman"/>
                <w:b/>
                <w:bCs/>
                <w:color w:val="FFFFFF"/>
              </w:rPr>
              <w:t xml:space="preserve">  23,275,767,774.13 </w:t>
            </w:r>
          </w:p>
        </w:tc>
        <w:tc>
          <w:tcPr>
            <w:tcW w:w="1940" w:type="dxa"/>
            <w:tcBorders>
              <w:top w:val="single" w:sz="8" w:space="0" w:color="auto"/>
              <w:left w:val="nil"/>
              <w:bottom w:val="nil"/>
              <w:right w:val="single" w:sz="8" w:space="0" w:color="auto"/>
            </w:tcBorders>
            <w:shd w:val="clear" w:color="000000" w:fill="002060"/>
            <w:vAlign w:val="center"/>
            <w:hideMark/>
          </w:tcPr>
          <w:p w14:paraId="78C5190D" w14:textId="77777777" w:rsidR="003E069C" w:rsidRPr="00311827" w:rsidRDefault="003E069C" w:rsidP="00303D91">
            <w:pPr>
              <w:jc w:val="center"/>
              <w:rPr>
                <w:rFonts w:eastAsia="Times New Roman"/>
                <w:b/>
                <w:bCs/>
                <w:color w:val="FFFFFF"/>
              </w:rPr>
            </w:pPr>
            <w:r w:rsidRPr="00311827">
              <w:rPr>
                <w:rFonts w:eastAsia="Times New Roman"/>
                <w:b/>
                <w:bCs/>
                <w:color w:val="FFFFFF"/>
              </w:rPr>
              <w:t xml:space="preserve">  21,243,262,741.24 </w:t>
            </w:r>
          </w:p>
        </w:tc>
        <w:tc>
          <w:tcPr>
            <w:tcW w:w="1090" w:type="dxa"/>
            <w:tcBorders>
              <w:top w:val="single" w:sz="8" w:space="0" w:color="auto"/>
              <w:left w:val="nil"/>
              <w:bottom w:val="nil"/>
              <w:right w:val="single" w:sz="8" w:space="0" w:color="auto"/>
            </w:tcBorders>
            <w:shd w:val="clear" w:color="000000" w:fill="002060"/>
            <w:vAlign w:val="center"/>
            <w:hideMark/>
          </w:tcPr>
          <w:p w14:paraId="3C5F1171" w14:textId="77777777" w:rsidR="003E069C" w:rsidRPr="00311827" w:rsidRDefault="003E069C" w:rsidP="00303D91">
            <w:pPr>
              <w:jc w:val="center"/>
              <w:rPr>
                <w:rFonts w:eastAsia="Times New Roman"/>
                <w:b/>
                <w:bCs/>
                <w:color w:val="FFFFFF"/>
              </w:rPr>
            </w:pPr>
            <w:r w:rsidRPr="00311827">
              <w:rPr>
                <w:rFonts w:eastAsia="Times New Roman"/>
                <w:b/>
                <w:bCs/>
                <w:color w:val="FFFFFF"/>
              </w:rPr>
              <w:t>N/A</w:t>
            </w:r>
          </w:p>
        </w:tc>
        <w:tc>
          <w:tcPr>
            <w:tcW w:w="1108" w:type="dxa"/>
            <w:tcBorders>
              <w:top w:val="single" w:sz="8" w:space="0" w:color="auto"/>
              <w:left w:val="nil"/>
              <w:bottom w:val="nil"/>
              <w:right w:val="single" w:sz="8" w:space="0" w:color="auto"/>
            </w:tcBorders>
            <w:shd w:val="clear" w:color="000000" w:fill="002060"/>
            <w:vAlign w:val="center"/>
            <w:hideMark/>
          </w:tcPr>
          <w:p w14:paraId="262CF07F" w14:textId="77777777" w:rsidR="003E069C" w:rsidRPr="00311827" w:rsidRDefault="003E069C" w:rsidP="00303D91">
            <w:pPr>
              <w:jc w:val="center"/>
              <w:rPr>
                <w:rFonts w:eastAsia="Times New Roman"/>
                <w:b/>
                <w:bCs/>
                <w:color w:val="FFFFFF"/>
              </w:rPr>
            </w:pPr>
            <w:r w:rsidRPr="00311827">
              <w:rPr>
                <w:rFonts w:eastAsia="Times New Roman"/>
                <w:b/>
                <w:bCs/>
                <w:color w:val="FFFFFF"/>
              </w:rPr>
              <w:t>91%</w:t>
            </w:r>
          </w:p>
        </w:tc>
        <w:tc>
          <w:tcPr>
            <w:tcW w:w="1170" w:type="dxa"/>
            <w:tcBorders>
              <w:top w:val="single" w:sz="8" w:space="0" w:color="auto"/>
              <w:left w:val="nil"/>
              <w:bottom w:val="nil"/>
              <w:right w:val="single" w:sz="8" w:space="0" w:color="auto"/>
            </w:tcBorders>
            <w:shd w:val="clear" w:color="000000" w:fill="002060"/>
            <w:vAlign w:val="center"/>
            <w:hideMark/>
          </w:tcPr>
          <w:p w14:paraId="251306D0" w14:textId="77777777" w:rsidR="003E069C" w:rsidRPr="00311827" w:rsidRDefault="003E069C" w:rsidP="00303D91">
            <w:pPr>
              <w:jc w:val="center"/>
              <w:rPr>
                <w:rFonts w:eastAsia="Times New Roman"/>
                <w:b/>
                <w:bCs/>
                <w:color w:val="FFFFFF"/>
              </w:rPr>
            </w:pPr>
            <w:r w:rsidRPr="00311827">
              <w:rPr>
                <w:rFonts w:eastAsia="Times New Roman"/>
                <w:b/>
                <w:bCs/>
                <w:color w:val="FFFFFF"/>
              </w:rPr>
              <w:t>N/A</w:t>
            </w:r>
          </w:p>
        </w:tc>
      </w:tr>
    </w:tbl>
    <w:p w14:paraId="72B72136" w14:textId="6D488F75" w:rsidR="003E069C" w:rsidRDefault="003E069C" w:rsidP="003E069C"/>
    <w:p w14:paraId="13B47E8E" w14:textId="691A0171" w:rsidR="007113C0" w:rsidRDefault="007113C0" w:rsidP="003E069C"/>
    <w:p w14:paraId="25B64E47" w14:textId="77777777" w:rsidR="00CB6C42" w:rsidRPr="003E069C" w:rsidRDefault="00CB6C42" w:rsidP="003E069C"/>
    <w:p w14:paraId="431E62CF" w14:textId="2877B290" w:rsidR="009B7BFD" w:rsidRPr="00CD1193" w:rsidRDefault="001E674D" w:rsidP="004A7B4D">
      <w:pPr>
        <w:pStyle w:val="Heading2"/>
        <w:keepNext w:val="0"/>
        <w:numPr>
          <w:ilvl w:val="1"/>
          <w:numId w:val="101"/>
        </w:numPr>
        <w:ind w:left="2160" w:hanging="374"/>
        <w:rPr>
          <w:b/>
          <w:bCs/>
        </w:rPr>
      </w:pPr>
      <w:bookmarkStart w:id="143" w:name="_Toc217382632"/>
      <w:proofErr w:type="spellStart"/>
      <w:r w:rsidRPr="001E674D">
        <w:rPr>
          <w:b/>
          <w:bCs/>
        </w:rPr>
        <w:t>Matriz</w:t>
      </w:r>
      <w:proofErr w:type="spellEnd"/>
      <w:r w:rsidRPr="001E674D">
        <w:rPr>
          <w:b/>
          <w:bCs/>
        </w:rPr>
        <w:t xml:space="preserve"> de </w:t>
      </w:r>
      <w:proofErr w:type="spellStart"/>
      <w:r w:rsidRPr="001E674D">
        <w:rPr>
          <w:b/>
          <w:bCs/>
        </w:rPr>
        <w:t>Principales</w:t>
      </w:r>
      <w:proofErr w:type="spellEnd"/>
      <w:r w:rsidRPr="001E674D">
        <w:rPr>
          <w:b/>
          <w:bCs/>
        </w:rPr>
        <w:t xml:space="preserve"> </w:t>
      </w:r>
      <w:proofErr w:type="spellStart"/>
      <w:r w:rsidRPr="001E674D">
        <w:rPr>
          <w:b/>
          <w:bCs/>
        </w:rPr>
        <w:t>Indicadores</w:t>
      </w:r>
      <w:proofErr w:type="spellEnd"/>
      <w:r w:rsidRPr="001E674D">
        <w:rPr>
          <w:b/>
          <w:bCs/>
        </w:rPr>
        <w:t xml:space="preserve"> del POA</w:t>
      </w:r>
      <w:bookmarkStart w:id="144" w:name="_Toc185843650"/>
      <w:bookmarkEnd w:id="142"/>
      <w:bookmarkEnd w:id="143"/>
    </w:p>
    <w:tbl>
      <w:tblPr>
        <w:tblpPr w:leftFromText="141" w:rightFromText="141" w:vertAnchor="page" w:horzAnchor="margin" w:tblpY="2460"/>
        <w:tblW w:w="12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7"/>
        <w:gridCol w:w="2318"/>
        <w:gridCol w:w="2520"/>
        <w:gridCol w:w="1258"/>
        <w:gridCol w:w="1275"/>
        <w:gridCol w:w="1276"/>
        <w:gridCol w:w="1276"/>
        <w:gridCol w:w="1134"/>
        <w:gridCol w:w="1276"/>
      </w:tblGrid>
      <w:tr w:rsidR="004E4E4B" w:rsidRPr="0021707C" w14:paraId="69A4887D" w14:textId="77777777" w:rsidTr="009D61CE">
        <w:trPr>
          <w:cantSplit/>
          <w:trHeight w:val="737"/>
          <w:tblHeader/>
        </w:trPr>
        <w:tc>
          <w:tcPr>
            <w:tcW w:w="557" w:type="dxa"/>
            <w:shd w:val="clear" w:color="auto" w:fill="1F3864" w:themeFill="accent1" w:themeFillShade="80"/>
            <w:noWrap/>
            <w:tcMar>
              <w:top w:w="0" w:type="dxa"/>
              <w:left w:w="70" w:type="dxa"/>
              <w:bottom w:w="0" w:type="dxa"/>
              <w:right w:w="70" w:type="dxa"/>
            </w:tcMar>
            <w:vAlign w:val="center"/>
          </w:tcPr>
          <w:p w14:paraId="30B07CB8" w14:textId="54871FDC"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No.</w:t>
            </w:r>
          </w:p>
        </w:tc>
        <w:tc>
          <w:tcPr>
            <w:tcW w:w="2318" w:type="dxa"/>
            <w:shd w:val="clear" w:color="auto" w:fill="1F3864" w:themeFill="accent1" w:themeFillShade="80"/>
            <w:tcMar>
              <w:top w:w="0" w:type="dxa"/>
              <w:left w:w="70" w:type="dxa"/>
              <w:bottom w:w="0" w:type="dxa"/>
              <w:right w:w="70" w:type="dxa"/>
            </w:tcMar>
            <w:vAlign w:val="center"/>
          </w:tcPr>
          <w:p w14:paraId="7DAD7455" w14:textId="0B47B210"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0254EAC0" w14:textId="4709E804"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1F9FE0F4" w14:textId="77777777" w:rsidR="002348D5" w:rsidRPr="0021707C" w:rsidRDefault="002348D5" w:rsidP="002348D5">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0EBE839F" w14:textId="5385A145"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3DCC2343" w14:textId="3DDAD695"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7C57652A" w14:textId="77777777" w:rsidR="002348D5" w:rsidRPr="0021707C" w:rsidRDefault="002348D5" w:rsidP="002348D5">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5B718A2B" w14:textId="3FD0FE55"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2DCE82BE" w14:textId="2A383ACA"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667A74CF" w14:textId="4EFAED42"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6AB053A1" w14:textId="77777777" w:rsidR="002348D5" w:rsidRPr="0021707C" w:rsidRDefault="002348D5" w:rsidP="002348D5">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02E0157A" w14:textId="0985302B" w:rsidR="002348D5" w:rsidRPr="0021707C" w:rsidRDefault="002348D5"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04CE1FDD" w14:textId="77777777" w:rsidTr="009D61CE">
        <w:trPr>
          <w:trHeight w:val="737"/>
        </w:trPr>
        <w:tc>
          <w:tcPr>
            <w:tcW w:w="557" w:type="dxa"/>
            <w:noWrap/>
            <w:tcMar>
              <w:top w:w="0" w:type="dxa"/>
              <w:left w:w="70" w:type="dxa"/>
              <w:bottom w:w="0" w:type="dxa"/>
              <w:right w:w="70" w:type="dxa"/>
            </w:tcMar>
            <w:vAlign w:val="center"/>
          </w:tcPr>
          <w:p w14:paraId="2A6B1746"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2318" w:type="dxa"/>
            <w:vMerge w:val="restart"/>
            <w:tcMar>
              <w:top w:w="0" w:type="dxa"/>
              <w:left w:w="70" w:type="dxa"/>
              <w:bottom w:w="0" w:type="dxa"/>
              <w:right w:w="70" w:type="dxa"/>
            </w:tcMar>
            <w:vAlign w:val="center"/>
          </w:tcPr>
          <w:p w14:paraId="6968A6BA"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SETESSAN</w:t>
            </w:r>
          </w:p>
        </w:tc>
        <w:tc>
          <w:tcPr>
            <w:tcW w:w="2520" w:type="dxa"/>
            <w:noWrap/>
            <w:tcMar>
              <w:top w:w="0" w:type="dxa"/>
              <w:left w:w="70" w:type="dxa"/>
              <w:bottom w:w="0" w:type="dxa"/>
              <w:right w:w="70" w:type="dxa"/>
            </w:tcMar>
            <w:vAlign w:val="center"/>
          </w:tcPr>
          <w:p w14:paraId="6ED126A7"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Asamblea SSAN</w:t>
            </w:r>
          </w:p>
        </w:tc>
        <w:tc>
          <w:tcPr>
            <w:tcW w:w="1258" w:type="dxa"/>
            <w:noWrap/>
            <w:tcMar>
              <w:top w:w="0" w:type="dxa"/>
              <w:left w:w="70" w:type="dxa"/>
              <w:bottom w:w="0" w:type="dxa"/>
              <w:right w:w="70" w:type="dxa"/>
            </w:tcMar>
            <w:vAlign w:val="center"/>
          </w:tcPr>
          <w:p w14:paraId="68C4C2E3"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Evento Realizado</w:t>
            </w:r>
          </w:p>
        </w:tc>
        <w:tc>
          <w:tcPr>
            <w:tcW w:w="1275" w:type="dxa"/>
            <w:noWrap/>
            <w:tcMar>
              <w:top w:w="0" w:type="dxa"/>
              <w:left w:w="70" w:type="dxa"/>
              <w:bottom w:w="0" w:type="dxa"/>
              <w:right w:w="70" w:type="dxa"/>
            </w:tcMar>
            <w:vAlign w:val="center"/>
          </w:tcPr>
          <w:p w14:paraId="5F755FCC"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34E8ED14"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53</w:t>
            </w:r>
          </w:p>
        </w:tc>
        <w:tc>
          <w:tcPr>
            <w:tcW w:w="1276" w:type="dxa"/>
            <w:noWrap/>
            <w:tcMar>
              <w:top w:w="0" w:type="dxa"/>
              <w:left w:w="70" w:type="dxa"/>
              <w:bottom w:w="0" w:type="dxa"/>
              <w:right w:w="70" w:type="dxa"/>
            </w:tcMar>
            <w:vAlign w:val="center"/>
          </w:tcPr>
          <w:p w14:paraId="66DBD52E"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53</w:t>
            </w:r>
          </w:p>
        </w:tc>
        <w:tc>
          <w:tcPr>
            <w:tcW w:w="1134" w:type="dxa"/>
            <w:vAlign w:val="center"/>
          </w:tcPr>
          <w:p w14:paraId="1A8E3967"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53</w:t>
            </w:r>
          </w:p>
        </w:tc>
        <w:tc>
          <w:tcPr>
            <w:tcW w:w="1276" w:type="dxa"/>
            <w:vAlign w:val="center"/>
          </w:tcPr>
          <w:p w14:paraId="5D3CE947"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2219D1F3" w14:textId="77777777" w:rsidTr="009D61CE">
        <w:trPr>
          <w:trHeight w:val="737"/>
        </w:trPr>
        <w:tc>
          <w:tcPr>
            <w:tcW w:w="557" w:type="dxa"/>
            <w:noWrap/>
            <w:tcMar>
              <w:top w:w="0" w:type="dxa"/>
              <w:left w:w="70" w:type="dxa"/>
              <w:bottom w:w="0" w:type="dxa"/>
              <w:right w:w="70" w:type="dxa"/>
            </w:tcMar>
            <w:vAlign w:val="center"/>
          </w:tcPr>
          <w:p w14:paraId="72A9174E"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2318" w:type="dxa"/>
            <w:vMerge/>
            <w:tcMar>
              <w:top w:w="0" w:type="dxa"/>
              <w:left w:w="70" w:type="dxa"/>
              <w:bottom w:w="0" w:type="dxa"/>
              <w:right w:w="70" w:type="dxa"/>
            </w:tcMar>
            <w:vAlign w:val="center"/>
          </w:tcPr>
          <w:p w14:paraId="5BF00A1D"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22C0E144"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Campañas SSAN</w:t>
            </w:r>
          </w:p>
        </w:tc>
        <w:tc>
          <w:tcPr>
            <w:tcW w:w="1258" w:type="dxa"/>
            <w:noWrap/>
            <w:tcMar>
              <w:top w:w="0" w:type="dxa"/>
              <w:left w:w="70" w:type="dxa"/>
              <w:bottom w:w="0" w:type="dxa"/>
              <w:right w:w="70" w:type="dxa"/>
            </w:tcMar>
            <w:vAlign w:val="center"/>
          </w:tcPr>
          <w:p w14:paraId="5C8EA24D"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informes elaborados</w:t>
            </w:r>
          </w:p>
        </w:tc>
        <w:tc>
          <w:tcPr>
            <w:tcW w:w="1275" w:type="dxa"/>
            <w:noWrap/>
            <w:tcMar>
              <w:top w:w="0" w:type="dxa"/>
              <w:left w:w="70" w:type="dxa"/>
              <w:bottom w:w="0" w:type="dxa"/>
              <w:right w:w="70" w:type="dxa"/>
            </w:tcMar>
            <w:vAlign w:val="center"/>
          </w:tcPr>
          <w:p w14:paraId="66F55171"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6C424459"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276" w:type="dxa"/>
            <w:noWrap/>
            <w:tcMar>
              <w:top w:w="0" w:type="dxa"/>
              <w:left w:w="70" w:type="dxa"/>
              <w:bottom w:w="0" w:type="dxa"/>
              <w:right w:w="70" w:type="dxa"/>
            </w:tcMar>
            <w:vAlign w:val="center"/>
          </w:tcPr>
          <w:p w14:paraId="4545048A"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134" w:type="dxa"/>
            <w:vAlign w:val="center"/>
          </w:tcPr>
          <w:p w14:paraId="03CC05DE"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276" w:type="dxa"/>
            <w:vAlign w:val="center"/>
          </w:tcPr>
          <w:p w14:paraId="4509C00F"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132CD87F" w14:textId="77777777" w:rsidTr="009D61CE">
        <w:trPr>
          <w:trHeight w:val="737"/>
        </w:trPr>
        <w:tc>
          <w:tcPr>
            <w:tcW w:w="557" w:type="dxa"/>
            <w:noWrap/>
            <w:tcMar>
              <w:top w:w="0" w:type="dxa"/>
              <w:left w:w="70" w:type="dxa"/>
              <w:bottom w:w="0" w:type="dxa"/>
              <w:right w:w="70" w:type="dxa"/>
            </w:tcMar>
            <w:vAlign w:val="center"/>
          </w:tcPr>
          <w:p w14:paraId="53980A3A"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w:t>
            </w:r>
          </w:p>
        </w:tc>
        <w:tc>
          <w:tcPr>
            <w:tcW w:w="2318" w:type="dxa"/>
            <w:vMerge/>
            <w:tcMar>
              <w:top w:w="0" w:type="dxa"/>
              <w:left w:w="70" w:type="dxa"/>
              <w:bottom w:w="0" w:type="dxa"/>
              <w:right w:w="70" w:type="dxa"/>
            </w:tcMar>
            <w:vAlign w:val="center"/>
          </w:tcPr>
          <w:p w14:paraId="0ACD40B2"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7F37962C"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Capacitaciones SSAN</w:t>
            </w:r>
          </w:p>
        </w:tc>
        <w:tc>
          <w:tcPr>
            <w:tcW w:w="1258" w:type="dxa"/>
            <w:noWrap/>
            <w:tcMar>
              <w:top w:w="0" w:type="dxa"/>
              <w:left w:w="70" w:type="dxa"/>
              <w:bottom w:w="0" w:type="dxa"/>
              <w:right w:w="70" w:type="dxa"/>
            </w:tcMar>
            <w:vAlign w:val="center"/>
          </w:tcPr>
          <w:p w14:paraId="128907F4"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Porcentaje de cumplimiento del plan de capacitación</w:t>
            </w:r>
          </w:p>
        </w:tc>
        <w:tc>
          <w:tcPr>
            <w:tcW w:w="1275" w:type="dxa"/>
            <w:noWrap/>
            <w:tcMar>
              <w:top w:w="0" w:type="dxa"/>
              <w:left w:w="70" w:type="dxa"/>
              <w:bottom w:w="0" w:type="dxa"/>
              <w:right w:w="70" w:type="dxa"/>
            </w:tcMar>
            <w:vAlign w:val="center"/>
          </w:tcPr>
          <w:p w14:paraId="2E02D9C2"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3E68B135"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1630DE7"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601933FA"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41EBEE96"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0F894CF7" w14:textId="77777777" w:rsidTr="009D61CE">
        <w:trPr>
          <w:trHeight w:val="737"/>
        </w:trPr>
        <w:tc>
          <w:tcPr>
            <w:tcW w:w="557" w:type="dxa"/>
            <w:noWrap/>
            <w:tcMar>
              <w:top w:w="0" w:type="dxa"/>
              <w:left w:w="70" w:type="dxa"/>
              <w:bottom w:w="0" w:type="dxa"/>
              <w:right w:w="70" w:type="dxa"/>
            </w:tcMar>
            <w:vAlign w:val="center"/>
          </w:tcPr>
          <w:p w14:paraId="3A7A381C"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2318" w:type="dxa"/>
            <w:vMerge/>
            <w:tcMar>
              <w:top w:w="0" w:type="dxa"/>
              <w:left w:w="70" w:type="dxa"/>
              <w:bottom w:w="0" w:type="dxa"/>
              <w:right w:w="70" w:type="dxa"/>
            </w:tcMar>
            <w:vAlign w:val="center"/>
          </w:tcPr>
          <w:p w14:paraId="7DC757F2"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6385CD95"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de mesas SSAN</w:t>
            </w:r>
          </w:p>
        </w:tc>
        <w:tc>
          <w:tcPr>
            <w:tcW w:w="1258" w:type="dxa"/>
            <w:noWrap/>
            <w:tcMar>
              <w:top w:w="0" w:type="dxa"/>
              <w:left w:w="70" w:type="dxa"/>
              <w:bottom w:w="0" w:type="dxa"/>
              <w:right w:w="70" w:type="dxa"/>
            </w:tcMar>
            <w:vAlign w:val="center"/>
          </w:tcPr>
          <w:p w14:paraId="1F2CB1E9"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mesas coordinadas</w:t>
            </w:r>
          </w:p>
        </w:tc>
        <w:tc>
          <w:tcPr>
            <w:tcW w:w="1275" w:type="dxa"/>
            <w:noWrap/>
            <w:tcMar>
              <w:top w:w="0" w:type="dxa"/>
              <w:left w:w="70" w:type="dxa"/>
              <w:bottom w:w="0" w:type="dxa"/>
              <w:right w:w="70" w:type="dxa"/>
            </w:tcMar>
            <w:vAlign w:val="center"/>
          </w:tcPr>
          <w:p w14:paraId="10B1F6E3"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165921A2"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7</w:t>
            </w:r>
          </w:p>
        </w:tc>
        <w:tc>
          <w:tcPr>
            <w:tcW w:w="1276" w:type="dxa"/>
            <w:noWrap/>
            <w:tcMar>
              <w:top w:w="0" w:type="dxa"/>
              <w:left w:w="70" w:type="dxa"/>
              <w:bottom w:w="0" w:type="dxa"/>
              <w:right w:w="70" w:type="dxa"/>
            </w:tcMar>
            <w:vAlign w:val="center"/>
          </w:tcPr>
          <w:p w14:paraId="746BFC0B"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7</w:t>
            </w:r>
          </w:p>
        </w:tc>
        <w:tc>
          <w:tcPr>
            <w:tcW w:w="1134" w:type="dxa"/>
            <w:vAlign w:val="center"/>
          </w:tcPr>
          <w:p w14:paraId="6DB13B0A"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20</w:t>
            </w:r>
          </w:p>
        </w:tc>
        <w:tc>
          <w:tcPr>
            <w:tcW w:w="1276" w:type="dxa"/>
            <w:vAlign w:val="center"/>
          </w:tcPr>
          <w:p w14:paraId="4332D104"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6A2B4703" w14:textId="77777777" w:rsidTr="009D61CE">
        <w:trPr>
          <w:trHeight w:val="737"/>
        </w:trPr>
        <w:tc>
          <w:tcPr>
            <w:tcW w:w="557" w:type="dxa"/>
            <w:noWrap/>
            <w:tcMar>
              <w:top w:w="0" w:type="dxa"/>
              <w:left w:w="70" w:type="dxa"/>
              <w:bottom w:w="0" w:type="dxa"/>
              <w:right w:w="70" w:type="dxa"/>
            </w:tcMar>
            <w:vAlign w:val="center"/>
          </w:tcPr>
          <w:p w14:paraId="215A5049"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w:t>
            </w:r>
          </w:p>
        </w:tc>
        <w:tc>
          <w:tcPr>
            <w:tcW w:w="2318" w:type="dxa"/>
            <w:vMerge/>
            <w:tcMar>
              <w:top w:w="0" w:type="dxa"/>
              <w:left w:w="70" w:type="dxa"/>
              <w:bottom w:w="0" w:type="dxa"/>
              <w:right w:w="70" w:type="dxa"/>
            </w:tcMar>
            <w:vAlign w:val="center"/>
          </w:tcPr>
          <w:p w14:paraId="20C6CEF9"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05FEE0C1"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Implementaciones SSAN</w:t>
            </w:r>
          </w:p>
        </w:tc>
        <w:tc>
          <w:tcPr>
            <w:tcW w:w="1258" w:type="dxa"/>
            <w:noWrap/>
            <w:tcMar>
              <w:top w:w="0" w:type="dxa"/>
              <w:left w:w="70" w:type="dxa"/>
              <w:bottom w:w="0" w:type="dxa"/>
              <w:right w:w="70" w:type="dxa"/>
            </w:tcMar>
            <w:vAlign w:val="center"/>
          </w:tcPr>
          <w:p w14:paraId="1E010BBB"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Informes elaborados</w:t>
            </w:r>
          </w:p>
        </w:tc>
        <w:tc>
          <w:tcPr>
            <w:tcW w:w="1275" w:type="dxa"/>
            <w:noWrap/>
            <w:tcMar>
              <w:top w:w="0" w:type="dxa"/>
              <w:left w:w="70" w:type="dxa"/>
              <w:bottom w:w="0" w:type="dxa"/>
              <w:right w:w="70" w:type="dxa"/>
            </w:tcMar>
            <w:vAlign w:val="center"/>
          </w:tcPr>
          <w:p w14:paraId="292BC094"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0E87B7B9"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079FF267"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1E2303C1"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vAlign w:val="center"/>
          </w:tcPr>
          <w:p w14:paraId="4053CEA4" w14:textId="77777777" w:rsidR="00720F31" w:rsidRPr="0021707C" w:rsidRDefault="00720F31" w:rsidP="002348D5">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6512F387"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3085F220" w14:textId="1BC5683C"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1DA69430" w14:textId="7F3C9538"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1A8FB1C2" w14:textId="523573D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67AABC20"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15A31B6C" w14:textId="1C00057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2D5FBDB3" w14:textId="47DEB15F"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45476F1D"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4CFD5019" w14:textId="607E9110"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2CF6A148" w14:textId="728FF15F"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0C96049A" w14:textId="172BAC32"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0179B630"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723B3952" w14:textId="354EEF82"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5AD58338" w14:textId="77777777" w:rsidTr="009D61CE">
        <w:trPr>
          <w:trHeight w:val="737"/>
        </w:trPr>
        <w:tc>
          <w:tcPr>
            <w:tcW w:w="557" w:type="dxa"/>
            <w:noWrap/>
            <w:tcMar>
              <w:top w:w="0" w:type="dxa"/>
              <w:left w:w="70" w:type="dxa"/>
              <w:bottom w:w="0" w:type="dxa"/>
              <w:right w:w="70" w:type="dxa"/>
            </w:tcMar>
            <w:vAlign w:val="center"/>
          </w:tcPr>
          <w:p w14:paraId="19502B5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6</w:t>
            </w:r>
          </w:p>
        </w:tc>
        <w:tc>
          <w:tcPr>
            <w:tcW w:w="2318" w:type="dxa"/>
            <w:vMerge w:val="restart"/>
            <w:tcMar>
              <w:top w:w="0" w:type="dxa"/>
              <w:left w:w="70" w:type="dxa"/>
              <w:bottom w:w="0" w:type="dxa"/>
              <w:right w:w="70" w:type="dxa"/>
            </w:tcMar>
            <w:vAlign w:val="center"/>
          </w:tcPr>
          <w:p w14:paraId="339B55A3" w14:textId="2C33BDC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SETESSAN</w:t>
            </w:r>
          </w:p>
        </w:tc>
        <w:tc>
          <w:tcPr>
            <w:tcW w:w="2520" w:type="dxa"/>
            <w:vMerge w:val="restart"/>
            <w:noWrap/>
            <w:tcMar>
              <w:top w:w="0" w:type="dxa"/>
              <w:left w:w="70" w:type="dxa"/>
              <w:bottom w:w="0" w:type="dxa"/>
              <w:right w:w="70" w:type="dxa"/>
            </w:tcMar>
            <w:vAlign w:val="center"/>
          </w:tcPr>
          <w:p w14:paraId="69312E6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Promociones SSAN</w:t>
            </w:r>
          </w:p>
        </w:tc>
        <w:tc>
          <w:tcPr>
            <w:tcW w:w="1258" w:type="dxa"/>
            <w:noWrap/>
            <w:tcMar>
              <w:top w:w="0" w:type="dxa"/>
              <w:left w:w="70" w:type="dxa"/>
              <w:bottom w:w="0" w:type="dxa"/>
              <w:right w:w="70" w:type="dxa"/>
            </w:tcMar>
            <w:vAlign w:val="center"/>
          </w:tcPr>
          <w:p w14:paraId="4B4C220B"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Porcentaje de cumplimiento de sensibilizaciones realizadas</w:t>
            </w:r>
          </w:p>
          <w:p w14:paraId="1ECEC7C4" w14:textId="6F8137F2"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vAlign w:val="center"/>
          </w:tcPr>
          <w:p w14:paraId="7DD27E9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0F4E951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4BB269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2AC368E3" w14:textId="1EC821A3"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r>
              <w:rPr>
                <w:rFonts w:ascii="Times New Roman" w:hAnsi="Times New Roman" w:cs="Times New Roman"/>
                <w:color w:val="595959" w:themeColor="text1" w:themeTint="A6"/>
                <w:sz w:val="24"/>
                <w:szCs w:val="24"/>
              </w:rPr>
              <w:t>0</w:t>
            </w:r>
            <w:r w:rsidRPr="0021707C">
              <w:rPr>
                <w:rFonts w:ascii="Times New Roman" w:hAnsi="Times New Roman" w:cs="Times New Roman"/>
                <w:color w:val="595959" w:themeColor="text1" w:themeTint="A6"/>
                <w:sz w:val="24"/>
                <w:szCs w:val="24"/>
              </w:rPr>
              <w:t>0%</w:t>
            </w:r>
          </w:p>
        </w:tc>
        <w:tc>
          <w:tcPr>
            <w:tcW w:w="1276" w:type="dxa"/>
            <w:vAlign w:val="center"/>
          </w:tcPr>
          <w:p w14:paraId="259B88A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6A88EF6A" w14:textId="77777777" w:rsidTr="009D61CE">
        <w:trPr>
          <w:trHeight w:val="737"/>
        </w:trPr>
        <w:tc>
          <w:tcPr>
            <w:tcW w:w="557" w:type="dxa"/>
            <w:noWrap/>
            <w:tcMar>
              <w:top w:w="0" w:type="dxa"/>
              <w:left w:w="70" w:type="dxa"/>
              <w:bottom w:w="0" w:type="dxa"/>
              <w:right w:w="70" w:type="dxa"/>
            </w:tcMar>
            <w:vAlign w:val="center"/>
          </w:tcPr>
          <w:p w14:paraId="4C17E96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7</w:t>
            </w:r>
          </w:p>
        </w:tc>
        <w:tc>
          <w:tcPr>
            <w:tcW w:w="2318" w:type="dxa"/>
            <w:vMerge/>
            <w:tcMar>
              <w:top w:w="0" w:type="dxa"/>
              <w:left w:w="70" w:type="dxa"/>
              <w:bottom w:w="0" w:type="dxa"/>
              <w:right w:w="70" w:type="dxa"/>
            </w:tcMar>
            <w:vAlign w:val="center"/>
          </w:tcPr>
          <w:p w14:paraId="4C625AD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vMerge/>
            <w:noWrap/>
            <w:tcMar>
              <w:top w:w="0" w:type="dxa"/>
              <w:left w:w="70" w:type="dxa"/>
              <w:bottom w:w="0" w:type="dxa"/>
              <w:right w:w="70" w:type="dxa"/>
            </w:tcMar>
            <w:vAlign w:val="center"/>
          </w:tcPr>
          <w:p w14:paraId="7443504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58" w:type="dxa"/>
            <w:noWrap/>
            <w:tcMar>
              <w:top w:w="0" w:type="dxa"/>
              <w:left w:w="70" w:type="dxa"/>
              <w:bottom w:w="0" w:type="dxa"/>
              <w:right w:w="70" w:type="dxa"/>
            </w:tcMar>
            <w:vAlign w:val="center"/>
          </w:tcPr>
          <w:p w14:paraId="49F7A3B9"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publicaciones</w:t>
            </w:r>
          </w:p>
          <w:p w14:paraId="556AB444" w14:textId="42C2E5D3"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vAlign w:val="center"/>
          </w:tcPr>
          <w:p w14:paraId="799268D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00CD260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12</w:t>
            </w:r>
          </w:p>
        </w:tc>
        <w:tc>
          <w:tcPr>
            <w:tcW w:w="1276" w:type="dxa"/>
            <w:noWrap/>
            <w:tcMar>
              <w:top w:w="0" w:type="dxa"/>
              <w:left w:w="70" w:type="dxa"/>
              <w:bottom w:w="0" w:type="dxa"/>
              <w:right w:w="70" w:type="dxa"/>
            </w:tcMar>
            <w:vAlign w:val="center"/>
          </w:tcPr>
          <w:p w14:paraId="5937877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12</w:t>
            </w:r>
          </w:p>
        </w:tc>
        <w:tc>
          <w:tcPr>
            <w:tcW w:w="1134" w:type="dxa"/>
            <w:vAlign w:val="center"/>
          </w:tcPr>
          <w:p w14:paraId="4254ECA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12</w:t>
            </w:r>
          </w:p>
        </w:tc>
        <w:tc>
          <w:tcPr>
            <w:tcW w:w="1276" w:type="dxa"/>
            <w:vAlign w:val="center"/>
          </w:tcPr>
          <w:p w14:paraId="4F076A6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71C936E2" w14:textId="77777777" w:rsidTr="009D61CE">
        <w:trPr>
          <w:trHeight w:val="737"/>
        </w:trPr>
        <w:tc>
          <w:tcPr>
            <w:tcW w:w="557" w:type="dxa"/>
            <w:noWrap/>
            <w:tcMar>
              <w:top w:w="0" w:type="dxa"/>
              <w:left w:w="70" w:type="dxa"/>
              <w:bottom w:w="0" w:type="dxa"/>
              <w:right w:w="70" w:type="dxa"/>
            </w:tcMar>
            <w:vAlign w:val="center"/>
          </w:tcPr>
          <w:p w14:paraId="2255B01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w:t>
            </w:r>
          </w:p>
        </w:tc>
        <w:tc>
          <w:tcPr>
            <w:tcW w:w="2318" w:type="dxa"/>
            <w:vMerge/>
            <w:tcMar>
              <w:top w:w="0" w:type="dxa"/>
              <w:left w:w="70" w:type="dxa"/>
              <w:bottom w:w="0" w:type="dxa"/>
              <w:right w:w="70" w:type="dxa"/>
            </w:tcMar>
            <w:vAlign w:val="center"/>
          </w:tcPr>
          <w:p w14:paraId="4C51427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647090F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Reuniones del consejo SSAN</w:t>
            </w:r>
          </w:p>
        </w:tc>
        <w:tc>
          <w:tcPr>
            <w:tcW w:w="1258" w:type="dxa"/>
            <w:noWrap/>
            <w:tcMar>
              <w:top w:w="0" w:type="dxa"/>
              <w:left w:w="70" w:type="dxa"/>
              <w:bottom w:w="0" w:type="dxa"/>
              <w:right w:w="70" w:type="dxa"/>
            </w:tcMar>
            <w:vAlign w:val="center"/>
          </w:tcPr>
          <w:p w14:paraId="013ECD3A"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Reuniones</w:t>
            </w:r>
          </w:p>
          <w:p w14:paraId="4D7678F2" w14:textId="3C50C26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vAlign w:val="center"/>
          </w:tcPr>
          <w:p w14:paraId="550AC99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19E53C8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276" w:type="dxa"/>
            <w:noWrap/>
            <w:tcMar>
              <w:top w:w="0" w:type="dxa"/>
              <w:left w:w="70" w:type="dxa"/>
              <w:bottom w:w="0" w:type="dxa"/>
              <w:right w:w="70" w:type="dxa"/>
            </w:tcMar>
            <w:vAlign w:val="center"/>
          </w:tcPr>
          <w:p w14:paraId="0A4F5B7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134" w:type="dxa"/>
            <w:vAlign w:val="center"/>
          </w:tcPr>
          <w:p w14:paraId="2173961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276" w:type="dxa"/>
            <w:vAlign w:val="center"/>
          </w:tcPr>
          <w:p w14:paraId="6A52490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2B73744F" w14:textId="77777777" w:rsidTr="009D61CE">
        <w:trPr>
          <w:trHeight w:val="737"/>
        </w:trPr>
        <w:tc>
          <w:tcPr>
            <w:tcW w:w="557" w:type="dxa"/>
            <w:noWrap/>
            <w:tcMar>
              <w:top w:w="0" w:type="dxa"/>
              <w:left w:w="70" w:type="dxa"/>
              <w:bottom w:w="0" w:type="dxa"/>
              <w:right w:w="70" w:type="dxa"/>
            </w:tcMar>
            <w:vAlign w:val="center"/>
          </w:tcPr>
          <w:p w14:paraId="4F4B810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w:t>
            </w:r>
          </w:p>
        </w:tc>
        <w:tc>
          <w:tcPr>
            <w:tcW w:w="2318" w:type="dxa"/>
            <w:vMerge/>
            <w:tcMar>
              <w:top w:w="0" w:type="dxa"/>
              <w:left w:w="70" w:type="dxa"/>
              <w:bottom w:w="0" w:type="dxa"/>
              <w:right w:w="70" w:type="dxa"/>
            </w:tcMar>
            <w:vAlign w:val="center"/>
          </w:tcPr>
          <w:p w14:paraId="1EA1A60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3A6A8AF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Investigación científicas y foros SSAN</w:t>
            </w:r>
          </w:p>
        </w:tc>
        <w:tc>
          <w:tcPr>
            <w:tcW w:w="1258" w:type="dxa"/>
            <w:noWrap/>
            <w:tcMar>
              <w:top w:w="0" w:type="dxa"/>
              <w:left w:w="70" w:type="dxa"/>
              <w:bottom w:w="0" w:type="dxa"/>
              <w:right w:w="70" w:type="dxa"/>
            </w:tcMar>
            <w:vAlign w:val="center"/>
          </w:tcPr>
          <w:p w14:paraId="246229AE" w14:textId="19ED3CF0"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Participaciones en eventos en materia SSAN</w:t>
            </w:r>
          </w:p>
        </w:tc>
        <w:tc>
          <w:tcPr>
            <w:tcW w:w="1275" w:type="dxa"/>
            <w:noWrap/>
            <w:tcMar>
              <w:top w:w="0" w:type="dxa"/>
              <w:left w:w="70" w:type="dxa"/>
              <w:bottom w:w="0" w:type="dxa"/>
              <w:right w:w="70" w:type="dxa"/>
            </w:tcMar>
            <w:vAlign w:val="center"/>
          </w:tcPr>
          <w:p w14:paraId="64E5CD0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5EF7770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69F5B6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A82804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B7FA89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52FA152F" w14:textId="77777777" w:rsidTr="009D61CE">
        <w:trPr>
          <w:trHeight w:val="737"/>
        </w:trPr>
        <w:tc>
          <w:tcPr>
            <w:tcW w:w="557" w:type="dxa"/>
            <w:noWrap/>
            <w:tcMar>
              <w:top w:w="0" w:type="dxa"/>
              <w:left w:w="70" w:type="dxa"/>
              <w:bottom w:w="0" w:type="dxa"/>
              <w:right w:w="70" w:type="dxa"/>
            </w:tcMar>
            <w:vAlign w:val="center"/>
          </w:tcPr>
          <w:p w14:paraId="0741D12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w:t>
            </w:r>
          </w:p>
        </w:tc>
        <w:tc>
          <w:tcPr>
            <w:tcW w:w="2318" w:type="dxa"/>
            <w:tcMar>
              <w:top w:w="0" w:type="dxa"/>
              <w:left w:w="70" w:type="dxa"/>
              <w:bottom w:w="0" w:type="dxa"/>
              <w:right w:w="70" w:type="dxa"/>
            </w:tcMar>
            <w:vAlign w:val="center"/>
          </w:tcPr>
          <w:p w14:paraId="030229A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SEGUIMIENTO Y COORDINACIÓN GUBERNAMENTAL</w:t>
            </w:r>
          </w:p>
        </w:tc>
        <w:tc>
          <w:tcPr>
            <w:tcW w:w="2520" w:type="dxa"/>
            <w:noWrap/>
            <w:tcMar>
              <w:top w:w="0" w:type="dxa"/>
              <w:left w:w="70" w:type="dxa"/>
              <w:bottom w:w="0" w:type="dxa"/>
              <w:right w:w="70" w:type="dxa"/>
            </w:tcMar>
            <w:vAlign w:val="center"/>
          </w:tcPr>
          <w:p w14:paraId="1536B9C3"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Coordinación y Seguimiento a la Secretaría Técnica del consejo de </w:t>
            </w:r>
            <w:proofErr w:type="gramStart"/>
            <w:r w:rsidRPr="0021707C">
              <w:rPr>
                <w:rFonts w:ascii="Times New Roman" w:hAnsi="Times New Roman" w:cs="Times New Roman"/>
                <w:color w:val="595959" w:themeColor="text1" w:themeTint="A6"/>
                <w:sz w:val="24"/>
                <w:szCs w:val="24"/>
              </w:rPr>
              <w:t>Ministros</w:t>
            </w:r>
            <w:proofErr w:type="gramEnd"/>
          </w:p>
          <w:p w14:paraId="0503B226" w14:textId="0341FA94"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58" w:type="dxa"/>
            <w:noWrap/>
            <w:tcMar>
              <w:top w:w="0" w:type="dxa"/>
              <w:left w:w="70" w:type="dxa"/>
              <w:bottom w:w="0" w:type="dxa"/>
              <w:right w:w="70" w:type="dxa"/>
            </w:tcMar>
            <w:vAlign w:val="center"/>
          </w:tcPr>
          <w:p w14:paraId="79D6192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259094C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Trimestral </w:t>
            </w:r>
          </w:p>
        </w:tc>
        <w:tc>
          <w:tcPr>
            <w:tcW w:w="1276" w:type="dxa"/>
            <w:noWrap/>
            <w:tcMar>
              <w:top w:w="0" w:type="dxa"/>
              <w:left w:w="70" w:type="dxa"/>
              <w:bottom w:w="0" w:type="dxa"/>
              <w:right w:w="70" w:type="dxa"/>
            </w:tcMar>
            <w:vAlign w:val="center"/>
          </w:tcPr>
          <w:p w14:paraId="36A76A5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4FA71DE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5932739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commentRangeStart w:id="145"/>
            <w:r w:rsidRPr="0021707C">
              <w:rPr>
                <w:rFonts w:ascii="Times New Roman" w:hAnsi="Times New Roman" w:cs="Times New Roman"/>
                <w:color w:val="595959" w:themeColor="text1" w:themeTint="A6"/>
                <w:sz w:val="24"/>
                <w:szCs w:val="24"/>
              </w:rPr>
              <w:t>100%</w:t>
            </w:r>
            <w:commentRangeEnd w:id="145"/>
            <w:r w:rsidRPr="0021707C">
              <w:rPr>
                <w:rStyle w:val="CommentReference"/>
                <w:rFonts w:ascii="Times New Roman" w:hAnsi="Times New Roman" w:cs="Times New Roman"/>
                <w:color w:val="595959" w:themeColor="text1" w:themeTint="A6"/>
                <w:sz w:val="24"/>
                <w:szCs w:val="24"/>
              </w:rPr>
              <w:commentReference w:id="145"/>
            </w:r>
          </w:p>
        </w:tc>
        <w:tc>
          <w:tcPr>
            <w:tcW w:w="1276" w:type="dxa"/>
            <w:vAlign w:val="center"/>
          </w:tcPr>
          <w:p w14:paraId="7F8957C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6A6C1C89"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124F8295" w14:textId="77BFDB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0F515A2F" w14:textId="16535573"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3EFD7E90" w14:textId="1601E1F0"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614580C3"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1DED2AB7" w14:textId="4269AB1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2E8C5E23" w14:textId="6AD604B8"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2F8005D9"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5A042C45" w14:textId="5D6D2B2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6D233ED0" w14:textId="401E32E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7C2D930A" w14:textId="6194257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0B6EBDCC"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7B6EF2F8" w14:textId="3273F3F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4B08A925" w14:textId="77777777" w:rsidTr="009D61CE">
        <w:trPr>
          <w:trHeight w:val="737"/>
        </w:trPr>
        <w:tc>
          <w:tcPr>
            <w:tcW w:w="557" w:type="dxa"/>
            <w:noWrap/>
            <w:tcMar>
              <w:top w:w="0" w:type="dxa"/>
              <w:left w:w="70" w:type="dxa"/>
              <w:bottom w:w="0" w:type="dxa"/>
              <w:right w:w="70" w:type="dxa"/>
            </w:tcMar>
            <w:vAlign w:val="center"/>
          </w:tcPr>
          <w:p w14:paraId="5F0B917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11</w:t>
            </w:r>
          </w:p>
        </w:tc>
        <w:tc>
          <w:tcPr>
            <w:tcW w:w="2318" w:type="dxa"/>
            <w:vMerge w:val="restart"/>
            <w:tcMar>
              <w:top w:w="0" w:type="dxa"/>
              <w:left w:w="70" w:type="dxa"/>
              <w:bottom w:w="0" w:type="dxa"/>
              <w:right w:w="70" w:type="dxa"/>
            </w:tcMar>
            <w:vAlign w:val="center"/>
          </w:tcPr>
          <w:p w14:paraId="59D7DFC3" w14:textId="1BB504B0"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SEGUIMIENTO Y COORDINACIÓN GUBERNAMENTAL</w:t>
            </w:r>
          </w:p>
        </w:tc>
        <w:tc>
          <w:tcPr>
            <w:tcW w:w="2520" w:type="dxa"/>
            <w:noWrap/>
            <w:tcMar>
              <w:top w:w="0" w:type="dxa"/>
              <w:left w:w="70" w:type="dxa"/>
              <w:bottom w:w="0" w:type="dxa"/>
              <w:right w:w="70" w:type="dxa"/>
            </w:tcMar>
            <w:vAlign w:val="center"/>
          </w:tcPr>
          <w:p w14:paraId="49B026C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Coordinación y Seguimiento a la Secretaría Técnica del Consejo de </w:t>
            </w:r>
            <w:proofErr w:type="gramStart"/>
            <w:r w:rsidRPr="0021707C">
              <w:rPr>
                <w:rFonts w:ascii="Times New Roman" w:hAnsi="Times New Roman" w:cs="Times New Roman"/>
                <w:color w:val="595959" w:themeColor="text1" w:themeTint="A6"/>
                <w:sz w:val="24"/>
                <w:szCs w:val="24"/>
              </w:rPr>
              <w:t>Ministros</w:t>
            </w:r>
            <w:proofErr w:type="gramEnd"/>
            <w:r w:rsidRPr="0021707C">
              <w:rPr>
                <w:rFonts w:ascii="Times New Roman" w:hAnsi="Times New Roman" w:cs="Times New Roman"/>
                <w:color w:val="595959" w:themeColor="text1" w:themeTint="A6"/>
                <w:sz w:val="24"/>
                <w:szCs w:val="24"/>
              </w:rPr>
              <w:t xml:space="preserve"> Territorial</w:t>
            </w:r>
          </w:p>
        </w:tc>
        <w:tc>
          <w:tcPr>
            <w:tcW w:w="1258" w:type="dxa"/>
            <w:noWrap/>
            <w:tcMar>
              <w:top w:w="0" w:type="dxa"/>
              <w:left w:w="70" w:type="dxa"/>
              <w:bottom w:w="0" w:type="dxa"/>
              <w:right w:w="70" w:type="dxa"/>
            </w:tcMar>
            <w:vAlign w:val="center"/>
          </w:tcPr>
          <w:p w14:paraId="05CBE86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7A9F578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4DEF063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65CED3E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4AA365C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7983A97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06E07876" w14:textId="77777777" w:rsidTr="009D61CE">
        <w:trPr>
          <w:trHeight w:val="737"/>
        </w:trPr>
        <w:tc>
          <w:tcPr>
            <w:tcW w:w="557" w:type="dxa"/>
            <w:noWrap/>
            <w:tcMar>
              <w:top w:w="0" w:type="dxa"/>
              <w:left w:w="70" w:type="dxa"/>
              <w:bottom w:w="0" w:type="dxa"/>
              <w:right w:w="70" w:type="dxa"/>
            </w:tcMar>
            <w:vAlign w:val="center"/>
          </w:tcPr>
          <w:p w14:paraId="264DE0C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12</w:t>
            </w:r>
          </w:p>
        </w:tc>
        <w:tc>
          <w:tcPr>
            <w:tcW w:w="2318" w:type="dxa"/>
            <w:vMerge/>
            <w:tcMar>
              <w:top w:w="0" w:type="dxa"/>
              <w:left w:w="70" w:type="dxa"/>
              <w:bottom w:w="0" w:type="dxa"/>
              <w:right w:w="70" w:type="dxa"/>
            </w:tcMar>
            <w:vAlign w:val="center"/>
          </w:tcPr>
          <w:p w14:paraId="14B4570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50D9FE90"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y Seguimiento a la ejecución de prioridades Infraestructura</w:t>
            </w:r>
          </w:p>
          <w:p w14:paraId="657B9E9A" w14:textId="12909CBF"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58" w:type="dxa"/>
            <w:noWrap/>
            <w:tcMar>
              <w:top w:w="0" w:type="dxa"/>
              <w:left w:w="70" w:type="dxa"/>
              <w:bottom w:w="0" w:type="dxa"/>
              <w:right w:w="70" w:type="dxa"/>
            </w:tcMar>
            <w:vAlign w:val="center"/>
          </w:tcPr>
          <w:p w14:paraId="52806BD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23B5CE2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commentRangeStart w:id="146"/>
            <w:r w:rsidRPr="0021707C">
              <w:rPr>
                <w:rFonts w:ascii="Times New Roman" w:hAnsi="Times New Roman" w:cs="Times New Roman"/>
                <w:color w:val="595959" w:themeColor="text1" w:themeTint="A6"/>
                <w:sz w:val="24"/>
                <w:szCs w:val="24"/>
              </w:rPr>
              <w:t>Trimestral</w:t>
            </w:r>
            <w:commentRangeEnd w:id="146"/>
            <w:r w:rsidRPr="0021707C">
              <w:rPr>
                <w:rStyle w:val="CommentReference"/>
                <w:rFonts w:ascii="Times New Roman" w:hAnsi="Times New Roman" w:cs="Times New Roman"/>
                <w:color w:val="595959" w:themeColor="text1" w:themeTint="A6"/>
                <w:sz w:val="24"/>
                <w:szCs w:val="24"/>
              </w:rPr>
              <w:commentReference w:id="146"/>
            </w:r>
          </w:p>
        </w:tc>
        <w:tc>
          <w:tcPr>
            <w:tcW w:w="1276" w:type="dxa"/>
            <w:noWrap/>
            <w:tcMar>
              <w:top w:w="0" w:type="dxa"/>
              <w:left w:w="70" w:type="dxa"/>
              <w:bottom w:w="0" w:type="dxa"/>
              <w:right w:w="70" w:type="dxa"/>
            </w:tcMar>
            <w:vAlign w:val="center"/>
          </w:tcPr>
          <w:p w14:paraId="10B3819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17F779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221CA23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F89070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3698F07D" w14:textId="77777777" w:rsidTr="009D61CE">
        <w:trPr>
          <w:trHeight w:val="737"/>
        </w:trPr>
        <w:tc>
          <w:tcPr>
            <w:tcW w:w="557" w:type="dxa"/>
            <w:noWrap/>
            <w:tcMar>
              <w:top w:w="0" w:type="dxa"/>
              <w:left w:w="70" w:type="dxa"/>
              <w:bottom w:w="0" w:type="dxa"/>
              <w:right w:w="70" w:type="dxa"/>
            </w:tcMar>
            <w:vAlign w:val="center"/>
          </w:tcPr>
          <w:p w14:paraId="6C79E83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13</w:t>
            </w:r>
          </w:p>
        </w:tc>
        <w:tc>
          <w:tcPr>
            <w:tcW w:w="2318" w:type="dxa"/>
            <w:vMerge/>
            <w:tcMar>
              <w:top w:w="0" w:type="dxa"/>
              <w:left w:w="70" w:type="dxa"/>
              <w:bottom w:w="0" w:type="dxa"/>
              <w:right w:w="70" w:type="dxa"/>
            </w:tcMar>
            <w:vAlign w:val="center"/>
          </w:tcPr>
          <w:p w14:paraId="1BCE32F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5084FA6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y seguimiento a la ejecución de prioridades de Educación</w:t>
            </w:r>
          </w:p>
        </w:tc>
        <w:tc>
          <w:tcPr>
            <w:tcW w:w="1258" w:type="dxa"/>
            <w:noWrap/>
            <w:tcMar>
              <w:top w:w="0" w:type="dxa"/>
              <w:left w:w="70" w:type="dxa"/>
              <w:bottom w:w="0" w:type="dxa"/>
              <w:right w:w="70" w:type="dxa"/>
            </w:tcMar>
            <w:vAlign w:val="center"/>
          </w:tcPr>
          <w:p w14:paraId="18880E4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3697813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D46191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353E557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361674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AC51A9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89%</w:t>
            </w:r>
          </w:p>
        </w:tc>
      </w:tr>
      <w:tr w:rsidR="00720F31" w:rsidRPr="0021707C" w14:paraId="2E278B7B" w14:textId="77777777" w:rsidTr="009D61CE">
        <w:trPr>
          <w:trHeight w:val="737"/>
        </w:trPr>
        <w:tc>
          <w:tcPr>
            <w:tcW w:w="557" w:type="dxa"/>
            <w:noWrap/>
            <w:tcMar>
              <w:top w:w="0" w:type="dxa"/>
              <w:left w:w="70" w:type="dxa"/>
              <w:bottom w:w="0" w:type="dxa"/>
              <w:right w:w="70" w:type="dxa"/>
            </w:tcMar>
            <w:vAlign w:val="center"/>
          </w:tcPr>
          <w:p w14:paraId="244EADA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14</w:t>
            </w:r>
          </w:p>
        </w:tc>
        <w:tc>
          <w:tcPr>
            <w:tcW w:w="2318" w:type="dxa"/>
            <w:vMerge/>
            <w:tcMar>
              <w:top w:w="0" w:type="dxa"/>
              <w:left w:w="70" w:type="dxa"/>
              <w:bottom w:w="0" w:type="dxa"/>
              <w:right w:w="70" w:type="dxa"/>
            </w:tcMar>
            <w:vAlign w:val="center"/>
          </w:tcPr>
          <w:p w14:paraId="796882A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3969609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y seguimiento a la ejecución de prioridades de Desarrollo Rural</w:t>
            </w:r>
          </w:p>
        </w:tc>
        <w:tc>
          <w:tcPr>
            <w:tcW w:w="1258" w:type="dxa"/>
            <w:noWrap/>
            <w:tcMar>
              <w:top w:w="0" w:type="dxa"/>
              <w:left w:w="70" w:type="dxa"/>
              <w:bottom w:w="0" w:type="dxa"/>
              <w:right w:w="70" w:type="dxa"/>
            </w:tcMar>
            <w:vAlign w:val="center"/>
          </w:tcPr>
          <w:p w14:paraId="1AAA662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161CD67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B5C118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46187B3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43D039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23C0952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5BDCB9C7" w14:textId="77777777" w:rsidTr="009D61CE">
        <w:trPr>
          <w:trHeight w:val="737"/>
        </w:trPr>
        <w:tc>
          <w:tcPr>
            <w:tcW w:w="557" w:type="dxa"/>
            <w:noWrap/>
            <w:tcMar>
              <w:top w:w="0" w:type="dxa"/>
              <w:left w:w="70" w:type="dxa"/>
              <w:bottom w:w="0" w:type="dxa"/>
              <w:right w:w="70" w:type="dxa"/>
            </w:tcMar>
            <w:vAlign w:val="center"/>
          </w:tcPr>
          <w:p w14:paraId="3E1EC70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15</w:t>
            </w:r>
          </w:p>
        </w:tc>
        <w:tc>
          <w:tcPr>
            <w:tcW w:w="2318" w:type="dxa"/>
            <w:vMerge/>
            <w:tcMar>
              <w:top w:w="0" w:type="dxa"/>
              <w:left w:w="70" w:type="dxa"/>
              <w:bottom w:w="0" w:type="dxa"/>
              <w:right w:w="70" w:type="dxa"/>
            </w:tcMar>
            <w:vAlign w:val="center"/>
          </w:tcPr>
          <w:p w14:paraId="3DC5124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4C5A3DD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y seguimiento a la ejecución de prioridades del Eje Productivo</w:t>
            </w:r>
          </w:p>
        </w:tc>
        <w:tc>
          <w:tcPr>
            <w:tcW w:w="1258" w:type="dxa"/>
            <w:noWrap/>
            <w:tcMar>
              <w:top w:w="0" w:type="dxa"/>
              <w:left w:w="70" w:type="dxa"/>
              <w:bottom w:w="0" w:type="dxa"/>
              <w:right w:w="70" w:type="dxa"/>
            </w:tcMar>
            <w:vAlign w:val="center"/>
          </w:tcPr>
          <w:p w14:paraId="3D039FC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4F16398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22A93FB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1FE234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1D9B2AF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64CB071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495146CA" w14:textId="77777777" w:rsidTr="009D61CE">
        <w:trPr>
          <w:trHeight w:val="737"/>
        </w:trPr>
        <w:tc>
          <w:tcPr>
            <w:tcW w:w="557" w:type="dxa"/>
            <w:noWrap/>
            <w:tcMar>
              <w:top w:w="0" w:type="dxa"/>
              <w:left w:w="70" w:type="dxa"/>
              <w:bottom w:w="0" w:type="dxa"/>
              <w:right w:w="70" w:type="dxa"/>
            </w:tcMar>
            <w:vAlign w:val="center"/>
          </w:tcPr>
          <w:p w14:paraId="3DCFE3C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16</w:t>
            </w:r>
          </w:p>
        </w:tc>
        <w:tc>
          <w:tcPr>
            <w:tcW w:w="2318" w:type="dxa"/>
            <w:vMerge/>
            <w:tcMar>
              <w:top w:w="0" w:type="dxa"/>
              <w:left w:w="70" w:type="dxa"/>
              <w:bottom w:w="0" w:type="dxa"/>
              <w:right w:w="70" w:type="dxa"/>
            </w:tcMar>
            <w:vAlign w:val="center"/>
          </w:tcPr>
          <w:p w14:paraId="6B61427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0D40E4B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y seguimiento a la ejecución de prioridades en Institucionalidad y Seguridad Ciudadana</w:t>
            </w:r>
          </w:p>
        </w:tc>
        <w:tc>
          <w:tcPr>
            <w:tcW w:w="1258" w:type="dxa"/>
            <w:noWrap/>
            <w:tcMar>
              <w:top w:w="0" w:type="dxa"/>
              <w:left w:w="70" w:type="dxa"/>
              <w:bottom w:w="0" w:type="dxa"/>
              <w:right w:w="70" w:type="dxa"/>
            </w:tcMar>
            <w:vAlign w:val="center"/>
          </w:tcPr>
          <w:p w14:paraId="0D94285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07DD3B6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4D3B7F3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7E8BE9F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589BC78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90%</w:t>
            </w:r>
          </w:p>
        </w:tc>
        <w:tc>
          <w:tcPr>
            <w:tcW w:w="1276" w:type="dxa"/>
            <w:vAlign w:val="center"/>
          </w:tcPr>
          <w:p w14:paraId="6B4175C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88%</w:t>
            </w:r>
          </w:p>
        </w:tc>
      </w:tr>
      <w:tr w:rsidR="00720F31" w:rsidRPr="0021707C" w14:paraId="103FDFCC"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0A63E8EA" w14:textId="52D4BC1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35EB1148" w14:textId="46417AC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1602BA72" w14:textId="591000C1"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55F9CB7F"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01B75F3D" w14:textId="6B00A9B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72CD66FF" w14:textId="137CB95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32DFE872"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4CF53B8D" w14:textId="52E53814"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76FA64D0" w14:textId="3EA528D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7EFA8289" w14:textId="611D78B4"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42AC8A1A"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6B6EAF16" w14:textId="703AD2D2"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0CDD7231" w14:textId="77777777" w:rsidTr="009D61CE">
        <w:trPr>
          <w:trHeight w:val="737"/>
        </w:trPr>
        <w:tc>
          <w:tcPr>
            <w:tcW w:w="557" w:type="dxa"/>
            <w:noWrap/>
            <w:tcMar>
              <w:top w:w="0" w:type="dxa"/>
              <w:left w:w="70" w:type="dxa"/>
              <w:bottom w:w="0" w:type="dxa"/>
              <w:right w:w="70" w:type="dxa"/>
            </w:tcMar>
            <w:vAlign w:val="center"/>
          </w:tcPr>
          <w:p w14:paraId="4E157D0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17</w:t>
            </w:r>
          </w:p>
        </w:tc>
        <w:tc>
          <w:tcPr>
            <w:tcW w:w="2318" w:type="dxa"/>
            <w:vMerge w:val="restart"/>
            <w:tcMar>
              <w:top w:w="0" w:type="dxa"/>
              <w:left w:w="70" w:type="dxa"/>
              <w:bottom w:w="0" w:type="dxa"/>
              <w:right w:w="70" w:type="dxa"/>
            </w:tcMar>
            <w:vAlign w:val="center"/>
          </w:tcPr>
          <w:p w14:paraId="296AB151" w14:textId="75A6645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SEGUIMIENTO Y COORDINACIÓN GUBERNAMENTAL</w:t>
            </w:r>
          </w:p>
        </w:tc>
        <w:tc>
          <w:tcPr>
            <w:tcW w:w="2520" w:type="dxa"/>
            <w:noWrap/>
            <w:tcMar>
              <w:top w:w="0" w:type="dxa"/>
              <w:left w:w="70" w:type="dxa"/>
              <w:bottom w:w="0" w:type="dxa"/>
              <w:right w:w="70" w:type="dxa"/>
            </w:tcMar>
            <w:vAlign w:val="center"/>
          </w:tcPr>
          <w:p w14:paraId="7D212B3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y seguimiento a la ejecución de prioridades en Salud y Niñez</w:t>
            </w:r>
          </w:p>
        </w:tc>
        <w:tc>
          <w:tcPr>
            <w:tcW w:w="1258" w:type="dxa"/>
            <w:noWrap/>
            <w:tcMar>
              <w:top w:w="0" w:type="dxa"/>
              <w:left w:w="70" w:type="dxa"/>
              <w:bottom w:w="0" w:type="dxa"/>
              <w:right w:w="70" w:type="dxa"/>
            </w:tcMar>
            <w:vAlign w:val="center"/>
          </w:tcPr>
          <w:p w14:paraId="7C84D9E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de reuniones realizadas</w:t>
            </w:r>
          </w:p>
        </w:tc>
        <w:tc>
          <w:tcPr>
            <w:tcW w:w="1275" w:type="dxa"/>
            <w:noWrap/>
            <w:tcMar>
              <w:top w:w="0" w:type="dxa"/>
              <w:left w:w="70" w:type="dxa"/>
              <w:bottom w:w="0" w:type="dxa"/>
              <w:right w:w="70" w:type="dxa"/>
            </w:tcMar>
            <w:vAlign w:val="center"/>
          </w:tcPr>
          <w:p w14:paraId="0FA8D18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5A7B1B0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3FC9E15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ED5DC9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86%</w:t>
            </w:r>
          </w:p>
        </w:tc>
        <w:tc>
          <w:tcPr>
            <w:tcW w:w="1276" w:type="dxa"/>
            <w:vAlign w:val="center"/>
          </w:tcPr>
          <w:p w14:paraId="2D7C192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84%</w:t>
            </w:r>
          </w:p>
        </w:tc>
      </w:tr>
      <w:tr w:rsidR="00720F31" w:rsidRPr="0021707C" w14:paraId="7C83097D" w14:textId="77777777" w:rsidTr="009D61CE">
        <w:trPr>
          <w:trHeight w:val="737"/>
        </w:trPr>
        <w:tc>
          <w:tcPr>
            <w:tcW w:w="557" w:type="dxa"/>
            <w:noWrap/>
            <w:tcMar>
              <w:top w:w="0" w:type="dxa"/>
              <w:left w:w="70" w:type="dxa"/>
              <w:bottom w:w="0" w:type="dxa"/>
              <w:right w:w="70" w:type="dxa"/>
            </w:tcMar>
            <w:vAlign w:val="center"/>
          </w:tcPr>
          <w:p w14:paraId="26727BC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18</w:t>
            </w:r>
          </w:p>
        </w:tc>
        <w:tc>
          <w:tcPr>
            <w:tcW w:w="2318" w:type="dxa"/>
            <w:vMerge/>
            <w:tcMar>
              <w:top w:w="0" w:type="dxa"/>
              <w:left w:w="70" w:type="dxa"/>
              <w:bottom w:w="0" w:type="dxa"/>
              <w:right w:w="70" w:type="dxa"/>
            </w:tcMar>
            <w:vAlign w:val="center"/>
          </w:tcPr>
          <w:p w14:paraId="11040B3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632F091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Rendición de Cuentas Realizada</w:t>
            </w:r>
          </w:p>
        </w:tc>
        <w:tc>
          <w:tcPr>
            <w:tcW w:w="1258" w:type="dxa"/>
            <w:noWrap/>
            <w:tcMar>
              <w:top w:w="0" w:type="dxa"/>
              <w:left w:w="70" w:type="dxa"/>
              <w:bottom w:w="0" w:type="dxa"/>
              <w:right w:w="70" w:type="dxa"/>
            </w:tcMar>
            <w:vAlign w:val="center"/>
          </w:tcPr>
          <w:p w14:paraId="1E7D3FA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Memorias entregadas en el Congreso Nacional</w:t>
            </w:r>
          </w:p>
          <w:p w14:paraId="45FECFC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vAlign w:val="center"/>
          </w:tcPr>
          <w:p w14:paraId="5B75689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Semestral</w:t>
            </w:r>
          </w:p>
        </w:tc>
        <w:tc>
          <w:tcPr>
            <w:tcW w:w="1276" w:type="dxa"/>
            <w:noWrap/>
            <w:tcMar>
              <w:top w:w="0" w:type="dxa"/>
              <w:left w:w="70" w:type="dxa"/>
              <w:bottom w:w="0" w:type="dxa"/>
              <w:right w:w="70" w:type="dxa"/>
            </w:tcMar>
            <w:vAlign w:val="center"/>
          </w:tcPr>
          <w:p w14:paraId="423A799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858798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553B867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92%</w:t>
            </w:r>
          </w:p>
        </w:tc>
        <w:tc>
          <w:tcPr>
            <w:tcW w:w="1276" w:type="dxa"/>
            <w:vAlign w:val="center"/>
          </w:tcPr>
          <w:p w14:paraId="67A33DB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63%</w:t>
            </w:r>
          </w:p>
        </w:tc>
      </w:tr>
      <w:tr w:rsidR="00720F31" w:rsidRPr="0021707C" w14:paraId="433B03B4" w14:textId="77777777" w:rsidTr="009D61CE">
        <w:trPr>
          <w:trHeight w:val="737"/>
        </w:trPr>
        <w:tc>
          <w:tcPr>
            <w:tcW w:w="557" w:type="dxa"/>
            <w:noWrap/>
            <w:tcMar>
              <w:top w:w="0" w:type="dxa"/>
              <w:left w:w="70" w:type="dxa"/>
              <w:bottom w:w="0" w:type="dxa"/>
              <w:right w:w="70" w:type="dxa"/>
            </w:tcMar>
            <w:vAlign w:val="center"/>
          </w:tcPr>
          <w:p w14:paraId="4A0FFE3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19</w:t>
            </w:r>
          </w:p>
        </w:tc>
        <w:tc>
          <w:tcPr>
            <w:tcW w:w="2318" w:type="dxa"/>
            <w:vMerge w:val="restart"/>
            <w:tcMar>
              <w:top w:w="0" w:type="dxa"/>
              <w:left w:w="70" w:type="dxa"/>
              <w:bottom w:w="0" w:type="dxa"/>
              <w:right w:w="70" w:type="dxa"/>
            </w:tcMar>
            <w:vAlign w:val="center"/>
          </w:tcPr>
          <w:p w14:paraId="62985CE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DESARROLLO SOCIAL</w:t>
            </w:r>
          </w:p>
        </w:tc>
        <w:tc>
          <w:tcPr>
            <w:tcW w:w="2520" w:type="dxa"/>
            <w:noWrap/>
            <w:tcMar>
              <w:top w:w="0" w:type="dxa"/>
              <w:left w:w="70" w:type="dxa"/>
              <w:bottom w:w="0" w:type="dxa"/>
              <w:right w:w="70" w:type="dxa"/>
            </w:tcMar>
            <w:vAlign w:val="center"/>
          </w:tcPr>
          <w:p w14:paraId="0A319484" w14:textId="664BB78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Rescate cuencas pluviales para la preservación del entorno marino-costero </w:t>
            </w:r>
            <w:proofErr w:type="spellStart"/>
            <w:r w:rsidRPr="0021707C">
              <w:rPr>
                <w:rFonts w:ascii="Times New Roman" w:hAnsi="Times New Roman" w:cs="Times New Roman"/>
                <w:color w:val="595959" w:themeColor="text1" w:themeTint="A6"/>
                <w:sz w:val="24"/>
                <w:szCs w:val="24"/>
              </w:rPr>
              <w:t>próx</w:t>
            </w:r>
            <w:proofErr w:type="spellEnd"/>
            <w:r w:rsidRPr="0021707C">
              <w:rPr>
                <w:rFonts w:ascii="Times New Roman" w:hAnsi="Times New Roman" w:cs="Times New Roman"/>
                <w:color w:val="595959" w:themeColor="text1" w:themeTint="A6"/>
                <w:sz w:val="24"/>
                <w:szCs w:val="24"/>
              </w:rPr>
              <w:t xml:space="preserve"> a desembocaduras de ríos para la Gestión Integral de Plásticos y Residuos en </w:t>
            </w:r>
            <w:proofErr w:type="spellStart"/>
            <w:r w:rsidRPr="0021707C">
              <w:rPr>
                <w:rFonts w:ascii="Times New Roman" w:hAnsi="Times New Roman" w:cs="Times New Roman"/>
                <w:color w:val="595959" w:themeColor="text1" w:themeTint="A6"/>
                <w:sz w:val="24"/>
                <w:szCs w:val="24"/>
              </w:rPr>
              <w:t>coordinacián</w:t>
            </w:r>
            <w:proofErr w:type="spellEnd"/>
            <w:r w:rsidRPr="0021707C">
              <w:rPr>
                <w:rFonts w:ascii="Times New Roman" w:hAnsi="Times New Roman" w:cs="Times New Roman"/>
                <w:color w:val="595959" w:themeColor="text1" w:themeTint="A6"/>
                <w:sz w:val="24"/>
                <w:szCs w:val="24"/>
              </w:rPr>
              <w:t xml:space="preserve"> con el PNUD.</w:t>
            </w:r>
          </w:p>
        </w:tc>
        <w:tc>
          <w:tcPr>
            <w:tcW w:w="1258" w:type="dxa"/>
            <w:noWrap/>
            <w:tcMar>
              <w:top w:w="0" w:type="dxa"/>
              <w:left w:w="70" w:type="dxa"/>
              <w:bottom w:w="0" w:type="dxa"/>
              <w:right w:w="70" w:type="dxa"/>
            </w:tcMar>
            <w:vAlign w:val="center"/>
          </w:tcPr>
          <w:p w14:paraId="2B1B4A1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Informes realizados</w:t>
            </w:r>
          </w:p>
        </w:tc>
        <w:tc>
          <w:tcPr>
            <w:tcW w:w="1275" w:type="dxa"/>
            <w:noWrap/>
            <w:tcMar>
              <w:top w:w="0" w:type="dxa"/>
              <w:left w:w="70" w:type="dxa"/>
              <w:bottom w:w="0" w:type="dxa"/>
              <w:right w:w="70" w:type="dxa"/>
            </w:tcMar>
            <w:vAlign w:val="center"/>
          </w:tcPr>
          <w:p w14:paraId="50F55E4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Semestral</w:t>
            </w:r>
          </w:p>
        </w:tc>
        <w:tc>
          <w:tcPr>
            <w:tcW w:w="1276" w:type="dxa"/>
            <w:noWrap/>
            <w:tcMar>
              <w:top w:w="0" w:type="dxa"/>
              <w:left w:w="70" w:type="dxa"/>
              <w:bottom w:w="0" w:type="dxa"/>
              <w:right w:w="70" w:type="dxa"/>
            </w:tcMar>
            <w:vAlign w:val="center"/>
          </w:tcPr>
          <w:p w14:paraId="702E4CB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3B41E58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6A0FD00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7BAD52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47D869ED" w14:textId="77777777" w:rsidTr="009D61CE">
        <w:trPr>
          <w:trHeight w:val="530"/>
        </w:trPr>
        <w:tc>
          <w:tcPr>
            <w:tcW w:w="557" w:type="dxa"/>
            <w:noWrap/>
            <w:tcMar>
              <w:top w:w="0" w:type="dxa"/>
              <w:left w:w="70" w:type="dxa"/>
              <w:bottom w:w="0" w:type="dxa"/>
              <w:right w:w="70" w:type="dxa"/>
            </w:tcMar>
            <w:vAlign w:val="center"/>
          </w:tcPr>
          <w:p w14:paraId="4A09DEF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20</w:t>
            </w:r>
          </w:p>
        </w:tc>
        <w:tc>
          <w:tcPr>
            <w:tcW w:w="2318" w:type="dxa"/>
            <w:vMerge/>
            <w:tcMar>
              <w:top w:w="0" w:type="dxa"/>
              <w:left w:w="70" w:type="dxa"/>
              <w:bottom w:w="0" w:type="dxa"/>
              <w:right w:w="70" w:type="dxa"/>
            </w:tcMar>
            <w:vAlign w:val="center"/>
          </w:tcPr>
          <w:p w14:paraId="77BC7E8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6B46E869" w14:textId="65A4309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Fomentar la articulación entre la sociedad civil y el sector empresarial entorno a las acciones del gobierno y metas presidenciales</w:t>
            </w:r>
          </w:p>
        </w:tc>
        <w:tc>
          <w:tcPr>
            <w:tcW w:w="1258" w:type="dxa"/>
            <w:noWrap/>
            <w:tcMar>
              <w:top w:w="0" w:type="dxa"/>
              <w:left w:w="70" w:type="dxa"/>
              <w:bottom w:w="0" w:type="dxa"/>
              <w:right w:w="70" w:type="dxa"/>
            </w:tcMar>
            <w:vAlign w:val="center"/>
          </w:tcPr>
          <w:p w14:paraId="1A4EF46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Informes realizados</w:t>
            </w:r>
          </w:p>
        </w:tc>
        <w:tc>
          <w:tcPr>
            <w:tcW w:w="1275" w:type="dxa"/>
            <w:noWrap/>
            <w:tcMar>
              <w:top w:w="0" w:type="dxa"/>
              <w:left w:w="70" w:type="dxa"/>
              <w:bottom w:w="0" w:type="dxa"/>
              <w:right w:w="70" w:type="dxa"/>
            </w:tcMar>
            <w:vAlign w:val="center"/>
          </w:tcPr>
          <w:p w14:paraId="620257B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0EEB50C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7486F1E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77FC192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1D5E5B1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674197D5"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6A41CB5D" w14:textId="370122A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7923919D" w14:textId="419B319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64962447" w14:textId="79CA4E4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612A3DF4"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6EFA9587" w14:textId="2C97A82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1E473ECD" w14:textId="511B03A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14685146"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2E410189" w14:textId="0102ACF8"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0EE4AE0D" w14:textId="5EB264F5"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75F5F4EC" w14:textId="7CD7F40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03BA955B"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77C1F785" w14:textId="280076A3"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782EA091" w14:textId="77777777" w:rsidTr="009D61CE">
        <w:trPr>
          <w:trHeight w:val="737"/>
        </w:trPr>
        <w:tc>
          <w:tcPr>
            <w:tcW w:w="557" w:type="dxa"/>
            <w:noWrap/>
            <w:tcMar>
              <w:top w:w="0" w:type="dxa"/>
              <w:left w:w="70" w:type="dxa"/>
              <w:bottom w:w="0" w:type="dxa"/>
              <w:right w:w="70" w:type="dxa"/>
            </w:tcMar>
            <w:vAlign w:val="center"/>
          </w:tcPr>
          <w:p w14:paraId="54647F4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21</w:t>
            </w:r>
          </w:p>
        </w:tc>
        <w:tc>
          <w:tcPr>
            <w:tcW w:w="2318" w:type="dxa"/>
            <w:vMerge w:val="restart"/>
            <w:tcMar>
              <w:top w:w="0" w:type="dxa"/>
              <w:left w:w="70" w:type="dxa"/>
              <w:bottom w:w="0" w:type="dxa"/>
              <w:right w:w="70" w:type="dxa"/>
            </w:tcMar>
            <w:vAlign w:val="center"/>
          </w:tcPr>
          <w:p w14:paraId="2E732933" w14:textId="14C5D3B6"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DESARROLLO SOCIAL</w:t>
            </w:r>
          </w:p>
        </w:tc>
        <w:tc>
          <w:tcPr>
            <w:tcW w:w="2520" w:type="dxa"/>
            <w:noWrap/>
            <w:tcMar>
              <w:top w:w="0" w:type="dxa"/>
              <w:left w:w="70" w:type="dxa"/>
              <w:bottom w:w="0" w:type="dxa"/>
              <w:right w:w="70" w:type="dxa"/>
            </w:tcMar>
            <w:vAlign w:val="center"/>
          </w:tcPr>
          <w:p w14:paraId="130046A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Coordinación estratégica para la gestión del Plan Nacional de Derechos Humanos.</w:t>
            </w:r>
          </w:p>
        </w:tc>
        <w:tc>
          <w:tcPr>
            <w:tcW w:w="1258" w:type="dxa"/>
            <w:noWrap/>
            <w:tcMar>
              <w:top w:w="0" w:type="dxa"/>
              <w:left w:w="70" w:type="dxa"/>
              <w:bottom w:w="0" w:type="dxa"/>
              <w:right w:w="70" w:type="dxa"/>
            </w:tcMar>
            <w:vAlign w:val="center"/>
          </w:tcPr>
          <w:p w14:paraId="0CA3F05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Informes realizados</w:t>
            </w:r>
          </w:p>
        </w:tc>
        <w:tc>
          <w:tcPr>
            <w:tcW w:w="1275" w:type="dxa"/>
            <w:noWrap/>
            <w:tcMar>
              <w:top w:w="0" w:type="dxa"/>
              <w:left w:w="70" w:type="dxa"/>
              <w:bottom w:w="0" w:type="dxa"/>
              <w:right w:w="70" w:type="dxa"/>
            </w:tcMar>
            <w:vAlign w:val="center"/>
          </w:tcPr>
          <w:p w14:paraId="08488B8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21E9EC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4BBE0A1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5496E1D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B63A14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94%</w:t>
            </w:r>
          </w:p>
        </w:tc>
      </w:tr>
      <w:tr w:rsidR="00720F31" w:rsidRPr="0021707C" w14:paraId="2B74C7AF" w14:textId="77777777" w:rsidTr="009D61CE">
        <w:trPr>
          <w:trHeight w:val="737"/>
        </w:trPr>
        <w:tc>
          <w:tcPr>
            <w:tcW w:w="557" w:type="dxa"/>
            <w:noWrap/>
            <w:tcMar>
              <w:top w:w="0" w:type="dxa"/>
              <w:left w:w="70" w:type="dxa"/>
              <w:bottom w:w="0" w:type="dxa"/>
              <w:right w:w="70" w:type="dxa"/>
            </w:tcMar>
            <w:vAlign w:val="center"/>
          </w:tcPr>
          <w:p w14:paraId="2FD2C5F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22</w:t>
            </w:r>
          </w:p>
        </w:tc>
        <w:tc>
          <w:tcPr>
            <w:tcW w:w="2318" w:type="dxa"/>
            <w:vMerge/>
            <w:tcMar>
              <w:top w:w="0" w:type="dxa"/>
              <w:left w:w="70" w:type="dxa"/>
              <w:bottom w:w="0" w:type="dxa"/>
              <w:right w:w="70" w:type="dxa"/>
            </w:tcMar>
            <w:vAlign w:val="center"/>
          </w:tcPr>
          <w:p w14:paraId="4401BF7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121C1D0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Relación con la Sociedad Civil</w:t>
            </w:r>
          </w:p>
        </w:tc>
        <w:tc>
          <w:tcPr>
            <w:tcW w:w="1258" w:type="dxa"/>
            <w:noWrap/>
            <w:tcMar>
              <w:top w:w="0" w:type="dxa"/>
              <w:left w:w="70" w:type="dxa"/>
              <w:bottom w:w="0" w:type="dxa"/>
              <w:right w:w="70" w:type="dxa"/>
            </w:tcMar>
            <w:vAlign w:val="center"/>
          </w:tcPr>
          <w:p w14:paraId="5B92E16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 de protestas atendidas</w:t>
            </w:r>
          </w:p>
        </w:tc>
        <w:tc>
          <w:tcPr>
            <w:tcW w:w="1275" w:type="dxa"/>
            <w:noWrap/>
            <w:tcMar>
              <w:top w:w="0" w:type="dxa"/>
              <w:left w:w="70" w:type="dxa"/>
              <w:bottom w:w="0" w:type="dxa"/>
              <w:right w:w="70" w:type="dxa"/>
            </w:tcMar>
            <w:vAlign w:val="center"/>
          </w:tcPr>
          <w:p w14:paraId="2CDECF7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AC8E86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276" w:type="dxa"/>
            <w:noWrap/>
            <w:tcMar>
              <w:top w:w="0" w:type="dxa"/>
              <w:left w:w="70" w:type="dxa"/>
              <w:bottom w:w="0" w:type="dxa"/>
              <w:right w:w="70" w:type="dxa"/>
            </w:tcMar>
            <w:vAlign w:val="center"/>
          </w:tcPr>
          <w:p w14:paraId="0888CD2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134" w:type="dxa"/>
            <w:vAlign w:val="center"/>
          </w:tcPr>
          <w:p w14:paraId="03321B7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454921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3D5C079D" w14:textId="77777777" w:rsidTr="009D61CE">
        <w:trPr>
          <w:trHeight w:val="737"/>
        </w:trPr>
        <w:tc>
          <w:tcPr>
            <w:tcW w:w="557" w:type="dxa"/>
            <w:noWrap/>
            <w:tcMar>
              <w:top w:w="0" w:type="dxa"/>
              <w:left w:w="70" w:type="dxa"/>
              <w:bottom w:w="0" w:type="dxa"/>
              <w:right w:w="70" w:type="dxa"/>
            </w:tcMar>
            <w:vAlign w:val="center"/>
          </w:tcPr>
          <w:p w14:paraId="3A1D5AD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23</w:t>
            </w:r>
          </w:p>
        </w:tc>
        <w:tc>
          <w:tcPr>
            <w:tcW w:w="2318" w:type="dxa"/>
            <w:vMerge w:val="restart"/>
            <w:tcMar>
              <w:top w:w="0" w:type="dxa"/>
              <w:left w:w="70" w:type="dxa"/>
              <w:bottom w:w="0" w:type="dxa"/>
              <w:right w:w="70" w:type="dxa"/>
            </w:tcMar>
            <w:vAlign w:val="center"/>
          </w:tcPr>
          <w:p w14:paraId="1331E06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RELACIONES INSTITUCIONALES</w:t>
            </w:r>
          </w:p>
        </w:tc>
        <w:tc>
          <w:tcPr>
            <w:tcW w:w="2520" w:type="dxa"/>
            <w:noWrap/>
            <w:tcMar>
              <w:top w:w="0" w:type="dxa"/>
              <w:left w:w="70" w:type="dxa"/>
              <w:bottom w:w="0" w:type="dxa"/>
              <w:right w:w="70" w:type="dxa"/>
            </w:tcMar>
            <w:vAlign w:val="center"/>
          </w:tcPr>
          <w:p w14:paraId="7B7A155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Coordinar y armonizar acciones sobre institucionalidad y su impacto sobre el desarrollo sostenible</w:t>
            </w:r>
          </w:p>
        </w:tc>
        <w:tc>
          <w:tcPr>
            <w:tcW w:w="1258" w:type="dxa"/>
            <w:noWrap/>
            <w:tcMar>
              <w:top w:w="0" w:type="dxa"/>
              <w:left w:w="70" w:type="dxa"/>
              <w:bottom w:w="0" w:type="dxa"/>
              <w:right w:w="70" w:type="dxa"/>
            </w:tcMar>
            <w:vAlign w:val="center"/>
          </w:tcPr>
          <w:p w14:paraId="1591D9F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Cantidad de Informes realizados</w:t>
            </w:r>
          </w:p>
        </w:tc>
        <w:tc>
          <w:tcPr>
            <w:tcW w:w="1275" w:type="dxa"/>
            <w:noWrap/>
            <w:tcMar>
              <w:top w:w="0" w:type="dxa"/>
              <w:left w:w="70" w:type="dxa"/>
              <w:bottom w:w="0" w:type="dxa"/>
              <w:right w:w="70" w:type="dxa"/>
            </w:tcMar>
            <w:vAlign w:val="center"/>
          </w:tcPr>
          <w:p w14:paraId="1762A78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3EC1A9A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276" w:type="dxa"/>
            <w:noWrap/>
            <w:tcMar>
              <w:top w:w="0" w:type="dxa"/>
              <w:left w:w="70" w:type="dxa"/>
              <w:bottom w:w="0" w:type="dxa"/>
              <w:right w:w="70" w:type="dxa"/>
            </w:tcMar>
            <w:vAlign w:val="center"/>
          </w:tcPr>
          <w:p w14:paraId="2695592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134" w:type="dxa"/>
            <w:vAlign w:val="center"/>
          </w:tcPr>
          <w:p w14:paraId="4A8B35C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599B7EC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63D20008" w14:textId="77777777" w:rsidTr="009D61CE">
        <w:trPr>
          <w:trHeight w:val="737"/>
        </w:trPr>
        <w:tc>
          <w:tcPr>
            <w:tcW w:w="557" w:type="dxa"/>
            <w:noWrap/>
            <w:tcMar>
              <w:top w:w="0" w:type="dxa"/>
              <w:left w:w="70" w:type="dxa"/>
              <w:bottom w:w="0" w:type="dxa"/>
              <w:right w:w="70" w:type="dxa"/>
            </w:tcMar>
            <w:vAlign w:val="center"/>
          </w:tcPr>
          <w:p w14:paraId="0E9CF20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24</w:t>
            </w:r>
          </w:p>
        </w:tc>
        <w:tc>
          <w:tcPr>
            <w:tcW w:w="2318" w:type="dxa"/>
            <w:vMerge/>
            <w:tcMar>
              <w:top w:w="0" w:type="dxa"/>
              <w:left w:w="70" w:type="dxa"/>
              <w:bottom w:w="0" w:type="dxa"/>
              <w:right w:w="70" w:type="dxa"/>
            </w:tcMar>
            <w:vAlign w:val="center"/>
          </w:tcPr>
          <w:p w14:paraId="35FD777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57DC0AC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Secretaría técnica soberanía y seguridad alimentaria y nutricional</w:t>
            </w:r>
          </w:p>
        </w:tc>
        <w:tc>
          <w:tcPr>
            <w:tcW w:w="1258" w:type="dxa"/>
            <w:noWrap/>
            <w:tcMar>
              <w:top w:w="0" w:type="dxa"/>
              <w:left w:w="70" w:type="dxa"/>
              <w:bottom w:w="0" w:type="dxa"/>
              <w:right w:w="70" w:type="dxa"/>
            </w:tcMar>
            <w:vAlign w:val="center"/>
          </w:tcPr>
          <w:p w14:paraId="2F96879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Acta y Listado de Asistencia</w:t>
            </w:r>
          </w:p>
        </w:tc>
        <w:tc>
          <w:tcPr>
            <w:tcW w:w="1275" w:type="dxa"/>
            <w:noWrap/>
            <w:tcMar>
              <w:top w:w="0" w:type="dxa"/>
              <w:left w:w="70" w:type="dxa"/>
              <w:bottom w:w="0" w:type="dxa"/>
              <w:right w:w="70" w:type="dxa"/>
            </w:tcMar>
            <w:vAlign w:val="center"/>
          </w:tcPr>
          <w:p w14:paraId="3CDCFCD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04DC41B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276" w:type="dxa"/>
            <w:noWrap/>
            <w:tcMar>
              <w:top w:w="0" w:type="dxa"/>
              <w:left w:w="70" w:type="dxa"/>
              <w:bottom w:w="0" w:type="dxa"/>
              <w:right w:w="70" w:type="dxa"/>
            </w:tcMar>
            <w:vAlign w:val="center"/>
          </w:tcPr>
          <w:p w14:paraId="10D19DC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134" w:type="dxa"/>
            <w:vAlign w:val="center"/>
          </w:tcPr>
          <w:p w14:paraId="549F0A7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7461B7B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78%</w:t>
            </w:r>
          </w:p>
        </w:tc>
      </w:tr>
      <w:tr w:rsidR="00720F31" w:rsidRPr="0021707C" w14:paraId="596EA6F8" w14:textId="77777777" w:rsidTr="009D61CE">
        <w:trPr>
          <w:trHeight w:val="737"/>
        </w:trPr>
        <w:tc>
          <w:tcPr>
            <w:tcW w:w="557" w:type="dxa"/>
            <w:noWrap/>
            <w:tcMar>
              <w:top w:w="0" w:type="dxa"/>
              <w:left w:w="70" w:type="dxa"/>
              <w:bottom w:w="0" w:type="dxa"/>
              <w:right w:w="70" w:type="dxa"/>
            </w:tcMar>
            <w:vAlign w:val="center"/>
          </w:tcPr>
          <w:p w14:paraId="0A582C3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25</w:t>
            </w:r>
          </w:p>
        </w:tc>
        <w:tc>
          <w:tcPr>
            <w:tcW w:w="2318" w:type="dxa"/>
            <w:tcMar>
              <w:top w:w="0" w:type="dxa"/>
              <w:left w:w="70" w:type="dxa"/>
              <w:bottom w:w="0" w:type="dxa"/>
              <w:right w:w="70" w:type="dxa"/>
            </w:tcMar>
            <w:vAlign w:val="center"/>
          </w:tcPr>
          <w:p w14:paraId="73A516B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VICEMINISTERIO DE PROYECTOS DE INVERSIÓN</w:t>
            </w:r>
          </w:p>
          <w:p w14:paraId="1F664BE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327B489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Gestión de Proyecto del Fideicomiso VBCRD</w:t>
            </w:r>
          </w:p>
        </w:tc>
        <w:tc>
          <w:tcPr>
            <w:tcW w:w="1258" w:type="dxa"/>
            <w:noWrap/>
            <w:tcMar>
              <w:top w:w="0" w:type="dxa"/>
              <w:left w:w="70" w:type="dxa"/>
              <w:bottom w:w="0" w:type="dxa"/>
              <w:right w:w="70" w:type="dxa"/>
            </w:tcMar>
            <w:vAlign w:val="center"/>
          </w:tcPr>
          <w:p w14:paraId="3E9BC67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lang w:val="fr-FR"/>
              </w:rPr>
            </w:pPr>
            <w:r w:rsidRPr="0021707C">
              <w:rPr>
                <w:rFonts w:ascii="Times New Roman" w:hAnsi="Times New Roman" w:cs="Times New Roman"/>
                <w:color w:val="595959" w:themeColor="text1" w:themeTint="A6"/>
                <w:sz w:val="24"/>
                <w:szCs w:val="24"/>
                <w:lang w:val="fr-FR"/>
              </w:rPr>
              <w:t xml:space="preserve">Informes de Avance de </w:t>
            </w:r>
            <w:proofErr w:type="spellStart"/>
            <w:r w:rsidRPr="0021707C">
              <w:rPr>
                <w:rFonts w:ascii="Times New Roman" w:hAnsi="Times New Roman" w:cs="Times New Roman"/>
                <w:color w:val="595959" w:themeColor="text1" w:themeTint="A6"/>
                <w:sz w:val="24"/>
                <w:szCs w:val="24"/>
                <w:lang w:val="fr-FR"/>
              </w:rPr>
              <w:t>Obras</w:t>
            </w:r>
            <w:proofErr w:type="spellEnd"/>
          </w:p>
        </w:tc>
        <w:tc>
          <w:tcPr>
            <w:tcW w:w="1275" w:type="dxa"/>
            <w:noWrap/>
            <w:tcMar>
              <w:top w:w="0" w:type="dxa"/>
              <w:left w:w="70" w:type="dxa"/>
              <w:bottom w:w="0" w:type="dxa"/>
              <w:right w:w="70" w:type="dxa"/>
            </w:tcMar>
            <w:vAlign w:val="center"/>
          </w:tcPr>
          <w:p w14:paraId="791A346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D5A07F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w:t>
            </w:r>
          </w:p>
        </w:tc>
        <w:tc>
          <w:tcPr>
            <w:tcW w:w="1276" w:type="dxa"/>
            <w:noWrap/>
            <w:tcMar>
              <w:top w:w="0" w:type="dxa"/>
              <w:left w:w="70" w:type="dxa"/>
              <w:bottom w:w="0" w:type="dxa"/>
              <w:right w:w="70" w:type="dxa"/>
            </w:tcMar>
            <w:vAlign w:val="center"/>
          </w:tcPr>
          <w:p w14:paraId="01F0B54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w:t>
            </w:r>
          </w:p>
        </w:tc>
        <w:tc>
          <w:tcPr>
            <w:tcW w:w="1134" w:type="dxa"/>
            <w:vAlign w:val="center"/>
          </w:tcPr>
          <w:p w14:paraId="0A67F65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83%</w:t>
            </w:r>
          </w:p>
        </w:tc>
        <w:tc>
          <w:tcPr>
            <w:tcW w:w="1276" w:type="dxa"/>
            <w:vAlign w:val="center"/>
          </w:tcPr>
          <w:p w14:paraId="5162E16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96%</w:t>
            </w:r>
          </w:p>
        </w:tc>
      </w:tr>
      <w:tr w:rsidR="00720F31" w:rsidRPr="0021707C" w14:paraId="52C87047" w14:textId="77777777" w:rsidTr="009D61CE">
        <w:trPr>
          <w:trHeight w:val="737"/>
        </w:trPr>
        <w:tc>
          <w:tcPr>
            <w:tcW w:w="557" w:type="dxa"/>
            <w:noWrap/>
            <w:tcMar>
              <w:top w:w="0" w:type="dxa"/>
              <w:left w:w="70" w:type="dxa"/>
              <w:bottom w:w="0" w:type="dxa"/>
              <w:right w:w="70" w:type="dxa"/>
            </w:tcMar>
            <w:vAlign w:val="center"/>
          </w:tcPr>
          <w:p w14:paraId="0508523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26</w:t>
            </w:r>
          </w:p>
        </w:tc>
        <w:tc>
          <w:tcPr>
            <w:tcW w:w="2318" w:type="dxa"/>
            <w:tcMar>
              <w:top w:w="0" w:type="dxa"/>
              <w:left w:w="70" w:type="dxa"/>
              <w:bottom w:w="0" w:type="dxa"/>
              <w:right w:w="70" w:type="dxa"/>
            </w:tcMar>
            <w:vAlign w:val="center"/>
          </w:tcPr>
          <w:p w14:paraId="2B478EF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DE PLANIFICACIÓN Y DESARROLLO</w:t>
            </w:r>
          </w:p>
        </w:tc>
        <w:tc>
          <w:tcPr>
            <w:tcW w:w="2520" w:type="dxa"/>
            <w:noWrap/>
            <w:tcMar>
              <w:top w:w="0" w:type="dxa"/>
              <w:left w:w="70" w:type="dxa"/>
              <w:bottom w:w="0" w:type="dxa"/>
              <w:right w:w="70" w:type="dxa"/>
            </w:tcMar>
            <w:vAlign w:val="center"/>
          </w:tcPr>
          <w:p w14:paraId="417217B8"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Modelo de gestión de calidad y optimización de procesos del MINPRE, implementado</w:t>
            </w:r>
          </w:p>
          <w:p w14:paraId="3F6A7660" w14:textId="77777777" w:rsidR="003A4748" w:rsidRDefault="003A4748" w:rsidP="00720F31">
            <w:pPr>
              <w:pStyle w:val="xxmsonormal"/>
              <w:jc w:val="center"/>
              <w:rPr>
                <w:rFonts w:ascii="Times New Roman" w:hAnsi="Times New Roman" w:cs="Times New Roman"/>
                <w:color w:val="595959" w:themeColor="text1" w:themeTint="A6"/>
                <w:sz w:val="24"/>
                <w:szCs w:val="24"/>
              </w:rPr>
            </w:pPr>
          </w:p>
          <w:p w14:paraId="7344FC16" w14:textId="5104C79B" w:rsidR="003A4748" w:rsidRPr="0021707C" w:rsidRDefault="003A4748" w:rsidP="00720F31">
            <w:pPr>
              <w:pStyle w:val="xxmsonormal"/>
              <w:jc w:val="center"/>
              <w:rPr>
                <w:rFonts w:ascii="Times New Roman" w:hAnsi="Times New Roman" w:cs="Times New Roman"/>
                <w:color w:val="595959" w:themeColor="text1" w:themeTint="A6"/>
                <w:sz w:val="24"/>
                <w:szCs w:val="24"/>
              </w:rPr>
            </w:pPr>
          </w:p>
        </w:tc>
        <w:tc>
          <w:tcPr>
            <w:tcW w:w="1258" w:type="dxa"/>
            <w:noWrap/>
            <w:tcMar>
              <w:top w:w="0" w:type="dxa"/>
              <w:left w:w="70" w:type="dxa"/>
              <w:bottom w:w="0" w:type="dxa"/>
              <w:right w:w="70" w:type="dxa"/>
            </w:tcMar>
            <w:vAlign w:val="center"/>
          </w:tcPr>
          <w:p w14:paraId="3887CE1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Listado maestro de documentos revisados</w:t>
            </w:r>
          </w:p>
        </w:tc>
        <w:tc>
          <w:tcPr>
            <w:tcW w:w="1275" w:type="dxa"/>
            <w:noWrap/>
            <w:tcMar>
              <w:top w:w="0" w:type="dxa"/>
              <w:left w:w="70" w:type="dxa"/>
              <w:bottom w:w="0" w:type="dxa"/>
              <w:right w:w="70" w:type="dxa"/>
            </w:tcMar>
            <w:vAlign w:val="center"/>
          </w:tcPr>
          <w:p w14:paraId="4CF9B9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23465EE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5DB3393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3FA65AB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6BF28AEC" w14:textId="0CFA72A2" w:rsidR="009D61CE" w:rsidRPr="0021707C" w:rsidRDefault="00720F31" w:rsidP="009D61CE">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556E05C9"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0A99AF4A" w14:textId="535D102A"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44E66CCB" w14:textId="3441EFC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56E88974" w14:textId="60987AEF"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54B11444"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31EDFB96" w14:textId="28634EB2" w:rsidR="00720F31" w:rsidRPr="0021707C" w:rsidRDefault="00720F31" w:rsidP="00720F31">
            <w:pPr>
              <w:pStyle w:val="xxmsonormal"/>
              <w:jc w:val="center"/>
              <w:rPr>
                <w:rFonts w:ascii="Times New Roman" w:hAnsi="Times New Roman" w:cs="Times New Roman"/>
                <w:color w:val="595959" w:themeColor="text1" w:themeTint="A6"/>
                <w:sz w:val="24"/>
                <w:szCs w:val="24"/>
                <w:lang w:val="pt-BR"/>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11D9782C" w14:textId="04CEBBEA"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0A0BAACC"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5EE3D8D2" w14:textId="7CA3FCB8"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6601C9E7" w14:textId="3A2309E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6DAB860C" w14:textId="6D404593"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55BA0400"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6842601C" w14:textId="5C38478B"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416A7176" w14:textId="77777777" w:rsidTr="009D61CE">
        <w:trPr>
          <w:trHeight w:val="737"/>
        </w:trPr>
        <w:tc>
          <w:tcPr>
            <w:tcW w:w="557" w:type="dxa"/>
            <w:noWrap/>
            <w:tcMar>
              <w:top w:w="0" w:type="dxa"/>
              <w:left w:w="70" w:type="dxa"/>
              <w:bottom w:w="0" w:type="dxa"/>
              <w:right w:w="70" w:type="dxa"/>
            </w:tcMar>
            <w:vAlign w:val="center"/>
          </w:tcPr>
          <w:p w14:paraId="6E88270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27</w:t>
            </w:r>
          </w:p>
        </w:tc>
        <w:tc>
          <w:tcPr>
            <w:tcW w:w="2318" w:type="dxa"/>
            <w:vMerge w:val="restart"/>
            <w:tcMar>
              <w:top w:w="0" w:type="dxa"/>
              <w:left w:w="70" w:type="dxa"/>
              <w:bottom w:w="0" w:type="dxa"/>
              <w:right w:w="70" w:type="dxa"/>
            </w:tcMar>
            <w:vAlign w:val="center"/>
          </w:tcPr>
          <w:p w14:paraId="784E7CE7" w14:textId="68116F7F"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DE PLANIFICACIÓN Y DESARROLLO</w:t>
            </w:r>
          </w:p>
        </w:tc>
        <w:tc>
          <w:tcPr>
            <w:tcW w:w="2520" w:type="dxa"/>
            <w:noWrap/>
            <w:tcMar>
              <w:top w:w="0" w:type="dxa"/>
              <w:left w:w="70" w:type="dxa"/>
              <w:bottom w:w="0" w:type="dxa"/>
              <w:right w:w="70" w:type="dxa"/>
            </w:tcMar>
            <w:vAlign w:val="center"/>
          </w:tcPr>
          <w:p w14:paraId="761A94D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Institucionales elaborados</w:t>
            </w:r>
          </w:p>
        </w:tc>
        <w:tc>
          <w:tcPr>
            <w:tcW w:w="1258" w:type="dxa"/>
            <w:noWrap/>
            <w:tcMar>
              <w:top w:w="0" w:type="dxa"/>
              <w:left w:w="70" w:type="dxa"/>
              <w:bottom w:w="0" w:type="dxa"/>
              <w:right w:w="70" w:type="dxa"/>
            </w:tcMar>
            <w:vAlign w:val="center"/>
          </w:tcPr>
          <w:p w14:paraId="74CCDDB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lang w:val="pt-BR"/>
              </w:rPr>
            </w:pPr>
            <w:r w:rsidRPr="0021707C">
              <w:rPr>
                <w:rFonts w:ascii="Times New Roman" w:hAnsi="Times New Roman" w:cs="Times New Roman"/>
                <w:color w:val="595959" w:themeColor="text1" w:themeTint="A6"/>
                <w:sz w:val="24"/>
                <w:szCs w:val="24"/>
                <w:lang w:val="pt-BR"/>
              </w:rPr>
              <w:t>PACC, POA, CAF e Informe PEI elaborado</w:t>
            </w:r>
          </w:p>
        </w:tc>
        <w:tc>
          <w:tcPr>
            <w:tcW w:w="1275" w:type="dxa"/>
            <w:noWrap/>
            <w:tcMar>
              <w:top w:w="0" w:type="dxa"/>
              <w:left w:w="70" w:type="dxa"/>
              <w:bottom w:w="0" w:type="dxa"/>
              <w:right w:w="70" w:type="dxa"/>
            </w:tcMar>
            <w:vAlign w:val="center"/>
          </w:tcPr>
          <w:p w14:paraId="7263693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AC8167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1912584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6FD06FA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2A595DA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0B821758" w14:textId="77777777" w:rsidTr="009D61CE">
        <w:trPr>
          <w:trHeight w:val="737"/>
        </w:trPr>
        <w:tc>
          <w:tcPr>
            <w:tcW w:w="557" w:type="dxa"/>
            <w:noWrap/>
            <w:tcMar>
              <w:top w:w="0" w:type="dxa"/>
              <w:left w:w="70" w:type="dxa"/>
              <w:bottom w:w="0" w:type="dxa"/>
              <w:right w:w="70" w:type="dxa"/>
            </w:tcMar>
            <w:vAlign w:val="center"/>
          </w:tcPr>
          <w:p w14:paraId="2B8F92A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28</w:t>
            </w:r>
          </w:p>
        </w:tc>
        <w:tc>
          <w:tcPr>
            <w:tcW w:w="2318" w:type="dxa"/>
            <w:vMerge/>
            <w:tcMar>
              <w:top w:w="0" w:type="dxa"/>
              <w:left w:w="70" w:type="dxa"/>
              <w:bottom w:w="0" w:type="dxa"/>
              <w:right w:w="70" w:type="dxa"/>
            </w:tcMar>
            <w:vAlign w:val="center"/>
          </w:tcPr>
          <w:p w14:paraId="3DF937B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1CDBC37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Monitoreo a los Indicadores Gubernamentales y de Gestión del Ministerio de la Presidencia</w:t>
            </w:r>
          </w:p>
          <w:p w14:paraId="35E6B7D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58" w:type="dxa"/>
            <w:noWrap/>
            <w:tcMar>
              <w:top w:w="0" w:type="dxa"/>
              <w:left w:w="70" w:type="dxa"/>
              <w:bottom w:w="0" w:type="dxa"/>
              <w:right w:w="70" w:type="dxa"/>
            </w:tcMar>
            <w:vAlign w:val="center"/>
          </w:tcPr>
          <w:p w14:paraId="6F26DC5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de monitoreo elaborado</w:t>
            </w:r>
          </w:p>
        </w:tc>
        <w:tc>
          <w:tcPr>
            <w:tcW w:w="1275" w:type="dxa"/>
            <w:noWrap/>
            <w:tcMar>
              <w:top w:w="0" w:type="dxa"/>
              <w:left w:w="70" w:type="dxa"/>
              <w:bottom w:w="0" w:type="dxa"/>
              <w:right w:w="70" w:type="dxa"/>
            </w:tcMar>
            <w:vAlign w:val="center"/>
          </w:tcPr>
          <w:p w14:paraId="40DFC26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331F0A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0DEA7E4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77FB3F6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7CBD76C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4B55C9BD" w14:textId="77777777" w:rsidTr="009D61CE">
        <w:trPr>
          <w:trHeight w:val="737"/>
        </w:trPr>
        <w:tc>
          <w:tcPr>
            <w:tcW w:w="557" w:type="dxa"/>
            <w:noWrap/>
            <w:tcMar>
              <w:top w:w="0" w:type="dxa"/>
              <w:left w:w="70" w:type="dxa"/>
              <w:bottom w:w="0" w:type="dxa"/>
              <w:right w:w="70" w:type="dxa"/>
            </w:tcMar>
            <w:vAlign w:val="center"/>
          </w:tcPr>
          <w:p w14:paraId="18C6523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29</w:t>
            </w:r>
          </w:p>
        </w:tc>
        <w:tc>
          <w:tcPr>
            <w:tcW w:w="2318" w:type="dxa"/>
            <w:vMerge/>
            <w:tcMar>
              <w:top w:w="0" w:type="dxa"/>
              <w:left w:w="70" w:type="dxa"/>
              <w:bottom w:w="0" w:type="dxa"/>
              <w:right w:w="70" w:type="dxa"/>
            </w:tcMar>
            <w:vAlign w:val="center"/>
          </w:tcPr>
          <w:p w14:paraId="0B4D4AF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0A6739BA" w14:textId="77777777" w:rsidR="00720F31" w:rsidRDefault="00720F31" w:rsidP="00720F31">
            <w:pPr>
              <w:pStyle w:val="xxmsonormal"/>
              <w:jc w:val="center"/>
              <w:rPr>
                <w:rFonts w:ascii="Times New Roman" w:hAnsi="Times New Roman" w:cs="Times New Roman"/>
                <w:color w:val="595959" w:themeColor="text1" w:themeTint="A6"/>
                <w:sz w:val="24"/>
                <w:szCs w:val="24"/>
              </w:rPr>
            </w:pPr>
          </w:p>
          <w:p w14:paraId="68F4E10B"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Políticas Transversales de la Estrategia Nacional de Desarrollo, Implementadas</w:t>
            </w:r>
          </w:p>
          <w:p w14:paraId="2F40F185" w14:textId="351E5D7A"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58" w:type="dxa"/>
            <w:noWrap/>
            <w:tcMar>
              <w:top w:w="0" w:type="dxa"/>
              <w:left w:w="70" w:type="dxa"/>
              <w:bottom w:w="0" w:type="dxa"/>
              <w:right w:w="70" w:type="dxa"/>
            </w:tcMar>
            <w:vAlign w:val="center"/>
          </w:tcPr>
          <w:p w14:paraId="697E395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realizados y carpetas de evidencias</w:t>
            </w:r>
          </w:p>
        </w:tc>
        <w:tc>
          <w:tcPr>
            <w:tcW w:w="1275" w:type="dxa"/>
            <w:noWrap/>
            <w:tcMar>
              <w:top w:w="0" w:type="dxa"/>
              <w:left w:w="70" w:type="dxa"/>
              <w:bottom w:w="0" w:type="dxa"/>
              <w:right w:w="70" w:type="dxa"/>
            </w:tcMar>
            <w:vAlign w:val="center"/>
          </w:tcPr>
          <w:p w14:paraId="2A6B412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FB07BD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276" w:type="dxa"/>
            <w:noWrap/>
            <w:tcMar>
              <w:top w:w="0" w:type="dxa"/>
              <w:left w:w="70" w:type="dxa"/>
              <w:bottom w:w="0" w:type="dxa"/>
              <w:right w:w="70" w:type="dxa"/>
            </w:tcMar>
            <w:vAlign w:val="center"/>
          </w:tcPr>
          <w:p w14:paraId="608BEA2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w:t>
            </w:r>
          </w:p>
        </w:tc>
        <w:tc>
          <w:tcPr>
            <w:tcW w:w="1134" w:type="dxa"/>
            <w:vAlign w:val="center"/>
          </w:tcPr>
          <w:p w14:paraId="72A2CE8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6ADA149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94%</w:t>
            </w:r>
          </w:p>
        </w:tc>
      </w:tr>
      <w:tr w:rsidR="00720F31" w:rsidRPr="0021707C" w14:paraId="0DCF7D37" w14:textId="77777777" w:rsidTr="009D61CE">
        <w:trPr>
          <w:trHeight w:val="737"/>
        </w:trPr>
        <w:tc>
          <w:tcPr>
            <w:tcW w:w="557" w:type="dxa"/>
            <w:noWrap/>
            <w:tcMar>
              <w:top w:w="0" w:type="dxa"/>
              <w:left w:w="70" w:type="dxa"/>
              <w:bottom w:w="0" w:type="dxa"/>
              <w:right w:w="70" w:type="dxa"/>
            </w:tcMar>
            <w:vAlign w:val="center"/>
          </w:tcPr>
          <w:p w14:paraId="3529377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30</w:t>
            </w:r>
          </w:p>
        </w:tc>
        <w:tc>
          <w:tcPr>
            <w:tcW w:w="2318" w:type="dxa"/>
            <w:vMerge w:val="restart"/>
            <w:tcMar>
              <w:top w:w="0" w:type="dxa"/>
              <w:left w:w="70" w:type="dxa"/>
              <w:bottom w:w="0" w:type="dxa"/>
              <w:right w:w="70" w:type="dxa"/>
            </w:tcMar>
            <w:vAlign w:val="center"/>
          </w:tcPr>
          <w:p w14:paraId="0942C2D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ADMINISTRATIVA Y FINANCIERA</w:t>
            </w:r>
          </w:p>
        </w:tc>
        <w:tc>
          <w:tcPr>
            <w:tcW w:w="2520" w:type="dxa"/>
            <w:noWrap/>
            <w:tcMar>
              <w:top w:w="0" w:type="dxa"/>
              <w:left w:w="70" w:type="dxa"/>
              <w:bottom w:w="0" w:type="dxa"/>
              <w:right w:w="70" w:type="dxa"/>
            </w:tcMar>
            <w:vAlign w:val="center"/>
          </w:tcPr>
          <w:p w14:paraId="613901A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Plan de Mantenimiento MINPRE</w:t>
            </w:r>
          </w:p>
        </w:tc>
        <w:tc>
          <w:tcPr>
            <w:tcW w:w="1258" w:type="dxa"/>
            <w:noWrap/>
            <w:tcMar>
              <w:top w:w="0" w:type="dxa"/>
              <w:left w:w="70" w:type="dxa"/>
              <w:bottom w:w="0" w:type="dxa"/>
              <w:right w:w="70" w:type="dxa"/>
            </w:tcMar>
            <w:vAlign w:val="center"/>
          </w:tcPr>
          <w:p w14:paraId="63004352" w14:textId="0A7BAEC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Informe de mantenimientos realizados </w:t>
            </w:r>
          </w:p>
        </w:tc>
        <w:tc>
          <w:tcPr>
            <w:tcW w:w="1275" w:type="dxa"/>
            <w:noWrap/>
            <w:tcMar>
              <w:top w:w="0" w:type="dxa"/>
              <w:left w:w="70" w:type="dxa"/>
              <w:bottom w:w="0" w:type="dxa"/>
              <w:right w:w="70" w:type="dxa"/>
            </w:tcMar>
            <w:vAlign w:val="center"/>
          </w:tcPr>
          <w:p w14:paraId="1C2385B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19CDB10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276" w:type="dxa"/>
            <w:noWrap/>
            <w:tcMar>
              <w:top w:w="0" w:type="dxa"/>
              <w:left w:w="70" w:type="dxa"/>
              <w:bottom w:w="0" w:type="dxa"/>
              <w:right w:w="70" w:type="dxa"/>
            </w:tcMar>
            <w:vAlign w:val="center"/>
          </w:tcPr>
          <w:p w14:paraId="030CEA1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134" w:type="dxa"/>
            <w:vAlign w:val="center"/>
          </w:tcPr>
          <w:p w14:paraId="217DC6C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713EB5C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94%</w:t>
            </w:r>
          </w:p>
        </w:tc>
      </w:tr>
      <w:tr w:rsidR="00720F31" w:rsidRPr="0021707C" w14:paraId="3ACD245B" w14:textId="77777777" w:rsidTr="009D61CE">
        <w:trPr>
          <w:trHeight w:val="737"/>
        </w:trPr>
        <w:tc>
          <w:tcPr>
            <w:tcW w:w="557" w:type="dxa"/>
            <w:noWrap/>
            <w:tcMar>
              <w:top w:w="0" w:type="dxa"/>
              <w:left w:w="70" w:type="dxa"/>
              <w:bottom w:w="0" w:type="dxa"/>
              <w:right w:w="70" w:type="dxa"/>
            </w:tcMar>
            <w:vAlign w:val="center"/>
          </w:tcPr>
          <w:p w14:paraId="6C03613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31</w:t>
            </w:r>
          </w:p>
        </w:tc>
        <w:tc>
          <w:tcPr>
            <w:tcW w:w="2318" w:type="dxa"/>
            <w:vMerge/>
            <w:tcMar>
              <w:top w:w="0" w:type="dxa"/>
              <w:left w:w="70" w:type="dxa"/>
              <w:bottom w:w="0" w:type="dxa"/>
              <w:right w:w="70" w:type="dxa"/>
            </w:tcMar>
            <w:vAlign w:val="center"/>
          </w:tcPr>
          <w:p w14:paraId="58B4C08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294B2DE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Compras y Contrataciones MINPRE</w:t>
            </w:r>
          </w:p>
        </w:tc>
        <w:tc>
          <w:tcPr>
            <w:tcW w:w="1258" w:type="dxa"/>
            <w:noWrap/>
            <w:tcMar>
              <w:top w:w="0" w:type="dxa"/>
              <w:left w:w="70" w:type="dxa"/>
              <w:bottom w:w="0" w:type="dxa"/>
              <w:right w:w="70" w:type="dxa"/>
            </w:tcMar>
            <w:vAlign w:val="center"/>
          </w:tcPr>
          <w:p w14:paraId="6D3689D0" w14:textId="77777777" w:rsidR="00720F31"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 xml:space="preserve">Informe del plan de adquisiciones </w:t>
            </w:r>
          </w:p>
          <w:p w14:paraId="40FBF30E" w14:textId="77777777" w:rsidR="003A4748" w:rsidRDefault="003A4748" w:rsidP="00720F31">
            <w:pPr>
              <w:pStyle w:val="xxmsonormal"/>
              <w:jc w:val="center"/>
              <w:rPr>
                <w:rFonts w:ascii="Times New Roman" w:hAnsi="Times New Roman" w:cs="Times New Roman"/>
                <w:color w:val="595959" w:themeColor="text1" w:themeTint="A6"/>
                <w:sz w:val="24"/>
                <w:szCs w:val="24"/>
              </w:rPr>
            </w:pPr>
          </w:p>
          <w:p w14:paraId="442C9A22" w14:textId="6051E646" w:rsidR="003A4748" w:rsidRPr="0021707C" w:rsidRDefault="003A4748"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vAlign w:val="center"/>
          </w:tcPr>
          <w:p w14:paraId="7E21F26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75E24E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276" w:type="dxa"/>
            <w:noWrap/>
            <w:tcMar>
              <w:top w:w="0" w:type="dxa"/>
              <w:left w:w="70" w:type="dxa"/>
              <w:bottom w:w="0" w:type="dxa"/>
              <w:right w:w="70" w:type="dxa"/>
            </w:tcMar>
            <w:vAlign w:val="center"/>
          </w:tcPr>
          <w:p w14:paraId="71BA7B9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w:t>
            </w:r>
          </w:p>
        </w:tc>
        <w:tc>
          <w:tcPr>
            <w:tcW w:w="1134" w:type="dxa"/>
            <w:vAlign w:val="center"/>
          </w:tcPr>
          <w:p w14:paraId="1A237F2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5ED209C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21701556"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5C9D923D" w14:textId="5893302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2400120B" w14:textId="21AB2BD3"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31C0E858" w14:textId="3EBD0775"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74D3EA1E"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509E4239" w14:textId="00C98035"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625F5EC5" w14:textId="4D4815BE"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61770578"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7FC39224" w14:textId="2E19C408"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0CCA6279" w14:textId="2D822EEA"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4B3064F1" w14:textId="764E8FD6"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3EF0F3DC"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1A9D591B" w14:textId="3CC82726"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64E38847" w14:textId="77777777" w:rsidTr="009D61CE">
        <w:trPr>
          <w:trHeight w:val="737"/>
        </w:trPr>
        <w:tc>
          <w:tcPr>
            <w:tcW w:w="557" w:type="dxa"/>
            <w:noWrap/>
            <w:tcMar>
              <w:top w:w="0" w:type="dxa"/>
              <w:left w:w="70" w:type="dxa"/>
              <w:bottom w:w="0" w:type="dxa"/>
              <w:right w:w="70" w:type="dxa"/>
            </w:tcMar>
            <w:vAlign w:val="center"/>
          </w:tcPr>
          <w:p w14:paraId="6AF8787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32</w:t>
            </w:r>
          </w:p>
        </w:tc>
        <w:tc>
          <w:tcPr>
            <w:tcW w:w="2318" w:type="dxa"/>
            <w:vMerge w:val="restart"/>
            <w:tcMar>
              <w:top w:w="0" w:type="dxa"/>
              <w:left w:w="70" w:type="dxa"/>
              <w:bottom w:w="0" w:type="dxa"/>
              <w:right w:w="70" w:type="dxa"/>
            </w:tcMar>
            <w:vAlign w:val="center"/>
          </w:tcPr>
          <w:p w14:paraId="59328363" w14:textId="50E3AF7E"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ADMINISTRATIVA Y FINANCIERA</w:t>
            </w:r>
          </w:p>
        </w:tc>
        <w:tc>
          <w:tcPr>
            <w:tcW w:w="2520" w:type="dxa"/>
            <w:noWrap/>
            <w:tcMar>
              <w:top w:w="0" w:type="dxa"/>
              <w:left w:w="70" w:type="dxa"/>
              <w:bottom w:w="0" w:type="dxa"/>
              <w:right w:w="70" w:type="dxa"/>
            </w:tcMar>
            <w:vAlign w:val="center"/>
          </w:tcPr>
          <w:p w14:paraId="01E7471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Mantenimiento de Indicadores</w:t>
            </w:r>
          </w:p>
        </w:tc>
        <w:tc>
          <w:tcPr>
            <w:tcW w:w="1258" w:type="dxa"/>
            <w:noWrap/>
            <w:tcMar>
              <w:top w:w="0" w:type="dxa"/>
              <w:left w:w="70" w:type="dxa"/>
              <w:bottom w:w="0" w:type="dxa"/>
              <w:right w:w="70" w:type="dxa"/>
            </w:tcMar>
            <w:vAlign w:val="center"/>
          </w:tcPr>
          <w:p w14:paraId="209F9DF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Captura de pantalla de los sistemas de indicadores</w:t>
            </w:r>
          </w:p>
        </w:tc>
        <w:tc>
          <w:tcPr>
            <w:tcW w:w="1275" w:type="dxa"/>
            <w:noWrap/>
            <w:tcMar>
              <w:top w:w="0" w:type="dxa"/>
              <w:left w:w="70" w:type="dxa"/>
              <w:bottom w:w="0" w:type="dxa"/>
              <w:right w:w="70" w:type="dxa"/>
            </w:tcMar>
            <w:vAlign w:val="center"/>
          </w:tcPr>
          <w:p w14:paraId="267CE22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1FFDE57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90%</w:t>
            </w:r>
          </w:p>
        </w:tc>
        <w:tc>
          <w:tcPr>
            <w:tcW w:w="1276" w:type="dxa"/>
            <w:noWrap/>
            <w:tcMar>
              <w:top w:w="0" w:type="dxa"/>
              <w:left w:w="70" w:type="dxa"/>
              <w:bottom w:w="0" w:type="dxa"/>
              <w:right w:w="70" w:type="dxa"/>
            </w:tcMar>
            <w:vAlign w:val="center"/>
          </w:tcPr>
          <w:p w14:paraId="6A57D4A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90%</w:t>
            </w:r>
          </w:p>
        </w:tc>
        <w:tc>
          <w:tcPr>
            <w:tcW w:w="1134" w:type="dxa"/>
            <w:vAlign w:val="center"/>
          </w:tcPr>
          <w:p w14:paraId="4685D1C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93%</w:t>
            </w:r>
          </w:p>
        </w:tc>
        <w:tc>
          <w:tcPr>
            <w:tcW w:w="1276" w:type="dxa"/>
            <w:vAlign w:val="center"/>
          </w:tcPr>
          <w:p w14:paraId="16CD813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94%</w:t>
            </w:r>
          </w:p>
        </w:tc>
      </w:tr>
      <w:tr w:rsidR="00720F31" w:rsidRPr="0021707C" w14:paraId="0ECAF5CC" w14:textId="77777777" w:rsidTr="009D61CE">
        <w:trPr>
          <w:trHeight w:val="737"/>
        </w:trPr>
        <w:tc>
          <w:tcPr>
            <w:tcW w:w="557" w:type="dxa"/>
            <w:noWrap/>
            <w:tcMar>
              <w:top w:w="0" w:type="dxa"/>
              <w:left w:w="70" w:type="dxa"/>
              <w:bottom w:w="0" w:type="dxa"/>
              <w:right w:w="70" w:type="dxa"/>
            </w:tcMar>
            <w:vAlign w:val="center"/>
          </w:tcPr>
          <w:p w14:paraId="07EFEF7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33</w:t>
            </w:r>
          </w:p>
        </w:tc>
        <w:tc>
          <w:tcPr>
            <w:tcW w:w="2318" w:type="dxa"/>
            <w:vMerge/>
            <w:tcMar>
              <w:top w:w="0" w:type="dxa"/>
              <w:left w:w="70" w:type="dxa"/>
              <w:bottom w:w="0" w:type="dxa"/>
              <w:right w:w="70" w:type="dxa"/>
            </w:tcMar>
            <w:vAlign w:val="center"/>
          </w:tcPr>
          <w:p w14:paraId="1AC1D89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199EA2C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Institucionales Elaborado</w:t>
            </w:r>
          </w:p>
        </w:tc>
        <w:tc>
          <w:tcPr>
            <w:tcW w:w="1258" w:type="dxa"/>
            <w:noWrap/>
            <w:tcMar>
              <w:top w:w="0" w:type="dxa"/>
              <w:left w:w="70" w:type="dxa"/>
              <w:bottom w:w="0" w:type="dxa"/>
              <w:right w:w="70" w:type="dxa"/>
            </w:tcMar>
            <w:vAlign w:val="center"/>
          </w:tcPr>
          <w:p w14:paraId="75D6525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Ante proyectos e informes realizados</w:t>
            </w:r>
          </w:p>
        </w:tc>
        <w:tc>
          <w:tcPr>
            <w:tcW w:w="1275" w:type="dxa"/>
            <w:noWrap/>
            <w:tcMar>
              <w:top w:w="0" w:type="dxa"/>
              <w:left w:w="70" w:type="dxa"/>
              <w:bottom w:w="0" w:type="dxa"/>
              <w:right w:w="70" w:type="dxa"/>
            </w:tcMar>
            <w:vAlign w:val="center"/>
          </w:tcPr>
          <w:p w14:paraId="3A212B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2586C0E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276" w:type="dxa"/>
            <w:noWrap/>
            <w:tcMar>
              <w:top w:w="0" w:type="dxa"/>
              <w:left w:w="70" w:type="dxa"/>
              <w:bottom w:w="0" w:type="dxa"/>
              <w:right w:w="70" w:type="dxa"/>
            </w:tcMar>
            <w:vAlign w:val="center"/>
          </w:tcPr>
          <w:p w14:paraId="3DA2290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w:t>
            </w:r>
          </w:p>
        </w:tc>
        <w:tc>
          <w:tcPr>
            <w:tcW w:w="1134" w:type="dxa"/>
            <w:vAlign w:val="center"/>
          </w:tcPr>
          <w:p w14:paraId="110D526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471F173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1141C7E9" w14:textId="77777777" w:rsidTr="009D61CE">
        <w:trPr>
          <w:trHeight w:val="737"/>
        </w:trPr>
        <w:tc>
          <w:tcPr>
            <w:tcW w:w="557" w:type="dxa"/>
            <w:noWrap/>
            <w:tcMar>
              <w:top w:w="0" w:type="dxa"/>
              <w:left w:w="70" w:type="dxa"/>
              <w:bottom w:w="0" w:type="dxa"/>
              <w:right w:w="70" w:type="dxa"/>
            </w:tcMar>
            <w:vAlign w:val="center"/>
          </w:tcPr>
          <w:p w14:paraId="1B4451E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34</w:t>
            </w:r>
          </w:p>
        </w:tc>
        <w:tc>
          <w:tcPr>
            <w:tcW w:w="2318" w:type="dxa"/>
            <w:vMerge w:val="restart"/>
            <w:tcMar>
              <w:top w:w="0" w:type="dxa"/>
              <w:left w:w="70" w:type="dxa"/>
              <w:bottom w:w="0" w:type="dxa"/>
              <w:right w:w="70" w:type="dxa"/>
            </w:tcMar>
            <w:vAlign w:val="center"/>
          </w:tcPr>
          <w:p w14:paraId="2706C6A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JURÍDICA</w:t>
            </w:r>
          </w:p>
        </w:tc>
        <w:tc>
          <w:tcPr>
            <w:tcW w:w="2520" w:type="dxa"/>
            <w:noWrap/>
            <w:tcMar>
              <w:top w:w="0" w:type="dxa"/>
              <w:left w:w="70" w:type="dxa"/>
              <w:bottom w:w="0" w:type="dxa"/>
              <w:right w:w="70" w:type="dxa"/>
            </w:tcMar>
            <w:vAlign w:val="center"/>
          </w:tcPr>
          <w:p w14:paraId="49FF2C23" w14:textId="77777777" w:rsidR="00720F31" w:rsidRPr="0021707C" w:rsidRDefault="00720F31" w:rsidP="00720F31">
            <w:pPr>
              <w:jc w:val="center"/>
              <w:rPr>
                <w:color w:val="595959" w:themeColor="text1" w:themeTint="A6"/>
                <w:lang w:val="es-DO"/>
              </w:rPr>
            </w:pPr>
            <w:r w:rsidRPr="00720F31">
              <w:rPr>
                <w:color w:val="595959" w:themeColor="text1" w:themeTint="A6"/>
                <w:spacing w:val="0"/>
                <w:lang w:val="es-DO" w:eastAsia="es-DO"/>
              </w:rPr>
              <w:t>Capacidad de la Dirección Jurídica, fortalecida</w:t>
            </w:r>
          </w:p>
        </w:tc>
        <w:tc>
          <w:tcPr>
            <w:tcW w:w="1258" w:type="dxa"/>
            <w:noWrap/>
            <w:tcMar>
              <w:top w:w="0" w:type="dxa"/>
              <w:left w:w="70" w:type="dxa"/>
              <w:bottom w:w="0" w:type="dxa"/>
              <w:right w:w="70" w:type="dxa"/>
            </w:tcMar>
            <w:vAlign w:val="center"/>
          </w:tcPr>
          <w:p w14:paraId="5D4D1B2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y copia de contratos</w:t>
            </w:r>
          </w:p>
        </w:tc>
        <w:tc>
          <w:tcPr>
            <w:tcW w:w="1275" w:type="dxa"/>
            <w:noWrap/>
            <w:tcMar>
              <w:top w:w="0" w:type="dxa"/>
              <w:left w:w="70" w:type="dxa"/>
              <w:bottom w:w="0" w:type="dxa"/>
              <w:right w:w="70" w:type="dxa"/>
            </w:tcMar>
            <w:vAlign w:val="center"/>
          </w:tcPr>
          <w:p w14:paraId="721751E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03ACECC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1C0324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F9420F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30C1AE2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25%</w:t>
            </w:r>
          </w:p>
        </w:tc>
      </w:tr>
      <w:tr w:rsidR="00720F31" w:rsidRPr="0021707C" w14:paraId="5C46850A" w14:textId="77777777" w:rsidTr="009D61CE">
        <w:trPr>
          <w:trHeight w:val="737"/>
        </w:trPr>
        <w:tc>
          <w:tcPr>
            <w:tcW w:w="557" w:type="dxa"/>
            <w:noWrap/>
            <w:tcMar>
              <w:top w:w="0" w:type="dxa"/>
              <w:left w:w="70" w:type="dxa"/>
              <w:bottom w:w="0" w:type="dxa"/>
              <w:right w:w="70" w:type="dxa"/>
            </w:tcMar>
            <w:vAlign w:val="center"/>
          </w:tcPr>
          <w:p w14:paraId="239EF7A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35</w:t>
            </w:r>
          </w:p>
        </w:tc>
        <w:tc>
          <w:tcPr>
            <w:tcW w:w="2318" w:type="dxa"/>
            <w:vMerge/>
            <w:tcMar>
              <w:top w:w="0" w:type="dxa"/>
              <w:left w:w="70" w:type="dxa"/>
              <w:bottom w:w="0" w:type="dxa"/>
              <w:right w:w="70" w:type="dxa"/>
            </w:tcMar>
            <w:vAlign w:val="center"/>
          </w:tcPr>
          <w:p w14:paraId="248FC2D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3A32B801"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Asistencia técnicas - legales</w:t>
            </w:r>
          </w:p>
        </w:tc>
        <w:tc>
          <w:tcPr>
            <w:tcW w:w="1258" w:type="dxa"/>
            <w:noWrap/>
            <w:tcMar>
              <w:top w:w="0" w:type="dxa"/>
              <w:left w:w="70" w:type="dxa"/>
              <w:bottom w:w="0" w:type="dxa"/>
              <w:right w:w="70" w:type="dxa"/>
            </w:tcMar>
            <w:vAlign w:val="center"/>
          </w:tcPr>
          <w:p w14:paraId="46C9C88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Actas y documentos revisados</w:t>
            </w:r>
          </w:p>
        </w:tc>
        <w:tc>
          <w:tcPr>
            <w:tcW w:w="1275" w:type="dxa"/>
            <w:noWrap/>
            <w:tcMar>
              <w:top w:w="0" w:type="dxa"/>
              <w:left w:w="70" w:type="dxa"/>
              <w:bottom w:w="0" w:type="dxa"/>
              <w:right w:w="70" w:type="dxa"/>
            </w:tcMar>
            <w:vAlign w:val="center"/>
          </w:tcPr>
          <w:p w14:paraId="461F4F9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3A3D3E8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A959A3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84AE90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2CDAADB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341487F3" w14:textId="77777777" w:rsidTr="009D61CE">
        <w:trPr>
          <w:trHeight w:val="737"/>
        </w:trPr>
        <w:tc>
          <w:tcPr>
            <w:tcW w:w="557" w:type="dxa"/>
            <w:noWrap/>
            <w:tcMar>
              <w:top w:w="0" w:type="dxa"/>
              <w:left w:w="70" w:type="dxa"/>
              <w:bottom w:w="0" w:type="dxa"/>
              <w:right w:w="70" w:type="dxa"/>
            </w:tcMar>
            <w:vAlign w:val="center"/>
          </w:tcPr>
          <w:p w14:paraId="186AC8B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36</w:t>
            </w:r>
          </w:p>
        </w:tc>
        <w:tc>
          <w:tcPr>
            <w:tcW w:w="2318" w:type="dxa"/>
            <w:vMerge w:val="restart"/>
            <w:tcMar>
              <w:top w:w="0" w:type="dxa"/>
              <w:left w:w="70" w:type="dxa"/>
              <w:bottom w:w="0" w:type="dxa"/>
              <w:right w:w="70" w:type="dxa"/>
            </w:tcMar>
            <w:vAlign w:val="center"/>
          </w:tcPr>
          <w:p w14:paraId="53A4016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DE PROTOCOLO Y EVENTOS</w:t>
            </w:r>
          </w:p>
        </w:tc>
        <w:tc>
          <w:tcPr>
            <w:tcW w:w="2520" w:type="dxa"/>
            <w:noWrap/>
            <w:tcMar>
              <w:top w:w="0" w:type="dxa"/>
              <w:left w:w="70" w:type="dxa"/>
              <w:bottom w:w="0" w:type="dxa"/>
              <w:right w:w="70" w:type="dxa"/>
            </w:tcMar>
            <w:vAlign w:val="center"/>
          </w:tcPr>
          <w:p w14:paraId="55D5D6B4"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 xml:space="preserve">Actividades especiales del ministro, </w:t>
            </w:r>
            <w:commentRangeStart w:id="147"/>
            <w:r w:rsidRPr="00720F31">
              <w:rPr>
                <w:color w:val="595959" w:themeColor="text1" w:themeTint="A6"/>
                <w:spacing w:val="0"/>
                <w:lang w:val="es-DO" w:eastAsia="es-DO"/>
              </w:rPr>
              <w:t>gestionadas</w:t>
            </w:r>
            <w:commentRangeEnd w:id="147"/>
            <w:r w:rsidRPr="00720F31">
              <w:rPr>
                <w:spacing w:val="0"/>
                <w:lang w:val="es-DO" w:eastAsia="es-DO"/>
              </w:rPr>
              <w:commentReference w:id="147"/>
            </w:r>
          </w:p>
        </w:tc>
        <w:tc>
          <w:tcPr>
            <w:tcW w:w="1258" w:type="dxa"/>
            <w:noWrap/>
            <w:tcMar>
              <w:top w:w="0" w:type="dxa"/>
              <w:left w:w="70" w:type="dxa"/>
              <w:bottom w:w="0" w:type="dxa"/>
              <w:right w:w="70" w:type="dxa"/>
            </w:tcMar>
            <w:vAlign w:val="center"/>
          </w:tcPr>
          <w:p w14:paraId="079AA9E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tcPr>
          <w:p w14:paraId="53740B8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25EC393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25C3C7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788654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26A1B8D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253D19D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98%</w:t>
            </w:r>
          </w:p>
        </w:tc>
      </w:tr>
      <w:tr w:rsidR="00720F31" w:rsidRPr="0021707C" w14:paraId="7CC35F1B" w14:textId="77777777" w:rsidTr="009D61CE">
        <w:trPr>
          <w:trHeight w:val="737"/>
        </w:trPr>
        <w:tc>
          <w:tcPr>
            <w:tcW w:w="557" w:type="dxa"/>
            <w:noWrap/>
            <w:tcMar>
              <w:top w:w="0" w:type="dxa"/>
              <w:left w:w="70" w:type="dxa"/>
              <w:bottom w:w="0" w:type="dxa"/>
              <w:right w:w="70" w:type="dxa"/>
            </w:tcMar>
            <w:vAlign w:val="center"/>
          </w:tcPr>
          <w:p w14:paraId="12B0360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37</w:t>
            </w:r>
          </w:p>
        </w:tc>
        <w:tc>
          <w:tcPr>
            <w:tcW w:w="2318" w:type="dxa"/>
            <w:vMerge/>
            <w:tcMar>
              <w:top w:w="0" w:type="dxa"/>
              <w:left w:w="70" w:type="dxa"/>
              <w:bottom w:w="0" w:type="dxa"/>
              <w:right w:w="70" w:type="dxa"/>
            </w:tcMar>
            <w:vAlign w:val="center"/>
          </w:tcPr>
          <w:p w14:paraId="0D150EE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7BE9400E" w14:textId="6AEF99BD"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Reuniones y actividades de trabajo Minpre (RRHH, Comisiones)</w:t>
            </w:r>
          </w:p>
        </w:tc>
        <w:tc>
          <w:tcPr>
            <w:tcW w:w="1258" w:type="dxa"/>
            <w:noWrap/>
            <w:tcMar>
              <w:top w:w="0" w:type="dxa"/>
              <w:left w:w="70" w:type="dxa"/>
              <w:bottom w:w="0" w:type="dxa"/>
              <w:right w:w="70" w:type="dxa"/>
            </w:tcMar>
            <w:vAlign w:val="center"/>
          </w:tcPr>
          <w:p w14:paraId="3E4B434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tcPr>
          <w:p w14:paraId="686023A6" w14:textId="77777777" w:rsidR="00720F31" w:rsidRPr="0021707C" w:rsidRDefault="00720F31" w:rsidP="00720F31">
            <w:pPr>
              <w:pStyle w:val="xxmsonormal"/>
              <w:rPr>
                <w:rFonts w:ascii="Times New Roman" w:hAnsi="Times New Roman" w:cs="Times New Roman"/>
                <w:color w:val="595959" w:themeColor="text1" w:themeTint="A6"/>
                <w:sz w:val="24"/>
                <w:szCs w:val="24"/>
              </w:rPr>
            </w:pPr>
          </w:p>
          <w:p w14:paraId="4B448DF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2008185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7199F3D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A2BF76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43BE760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97%</w:t>
            </w:r>
          </w:p>
        </w:tc>
      </w:tr>
      <w:tr w:rsidR="00720F31" w:rsidRPr="0021707C" w14:paraId="31B5BE42" w14:textId="77777777" w:rsidTr="009D61CE">
        <w:trPr>
          <w:trHeight w:val="737"/>
        </w:trPr>
        <w:tc>
          <w:tcPr>
            <w:tcW w:w="557" w:type="dxa"/>
            <w:noWrap/>
            <w:tcMar>
              <w:top w:w="0" w:type="dxa"/>
              <w:left w:w="70" w:type="dxa"/>
              <w:bottom w:w="0" w:type="dxa"/>
              <w:right w:w="70" w:type="dxa"/>
            </w:tcMar>
            <w:vAlign w:val="center"/>
          </w:tcPr>
          <w:p w14:paraId="6E248A3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38</w:t>
            </w:r>
          </w:p>
        </w:tc>
        <w:tc>
          <w:tcPr>
            <w:tcW w:w="2318" w:type="dxa"/>
            <w:vMerge/>
            <w:tcMar>
              <w:top w:w="0" w:type="dxa"/>
              <w:left w:w="70" w:type="dxa"/>
              <w:bottom w:w="0" w:type="dxa"/>
              <w:right w:w="70" w:type="dxa"/>
            </w:tcMar>
            <w:vAlign w:val="center"/>
          </w:tcPr>
          <w:p w14:paraId="0AD7401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7EC3742B"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Reuniones y actividades de trabajo de los viceministerios</w:t>
            </w:r>
          </w:p>
        </w:tc>
        <w:tc>
          <w:tcPr>
            <w:tcW w:w="1258" w:type="dxa"/>
            <w:noWrap/>
            <w:tcMar>
              <w:top w:w="0" w:type="dxa"/>
              <w:left w:w="70" w:type="dxa"/>
              <w:bottom w:w="0" w:type="dxa"/>
              <w:right w:w="70" w:type="dxa"/>
            </w:tcMar>
            <w:vAlign w:val="center"/>
          </w:tcPr>
          <w:p w14:paraId="2B4C9B7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1275" w:type="dxa"/>
            <w:noWrap/>
            <w:tcMar>
              <w:top w:w="0" w:type="dxa"/>
              <w:left w:w="70" w:type="dxa"/>
              <w:bottom w:w="0" w:type="dxa"/>
              <w:right w:w="70" w:type="dxa"/>
            </w:tcMar>
          </w:tcPr>
          <w:p w14:paraId="34F427C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15A6BC1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388A53B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2DBA3E0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5CEAE61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A88EB4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98%</w:t>
            </w:r>
          </w:p>
        </w:tc>
      </w:tr>
      <w:tr w:rsidR="00720F31" w:rsidRPr="0021707C" w14:paraId="2C8D52A2"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12426D5B" w14:textId="4329B38E"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1969FBC0" w14:textId="31DA29A0"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11EBB75D" w14:textId="197BAD34" w:rsidR="00720F31" w:rsidRPr="00720F31" w:rsidRDefault="00720F31" w:rsidP="00720F31">
            <w:pPr>
              <w:jc w:val="center"/>
              <w:rPr>
                <w:color w:val="595959" w:themeColor="text1" w:themeTint="A6"/>
                <w:spacing w:val="0"/>
                <w:lang w:val="es-DO" w:eastAsia="es-DO"/>
              </w:rPr>
            </w:pPr>
            <w:r w:rsidRPr="0021707C">
              <w:rPr>
                <w:b/>
                <w:bCs/>
                <w:color w:val="FFFFFF"/>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38B061B5"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1AE6309F" w14:textId="61A130F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0BE40255" w14:textId="7FE0A096"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677D9C6A"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453A1DB1" w14:textId="58E68D83"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6191EC96" w14:textId="1FCFAFDC"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362E15CD" w14:textId="7D9A5985"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256931EA"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2107351D" w14:textId="4FAC9561"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42797C0E" w14:textId="77777777" w:rsidTr="009D61CE">
        <w:trPr>
          <w:trHeight w:val="737"/>
        </w:trPr>
        <w:tc>
          <w:tcPr>
            <w:tcW w:w="557" w:type="dxa"/>
            <w:noWrap/>
            <w:tcMar>
              <w:top w:w="0" w:type="dxa"/>
              <w:left w:w="70" w:type="dxa"/>
              <w:bottom w:w="0" w:type="dxa"/>
              <w:right w:w="70" w:type="dxa"/>
            </w:tcMar>
            <w:vAlign w:val="center"/>
          </w:tcPr>
          <w:p w14:paraId="2450B2C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39</w:t>
            </w:r>
          </w:p>
        </w:tc>
        <w:tc>
          <w:tcPr>
            <w:tcW w:w="2318" w:type="dxa"/>
            <w:vMerge w:val="restart"/>
            <w:tcMar>
              <w:top w:w="0" w:type="dxa"/>
              <w:left w:w="70" w:type="dxa"/>
              <w:bottom w:w="0" w:type="dxa"/>
              <w:right w:w="70" w:type="dxa"/>
            </w:tcMar>
            <w:vAlign w:val="center"/>
          </w:tcPr>
          <w:p w14:paraId="46E877F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DE RECURSOS HUMANOS</w:t>
            </w:r>
          </w:p>
        </w:tc>
        <w:tc>
          <w:tcPr>
            <w:tcW w:w="2520" w:type="dxa"/>
            <w:noWrap/>
            <w:tcMar>
              <w:top w:w="0" w:type="dxa"/>
              <w:left w:w="70" w:type="dxa"/>
              <w:bottom w:w="0" w:type="dxa"/>
              <w:right w:w="70" w:type="dxa"/>
            </w:tcMar>
            <w:vAlign w:val="center"/>
          </w:tcPr>
          <w:p w14:paraId="5F4EB3CA"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Plan de Capacitación</w:t>
            </w:r>
          </w:p>
        </w:tc>
        <w:tc>
          <w:tcPr>
            <w:tcW w:w="1258" w:type="dxa"/>
            <w:noWrap/>
            <w:tcMar>
              <w:top w:w="0" w:type="dxa"/>
              <w:left w:w="70" w:type="dxa"/>
              <w:bottom w:w="0" w:type="dxa"/>
              <w:right w:w="70" w:type="dxa"/>
            </w:tcMar>
            <w:vAlign w:val="center"/>
          </w:tcPr>
          <w:p w14:paraId="695438A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Plan anual de capacitación</w:t>
            </w:r>
          </w:p>
        </w:tc>
        <w:tc>
          <w:tcPr>
            <w:tcW w:w="1275" w:type="dxa"/>
            <w:noWrap/>
            <w:tcMar>
              <w:top w:w="0" w:type="dxa"/>
              <w:left w:w="70" w:type="dxa"/>
              <w:bottom w:w="0" w:type="dxa"/>
              <w:right w:w="70" w:type="dxa"/>
            </w:tcMar>
          </w:tcPr>
          <w:p w14:paraId="5F0E4A9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424F65B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AFE949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1397670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32577ED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50%</w:t>
            </w:r>
          </w:p>
        </w:tc>
        <w:tc>
          <w:tcPr>
            <w:tcW w:w="1276" w:type="dxa"/>
            <w:vAlign w:val="center"/>
          </w:tcPr>
          <w:p w14:paraId="61A999A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81%</w:t>
            </w:r>
          </w:p>
        </w:tc>
      </w:tr>
      <w:tr w:rsidR="00720F31" w:rsidRPr="0021707C" w14:paraId="0BA6A69D" w14:textId="77777777" w:rsidTr="009D61CE">
        <w:trPr>
          <w:trHeight w:val="737"/>
        </w:trPr>
        <w:tc>
          <w:tcPr>
            <w:tcW w:w="557" w:type="dxa"/>
            <w:noWrap/>
            <w:tcMar>
              <w:top w:w="0" w:type="dxa"/>
              <w:left w:w="70" w:type="dxa"/>
              <w:bottom w:w="0" w:type="dxa"/>
              <w:right w:w="70" w:type="dxa"/>
            </w:tcMar>
            <w:vAlign w:val="center"/>
          </w:tcPr>
          <w:p w14:paraId="499908B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40</w:t>
            </w:r>
          </w:p>
        </w:tc>
        <w:tc>
          <w:tcPr>
            <w:tcW w:w="2318" w:type="dxa"/>
            <w:vMerge/>
            <w:tcMar>
              <w:top w:w="0" w:type="dxa"/>
              <w:left w:w="70" w:type="dxa"/>
              <w:bottom w:w="0" w:type="dxa"/>
              <w:right w:w="70" w:type="dxa"/>
            </w:tcMar>
            <w:vAlign w:val="center"/>
          </w:tcPr>
          <w:p w14:paraId="0EF12AD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5504DDA2"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Programa de Bienestar y Beneficios</w:t>
            </w:r>
          </w:p>
        </w:tc>
        <w:tc>
          <w:tcPr>
            <w:tcW w:w="1258" w:type="dxa"/>
            <w:noWrap/>
            <w:tcMar>
              <w:top w:w="0" w:type="dxa"/>
              <w:left w:w="70" w:type="dxa"/>
              <w:bottom w:w="0" w:type="dxa"/>
              <w:right w:w="70" w:type="dxa"/>
            </w:tcMar>
            <w:vAlign w:val="center"/>
          </w:tcPr>
          <w:p w14:paraId="36B768C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Fotografía se eventos</w:t>
            </w:r>
          </w:p>
        </w:tc>
        <w:tc>
          <w:tcPr>
            <w:tcW w:w="1275" w:type="dxa"/>
            <w:noWrap/>
            <w:tcMar>
              <w:top w:w="0" w:type="dxa"/>
              <w:left w:w="70" w:type="dxa"/>
              <w:bottom w:w="0" w:type="dxa"/>
              <w:right w:w="70" w:type="dxa"/>
            </w:tcMar>
          </w:tcPr>
          <w:p w14:paraId="353BFE8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59A03F2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3A3D19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6EADB6C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1949A71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399B08A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2AE24172" w14:textId="77777777" w:rsidTr="009D61CE">
        <w:trPr>
          <w:trHeight w:val="737"/>
        </w:trPr>
        <w:tc>
          <w:tcPr>
            <w:tcW w:w="557" w:type="dxa"/>
            <w:noWrap/>
            <w:tcMar>
              <w:top w:w="0" w:type="dxa"/>
              <w:left w:w="70" w:type="dxa"/>
              <w:bottom w:w="0" w:type="dxa"/>
              <w:right w:w="70" w:type="dxa"/>
            </w:tcMar>
            <w:vAlign w:val="center"/>
          </w:tcPr>
          <w:p w14:paraId="1352894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41</w:t>
            </w:r>
          </w:p>
        </w:tc>
        <w:tc>
          <w:tcPr>
            <w:tcW w:w="2318" w:type="dxa"/>
            <w:vMerge/>
            <w:tcMar>
              <w:top w:w="0" w:type="dxa"/>
              <w:left w:w="70" w:type="dxa"/>
              <w:bottom w:w="0" w:type="dxa"/>
              <w:right w:w="70" w:type="dxa"/>
            </w:tcMar>
            <w:vAlign w:val="center"/>
          </w:tcPr>
          <w:p w14:paraId="606899F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27E795A3"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Plan de 3R y Sostenibilidad</w:t>
            </w:r>
          </w:p>
        </w:tc>
        <w:tc>
          <w:tcPr>
            <w:tcW w:w="1258" w:type="dxa"/>
            <w:noWrap/>
            <w:tcMar>
              <w:top w:w="0" w:type="dxa"/>
              <w:left w:w="70" w:type="dxa"/>
              <w:bottom w:w="0" w:type="dxa"/>
              <w:right w:w="70" w:type="dxa"/>
            </w:tcMar>
            <w:vAlign w:val="center"/>
          </w:tcPr>
          <w:p w14:paraId="7A64602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Fotografía se eventos</w:t>
            </w:r>
          </w:p>
        </w:tc>
        <w:tc>
          <w:tcPr>
            <w:tcW w:w="1275" w:type="dxa"/>
            <w:noWrap/>
            <w:tcMar>
              <w:top w:w="0" w:type="dxa"/>
              <w:left w:w="70" w:type="dxa"/>
              <w:bottom w:w="0" w:type="dxa"/>
              <w:right w:w="70" w:type="dxa"/>
            </w:tcMar>
          </w:tcPr>
          <w:p w14:paraId="77CAE05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3D0D276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Semestral</w:t>
            </w:r>
          </w:p>
        </w:tc>
        <w:tc>
          <w:tcPr>
            <w:tcW w:w="1276" w:type="dxa"/>
            <w:noWrap/>
            <w:tcMar>
              <w:top w:w="0" w:type="dxa"/>
              <w:left w:w="70" w:type="dxa"/>
              <w:bottom w:w="0" w:type="dxa"/>
              <w:right w:w="70" w:type="dxa"/>
            </w:tcMar>
            <w:vAlign w:val="center"/>
          </w:tcPr>
          <w:p w14:paraId="3CAE2E8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013BD82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6FDFDAE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79DCE8F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83%</w:t>
            </w:r>
          </w:p>
        </w:tc>
      </w:tr>
      <w:tr w:rsidR="00720F31" w:rsidRPr="0021707C" w14:paraId="0A67AED2" w14:textId="77777777" w:rsidTr="009D61CE">
        <w:trPr>
          <w:trHeight w:val="737"/>
        </w:trPr>
        <w:tc>
          <w:tcPr>
            <w:tcW w:w="557" w:type="dxa"/>
            <w:noWrap/>
            <w:tcMar>
              <w:top w:w="0" w:type="dxa"/>
              <w:left w:w="70" w:type="dxa"/>
              <w:bottom w:w="0" w:type="dxa"/>
              <w:right w:w="70" w:type="dxa"/>
            </w:tcMar>
            <w:vAlign w:val="center"/>
          </w:tcPr>
          <w:p w14:paraId="44F573A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42</w:t>
            </w:r>
          </w:p>
        </w:tc>
        <w:tc>
          <w:tcPr>
            <w:tcW w:w="2318" w:type="dxa"/>
            <w:vMerge/>
            <w:tcMar>
              <w:top w:w="0" w:type="dxa"/>
              <w:left w:w="70" w:type="dxa"/>
              <w:bottom w:w="0" w:type="dxa"/>
              <w:right w:w="70" w:type="dxa"/>
            </w:tcMar>
            <w:vAlign w:val="center"/>
          </w:tcPr>
          <w:p w14:paraId="176395B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6272FCC5"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Reclutamiento y Selección de Personal</w:t>
            </w:r>
          </w:p>
        </w:tc>
        <w:tc>
          <w:tcPr>
            <w:tcW w:w="1258" w:type="dxa"/>
            <w:noWrap/>
            <w:tcMar>
              <w:top w:w="0" w:type="dxa"/>
              <w:left w:w="70" w:type="dxa"/>
              <w:bottom w:w="0" w:type="dxa"/>
              <w:right w:w="70" w:type="dxa"/>
            </w:tcMar>
            <w:vAlign w:val="center"/>
          </w:tcPr>
          <w:p w14:paraId="7057FE5C" w14:textId="77777777" w:rsidR="00720F31" w:rsidRPr="0021707C" w:rsidRDefault="00720F31" w:rsidP="00720F31">
            <w:pPr>
              <w:pStyle w:val="xxmsonormal"/>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Archivo de expedientes y carnetización de empleados</w:t>
            </w:r>
          </w:p>
        </w:tc>
        <w:tc>
          <w:tcPr>
            <w:tcW w:w="1275" w:type="dxa"/>
            <w:noWrap/>
            <w:tcMar>
              <w:top w:w="0" w:type="dxa"/>
              <w:left w:w="70" w:type="dxa"/>
              <w:bottom w:w="0" w:type="dxa"/>
              <w:right w:w="70" w:type="dxa"/>
            </w:tcMar>
          </w:tcPr>
          <w:p w14:paraId="7AC605BB" w14:textId="77777777" w:rsidR="00720F31" w:rsidRPr="0021707C" w:rsidRDefault="00720F31" w:rsidP="00720F31">
            <w:pPr>
              <w:pStyle w:val="xxmsonormal"/>
              <w:spacing w:line="360" w:lineRule="auto"/>
              <w:jc w:val="center"/>
              <w:rPr>
                <w:rFonts w:ascii="Times New Roman" w:hAnsi="Times New Roman" w:cs="Times New Roman"/>
                <w:color w:val="595959" w:themeColor="text1" w:themeTint="A6"/>
                <w:sz w:val="24"/>
                <w:szCs w:val="24"/>
              </w:rPr>
            </w:pPr>
          </w:p>
          <w:p w14:paraId="19D6CFF2" w14:textId="77777777" w:rsidR="00720F31" w:rsidRPr="0021707C" w:rsidRDefault="00720F31" w:rsidP="00720F31">
            <w:pPr>
              <w:pStyle w:val="xxmsonormal"/>
              <w:spacing w:line="360" w:lineRule="auto"/>
              <w:jc w:val="center"/>
              <w:rPr>
                <w:rFonts w:ascii="Times New Roman" w:hAnsi="Times New Roman" w:cs="Times New Roman"/>
                <w:color w:val="595959" w:themeColor="text1" w:themeTint="A6"/>
                <w:sz w:val="24"/>
                <w:szCs w:val="24"/>
              </w:rPr>
            </w:pPr>
          </w:p>
          <w:p w14:paraId="60F437E0" w14:textId="77777777" w:rsidR="00720F31" w:rsidRPr="0021707C" w:rsidRDefault="00720F31" w:rsidP="00720F31">
            <w:pPr>
              <w:pStyle w:val="xxmsonormal"/>
              <w:spacing w:line="360" w:lineRule="auto"/>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141078B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6F41DB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6E24940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0C5094C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42D1519A" w14:textId="77777777" w:rsidTr="009D61CE">
        <w:trPr>
          <w:trHeight w:val="737"/>
        </w:trPr>
        <w:tc>
          <w:tcPr>
            <w:tcW w:w="557" w:type="dxa"/>
            <w:noWrap/>
            <w:tcMar>
              <w:top w:w="0" w:type="dxa"/>
              <w:left w:w="70" w:type="dxa"/>
              <w:bottom w:w="0" w:type="dxa"/>
              <w:right w:w="70" w:type="dxa"/>
            </w:tcMar>
            <w:vAlign w:val="center"/>
          </w:tcPr>
          <w:p w14:paraId="46AA67A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43</w:t>
            </w:r>
          </w:p>
        </w:tc>
        <w:tc>
          <w:tcPr>
            <w:tcW w:w="2318" w:type="dxa"/>
            <w:vMerge/>
            <w:tcMar>
              <w:top w:w="0" w:type="dxa"/>
              <w:left w:w="70" w:type="dxa"/>
              <w:bottom w:w="0" w:type="dxa"/>
              <w:right w:w="70" w:type="dxa"/>
            </w:tcMar>
            <w:vAlign w:val="center"/>
          </w:tcPr>
          <w:p w14:paraId="125883A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68BFB120"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 xml:space="preserve">Herramientas </w:t>
            </w:r>
            <w:proofErr w:type="spellStart"/>
            <w:r w:rsidRPr="00720F31">
              <w:rPr>
                <w:color w:val="595959" w:themeColor="text1" w:themeTint="A6"/>
                <w:spacing w:val="0"/>
                <w:lang w:val="es-DO" w:eastAsia="es-DO"/>
              </w:rPr>
              <w:t>Tecnologicas</w:t>
            </w:r>
            <w:proofErr w:type="spellEnd"/>
            <w:r w:rsidRPr="00720F31">
              <w:rPr>
                <w:color w:val="595959" w:themeColor="text1" w:themeTint="A6"/>
                <w:spacing w:val="0"/>
                <w:lang w:val="es-DO" w:eastAsia="es-DO"/>
              </w:rPr>
              <w:t xml:space="preserve"> RRHH</w:t>
            </w:r>
          </w:p>
        </w:tc>
        <w:tc>
          <w:tcPr>
            <w:tcW w:w="1258" w:type="dxa"/>
            <w:noWrap/>
            <w:tcMar>
              <w:top w:w="0" w:type="dxa"/>
              <w:left w:w="70" w:type="dxa"/>
              <w:bottom w:w="0" w:type="dxa"/>
              <w:right w:w="70" w:type="dxa"/>
            </w:tcMar>
            <w:vAlign w:val="center"/>
          </w:tcPr>
          <w:p w14:paraId="1CFB047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Contenidos cargados en la plataforma</w:t>
            </w:r>
          </w:p>
        </w:tc>
        <w:tc>
          <w:tcPr>
            <w:tcW w:w="1275" w:type="dxa"/>
            <w:noWrap/>
            <w:tcMar>
              <w:top w:w="0" w:type="dxa"/>
              <w:left w:w="70" w:type="dxa"/>
              <w:bottom w:w="0" w:type="dxa"/>
              <w:right w:w="70" w:type="dxa"/>
            </w:tcMar>
          </w:tcPr>
          <w:p w14:paraId="64E671D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77AB0D1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821209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29EC0B6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5F7E8AC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149F6AC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2C4E62D8" w14:textId="77777777" w:rsidTr="009D61CE">
        <w:trPr>
          <w:trHeight w:val="737"/>
        </w:trPr>
        <w:tc>
          <w:tcPr>
            <w:tcW w:w="557" w:type="dxa"/>
            <w:noWrap/>
            <w:tcMar>
              <w:top w:w="0" w:type="dxa"/>
              <w:left w:w="70" w:type="dxa"/>
              <w:bottom w:w="0" w:type="dxa"/>
              <w:right w:w="70" w:type="dxa"/>
            </w:tcMar>
            <w:vAlign w:val="center"/>
          </w:tcPr>
          <w:p w14:paraId="733468F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44</w:t>
            </w:r>
          </w:p>
        </w:tc>
        <w:tc>
          <w:tcPr>
            <w:tcW w:w="2318" w:type="dxa"/>
            <w:vMerge/>
            <w:tcMar>
              <w:top w:w="0" w:type="dxa"/>
              <w:left w:w="70" w:type="dxa"/>
              <w:bottom w:w="0" w:type="dxa"/>
              <w:right w:w="70" w:type="dxa"/>
            </w:tcMar>
            <w:vAlign w:val="center"/>
          </w:tcPr>
          <w:p w14:paraId="3CAAEA4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03E9671B"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Proceso compensación/Nómina</w:t>
            </w:r>
          </w:p>
        </w:tc>
        <w:tc>
          <w:tcPr>
            <w:tcW w:w="1258" w:type="dxa"/>
            <w:noWrap/>
            <w:tcMar>
              <w:top w:w="0" w:type="dxa"/>
              <w:left w:w="70" w:type="dxa"/>
              <w:bottom w:w="0" w:type="dxa"/>
              <w:right w:w="70" w:type="dxa"/>
            </w:tcMar>
            <w:vAlign w:val="center"/>
          </w:tcPr>
          <w:p w14:paraId="2C251FB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Plantilla de paquete compensatorio por puesto</w:t>
            </w:r>
          </w:p>
        </w:tc>
        <w:tc>
          <w:tcPr>
            <w:tcW w:w="1275" w:type="dxa"/>
            <w:noWrap/>
            <w:tcMar>
              <w:top w:w="0" w:type="dxa"/>
              <w:left w:w="70" w:type="dxa"/>
              <w:bottom w:w="0" w:type="dxa"/>
              <w:right w:w="70" w:type="dxa"/>
            </w:tcMar>
          </w:tcPr>
          <w:p w14:paraId="273EB66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2BE9529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3112EA7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3DB8944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6D1CDCC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074EA39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6EE6EE3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0170F8A3" w14:textId="77777777" w:rsidTr="009D61CE">
        <w:trPr>
          <w:trHeight w:val="737"/>
        </w:trPr>
        <w:tc>
          <w:tcPr>
            <w:tcW w:w="557" w:type="dxa"/>
            <w:noWrap/>
            <w:tcMar>
              <w:top w:w="0" w:type="dxa"/>
              <w:left w:w="70" w:type="dxa"/>
              <w:bottom w:w="0" w:type="dxa"/>
              <w:right w:w="70" w:type="dxa"/>
            </w:tcMar>
            <w:vAlign w:val="center"/>
          </w:tcPr>
          <w:p w14:paraId="5632B37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45</w:t>
            </w:r>
          </w:p>
        </w:tc>
        <w:tc>
          <w:tcPr>
            <w:tcW w:w="2318" w:type="dxa"/>
            <w:tcMar>
              <w:top w:w="0" w:type="dxa"/>
              <w:left w:w="70" w:type="dxa"/>
              <w:bottom w:w="0" w:type="dxa"/>
              <w:right w:w="70" w:type="dxa"/>
            </w:tcMar>
            <w:vAlign w:val="center"/>
          </w:tcPr>
          <w:p w14:paraId="721AA7A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DE COMUNICACIONES</w:t>
            </w:r>
          </w:p>
        </w:tc>
        <w:tc>
          <w:tcPr>
            <w:tcW w:w="2520" w:type="dxa"/>
            <w:noWrap/>
            <w:tcMar>
              <w:top w:w="0" w:type="dxa"/>
              <w:left w:w="70" w:type="dxa"/>
              <w:bottom w:w="0" w:type="dxa"/>
              <w:right w:w="70" w:type="dxa"/>
            </w:tcMar>
            <w:vAlign w:val="center"/>
          </w:tcPr>
          <w:p w14:paraId="039E94F4" w14:textId="77777777" w:rsidR="00720F31" w:rsidRPr="0021707C" w:rsidRDefault="00720F31" w:rsidP="00720F31">
            <w:pPr>
              <w:jc w:val="center"/>
              <w:rPr>
                <w:color w:val="595959" w:themeColor="text1" w:themeTint="A6"/>
              </w:rPr>
            </w:pPr>
            <w:r w:rsidRPr="00720F31">
              <w:rPr>
                <w:color w:val="595959" w:themeColor="text1" w:themeTint="A6"/>
                <w:spacing w:val="0"/>
                <w:lang w:val="es-DO" w:eastAsia="es-DO"/>
              </w:rPr>
              <w:t>Relaciones Públicas</w:t>
            </w:r>
          </w:p>
        </w:tc>
        <w:tc>
          <w:tcPr>
            <w:tcW w:w="1258" w:type="dxa"/>
            <w:noWrap/>
            <w:tcMar>
              <w:top w:w="0" w:type="dxa"/>
              <w:left w:w="70" w:type="dxa"/>
              <w:bottom w:w="0" w:type="dxa"/>
              <w:right w:w="70" w:type="dxa"/>
            </w:tcMar>
            <w:vAlign w:val="center"/>
          </w:tcPr>
          <w:p w14:paraId="75C4FBA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de gestión y minuta de reuniones</w:t>
            </w:r>
          </w:p>
        </w:tc>
        <w:tc>
          <w:tcPr>
            <w:tcW w:w="1275" w:type="dxa"/>
            <w:noWrap/>
            <w:tcMar>
              <w:top w:w="0" w:type="dxa"/>
              <w:left w:w="70" w:type="dxa"/>
              <w:bottom w:w="0" w:type="dxa"/>
              <w:right w:w="70" w:type="dxa"/>
            </w:tcMar>
          </w:tcPr>
          <w:p w14:paraId="20F80E0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673F689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069BD28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22E859F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46CF1E4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12CA998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90%</w:t>
            </w:r>
          </w:p>
        </w:tc>
      </w:tr>
      <w:tr w:rsidR="00720F31" w:rsidRPr="0021707C" w14:paraId="57915FFC" w14:textId="77777777" w:rsidTr="009D61CE">
        <w:trPr>
          <w:trHeight w:val="737"/>
        </w:trPr>
        <w:tc>
          <w:tcPr>
            <w:tcW w:w="557" w:type="dxa"/>
            <w:shd w:val="clear" w:color="auto" w:fill="1F3864" w:themeFill="accent1" w:themeFillShade="80"/>
            <w:noWrap/>
            <w:tcMar>
              <w:top w:w="0" w:type="dxa"/>
              <w:left w:w="70" w:type="dxa"/>
              <w:bottom w:w="0" w:type="dxa"/>
              <w:right w:w="70" w:type="dxa"/>
            </w:tcMar>
            <w:vAlign w:val="center"/>
          </w:tcPr>
          <w:p w14:paraId="1053D3D8" w14:textId="459F24FC"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lastRenderedPageBreak/>
              <w:t>No.</w:t>
            </w:r>
          </w:p>
        </w:tc>
        <w:tc>
          <w:tcPr>
            <w:tcW w:w="2318" w:type="dxa"/>
            <w:shd w:val="clear" w:color="auto" w:fill="1F3864" w:themeFill="accent1" w:themeFillShade="80"/>
            <w:tcMar>
              <w:top w:w="0" w:type="dxa"/>
              <w:left w:w="70" w:type="dxa"/>
              <w:bottom w:w="0" w:type="dxa"/>
              <w:right w:w="70" w:type="dxa"/>
            </w:tcMar>
            <w:vAlign w:val="center"/>
          </w:tcPr>
          <w:p w14:paraId="7AF2B4D2" w14:textId="055AB1F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Área</w:t>
            </w:r>
          </w:p>
        </w:tc>
        <w:tc>
          <w:tcPr>
            <w:tcW w:w="2520" w:type="dxa"/>
            <w:shd w:val="clear" w:color="auto" w:fill="1F3864" w:themeFill="accent1" w:themeFillShade="80"/>
            <w:noWrap/>
            <w:tcMar>
              <w:top w:w="0" w:type="dxa"/>
              <w:left w:w="70" w:type="dxa"/>
              <w:bottom w:w="0" w:type="dxa"/>
              <w:right w:w="70" w:type="dxa"/>
            </w:tcMar>
            <w:vAlign w:val="center"/>
          </w:tcPr>
          <w:p w14:paraId="4C0FD4B3" w14:textId="036AF39B" w:rsidR="00720F31" w:rsidRPr="00720F31" w:rsidRDefault="00720F31" w:rsidP="00720F31">
            <w:pPr>
              <w:jc w:val="center"/>
              <w:rPr>
                <w:color w:val="595959" w:themeColor="text1" w:themeTint="A6"/>
                <w:spacing w:val="0"/>
                <w:lang w:val="es-DO" w:eastAsia="es-DO"/>
              </w:rPr>
            </w:pPr>
            <w:r w:rsidRPr="0021707C">
              <w:rPr>
                <w:b/>
                <w:bCs/>
                <w:color w:val="FFFFFF"/>
                <w:lang w:val="es-ES"/>
              </w:rPr>
              <w:t>Producto</w:t>
            </w:r>
          </w:p>
        </w:tc>
        <w:tc>
          <w:tcPr>
            <w:tcW w:w="1258" w:type="dxa"/>
            <w:shd w:val="clear" w:color="auto" w:fill="1F3864" w:themeFill="accent1" w:themeFillShade="80"/>
            <w:noWrap/>
            <w:tcMar>
              <w:top w:w="0" w:type="dxa"/>
              <w:left w:w="70" w:type="dxa"/>
              <w:bottom w:w="0" w:type="dxa"/>
              <w:right w:w="70" w:type="dxa"/>
            </w:tcMar>
            <w:vAlign w:val="center"/>
          </w:tcPr>
          <w:p w14:paraId="391039BB"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Nombre del </w:t>
            </w:r>
          </w:p>
          <w:p w14:paraId="165FACF9" w14:textId="3E838C28"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Indicador</w:t>
            </w:r>
          </w:p>
        </w:tc>
        <w:tc>
          <w:tcPr>
            <w:tcW w:w="1275" w:type="dxa"/>
            <w:shd w:val="clear" w:color="auto" w:fill="1F3864" w:themeFill="accent1" w:themeFillShade="80"/>
            <w:noWrap/>
            <w:tcMar>
              <w:top w:w="0" w:type="dxa"/>
              <w:left w:w="70" w:type="dxa"/>
              <w:bottom w:w="0" w:type="dxa"/>
              <w:right w:w="70" w:type="dxa"/>
            </w:tcMar>
            <w:vAlign w:val="center"/>
          </w:tcPr>
          <w:p w14:paraId="6F7B8D0B" w14:textId="57A4B079"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Frecuencia</w:t>
            </w:r>
          </w:p>
        </w:tc>
        <w:tc>
          <w:tcPr>
            <w:tcW w:w="1276" w:type="dxa"/>
            <w:shd w:val="clear" w:color="auto" w:fill="1F3864" w:themeFill="accent1" w:themeFillShade="80"/>
            <w:noWrap/>
            <w:tcMar>
              <w:top w:w="0" w:type="dxa"/>
              <w:left w:w="70" w:type="dxa"/>
              <w:bottom w:w="0" w:type="dxa"/>
              <w:right w:w="70" w:type="dxa"/>
            </w:tcMar>
            <w:vAlign w:val="center"/>
          </w:tcPr>
          <w:p w14:paraId="6412F8E8"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Línea </w:t>
            </w:r>
          </w:p>
          <w:p w14:paraId="71DECEDC" w14:textId="46E3CC26"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Base</w:t>
            </w:r>
          </w:p>
        </w:tc>
        <w:tc>
          <w:tcPr>
            <w:tcW w:w="1276" w:type="dxa"/>
            <w:shd w:val="clear" w:color="auto" w:fill="1F3864" w:themeFill="accent1" w:themeFillShade="80"/>
            <w:noWrap/>
            <w:tcMar>
              <w:top w:w="0" w:type="dxa"/>
              <w:left w:w="70" w:type="dxa"/>
              <w:bottom w:w="0" w:type="dxa"/>
              <w:right w:w="70" w:type="dxa"/>
            </w:tcMar>
            <w:vAlign w:val="center"/>
          </w:tcPr>
          <w:p w14:paraId="0BB2D578" w14:textId="2C1BAEEA"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Meta</w:t>
            </w:r>
          </w:p>
        </w:tc>
        <w:tc>
          <w:tcPr>
            <w:tcW w:w="1134" w:type="dxa"/>
            <w:shd w:val="clear" w:color="auto" w:fill="1F3864" w:themeFill="accent1" w:themeFillShade="80"/>
            <w:vAlign w:val="center"/>
          </w:tcPr>
          <w:p w14:paraId="66B426B2" w14:textId="3D120A12"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Resultado</w:t>
            </w:r>
          </w:p>
        </w:tc>
        <w:tc>
          <w:tcPr>
            <w:tcW w:w="1276" w:type="dxa"/>
            <w:shd w:val="clear" w:color="auto" w:fill="1F3864" w:themeFill="accent1" w:themeFillShade="80"/>
            <w:vAlign w:val="center"/>
          </w:tcPr>
          <w:p w14:paraId="78191DD1" w14:textId="77777777" w:rsidR="00720F31" w:rsidRPr="0021707C" w:rsidRDefault="00720F31" w:rsidP="00720F31">
            <w:pPr>
              <w:pStyle w:val="xxmsonormal"/>
              <w:jc w:val="center"/>
              <w:rPr>
                <w:rFonts w:ascii="Times New Roman" w:hAnsi="Times New Roman" w:cs="Times New Roman"/>
                <w:b/>
                <w:bCs/>
                <w:color w:val="FFFFFF"/>
                <w:sz w:val="24"/>
                <w:szCs w:val="24"/>
                <w:lang w:val="es-ES"/>
              </w:rPr>
            </w:pPr>
            <w:r w:rsidRPr="0021707C">
              <w:rPr>
                <w:rFonts w:ascii="Times New Roman" w:hAnsi="Times New Roman" w:cs="Times New Roman"/>
                <w:b/>
                <w:bCs/>
                <w:color w:val="FFFFFF"/>
                <w:sz w:val="24"/>
                <w:szCs w:val="24"/>
                <w:lang w:val="es-ES"/>
              </w:rPr>
              <w:t xml:space="preserve">Porcentaje </w:t>
            </w:r>
          </w:p>
          <w:p w14:paraId="283D6D28" w14:textId="7699CD7D"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b/>
                <w:bCs/>
                <w:color w:val="FFFFFF"/>
                <w:sz w:val="24"/>
                <w:szCs w:val="24"/>
                <w:lang w:val="es-ES"/>
              </w:rPr>
              <w:t>de Avance</w:t>
            </w:r>
          </w:p>
        </w:tc>
      </w:tr>
      <w:tr w:rsidR="00720F31" w:rsidRPr="0021707C" w14:paraId="1C0B0706" w14:textId="77777777" w:rsidTr="009D61CE">
        <w:trPr>
          <w:trHeight w:val="737"/>
        </w:trPr>
        <w:tc>
          <w:tcPr>
            <w:tcW w:w="557" w:type="dxa"/>
            <w:noWrap/>
            <w:tcMar>
              <w:top w:w="0" w:type="dxa"/>
              <w:left w:w="70" w:type="dxa"/>
              <w:bottom w:w="0" w:type="dxa"/>
              <w:right w:w="70" w:type="dxa"/>
            </w:tcMar>
            <w:vAlign w:val="center"/>
          </w:tcPr>
          <w:p w14:paraId="65FF2CD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46</w:t>
            </w:r>
          </w:p>
        </w:tc>
        <w:tc>
          <w:tcPr>
            <w:tcW w:w="2318" w:type="dxa"/>
            <w:tcMar>
              <w:top w:w="0" w:type="dxa"/>
              <w:left w:w="70" w:type="dxa"/>
              <w:bottom w:w="0" w:type="dxa"/>
              <w:right w:w="70" w:type="dxa"/>
            </w:tcMar>
            <w:vAlign w:val="center"/>
          </w:tcPr>
          <w:p w14:paraId="0968846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09AC6D97"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Comunicación Digital</w:t>
            </w:r>
          </w:p>
        </w:tc>
        <w:tc>
          <w:tcPr>
            <w:tcW w:w="1258" w:type="dxa"/>
            <w:noWrap/>
            <w:tcMar>
              <w:top w:w="0" w:type="dxa"/>
              <w:left w:w="70" w:type="dxa"/>
              <w:bottom w:w="0" w:type="dxa"/>
              <w:right w:w="70" w:type="dxa"/>
            </w:tcMar>
            <w:vAlign w:val="center"/>
          </w:tcPr>
          <w:p w14:paraId="36F4EB3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Documentos con planes y estrategias diseñadas</w:t>
            </w:r>
          </w:p>
        </w:tc>
        <w:tc>
          <w:tcPr>
            <w:tcW w:w="1275" w:type="dxa"/>
            <w:noWrap/>
            <w:tcMar>
              <w:top w:w="0" w:type="dxa"/>
              <w:left w:w="70" w:type="dxa"/>
              <w:bottom w:w="0" w:type="dxa"/>
              <w:right w:w="70" w:type="dxa"/>
            </w:tcMar>
          </w:tcPr>
          <w:p w14:paraId="6CF12B2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7B1210A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7F1680A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1D5295B5"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0446112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0F0CDB3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7B4187F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95%</w:t>
            </w:r>
          </w:p>
        </w:tc>
      </w:tr>
      <w:tr w:rsidR="00720F31" w:rsidRPr="0021707C" w14:paraId="115C2379" w14:textId="77777777" w:rsidTr="009D61CE">
        <w:trPr>
          <w:trHeight w:val="737"/>
        </w:trPr>
        <w:tc>
          <w:tcPr>
            <w:tcW w:w="557" w:type="dxa"/>
            <w:noWrap/>
            <w:tcMar>
              <w:top w:w="0" w:type="dxa"/>
              <w:left w:w="70" w:type="dxa"/>
              <w:bottom w:w="0" w:type="dxa"/>
              <w:right w:w="70" w:type="dxa"/>
            </w:tcMar>
            <w:vAlign w:val="center"/>
          </w:tcPr>
          <w:p w14:paraId="6E192C7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47</w:t>
            </w:r>
          </w:p>
        </w:tc>
        <w:tc>
          <w:tcPr>
            <w:tcW w:w="2318" w:type="dxa"/>
            <w:tcMar>
              <w:top w:w="0" w:type="dxa"/>
              <w:left w:w="70" w:type="dxa"/>
              <w:bottom w:w="0" w:type="dxa"/>
              <w:right w:w="70" w:type="dxa"/>
            </w:tcMar>
            <w:vAlign w:val="center"/>
          </w:tcPr>
          <w:p w14:paraId="56CB054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4595618F"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Prensa</w:t>
            </w:r>
          </w:p>
        </w:tc>
        <w:tc>
          <w:tcPr>
            <w:tcW w:w="1258" w:type="dxa"/>
            <w:noWrap/>
            <w:tcMar>
              <w:top w:w="0" w:type="dxa"/>
              <w:left w:w="70" w:type="dxa"/>
              <w:bottom w:w="0" w:type="dxa"/>
              <w:right w:w="70" w:type="dxa"/>
            </w:tcMar>
            <w:vAlign w:val="center"/>
          </w:tcPr>
          <w:p w14:paraId="0ECC87B7"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Minutas de reunión, imágenes de las actividades</w:t>
            </w:r>
          </w:p>
        </w:tc>
        <w:tc>
          <w:tcPr>
            <w:tcW w:w="1275" w:type="dxa"/>
            <w:noWrap/>
            <w:tcMar>
              <w:top w:w="0" w:type="dxa"/>
              <w:left w:w="70" w:type="dxa"/>
              <w:bottom w:w="0" w:type="dxa"/>
              <w:right w:w="70" w:type="dxa"/>
            </w:tcMar>
          </w:tcPr>
          <w:p w14:paraId="577F2603"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43E2133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5307DB7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F7ACD0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55176D5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7ECB661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5C179FD9"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87%</w:t>
            </w:r>
          </w:p>
        </w:tc>
      </w:tr>
      <w:tr w:rsidR="00720F31" w:rsidRPr="0021707C" w14:paraId="03BF4219" w14:textId="77777777" w:rsidTr="009D61CE">
        <w:trPr>
          <w:trHeight w:val="737"/>
        </w:trPr>
        <w:tc>
          <w:tcPr>
            <w:tcW w:w="557" w:type="dxa"/>
            <w:noWrap/>
            <w:tcMar>
              <w:top w:w="0" w:type="dxa"/>
              <w:left w:w="70" w:type="dxa"/>
              <w:bottom w:w="0" w:type="dxa"/>
              <w:right w:w="70" w:type="dxa"/>
            </w:tcMar>
            <w:vAlign w:val="center"/>
          </w:tcPr>
          <w:p w14:paraId="16C9920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48</w:t>
            </w:r>
          </w:p>
        </w:tc>
        <w:tc>
          <w:tcPr>
            <w:tcW w:w="2318" w:type="dxa"/>
            <w:tcMar>
              <w:top w:w="0" w:type="dxa"/>
              <w:left w:w="70" w:type="dxa"/>
              <w:bottom w:w="0" w:type="dxa"/>
              <w:right w:w="70" w:type="dxa"/>
            </w:tcMar>
            <w:vAlign w:val="center"/>
          </w:tcPr>
          <w:p w14:paraId="4DF4E64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4733C8D3"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Producción comunicacional</w:t>
            </w:r>
          </w:p>
        </w:tc>
        <w:tc>
          <w:tcPr>
            <w:tcW w:w="1258" w:type="dxa"/>
            <w:noWrap/>
            <w:tcMar>
              <w:top w:w="0" w:type="dxa"/>
              <w:left w:w="70" w:type="dxa"/>
              <w:bottom w:w="0" w:type="dxa"/>
              <w:right w:w="70" w:type="dxa"/>
            </w:tcMar>
            <w:vAlign w:val="center"/>
          </w:tcPr>
          <w:p w14:paraId="28AC30F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Informes (artes, correos, redes sociales</w:t>
            </w:r>
          </w:p>
        </w:tc>
        <w:tc>
          <w:tcPr>
            <w:tcW w:w="1275" w:type="dxa"/>
            <w:noWrap/>
            <w:tcMar>
              <w:top w:w="0" w:type="dxa"/>
              <w:left w:w="70" w:type="dxa"/>
              <w:bottom w:w="0" w:type="dxa"/>
              <w:right w:w="70" w:type="dxa"/>
            </w:tcMar>
          </w:tcPr>
          <w:p w14:paraId="70DFB6F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517C15C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205B3AB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6E97C9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265E7AF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11A006BD"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432F2C3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5503EDAD" w14:textId="77777777" w:rsidTr="009D61CE">
        <w:trPr>
          <w:trHeight w:val="737"/>
        </w:trPr>
        <w:tc>
          <w:tcPr>
            <w:tcW w:w="557" w:type="dxa"/>
            <w:noWrap/>
            <w:tcMar>
              <w:top w:w="0" w:type="dxa"/>
              <w:left w:w="70" w:type="dxa"/>
              <w:bottom w:w="0" w:type="dxa"/>
              <w:right w:w="70" w:type="dxa"/>
            </w:tcMar>
            <w:vAlign w:val="center"/>
          </w:tcPr>
          <w:p w14:paraId="5B577AF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49</w:t>
            </w:r>
          </w:p>
        </w:tc>
        <w:tc>
          <w:tcPr>
            <w:tcW w:w="2318" w:type="dxa"/>
            <w:vMerge w:val="restart"/>
            <w:tcMar>
              <w:top w:w="0" w:type="dxa"/>
              <w:left w:w="70" w:type="dxa"/>
              <w:bottom w:w="0" w:type="dxa"/>
              <w:right w:w="70" w:type="dxa"/>
            </w:tcMar>
            <w:vAlign w:val="center"/>
          </w:tcPr>
          <w:p w14:paraId="461462C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DIRECCIÓN DE TECNOLOGÍAS DE LA INFORMACIÓN Y COMUNICACIÓN</w:t>
            </w:r>
          </w:p>
        </w:tc>
        <w:tc>
          <w:tcPr>
            <w:tcW w:w="2520" w:type="dxa"/>
            <w:noWrap/>
            <w:tcMar>
              <w:top w:w="0" w:type="dxa"/>
              <w:left w:w="70" w:type="dxa"/>
              <w:bottom w:w="0" w:type="dxa"/>
              <w:right w:w="70" w:type="dxa"/>
            </w:tcMar>
            <w:vAlign w:val="center"/>
          </w:tcPr>
          <w:p w14:paraId="171EC729"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Mantenimiento, Renovación, Suscripción y Expansión de Licenciamiento</w:t>
            </w:r>
          </w:p>
        </w:tc>
        <w:tc>
          <w:tcPr>
            <w:tcW w:w="1258" w:type="dxa"/>
            <w:noWrap/>
            <w:tcMar>
              <w:top w:w="0" w:type="dxa"/>
              <w:left w:w="70" w:type="dxa"/>
              <w:bottom w:w="0" w:type="dxa"/>
              <w:right w:w="70" w:type="dxa"/>
            </w:tcMar>
            <w:vAlign w:val="center"/>
          </w:tcPr>
          <w:p w14:paraId="12CB395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Contratos y órdenes de compra</w:t>
            </w:r>
          </w:p>
        </w:tc>
        <w:tc>
          <w:tcPr>
            <w:tcW w:w="1275" w:type="dxa"/>
            <w:noWrap/>
            <w:tcMar>
              <w:top w:w="0" w:type="dxa"/>
              <w:left w:w="70" w:type="dxa"/>
              <w:bottom w:w="0" w:type="dxa"/>
              <w:right w:w="70" w:type="dxa"/>
            </w:tcMar>
          </w:tcPr>
          <w:p w14:paraId="1962FF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05E8A76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496BEFD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4CDDE75F"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78020B8A"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018199C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vAlign w:val="center"/>
          </w:tcPr>
          <w:p w14:paraId="63F54FD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97%</w:t>
            </w:r>
          </w:p>
        </w:tc>
      </w:tr>
      <w:tr w:rsidR="00720F31" w:rsidRPr="0021707C" w14:paraId="2F551A30" w14:textId="77777777" w:rsidTr="009D61CE">
        <w:trPr>
          <w:trHeight w:val="737"/>
        </w:trPr>
        <w:tc>
          <w:tcPr>
            <w:tcW w:w="557" w:type="dxa"/>
            <w:noWrap/>
            <w:tcMar>
              <w:top w:w="0" w:type="dxa"/>
              <w:left w:w="70" w:type="dxa"/>
              <w:bottom w:w="0" w:type="dxa"/>
              <w:right w:w="70" w:type="dxa"/>
            </w:tcMar>
            <w:vAlign w:val="center"/>
          </w:tcPr>
          <w:p w14:paraId="12C1E89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50</w:t>
            </w:r>
          </w:p>
        </w:tc>
        <w:tc>
          <w:tcPr>
            <w:tcW w:w="2318" w:type="dxa"/>
            <w:vMerge/>
            <w:tcMar>
              <w:top w:w="0" w:type="dxa"/>
              <w:left w:w="70" w:type="dxa"/>
              <w:bottom w:w="0" w:type="dxa"/>
              <w:right w:w="70" w:type="dxa"/>
            </w:tcMar>
            <w:vAlign w:val="center"/>
          </w:tcPr>
          <w:p w14:paraId="3405453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tc>
        <w:tc>
          <w:tcPr>
            <w:tcW w:w="2520" w:type="dxa"/>
            <w:noWrap/>
            <w:tcMar>
              <w:top w:w="0" w:type="dxa"/>
              <w:left w:w="70" w:type="dxa"/>
              <w:bottom w:w="0" w:type="dxa"/>
              <w:right w:w="70" w:type="dxa"/>
            </w:tcMar>
            <w:vAlign w:val="center"/>
          </w:tcPr>
          <w:p w14:paraId="493D570D" w14:textId="77777777" w:rsidR="00720F31" w:rsidRPr="00720F31" w:rsidRDefault="00720F31" w:rsidP="00720F31">
            <w:pPr>
              <w:jc w:val="center"/>
              <w:rPr>
                <w:color w:val="595959" w:themeColor="text1" w:themeTint="A6"/>
                <w:spacing w:val="0"/>
                <w:lang w:val="es-DO" w:eastAsia="es-DO"/>
              </w:rPr>
            </w:pPr>
            <w:r w:rsidRPr="00720F31">
              <w:rPr>
                <w:color w:val="595959" w:themeColor="text1" w:themeTint="A6"/>
                <w:spacing w:val="0"/>
                <w:lang w:val="es-DO" w:eastAsia="es-DO"/>
              </w:rPr>
              <w:t>Equipamiento tecnológico y Accesorios, Adquiridos</w:t>
            </w:r>
          </w:p>
        </w:tc>
        <w:tc>
          <w:tcPr>
            <w:tcW w:w="1258" w:type="dxa"/>
            <w:noWrap/>
            <w:tcMar>
              <w:top w:w="0" w:type="dxa"/>
              <w:left w:w="70" w:type="dxa"/>
              <w:bottom w:w="0" w:type="dxa"/>
              <w:right w:w="70" w:type="dxa"/>
            </w:tcMar>
            <w:vAlign w:val="center"/>
          </w:tcPr>
          <w:p w14:paraId="5141622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Contratos y órdenes de compra</w:t>
            </w:r>
          </w:p>
        </w:tc>
        <w:tc>
          <w:tcPr>
            <w:tcW w:w="1275" w:type="dxa"/>
            <w:noWrap/>
            <w:tcMar>
              <w:top w:w="0" w:type="dxa"/>
              <w:left w:w="70" w:type="dxa"/>
              <w:bottom w:w="0" w:type="dxa"/>
              <w:right w:w="70" w:type="dxa"/>
            </w:tcMar>
          </w:tcPr>
          <w:p w14:paraId="545FDA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7C4664C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339632D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242838B2"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NA</w:t>
            </w:r>
          </w:p>
        </w:tc>
        <w:tc>
          <w:tcPr>
            <w:tcW w:w="1276" w:type="dxa"/>
            <w:vAlign w:val="center"/>
          </w:tcPr>
          <w:p w14:paraId="3613C40E"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r>
      <w:tr w:rsidR="00720F31" w:rsidRPr="0021707C" w14:paraId="1112E22E" w14:textId="77777777" w:rsidTr="009D61CE">
        <w:trPr>
          <w:trHeight w:val="737"/>
        </w:trPr>
        <w:tc>
          <w:tcPr>
            <w:tcW w:w="557" w:type="dxa"/>
            <w:noWrap/>
            <w:tcMar>
              <w:top w:w="0" w:type="dxa"/>
              <w:left w:w="70" w:type="dxa"/>
              <w:bottom w:w="0" w:type="dxa"/>
              <w:right w:w="70" w:type="dxa"/>
            </w:tcMar>
            <w:vAlign w:val="center"/>
          </w:tcPr>
          <w:p w14:paraId="6EDA79C1"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51</w:t>
            </w:r>
          </w:p>
        </w:tc>
        <w:tc>
          <w:tcPr>
            <w:tcW w:w="2318" w:type="dxa"/>
            <w:tcMar>
              <w:top w:w="0" w:type="dxa"/>
              <w:left w:w="70" w:type="dxa"/>
              <w:bottom w:w="0" w:type="dxa"/>
              <w:right w:w="70" w:type="dxa"/>
            </w:tcMar>
            <w:vAlign w:val="center"/>
          </w:tcPr>
          <w:p w14:paraId="4E7DC48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DEPARTAMENTO DE ACCESO A LA INFORMACIÓN</w:t>
            </w:r>
          </w:p>
        </w:tc>
        <w:tc>
          <w:tcPr>
            <w:tcW w:w="2520" w:type="dxa"/>
            <w:noWrap/>
            <w:tcMar>
              <w:top w:w="0" w:type="dxa"/>
              <w:left w:w="70" w:type="dxa"/>
              <w:bottom w:w="0" w:type="dxa"/>
              <w:right w:w="70" w:type="dxa"/>
            </w:tcMar>
            <w:vAlign w:val="center"/>
          </w:tcPr>
          <w:p w14:paraId="49E9E3D5" w14:textId="77777777" w:rsidR="00720F31" w:rsidRPr="0021707C" w:rsidRDefault="00720F31" w:rsidP="00720F31">
            <w:pPr>
              <w:jc w:val="center"/>
              <w:rPr>
                <w:color w:val="595959" w:themeColor="text1" w:themeTint="A6"/>
                <w:lang w:val="es-DO"/>
              </w:rPr>
            </w:pPr>
            <w:r w:rsidRPr="0021707C">
              <w:rPr>
                <w:color w:val="595959" w:themeColor="text1" w:themeTint="A6"/>
                <w:lang w:val="es-DO"/>
              </w:rPr>
              <w:t>Mantener los indicadores de Transparencia</w:t>
            </w:r>
          </w:p>
        </w:tc>
        <w:tc>
          <w:tcPr>
            <w:tcW w:w="1258" w:type="dxa"/>
            <w:noWrap/>
            <w:tcMar>
              <w:top w:w="0" w:type="dxa"/>
              <w:left w:w="70" w:type="dxa"/>
              <w:bottom w:w="0" w:type="dxa"/>
              <w:right w:w="70" w:type="dxa"/>
            </w:tcMar>
            <w:vAlign w:val="center"/>
          </w:tcPr>
          <w:p w14:paraId="2CD64C54"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Informe de indicadores</w:t>
            </w:r>
          </w:p>
        </w:tc>
        <w:tc>
          <w:tcPr>
            <w:tcW w:w="1275" w:type="dxa"/>
            <w:noWrap/>
            <w:tcMar>
              <w:top w:w="0" w:type="dxa"/>
              <w:left w:w="70" w:type="dxa"/>
              <w:bottom w:w="0" w:type="dxa"/>
              <w:right w:w="70" w:type="dxa"/>
            </w:tcMar>
          </w:tcPr>
          <w:p w14:paraId="343B063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576A1B56"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p>
          <w:p w14:paraId="1CA7844B"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Trimestral</w:t>
            </w:r>
          </w:p>
        </w:tc>
        <w:tc>
          <w:tcPr>
            <w:tcW w:w="1276" w:type="dxa"/>
            <w:noWrap/>
            <w:tcMar>
              <w:top w:w="0" w:type="dxa"/>
              <w:left w:w="70" w:type="dxa"/>
              <w:bottom w:w="0" w:type="dxa"/>
              <w:right w:w="70" w:type="dxa"/>
            </w:tcMar>
            <w:vAlign w:val="center"/>
          </w:tcPr>
          <w:p w14:paraId="618AE0C0"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276" w:type="dxa"/>
            <w:noWrap/>
            <w:tcMar>
              <w:top w:w="0" w:type="dxa"/>
              <w:left w:w="70" w:type="dxa"/>
              <w:bottom w:w="0" w:type="dxa"/>
              <w:right w:w="70" w:type="dxa"/>
            </w:tcMar>
            <w:vAlign w:val="center"/>
          </w:tcPr>
          <w:p w14:paraId="27DD05B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100%</w:t>
            </w:r>
          </w:p>
        </w:tc>
        <w:tc>
          <w:tcPr>
            <w:tcW w:w="1134" w:type="dxa"/>
            <w:vAlign w:val="center"/>
          </w:tcPr>
          <w:p w14:paraId="6531CAEC"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98%</w:t>
            </w:r>
          </w:p>
        </w:tc>
        <w:tc>
          <w:tcPr>
            <w:tcW w:w="1276" w:type="dxa"/>
            <w:vAlign w:val="center"/>
          </w:tcPr>
          <w:p w14:paraId="4242A078" w14:textId="77777777" w:rsidR="00720F31" w:rsidRPr="0021707C" w:rsidRDefault="00720F31" w:rsidP="00720F31">
            <w:pPr>
              <w:pStyle w:val="xxmsonormal"/>
              <w:jc w:val="center"/>
              <w:rPr>
                <w:rFonts w:ascii="Times New Roman" w:hAnsi="Times New Roman" w:cs="Times New Roman"/>
                <w:color w:val="595959" w:themeColor="text1" w:themeTint="A6"/>
                <w:sz w:val="24"/>
                <w:szCs w:val="24"/>
              </w:rPr>
            </w:pPr>
            <w:r w:rsidRPr="0021707C">
              <w:rPr>
                <w:rFonts w:ascii="Times New Roman" w:hAnsi="Times New Roman" w:cs="Times New Roman"/>
                <w:color w:val="595959" w:themeColor="text1" w:themeTint="A6"/>
                <w:sz w:val="24"/>
                <w:szCs w:val="24"/>
              </w:rPr>
              <w:t>98%</w:t>
            </w:r>
          </w:p>
        </w:tc>
      </w:tr>
    </w:tbl>
    <w:p w14:paraId="3C7CBF06" w14:textId="0E67DB97" w:rsidR="007113C0" w:rsidRDefault="007113C0" w:rsidP="000B52C7">
      <w:pPr>
        <w:sectPr w:rsidR="007113C0" w:rsidSect="002D2ED4">
          <w:pgSz w:w="15840" w:h="12240" w:orient="landscape"/>
          <w:pgMar w:top="630" w:right="1440" w:bottom="2160" w:left="1440" w:header="720" w:footer="720" w:gutter="0"/>
          <w:cols w:space="720"/>
          <w:docGrid w:linePitch="360"/>
        </w:sectPr>
      </w:pPr>
    </w:p>
    <w:p w14:paraId="549021EB" w14:textId="7AE0EC1D" w:rsidR="000B52C7" w:rsidRPr="000B52C7" w:rsidRDefault="002C7C59" w:rsidP="004A7B4D">
      <w:pPr>
        <w:pStyle w:val="Heading2"/>
        <w:numPr>
          <w:ilvl w:val="1"/>
          <w:numId w:val="101"/>
        </w:numPr>
        <w:tabs>
          <w:tab w:val="left" w:pos="2070"/>
          <w:tab w:val="left" w:pos="2430"/>
        </w:tabs>
        <w:ind w:left="2160"/>
        <w:rPr>
          <w:b/>
          <w:bCs/>
          <w:lang w:val="es-DO"/>
        </w:rPr>
      </w:pPr>
      <w:bookmarkStart w:id="148" w:name="_Toc217382633"/>
      <w:r w:rsidRPr="002C7C59">
        <w:rPr>
          <w:b/>
          <w:bCs/>
          <w:lang w:val="es-DO"/>
        </w:rPr>
        <w:lastRenderedPageBreak/>
        <w:t>Resumen del Plan de Compras</w:t>
      </w:r>
      <w:bookmarkEnd w:id="144"/>
      <w:bookmarkEnd w:id="148"/>
    </w:p>
    <w:p w14:paraId="6E781726" w14:textId="71C53E3E" w:rsidR="00432BCF" w:rsidRPr="00D5151E" w:rsidRDefault="00432BCF" w:rsidP="00D5151E">
      <w:pPr>
        <w:pStyle w:val="Title"/>
        <w:shd w:val="clear" w:color="auto" w:fill="44546A" w:themeFill="text2"/>
        <w:ind w:left="1530"/>
        <w:rPr>
          <w:rFonts w:ascii="Times New Roman" w:hAnsi="Times New Roman" w:cs="Times New Roman"/>
          <w:color w:val="FFFFFF" w:themeColor="background1"/>
          <w:sz w:val="40"/>
          <w:szCs w:val="40"/>
        </w:rPr>
      </w:pPr>
      <w:r w:rsidRPr="00756F41">
        <w:rPr>
          <w:rFonts w:ascii="Times New Roman" w:hAnsi="Times New Roman" w:cs="Times New Roman"/>
          <w:color w:val="FFFFFF" w:themeColor="background1"/>
          <w:sz w:val="40"/>
          <w:szCs w:val="40"/>
        </w:rPr>
        <w:t>RESUMEN DEL PLAN DE COMPRAS</w:t>
      </w:r>
    </w:p>
    <w:p w14:paraId="45A5962E" w14:textId="77777777" w:rsidR="00432BCF" w:rsidRPr="00432BCF" w:rsidRDefault="00432BCF" w:rsidP="00432BCF">
      <w:pPr>
        <w:shd w:val="clear" w:color="auto" w:fill="D9D9D9" w:themeFill="background1" w:themeFillShade="D9"/>
        <w:ind w:left="1530"/>
        <w:jc w:val="center"/>
        <w:rPr>
          <w:b/>
          <w:bCs/>
          <w:lang w:val="es-DO"/>
        </w:rPr>
      </w:pPr>
      <w:r w:rsidRPr="00432BCF">
        <w:rPr>
          <w:b/>
          <w:bCs/>
          <w:lang w:val="es-DO"/>
        </w:rPr>
        <w:t>DATOS DE CABECERA PACC</w:t>
      </w:r>
    </w:p>
    <w:tbl>
      <w:tblPr>
        <w:tblW w:w="7948"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80" w:type="dxa"/>
          <w:bottom w:w="100" w:type="dxa"/>
          <w:right w:w="180" w:type="dxa"/>
        </w:tblCellMar>
        <w:tblLook w:val="04A0" w:firstRow="1" w:lastRow="0" w:firstColumn="1" w:lastColumn="0" w:noHBand="0" w:noVBand="1"/>
      </w:tblPr>
      <w:tblGrid>
        <w:gridCol w:w="3974"/>
        <w:gridCol w:w="3974"/>
      </w:tblGrid>
      <w:tr w:rsidR="00432BCF" w:rsidRPr="00756F41" w14:paraId="0F1C754D" w14:textId="77777777" w:rsidTr="00D5151E">
        <w:trPr>
          <w:trHeight w:val="277"/>
        </w:trPr>
        <w:tc>
          <w:tcPr>
            <w:tcW w:w="3974" w:type="dxa"/>
          </w:tcPr>
          <w:p w14:paraId="7C7F4038" w14:textId="77777777" w:rsidR="00432BCF" w:rsidRPr="00756F41" w:rsidRDefault="00432BCF" w:rsidP="00432BCF">
            <w:r w:rsidRPr="00D5151E">
              <w:rPr>
                <w:color w:val="595959" w:themeColor="text1" w:themeTint="A6"/>
                <w:spacing w:val="0"/>
                <w:lang w:val="es-DO" w:eastAsia="es-DO"/>
              </w:rPr>
              <w:t>Monto estimado total</w:t>
            </w:r>
          </w:p>
        </w:tc>
        <w:tc>
          <w:tcPr>
            <w:tcW w:w="3974" w:type="dxa"/>
          </w:tcPr>
          <w:p w14:paraId="38CF988F"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$ 170,993,369.91</w:t>
            </w:r>
          </w:p>
        </w:tc>
      </w:tr>
      <w:tr w:rsidR="00432BCF" w:rsidRPr="00756F41" w14:paraId="6353AE28" w14:textId="77777777" w:rsidTr="00D5151E">
        <w:trPr>
          <w:trHeight w:val="322"/>
        </w:trPr>
        <w:tc>
          <w:tcPr>
            <w:tcW w:w="3974" w:type="dxa"/>
          </w:tcPr>
          <w:p w14:paraId="51CCCC29"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Monto total contratado</w:t>
            </w:r>
          </w:p>
        </w:tc>
        <w:tc>
          <w:tcPr>
            <w:tcW w:w="3974" w:type="dxa"/>
          </w:tcPr>
          <w:p w14:paraId="38C11BC9"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$ 170,993,369.91</w:t>
            </w:r>
          </w:p>
        </w:tc>
      </w:tr>
      <w:tr w:rsidR="00432BCF" w:rsidRPr="00756F41" w14:paraId="5A088D59" w14:textId="77777777" w:rsidTr="00D5151E">
        <w:trPr>
          <w:trHeight w:val="385"/>
        </w:trPr>
        <w:tc>
          <w:tcPr>
            <w:tcW w:w="3974" w:type="dxa"/>
          </w:tcPr>
          <w:p w14:paraId="1C4D20F4"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Cantidad de procesos registrados</w:t>
            </w:r>
          </w:p>
        </w:tc>
        <w:tc>
          <w:tcPr>
            <w:tcW w:w="3974" w:type="dxa"/>
          </w:tcPr>
          <w:p w14:paraId="55F6041C"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89</w:t>
            </w:r>
          </w:p>
        </w:tc>
      </w:tr>
      <w:tr w:rsidR="00432BCF" w:rsidRPr="00756F41" w14:paraId="2DE2D7C1" w14:textId="77777777" w:rsidTr="00D014A3">
        <w:trPr>
          <w:trHeight w:val="394"/>
        </w:trPr>
        <w:tc>
          <w:tcPr>
            <w:tcW w:w="3974" w:type="dxa"/>
          </w:tcPr>
          <w:p w14:paraId="15236DBF"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Capítulo</w:t>
            </w:r>
          </w:p>
        </w:tc>
        <w:tc>
          <w:tcPr>
            <w:tcW w:w="3974" w:type="dxa"/>
          </w:tcPr>
          <w:p w14:paraId="0B35E6C5"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220</w:t>
            </w:r>
          </w:p>
        </w:tc>
      </w:tr>
      <w:tr w:rsidR="00432BCF" w:rsidRPr="00756F41" w14:paraId="58A69408" w14:textId="77777777" w:rsidTr="00D014A3">
        <w:trPr>
          <w:trHeight w:val="407"/>
        </w:trPr>
        <w:tc>
          <w:tcPr>
            <w:tcW w:w="3974" w:type="dxa"/>
          </w:tcPr>
          <w:p w14:paraId="727BC5D3"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Sub capítulo</w:t>
            </w:r>
          </w:p>
        </w:tc>
        <w:tc>
          <w:tcPr>
            <w:tcW w:w="3974" w:type="dxa"/>
          </w:tcPr>
          <w:p w14:paraId="11613122"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1</w:t>
            </w:r>
          </w:p>
        </w:tc>
      </w:tr>
      <w:tr w:rsidR="00432BCF" w:rsidRPr="00756F41" w14:paraId="4C7BCAC3" w14:textId="77777777" w:rsidTr="00D014A3">
        <w:trPr>
          <w:trHeight w:val="394"/>
        </w:trPr>
        <w:tc>
          <w:tcPr>
            <w:tcW w:w="3974" w:type="dxa"/>
          </w:tcPr>
          <w:p w14:paraId="0989D6F8"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Unidad ejecutora</w:t>
            </w:r>
          </w:p>
        </w:tc>
        <w:tc>
          <w:tcPr>
            <w:tcW w:w="3974" w:type="dxa"/>
          </w:tcPr>
          <w:p w14:paraId="08089654"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1</w:t>
            </w:r>
          </w:p>
        </w:tc>
      </w:tr>
      <w:tr w:rsidR="00432BCF" w:rsidRPr="00A33C2F" w14:paraId="41382B10" w14:textId="77777777" w:rsidTr="00D5151E">
        <w:trPr>
          <w:trHeight w:val="592"/>
        </w:trPr>
        <w:tc>
          <w:tcPr>
            <w:tcW w:w="3974" w:type="dxa"/>
          </w:tcPr>
          <w:p w14:paraId="441E8829"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Unidad de compra</w:t>
            </w:r>
          </w:p>
        </w:tc>
        <w:tc>
          <w:tcPr>
            <w:tcW w:w="3974" w:type="dxa"/>
          </w:tcPr>
          <w:p w14:paraId="625A6742" w14:textId="25DA591A"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 xml:space="preserve">Ministerio de </w:t>
            </w:r>
            <w:r w:rsidR="00B976F8">
              <w:rPr>
                <w:color w:val="595959" w:themeColor="text1" w:themeTint="A6"/>
                <w:spacing w:val="0"/>
                <w:lang w:val="es-DO" w:eastAsia="es-DO"/>
              </w:rPr>
              <w:t>la P</w:t>
            </w:r>
            <w:r w:rsidR="00AF70F5">
              <w:rPr>
                <w:color w:val="595959" w:themeColor="text1" w:themeTint="A6"/>
                <w:spacing w:val="0"/>
                <w:lang w:val="es-DO" w:eastAsia="es-DO"/>
              </w:rPr>
              <w:t>resi</w:t>
            </w:r>
            <w:r w:rsidR="002F6B4F">
              <w:rPr>
                <w:color w:val="595959" w:themeColor="text1" w:themeTint="A6"/>
                <w:spacing w:val="0"/>
                <w:lang w:val="es-DO" w:eastAsia="es-DO"/>
              </w:rPr>
              <w:t>dencia</w:t>
            </w:r>
          </w:p>
        </w:tc>
      </w:tr>
      <w:tr w:rsidR="00432BCF" w:rsidRPr="00756F41" w14:paraId="4F5DB5C4" w14:textId="77777777" w:rsidTr="00D014A3">
        <w:trPr>
          <w:trHeight w:val="394"/>
        </w:trPr>
        <w:tc>
          <w:tcPr>
            <w:tcW w:w="3974" w:type="dxa"/>
          </w:tcPr>
          <w:p w14:paraId="22D8E7B8"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Año fiscal</w:t>
            </w:r>
          </w:p>
        </w:tc>
        <w:tc>
          <w:tcPr>
            <w:tcW w:w="3974" w:type="dxa"/>
          </w:tcPr>
          <w:p w14:paraId="763E4EB0"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2025</w:t>
            </w:r>
          </w:p>
        </w:tc>
      </w:tr>
      <w:tr w:rsidR="00432BCF" w:rsidRPr="00756F41" w14:paraId="35092D12" w14:textId="77777777" w:rsidTr="00D014A3">
        <w:trPr>
          <w:trHeight w:val="407"/>
        </w:trPr>
        <w:tc>
          <w:tcPr>
            <w:tcW w:w="3974" w:type="dxa"/>
          </w:tcPr>
          <w:p w14:paraId="5912F58C" w14:textId="77777777" w:rsidR="00432BCF" w:rsidRPr="00D5151E" w:rsidRDefault="00432BCF" w:rsidP="00432BCF">
            <w:pPr>
              <w:rPr>
                <w:color w:val="595959" w:themeColor="text1" w:themeTint="A6"/>
                <w:spacing w:val="0"/>
                <w:lang w:val="es-DO" w:eastAsia="es-DO"/>
              </w:rPr>
            </w:pPr>
            <w:r w:rsidRPr="00D5151E">
              <w:rPr>
                <w:color w:val="595959" w:themeColor="text1" w:themeTint="A6"/>
                <w:spacing w:val="0"/>
                <w:lang w:val="es-DO" w:eastAsia="es-DO"/>
              </w:rPr>
              <w:t>Fecha aprobación</w:t>
            </w:r>
          </w:p>
        </w:tc>
        <w:tc>
          <w:tcPr>
            <w:tcW w:w="3974" w:type="dxa"/>
          </w:tcPr>
          <w:p w14:paraId="4762D16D" w14:textId="77777777" w:rsidR="00432BCF" w:rsidRPr="00D5151E" w:rsidRDefault="00432BCF" w:rsidP="003453DD">
            <w:pPr>
              <w:jc w:val="center"/>
              <w:rPr>
                <w:color w:val="595959" w:themeColor="text1" w:themeTint="A6"/>
                <w:spacing w:val="0"/>
                <w:lang w:val="es-DO" w:eastAsia="es-DO"/>
              </w:rPr>
            </w:pPr>
            <w:r w:rsidRPr="00D5151E">
              <w:rPr>
                <w:color w:val="595959" w:themeColor="text1" w:themeTint="A6"/>
                <w:spacing w:val="0"/>
                <w:lang w:val="es-DO" w:eastAsia="es-DO"/>
              </w:rPr>
              <w:t>8 de diciembre</w:t>
            </w:r>
          </w:p>
        </w:tc>
      </w:tr>
    </w:tbl>
    <w:p w14:paraId="728F0189" w14:textId="733ADB14" w:rsidR="0063595F" w:rsidRDefault="0063595F" w:rsidP="00432BCF">
      <w:pPr>
        <w:ind w:left="1530"/>
      </w:pPr>
    </w:p>
    <w:p w14:paraId="3C9A648A" w14:textId="77777777" w:rsidR="00432BCF" w:rsidRPr="00432BCF" w:rsidRDefault="00432BCF" w:rsidP="00432BCF">
      <w:pPr>
        <w:shd w:val="clear" w:color="auto" w:fill="D9D9D9" w:themeFill="background1" w:themeFillShade="D9"/>
        <w:ind w:left="1530"/>
        <w:jc w:val="center"/>
        <w:rPr>
          <w:b/>
          <w:bCs/>
          <w:lang w:val="es-DO"/>
        </w:rPr>
      </w:pPr>
      <w:r w:rsidRPr="00432BCF">
        <w:rPr>
          <w:b/>
          <w:bCs/>
          <w:lang w:val="es-DO"/>
        </w:rPr>
        <w:t>MONTOS ESTIMADOS SEGÚN OBJETO DE CONTRATACIÓN</w:t>
      </w:r>
    </w:p>
    <w:tbl>
      <w:tblPr>
        <w:tblW w:w="802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80" w:type="dxa"/>
          <w:bottom w:w="100" w:type="dxa"/>
          <w:right w:w="180" w:type="dxa"/>
        </w:tblCellMar>
        <w:tblLook w:val="04A0" w:firstRow="1" w:lastRow="0" w:firstColumn="1" w:lastColumn="0" w:noHBand="0" w:noVBand="1"/>
      </w:tblPr>
      <w:tblGrid>
        <w:gridCol w:w="4011"/>
        <w:gridCol w:w="4011"/>
      </w:tblGrid>
      <w:tr w:rsidR="00432BCF" w:rsidRPr="00756F41" w14:paraId="347B8DEC" w14:textId="77777777" w:rsidTr="00D5151E">
        <w:trPr>
          <w:trHeight w:val="258"/>
        </w:trPr>
        <w:tc>
          <w:tcPr>
            <w:tcW w:w="4011" w:type="dxa"/>
            <w:tcBorders>
              <w:top w:val="single" w:sz="1" w:space="0" w:color="000000"/>
              <w:left w:val="single" w:sz="1" w:space="0" w:color="000000"/>
              <w:bottom w:val="single" w:sz="1" w:space="0" w:color="000000"/>
              <w:right w:val="single" w:sz="1" w:space="0" w:color="000000"/>
            </w:tcBorders>
          </w:tcPr>
          <w:p w14:paraId="0A0FD6CE" w14:textId="77777777" w:rsidR="00432BCF" w:rsidRPr="00D5151E" w:rsidRDefault="00432BCF" w:rsidP="00D014A3">
            <w:pPr>
              <w:rPr>
                <w:color w:val="595959" w:themeColor="text1" w:themeTint="A6"/>
                <w:spacing w:val="0"/>
                <w:lang w:val="es-DO" w:eastAsia="es-DO"/>
              </w:rPr>
            </w:pPr>
            <w:r w:rsidRPr="00D5151E">
              <w:rPr>
                <w:color w:val="595959" w:themeColor="text1" w:themeTint="A6"/>
                <w:spacing w:val="0"/>
                <w:lang w:val="es-DO" w:eastAsia="es-DO"/>
              </w:rPr>
              <w:t>Bienes</w:t>
            </w:r>
          </w:p>
        </w:tc>
        <w:tc>
          <w:tcPr>
            <w:tcW w:w="4011" w:type="dxa"/>
            <w:tcBorders>
              <w:top w:val="single" w:sz="1" w:space="0" w:color="000000"/>
              <w:left w:val="single" w:sz="1" w:space="0" w:color="000000"/>
              <w:bottom w:val="single" w:sz="1" w:space="0" w:color="000000"/>
              <w:right w:val="single" w:sz="1" w:space="0" w:color="000000"/>
            </w:tcBorders>
          </w:tcPr>
          <w:p w14:paraId="1CB05A0E" w14:textId="77777777" w:rsidR="00432BCF" w:rsidRPr="00D5151E" w:rsidRDefault="00432BCF" w:rsidP="0063595F">
            <w:pPr>
              <w:jc w:val="center"/>
              <w:rPr>
                <w:color w:val="595959" w:themeColor="text1" w:themeTint="A6"/>
                <w:spacing w:val="0"/>
                <w:lang w:val="es-DO" w:eastAsia="es-DO"/>
              </w:rPr>
            </w:pPr>
            <w:r w:rsidRPr="00D5151E">
              <w:rPr>
                <w:color w:val="595959" w:themeColor="text1" w:themeTint="A6"/>
                <w:spacing w:val="0"/>
                <w:lang w:val="es-DO" w:eastAsia="es-DO"/>
              </w:rPr>
              <w:t>$ 39,182,292.91</w:t>
            </w:r>
          </w:p>
        </w:tc>
      </w:tr>
      <w:tr w:rsidR="00432BCF" w:rsidRPr="00756F41" w14:paraId="0C436DFC" w14:textId="77777777" w:rsidTr="00D5151E">
        <w:trPr>
          <w:trHeight w:val="258"/>
        </w:trPr>
        <w:tc>
          <w:tcPr>
            <w:tcW w:w="4011" w:type="dxa"/>
            <w:tcBorders>
              <w:top w:val="single" w:sz="1" w:space="0" w:color="000000"/>
              <w:left w:val="single" w:sz="1" w:space="0" w:color="000000"/>
              <w:bottom w:val="single" w:sz="1" w:space="0" w:color="000000"/>
              <w:right w:val="single" w:sz="1" w:space="0" w:color="000000"/>
            </w:tcBorders>
          </w:tcPr>
          <w:p w14:paraId="0300717A" w14:textId="77777777" w:rsidR="00432BCF" w:rsidRPr="00D5151E" w:rsidRDefault="00432BCF" w:rsidP="00D014A3">
            <w:pPr>
              <w:rPr>
                <w:color w:val="595959" w:themeColor="text1" w:themeTint="A6"/>
                <w:spacing w:val="0"/>
                <w:lang w:val="es-DO" w:eastAsia="es-DO"/>
              </w:rPr>
            </w:pPr>
            <w:r w:rsidRPr="00D5151E">
              <w:rPr>
                <w:color w:val="595959" w:themeColor="text1" w:themeTint="A6"/>
                <w:spacing w:val="0"/>
                <w:lang w:val="es-DO" w:eastAsia="es-DO"/>
              </w:rPr>
              <w:t>Obras</w:t>
            </w:r>
          </w:p>
        </w:tc>
        <w:tc>
          <w:tcPr>
            <w:tcW w:w="4011" w:type="dxa"/>
            <w:tcBorders>
              <w:top w:val="single" w:sz="1" w:space="0" w:color="000000"/>
              <w:left w:val="single" w:sz="1" w:space="0" w:color="000000"/>
              <w:bottom w:val="single" w:sz="1" w:space="0" w:color="000000"/>
              <w:right w:val="single" w:sz="1" w:space="0" w:color="000000"/>
            </w:tcBorders>
          </w:tcPr>
          <w:p w14:paraId="430E0786" w14:textId="77777777" w:rsidR="00432BCF" w:rsidRPr="00D5151E" w:rsidRDefault="00432BCF" w:rsidP="0063595F">
            <w:pPr>
              <w:jc w:val="cente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71964067" w14:textId="77777777" w:rsidTr="00D5151E">
        <w:trPr>
          <w:trHeight w:val="420"/>
        </w:trPr>
        <w:tc>
          <w:tcPr>
            <w:tcW w:w="4011" w:type="dxa"/>
            <w:tcBorders>
              <w:top w:val="single" w:sz="1" w:space="0" w:color="000000"/>
              <w:left w:val="single" w:sz="1" w:space="0" w:color="000000"/>
              <w:bottom w:val="single" w:sz="1" w:space="0" w:color="000000"/>
              <w:right w:val="single" w:sz="1" w:space="0" w:color="000000"/>
            </w:tcBorders>
          </w:tcPr>
          <w:p w14:paraId="11DF1FE9" w14:textId="77777777" w:rsidR="00432BCF" w:rsidRPr="00D5151E" w:rsidRDefault="00432BCF" w:rsidP="00676735">
            <w:pPr>
              <w:rPr>
                <w:color w:val="595959" w:themeColor="text1" w:themeTint="A6"/>
                <w:spacing w:val="0"/>
                <w:lang w:val="es-DO" w:eastAsia="es-DO"/>
              </w:rPr>
            </w:pPr>
            <w:r w:rsidRPr="00D5151E">
              <w:rPr>
                <w:color w:val="595959" w:themeColor="text1" w:themeTint="A6"/>
                <w:spacing w:val="0"/>
                <w:lang w:val="es-DO" w:eastAsia="es-DO"/>
              </w:rPr>
              <w:t>Servicios</w:t>
            </w:r>
          </w:p>
        </w:tc>
        <w:tc>
          <w:tcPr>
            <w:tcW w:w="4011" w:type="dxa"/>
            <w:tcBorders>
              <w:top w:val="single" w:sz="1" w:space="0" w:color="000000"/>
              <w:left w:val="single" w:sz="1" w:space="0" w:color="000000"/>
              <w:bottom w:val="single" w:sz="1" w:space="0" w:color="000000"/>
              <w:right w:val="single" w:sz="1" w:space="0" w:color="000000"/>
            </w:tcBorders>
          </w:tcPr>
          <w:p w14:paraId="37D7EC6F" w14:textId="77777777" w:rsidR="00432BCF" w:rsidRPr="00D5151E" w:rsidRDefault="00432BCF" w:rsidP="0063595F">
            <w:pPr>
              <w:jc w:val="center"/>
              <w:rPr>
                <w:color w:val="595959" w:themeColor="text1" w:themeTint="A6"/>
                <w:spacing w:val="0"/>
                <w:lang w:val="es-DO" w:eastAsia="es-DO"/>
              </w:rPr>
            </w:pPr>
            <w:r w:rsidRPr="00D5151E">
              <w:rPr>
                <w:color w:val="595959" w:themeColor="text1" w:themeTint="A6"/>
                <w:spacing w:val="0"/>
                <w:lang w:val="es-DO" w:eastAsia="es-DO"/>
              </w:rPr>
              <w:t>$ 131,811.077.00</w:t>
            </w:r>
          </w:p>
        </w:tc>
      </w:tr>
      <w:tr w:rsidR="00432BCF" w:rsidRPr="00756F41" w14:paraId="17659ABA" w14:textId="77777777" w:rsidTr="00D5151E">
        <w:trPr>
          <w:trHeight w:val="375"/>
        </w:trPr>
        <w:tc>
          <w:tcPr>
            <w:tcW w:w="4011" w:type="dxa"/>
            <w:tcBorders>
              <w:top w:val="single" w:sz="1" w:space="0" w:color="000000"/>
              <w:left w:val="single" w:sz="1" w:space="0" w:color="000000"/>
              <w:bottom w:val="single" w:sz="1" w:space="0" w:color="000000"/>
              <w:right w:val="single" w:sz="1" w:space="0" w:color="000000"/>
            </w:tcBorders>
          </w:tcPr>
          <w:p w14:paraId="2C31A6B5" w14:textId="77777777" w:rsidR="00432BCF" w:rsidRPr="00D5151E" w:rsidRDefault="00432BCF" w:rsidP="00676735">
            <w:pPr>
              <w:rPr>
                <w:color w:val="595959" w:themeColor="text1" w:themeTint="A6"/>
                <w:spacing w:val="0"/>
                <w:lang w:val="es-DO" w:eastAsia="es-DO"/>
              </w:rPr>
            </w:pPr>
            <w:r w:rsidRPr="00D5151E">
              <w:rPr>
                <w:color w:val="595959" w:themeColor="text1" w:themeTint="A6"/>
                <w:spacing w:val="0"/>
                <w:lang w:val="es-DO" w:eastAsia="es-DO"/>
              </w:rPr>
              <w:t>Servicios: consultoría</w:t>
            </w:r>
          </w:p>
        </w:tc>
        <w:tc>
          <w:tcPr>
            <w:tcW w:w="4011" w:type="dxa"/>
            <w:tcBorders>
              <w:top w:val="single" w:sz="1" w:space="0" w:color="000000"/>
              <w:left w:val="single" w:sz="1" w:space="0" w:color="000000"/>
              <w:bottom w:val="single" w:sz="1" w:space="0" w:color="000000"/>
              <w:right w:val="single" w:sz="1" w:space="0" w:color="000000"/>
            </w:tcBorders>
          </w:tcPr>
          <w:p w14:paraId="07D527D4" w14:textId="77777777" w:rsidR="00432BCF" w:rsidRPr="00D5151E" w:rsidRDefault="00432BCF" w:rsidP="0063595F">
            <w:pPr>
              <w:jc w:val="cente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59DD3556" w14:textId="77777777" w:rsidTr="00D5151E">
        <w:trPr>
          <w:trHeight w:val="528"/>
        </w:trPr>
        <w:tc>
          <w:tcPr>
            <w:tcW w:w="4011" w:type="dxa"/>
            <w:tcBorders>
              <w:top w:val="single" w:sz="1" w:space="0" w:color="000000"/>
              <w:left w:val="single" w:sz="1" w:space="0" w:color="000000"/>
              <w:bottom w:val="single" w:sz="1" w:space="0" w:color="000000"/>
              <w:right w:val="single" w:sz="1" w:space="0" w:color="000000"/>
            </w:tcBorders>
          </w:tcPr>
          <w:p w14:paraId="2FED9994" w14:textId="77777777" w:rsidR="00432BCF" w:rsidRPr="00D5151E" w:rsidRDefault="00432BCF" w:rsidP="00676735">
            <w:pPr>
              <w:rPr>
                <w:color w:val="595959" w:themeColor="text1" w:themeTint="A6"/>
                <w:spacing w:val="0"/>
                <w:lang w:val="es-DO" w:eastAsia="es-DO"/>
              </w:rPr>
            </w:pPr>
            <w:r w:rsidRPr="00D5151E">
              <w:rPr>
                <w:color w:val="595959" w:themeColor="text1" w:themeTint="A6"/>
                <w:spacing w:val="0"/>
                <w:lang w:val="es-DO" w:eastAsia="es-DO"/>
              </w:rPr>
              <w:t>Servicios: consultoría basada en la calidad de los servicios</w:t>
            </w:r>
          </w:p>
        </w:tc>
        <w:tc>
          <w:tcPr>
            <w:tcW w:w="4011" w:type="dxa"/>
            <w:tcBorders>
              <w:top w:val="single" w:sz="1" w:space="0" w:color="000000"/>
              <w:left w:val="single" w:sz="1" w:space="0" w:color="000000"/>
              <w:bottom w:val="single" w:sz="1" w:space="0" w:color="000000"/>
              <w:right w:val="single" w:sz="1" w:space="0" w:color="000000"/>
            </w:tcBorders>
          </w:tcPr>
          <w:p w14:paraId="49298B98" w14:textId="77777777" w:rsidR="00432BCF" w:rsidRPr="00D5151E" w:rsidRDefault="00432BCF" w:rsidP="0063595F">
            <w:pPr>
              <w:jc w:val="center"/>
              <w:rPr>
                <w:color w:val="595959" w:themeColor="text1" w:themeTint="A6"/>
                <w:spacing w:val="0"/>
                <w:lang w:val="es-DO" w:eastAsia="es-DO"/>
              </w:rPr>
            </w:pPr>
            <w:r w:rsidRPr="00D5151E">
              <w:rPr>
                <w:color w:val="595959" w:themeColor="text1" w:themeTint="A6"/>
                <w:spacing w:val="0"/>
                <w:lang w:val="es-DO" w:eastAsia="es-DO"/>
              </w:rPr>
              <w:t>N/A</w:t>
            </w:r>
          </w:p>
        </w:tc>
      </w:tr>
    </w:tbl>
    <w:p w14:paraId="16540C65" w14:textId="77777777" w:rsidR="00432BCF" w:rsidRPr="00756F41" w:rsidRDefault="00432BCF" w:rsidP="00432BCF">
      <w:pPr>
        <w:ind w:left="1530"/>
      </w:pPr>
    </w:p>
    <w:p w14:paraId="316C449A" w14:textId="77777777" w:rsidR="00432BCF" w:rsidRPr="00756F41" w:rsidRDefault="00432BCF" w:rsidP="00432BCF">
      <w:pPr>
        <w:shd w:val="clear" w:color="auto" w:fill="D9D9D9" w:themeFill="background1" w:themeFillShade="D9"/>
        <w:ind w:left="1530"/>
        <w:jc w:val="center"/>
        <w:rPr>
          <w:b/>
          <w:bCs/>
        </w:rPr>
      </w:pPr>
      <w:r w:rsidRPr="00756F41">
        <w:rPr>
          <w:b/>
          <w:bCs/>
        </w:rPr>
        <w:lastRenderedPageBreak/>
        <w:t>MONTOS ESTIMADOS SEGÚN CLASIFICACIÓN MIPYMES</w:t>
      </w:r>
    </w:p>
    <w:tbl>
      <w:tblPr>
        <w:tblW w:w="0" w:type="auto"/>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80" w:type="dxa"/>
          <w:bottom w:w="100" w:type="dxa"/>
          <w:right w:w="180" w:type="dxa"/>
        </w:tblCellMar>
        <w:tblLook w:val="04A0" w:firstRow="1" w:lastRow="0" w:firstColumn="1" w:lastColumn="0" w:noHBand="0" w:noVBand="1"/>
      </w:tblPr>
      <w:tblGrid>
        <w:gridCol w:w="4005"/>
        <w:gridCol w:w="4005"/>
      </w:tblGrid>
      <w:tr w:rsidR="00432BCF" w:rsidRPr="00756F41" w14:paraId="5D41E052" w14:textId="77777777" w:rsidTr="0063595F">
        <w:trPr>
          <w:trHeight w:val="438"/>
        </w:trPr>
        <w:tc>
          <w:tcPr>
            <w:tcW w:w="4005" w:type="dxa"/>
            <w:tcBorders>
              <w:top w:val="single" w:sz="1" w:space="0" w:color="000000"/>
              <w:left w:val="single" w:sz="1" w:space="0" w:color="000000"/>
              <w:bottom w:val="single" w:sz="1" w:space="0" w:color="000000"/>
              <w:right w:val="single" w:sz="1" w:space="0" w:color="000000"/>
            </w:tcBorders>
          </w:tcPr>
          <w:p w14:paraId="21908D7B" w14:textId="77777777" w:rsidR="00432BCF" w:rsidRPr="00D5151E" w:rsidRDefault="00432BCF" w:rsidP="0063595F">
            <w:pPr>
              <w:rPr>
                <w:color w:val="595959" w:themeColor="text1" w:themeTint="A6"/>
                <w:spacing w:val="0"/>
                <w:lang w:val="es-DO" w:eastAsia="es-DO"/>
              </w:rPr>
            </w:pPr>
            <w:r w:rsidRPr="00D5151E">
              <w:rPr>
                <w:color w:val="595959" w:themeColor="text1" w:themeTint="A6"/>
                <w:spacing w:val="0"/>
                <w:lang w:val="es-DO" w:eastAsia="es-DO"/>
              </w:rPr>
              <w:t>MiPymes</w:t>
            </w:r>
          </w:p>
        </w:tc>
        <w:tc>
          <w:tcPr>
            <w:tcW w:w="4005" w:type="dxa"/>
            <w:tcBorders>
              <w:top w:val="single" w:sz="1" w:space="0" w:color="000000"/>
              <w:left w:val="single" w:sz="1" w:space="0" w:color="000000"/>
              <w:bottom w:val="single" w:sz="1" w:space="0" w:color="000000"/>
              <w:right w:val="single" w:sz="1" w:space="0" w:color="000000"/>
            </w:tcBorders>
          </w:tcPr>
          <w:p w14:paraId="419070BD" w14:textId="77777777" w:rsidR="00432BCF" w:rsidRPr="00D5151E" w:rsidRDefault="00432BCF" w:rsidP="0063595F">
            <w:pPr>
              <w:rPr>
                <w:color w:val="595959" w:themeColor="text1" w:themeTint="A6"/>
                <w:spacing w:val="0"/>
                <w:lang w:val="es-DO" w:eastAsia="es-DO"/>
              </w:rPr>
            </w:pPr>
            <w:r w:rsidRPr="00D5151E">
              <w:rPr>
                <w:color w:val="595959" w:themeColor="text1" w:themeTint="A6"/>
                <w:spacing w:val="0"/>
                <w:lang w:val="es-DO" w:eastAsia="es-DO"/>
              </w:rPr>
              <w:t>$ 19,412,992.08</w:t>
            </w:r>
          </w:p>
        </w:tc>
      </w:tr>
      <w:tr w:rsidR="00432BCF" w:rsidRPr="00756F41" w14:paraId="026E8472" w14:textId="77777777" w:rsidTr="0063595F">
        <w:trPr>
          <w:trHeight w:val="438"/>
        </w:trPr>
        <w:tc>
          <w:tcPr>
            <w:tcW w:w="4005" w:type="dxa"/>
            <w:tcBorders>
              <w:top w:val="single" w:sz="1" w:space="0" w:color="000000"/>
              <w:left w:val="single" w:sz="1" w:space="0" w:color="000000"/>
              <w:bottom w:val="single" w:sz="1" w:space="0" w:color="000000"/>
              <w:right w:val="single" w:sz="1" w:space="0" w:color="000000"/>
            </w:tcBorders>
          </w:tcPr>
          <w:p w14:paraId="43478594" w14:textId="77777777" w:rsidR="00432BCF" w:rsidRPr="00D5151E" w:rsidRDefault="00432BCF" w:rsidP="0063595F">
            <w:pPr>
              <w:rPr>
                <w:color w:val="595959" w:themeColor="text1" w:themeTint="A6"/>
                <w:spacing w:val="0"/>
                <w:lang w:val="es-DO" w:eastAsia="es-DO"/>
              </w:rPr>
            </w:pPr>
            <w:r w:rsidRPr="00D5151E">
              <w:rPr>
                <w:color w:val="595959" w:themeColor="text1" w:themeTint="A6"/>
                <w:spacing w:val="0"/>
                <w:lang w:val="es-DO" w:eastAsia="es-DO"/>
              </w:rPr>
              <w:t>MiPymes mujer</w:t>
            </w:r>
          </w:p>
        </w:tc>
        <w:tc>
          <w:tcPr>
            <w:tcW w:w="4005" w:type="dxa"/>
            <w:tcBorders>
              <w:top w:val="single" w:sz="1" w:space="0" w:color="000000"/>
              <w:left w:val="single" w:sz="1" w:space="0" w:color="000000"/>
              <w:bottom w:val="single" w:sz="1" w:space="0" w:color="000000"/>
              <w:right w:val="single" w:sz="1" w:space="0" w:color="000000"/>
            </w:tcBorders>
          </w:tcPr>
          <w:p w14:paraId="29DC45CD" w14:textId="77777777" w:rsidR="00432BCF" w:rsidRPr="00D5151E" w:rsidRDefault="00432BCF" w:rsidP="0063595F">
            <w:pPr>
              <w:rPr>
                <w:color w:val="595959" w:themeColor="text1" w:themeTint="A6"/>
                <w:spacing w:val="0"/>
                <w:lang w:val="es-DO" w:eastAsia="es-DO"/>
              </w:rPr>
            </w:pPr>
            <w:r w:rsidRPr="00D5151E">
              <w:rPr>
                <w:color w:val="595959" w:themeColor="text1" w:themeTint="A6"/>
                <w:spacing w:val="0"/>
                <w:lang w:val="es-DO" w:eastAsia="es-DO"/>
              </w:rPr>
              <w:t>$ 5,380,593.40</w:t>
            </w:r>
          </w:p>
        </w:tc>
      </w:tr>
      <w:tr w:rsidR="00432BCF" w:rsidRPr="00756F41" w14:paraId="5E0BEFA0" w14:textId="77777777" w:rsidTr="0063595F">
        <w:trPr>
          <w:trHeight w:val="438"/>
        </w:trPr>
        <w:tc>
          <w:tcPr>
            <w:tcW w:w="4005" w:type="dxa"/>
            <w:tcBorders>
              <w:top w:val="single" w:sz="1" w:space="0" w:color="000000"/>
              <w:left w:val="single" w:sz="1" w:space="0" w:color="000000"/>
              <w:bottom w:val="single" w:sz="1" w:space="0" w:color="000000"/>
              <w:right w:val="single" w:sz="1" w:space="0" w:color="000000"/>
            </w:tcBorders>
          </w:tcPr>
          <w:p w14:paraId="64DBBB04" w14:textId="77777777" w:rsidR="00432BCF" w:rsidRPr="00D5151E" w:rsidRDefault="00432BCF" w:rsidP="0063595F">
            <w:pPr>
              <w:rPr>
                <w:color w:val="595959" w:themeColor="text1" w:themeTint="A6"/>
                <w:spacing w:val="0"/>
                <w:lang w:val="es-DO" w:eastAsia="es-DO"/>
              </w:rPr>
            </w:pPr>
            <w:r w:rsidRPr="00D5151E">
              <w:rPr>
                <w:color w:val="595959" w:themeColor="text1" w:themeTint="A6"/>
                <w:spacing w:val="0"/>
                <w:lang w:val="es-DO" w:eastAsia="es-DO"/>
              </w:rPr>
              <w:t>No MiPymes</w:t>
            </w:r>
          </w:p>
        </w:tc>
        <w:tc>
          <w:tcPr>
            <w:tcW w:w="4005" w:type="dxa"/>
            <w:tcBorders>
              <w:top w:val="single" w:sz="1" w:space="0" w:color="000000"/>
              <w:left w:val="single" w:sz="1" w:space="0" w:color="000000"/>
              <w:bottom w:val="single" w:sz="1" w:space="0" w:color="000000"/>
              <w:right w:val="single" w:sz="1" w:space="0" w:color="000000"/>
            </w:tcBorders>
          </w:tcPr>
          <w:p w14:paraId="5CA26BBC" w14:textId="77777777" w:rsidR="00432BCF" w:rsidRPr="00D5151E" w:rsidRDefault="00432BCF" w:rsidP="0063595F">
            <w:pPr>
              <w:rPr>
                <w:color w:val="595959" w:themeColor="text1" w:themeTint="A6"/>
                <w:spacing w:val="0"/>
                <w:lang w:val="es-DO" w:eastAsia="es-DO"/>
              </w:rPr>
            </w:pPr>
            <w:r w:rsidRPr="00D5151E">
              <w:rPr>
                <w:color w:val="595959" w:themeColor="text1" w:themeTint="A6"/>
                <w:spacing w:val="0"/>
                <w:lang w:val="es-DO" w:eastAsia="es-DO"/>
              </w:rPr>
              <w:t>$ 146,143,515.31</w:t>
            </w:r>
          </w:p>
        </w:tc>
      </w:tr>
    </w:tbl>
    <w:p w14:paraId="635B614F" w14:textId="22E1E3FA" w:rsidR="00432BCF" w:rsidRDefault="00432BCF" w:rsidP="00432BCF">
      <w:pPr>
        <w:ind w:left="1530"/>
      </w:pPr>
    </w:p>
    <w:p w14:paraId="43B0EE4A" w14:textId="77777777" w:rsidR="00432BCF" w:rsidRPr="00432BCF" w:rsidRDefault="00432BCF" w:rsidP="00432BCF">
      <w:pPr>
        <w:shd w:val="clear" w:color="auto" w:fill="D9D9D9" w:themeFill="background1" w:themeFillShade="D9"/>
        <w:ind w:left="1530"/>
        <w:jc w:val="center"/>
        <w:rPr>
          <w:b/>
          <w:bCs/>
          <w:lang w:val="es-DO"/>
        </w:rPr>
      </w:pPr>
      <w:r w:rsidRPr="00432BCF">
        <w:rPr>
          <w:b/>
          <w:bCs/>
          <w:lang w:val="es-DO"/>
        </w:rPr>
        <w:t>MONTOS ESTIMADOS SEGÚN TIPO DE PROCEDIMIENTO</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80" w:type="dxa"/>
          <w:bottom w:w="100" w:type="dxa"/>
          <w:right w:w="180" w:type="dxa"/>
        </w:tblCellMar>
        <w:tblLook w:val="04A0" w:firstRow="1" w:lastRow="0" w:firstColumn="1" w:lastColumn="0" w:noHBand="0" w:noVBand="1"/>
      </w:tblPr>
      <w:tblGrid>
        <w:gridCol w:w="4091"/>
        <w:gridCol w:w="4093"/>
      </w:tblGrid>
      <w:tr w:rsidR="00432BCF" w:rsidRPr="00756F41" w14:paraId="43EED166"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75B25782"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Compras por debajo del umbral</w:t>
            </w:r>
          </w:p>
        </w:tc>
        <w:tc>
          <w:tcPr>
            <w:tcW w:w="4093" w:type="dxa"/>
            <w:tcBorders>
              <w:top w:val="single" w:sz="1" w:space="0" w:color="000000"/>
              <w:left w:val="single" w:sz="1" w:space="0" w:color="000000"/>
              <w:bottom w:val="single" w:sz="1" w:space="0" w:color="000000"/>
              <w:right w:val="single" w:sz="1" w:space="0" w:color="000000"/>
            </w:tcBorders>
          </w:tcPr>
          <w:p w14:paraId="55D41322" w14:textId="77777777" w:rsidR="00432BCF" w:rsidRPr="00D5151E" w:rsidRDefault="00432BCF" w:rsidP="007D5CCC">
            <w:pPr>
              <w:tabs>
                <w:tab w:val="center" w:pos="2076"/>
              </w:tabs>
              <w:rPr>
                <w:color w:val="595959" w:themeColor="text1" w:themeTint="A6"/>
                <w:spacing w:val="0"/>
                <w:lang w:val="es-DO" w:eastAsia="es-DO"/>
              </w:rPr>
            </w:pPr>
            <w:r w:rsidRPr="00D5151E">
              <w:rPr>
                <w:color w:val="595959" w:themeColor="text1" w:themeTint="A6"/>
                <w:spacing w:val="0"/>
                <w:lang w:val="es-DO" w:eastAsia="es-DO"/>
              </w:rPr>
              <w:t>$ 5,719,028.01</w:t>
            </w:r>
            <w:r w:rsidRPr="00D5151E">
              <w:rPr>
                <w:color w:val="595959" w:themeColor="text1" w:themeTint="A6"/>
                <w:spacing w:val="0"/>
                <w:lang w:val="es-DO" w:eastAsia="es-DO"/>
              </w:rPr>
              <w:tab/>
            </w:r>
          </w:p>
        </w:tc>
      </w:tr>
      <w:tr w:rsidR="00432BCF" w:rsidRPr="00756F41" w14:paraId="3BE82C78"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3BE40BEC"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Compra menor</w:t>
            </w:r>
          </w:p>
        </w:tc>
        <w:tc>
          <w:tcPr>
            <w:tcW w:w="4093" w:type="dxa"/>
            <w:tcBorders>
              <w:top w:val="single" w:sz="1" w:space="0" w:color="000000"/>
              <w:left w:val="single" w:sz="1" w:space="0" w:color="000000"/>
              <w:bottom w:val="single" w:sz="1" w:space="0" w:color="000000"/>
              <w:right w:val="single" w:sz="1" w:space="0" w:color="000000"/>
            </w:tcBorders>
          </w:tcPr>
          <w:p w14:paraId="36AA3CB8"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$ 27,748,690.96</w:t>
            </w:r>
          </w:p>
        </w:tc>
      </w:tr>
      <w:tr w:rsidR="00432BCF" w:rsidRPr="00756F41" w14:paraId="40A4FDF8"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54FED853"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Comparación de precios</w:t>
            </w:r>
          </w:p>
        </w:tc>
        <w:tc>
          <w:tcPr>
            <w:tcW w:w="4093" w:type="dxa"/>
            <w:tcBorders>
              <w:top w:val="single" w:sz="1" w:space="0" w:color="000000"/>
              <w:left w:val="single" w:sz="1" w:space="0" w:color="000000"/>
              <w:bottom w:val="single" w:sz="1" w:space="0" w:color="000000"/>
              <w:right w:val="single" w:sz="1" w:space="0" w:color="000000"/>
            </w:tcBorders>
          </w:tcPr>
          <w:p w14:paraId="4FBDD519"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$ 12,827,722.00</w:t>
            </w:r>
          </w:p>
        </w:tc>
      </w:tr>
      <w:tr w:rsidR="00432BCF" w:rsidRPr="00756F41" w14:paraId="3C436829"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14AFDD6D"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Subasta Inversa</w:t>
            </w:r>
          </w:p>
        </w:tc>
        <w:tc>
          <w:tcPr>
            <w:tcW w:w="4093" w:type="dxa"/>
            <w:tcBorders>
              <w:top w:val="single" w:sz="1" w:space="0" w:color="000000"/>
              <w:left w:val="single" w:sz="1" w:space="0" w:color="000000"/>
              <w:bottom w:val="single" w:sz="1" w:space="0" w:color="000000"/>
              <w:right w:val="single" w:sz="1" w:space="0" w:color="000000"/>
            </w:tcBorders>
          </w:tcPr>
          <w:p w14:paraId="39CE5944"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$ 10,250,000.00</w:t>
            </w:r>
          </w:p>
        </w:tc>
      </w:tr>
      <w:tr w:rsidR="00432BCF" w:rsidRPr="00756F41" w14:paraId="64FBB8A2"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00FFBA4D"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Licitación pública</w:t>
            </w:r>
          </w:p>
        </w:tc>
        <w:tc>
          <w:tcPr>
            <w:tcW w:w="4093" w:type="dxa"/>
            <w:tcBorders>
              <w:top w:val="single" w:sz="1" w:space="0" w:color="000000"/>
              <w:left w:val="single" w:sz="1" w:space="0" w:color="000000"/>
              <w:bottom w:val="single" w:sz="1" w:space="0" w:color="000000"/>
              <w:right w:val="single" w:sz="1" w:space="0" w:color="000000"/>
            </w:tcBorders>
          </w:tcPr>
          <w:p w14:paraId="6D9AC16F"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4233BBA3"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27E7073A"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Licitación pública internacional</w:t>
            </w:r>
          </w:p>
        </w:tc>
        <w:tc>
          <w:tcPr>
            <w:tcW w:w="4093" w:type="dxa"/>
            <w:tcBorders>
              <w:top w:val="single" w:sz="1" w:space="0" w:color="000000"/>
              <w:left w:val="single" w:sz="1" w:space="0" w:color="000000"/>
              <w:bottom w:val="single" w:sz="1" w:space="0" w:color="000000"/>
              <w:right w:val="single" w:sz="1" w:space="0" w:color="000000"/>
            </w:tcBorders>
          </w:tcPr>
          <w:p w14:paraId="650D16E2"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439EE0B8"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55B22665"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Licitación restringida</w:t>
            </w:r>
          </w:p>
        </w:tc>
        <w:tc>
          <w:tcPr>
            <w:tcW w:w="4093" w:type="dxa"/>
            <w:tcBorders>
              <w:top w:val="single" w:sz="1" w:space="0" w:color="000000"/>
              <w:left w:val="single" w:sz="1" w:space="0" w:color="000000"/>
              <w:bottom w:val="single" w:sz="1" w:space="0" w:color="000000"/>
              <w:right w:val="single" w:sz="1" w:space="0" w:color="000000"/>
            </w:tcBorders>
          </w:tcPr>
          <w:p w14:paraId="2E77C3CA"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4311A885"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411FBF7F"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Sorteo de obras</w:t>
            </w:r>
          </w:p>
        </w:tc>
        <w:tc>
          <w:tcPr>
            <w:tcW w:w="4093" w:type="dxa"/>
            <w:tcBorders>
              <w:top w:val="single" w:sz="1" w:space="0" w:color="000000"/>
              <w:left w:val="single" w:sz="1" w:space="0" w:color="000000"/>
              <w:bottom w:val="single" w:sz="1" w:space="0" w:color="000000"/>
              <w:right w:val="single" w:sz="1" w:space="0" w:color="000000"/>
            </w:tcBorders>
          </w:tcPr>
          <w:p w14:paraId="7A023E01" w14:textId="77777777" w:rsidR="00432BCF" w:rsidRPr="00D5151E" w:rsidRDefault="00432BCF" w:rsidP="007D5CCC">
            <w:pP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38076160" w14:textId="77777777" w:rsidTr="00DF01FF">
        <w:trPr>
          <w:trHeight w:val="722"/>
        </w:trPr>
        <w:tc>
          <w:tcPr>
            <w:tcW w:w="4091" w:type="dxa"/>
            <w:tcBorders>
              <w:top w:val="single" w:sz="1" w:space="0" w:color="000000"/>
              <w:left w:val="single" w:sz="1" w:space="0" w:color="000000"/>
              <w:bottom w:val="single" w:sz="1" w:space="0" w:color="000000"/>
              <w:right w:val="single" w:sz="1" w:space="0" w:color="000000"/>
            </w:tcBorders>
          </w:tcPr>
          <w:p w14:paraId="177ACF69"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Excepción - bienes o servicios con exclusividad</w:t>
            </w:r>
          </w:p>
        </w:tc>
        <w:tc>
          <w:tcPr>
            <w:tcW w:w="4093" w:type="dxa"/>
            <w:tcBorders>
              <w:top w:val="single" w:sz="1" w:space="0" w:color="000000"/>
              <w:left w:val="single" w:sz="1" w:space="0" w:color="000000"/>
              <w:bottom w:val="single" w:sz="1" w:space="0" w:color="000000"/>
              <w:right w:val="single" w:sz="1" w:space="0" w:color="000000"/>
            </w:tcBorders>
            <w:vAlign w:val="center"/>
          </w:tcPr>
          <w:p w14:paraId="5D73A17F"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1A1D6CF9" w14:textId="77777777" w:rsidTr="00DF01FF">
        <w:trPr>
          <w:trHeight w:val="996"/>
        </w:trPr>
        <w:tc>
          <w:tcPr>
            <w:tcW w:w="4091" w:type="dxa"/>
            <w:tcBorders>
              <w:top w:val="single" w:sz="1" w:space="0" w:color="000000"/>
              <w:left w:val="single" w:sz="1" w:space="0" w:color="000000"/>
              <w:bottom w:val="single" w:sz="1" w:space="0" w:color="000000"/>
              <w:right w:val="single" w:sz="1" w:space="0" w:color="000000"/>
            </w:tcBorders>
          </w:tcPr>
          <w:p w14:paraId="0E2F6A5B"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Excepción - construcción, instalación o adquisición de oficinas para el servicio exterior</w:t>
            </w:r>
          </w:p>
        </w:tc>
        <w:tc>
          <w:tcPr>
            <w:tcW w:w="4093" w:type="dxa"/>
            <w:tcBorders>
              <w:top w:val="single" w:sz="1" w:space="0" w:color="000000"/>
              <w:left w:val="single" w:sz="1" w:space="0" w:color="000000"/>
              <w:bottom w:val="single" w:sz="1" w:space="0" w:color="000000"/>
              <w:right w:val="single" w:sz="1" w:space="0" w:color="000000"/>
            </w:tcBorders>
            <w:vAlign w:val="center"/>
          </w:tcPr>
          <w:p w14:paraId="4C0FEDAA"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N/A</w:t>
            </w:r>
          </w:p>
        </w:tc>
      </w:tr>
      <w:tr w:rsidR="00432BCF" w:rsidRPr="00756F41" w14:paraId="143073C1" w14:textId="77777777" w:rsidTr="00DF01FF">
        <w:trPr>
          <w:trHeight w:val="1011"/>
        </w:trPr>
        <w:tc>
          <w:tcPr>
            <w:tcW w:w="4091" w:type="dxa"/>
            <w:tcBorders>
              <w:top w:val="single" w:sz="1" w:space="0" w:color="000000"/>
              <w:left w:val="single" w:sz="1" w:space="0" w:color="000000"/>
              <w:bottom w:val="single" w:sz="1" w:space="0" w:color="000000"/>
              <w:right w:val="single" w:sz="1" w:space="0" w:color="000000"/>
            </w:tcBorders>
          </w:tcPr>
          <w:p w14:paraId="75EA5A9B"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Excepción - contratación de publicidad a través de medios de comunicación social</w:t>
            </w:r>
          </w:p>
        </w:tc>
        <w:tc>
          <w:tcPr>
            <w:tcW w:w="4093" w:type="dxa"/>
            <w:tcBorders>
              <w:top w:val="single" w:sz="1" w:space="0" w:color="000000"/>
              <w:left w:val="single" w:sz="1" w:space="0" w:color="000000"/>
              <w:bottom w:val="single" w:sz="1" w:space="0" w:color="000000"/>
              <w:right w:val="single" w:sz="1" w:space="0" w:color="000000"/>
            </w:tcBorders>
            <w:vAlign w:val="center"/>
          </w:tcPr>
          <w:p w14:paraId="3AA2D775"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N/A</w:t>
            </w:r>
          </w:p>
        </w:tc>
      </w:tr>
      <w:tr w:rsidR="00D5151E" w:rsidRPr="007B6BCF" w14:paraId="258256BC" w14:textId="77777777" w:rsidTr="00D5151E">
        <w:trPr>
          <w:trHeight w:val="438"/>
        </w:trPr>
        <w:tc>
          <w:tcPr>
            <w:tcW w:w="8184" w:type="dxa"/>
            <w:gridSpan w:val="2"/>
            <w:tcBorders>
              <w:top w:val="single" w:sz="1" w:space="0" w:color="000000"/>
              <w:left w:val="single" w:sz="1" w:space="0" w:color="000000"/>
              <w:bottom w:val="single" w:sz="1" w:space="0" w:color="000000"/>
              <w:right w:val="single" w:sz="1" w:space="0" w:color="000000"/>
            </w:tcBorders>
          </w:tcPr>
          <w:p w14:paraId="46C8EEEA" w14:textId="70DB7756" w:rsidR="00D5151E" w:rsidRPr="00D5151E" w:rsidRDefault="00D5151E" w:rsidP="00D5151E">
            <w:pPr>
              <w:shd w:val="clear" w:color="auto" w:fill="D9D9D9" w:themeFill="background1" w:themeFillShade="D9"/>
              <w:rPr>
                <w:b/>
                <w:bCs/>
                <w:lang w:val="es-DO"/>
              </w:rPr>
            </w:pPr>
            <w:r w:rsidRPr="00432BCF">
              <w:rPr>
                <w:b/>
                <w:bCs/>
                <w:lang w:val="es-DO"/>
              </w:rPr>
              <w:lastRenderedPageBreak/>
              <w:t>MONTOS ESTIMADOS SEGÚN TIPO DE PROCEDIMIENTO</w:t>
            </w:r>
          </w:p>
        </w:tc>
      </w:tr>
      <w:tr w:rsidR="00432BCF" w:rsidRPr="00756F41" w14:paraId="666C545D" w14:textId="77777777" w:rsidTr="00DF01FF">
        <w:trPr>
          <w:trHeight w:val="1300"/>
        </w:trPr>
        <w:tc>
          <w:tcPr>
            <w:tcW w:w="4091" w:type="dxa"/>
            <w:tcBorders>
              <w:top w:val="single" w:sz="1" w:space="0" w:color="000000"/>
              <w:left w:val="single" w:sz="1" w:space="0" w:color="000000"/>
              <w:bottom w:val="single" w:sz="1" w:space="0" w:color="000000"/>
              <w:right w:val="single" w:sz="1" w:space="0" w:color="000000"/>
            </w:tcBorders>
          </w:tcPr>
          <w:p w14:paraId="21D57B32"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Excepción - obras científicas, técnicas, artísticas, o restauración de monumentos históricos</w:t>
            </w:r>
          </w:p>
        </w:tc>
        <w:tc>
          <w:tcPr>
            <w:tcW w:w="4093" w:type="dxa"/>
            <w:tcBorders>
              <w:top w:val="single" w:sz="1" w:space="0" w:color="000000"/>
              <w:left w:val="single" w:sz="1" w:space="0" w:color="000000"/>
              <w:bottom w:val="single" w:sz="1" w:space="0" w:color="000000"/>
              <w:right w:val="single" w:sz="1" w:space="0" w:color="000000"/>
            </w:tcBorders>
            <w:vAlign w:val="center"/>
          </w:tcPr>
          <w:p w14:paraId="15E3FCF7"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$ 108,923,175.00</w:t>
            </w:r>
          </w:p>
        </w:tc>
      </w:tr>
      <w:tr w:rsidR="00432BCF" w:rsidRPr="00756F41" w14:paraId="3EBEB212" w14:textId="77777777" w:rsidTr="00DF01FF">
        <w:trPr>
          <w:trHeight w:val="433"/>
        </w:trPr>
        <w:tc>
          <w:tcPr>
            <w:tcW w:w="4091" w:type="dxa"/>
            <w:tcBorders>
              <w:top w:val="single" w:sz="1" w:space="0" w:color="000000"/>
              <w:left w:val="single" w:sz="1" w:space="0" w:color="000000"/>
              <w:bottom w:val="single" w:sz="1" w:space="0" w:color="000000"/>
              <w:right w:val="single" w:sz="1" w:space="0" w:color="000000"/>
            </w:tcBorders>
          </w:tcPr>
          <w:p w14:paraId="64ED5C4F"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Excepción - proveedor único</w:t>
            </w:r>
          </w:p>
        </w:tc>
        <w:tc>
          <w:tcPr>
            <w:tcW w:w="4093" w:type="dxa"/>
            <w:tcBorders>
              <w:top w:val="single" w:sz="1" w:space="0" w:color="000000"/>
              <w:left w:val="single" w:sz="1" w:space="0" w:color="000000"/>
              <w:bottom w:val="single" w:sz="1" w:space="0" w:color="000000"/>
              <w:right w:val="single" w:sz="1" w:space="0" w:color="000000"/>
            </w:tcBorders>
          </w:tcPr>
          <w:p w14:paraId="00FB2B74"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$5,524,753.94</w:t>
            </w:r>
          </w:p>
        </w:tc>
      </w:tr>
      <w:tr w:rsidR="00432BCF" w:rsidRPr="00756F41" w14:paraId="64D15801" w14:textId="77777777" w:rsidTr="00DF01FF">
        <w:trPr>
          <w:trHeight w:val="1286"/>
        </w:trPr>
        <w:tc>
          <w:tcPr>
            <w:tcW w:w="4091" w:type="dxa"/>
            <w:tcBorders>
              <w:top w:val="single" w:sz="1" w:space="0" w:color="000000"/>
              <w:left w:val="single" w:sz="1" w:space="0" w:color="000000"/>
              <w:bottom w:val="single" w:sz="1" w:space="0" w:color="000000"/>
              <w:right w:val="single" w:sz="1" w:space="0" w:color="000000"/>
            </w:tcBorders>
          </w:tcPr>
          <w:p w14:paraId="34C22778"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Excepción - rescisión de contratos cuya terminación no exceda el 40 % del monto total del proyecto, obra o servicio</w:t>
            </w:r>
          </w:p>
        </w:tc>
        <w:tc>
          <w:tcPr>
            <w:tcW w:w="4093" w:type="dxa"/>
            <w:tcBorders>
              <w:top w:val="single" w:sz="1" w:space="0" w:color="000000"/>
              <w:left w:val="single" w:sz="1" w:space="0" w:color="000000"/>
              <w:bottom w:val="single" w:sz="1" w:space="0" w:color="000000"/>
              <w:right w:val="single" w:sz="1" w:space="0" w:color="000000"/>
            </w:tcBorders>
            <w:vAlign w:val="center"/>
          </w:tcPr>
          <w:p w14:paraId="1770FE1D" w14:textId="77777777" w:rsidR="00432BCF" w:rsidRPr="00D5151E" w:rsidRDefault="00432BCF" w:rsidP="00DF01FF">
            <w:pPr>
              <w:rPr>
                <w:color w:val="595959" w:themeColor="text1" w:themeTint="A6"/>
                <w:spacing w:val="0"/>
                <w:lang w:val="es-DO" w:eastAsia="es-DO"/>
              </w:rPr>
            </w:pPr>
            <w:r w:rsidRPr="00D5151E">
              <w:rPr>
                <w:color w:val="595959" w:themeColor="text1" w:themeTint="A6"/>
                <w:spacing w:val="0"/>
                <w:lang w:val="es-DO" w:eastAsia="es-DO"/>
              </w:rPr>
              <w:t>N/A</w:t>
            </w:r>
          </w:p>
        </w:tc>
      </w:tr>
    </w:tbl>
    <w:p w14:paraId="1AA83DE2" w14:textId="3C5F7BAB" w:rsidR="00432BCF" w:rsidRPr="00432BCF" w:rsidRDefault="00432BCF" w:rsidP="00432BCF">
      <w:pPr>
        <w:ind w:left="1530"/>
        <w:rPr>
          <w:lang w:val="es-DO"/>
        </w:rPr>
      </w:pPr>
      <w:r w:rsidRPr="00432BCF">
        <w:rPr>
          <w:i/>
          <w:iCs/>
          <w:lang w:val="es-DO"/>
        </w:rPr>
        <w:t xml:space="preserve">Fuente: Ministerio de </w:t>
      </w:r>
      <w:r w:rsidR="00BA1410">
        <w:rPr>
          <w:i/>
          <w:iCs/>
          <w:lang w:val="es-DO"/>
        </w:rPr>
        <w:t>la Presidencia</w:t>
      </w:r>
    </w:p>
    <w:p w14:paraId="07A4CCE5" w14:textId="77777777" w:rsidR="00654482" w:rsidRPr="002C7C59" w:rsidRDefault="00654482" w:rsidP="00432BCF">
      <w:pPr>
        <w:tabs>
          <w:tab w:val="left" w:pos="450"/>
        </w:tabs>
        <w:spacing w:line="360" w:lineRule="auto"/>
        <w:ind w:left="1530"/>
        <w:jc w:val="both"/>
        <w:rPr>
          <w:rFonts w:eastAsia="Calibri"/>
          <w:noProof/>
          <w:color w:val="4C4747"/>
          <w:lang w:val="es-DO"/>
        </w:rPr>
      </w:pPr>
    </w:p>
    <w:sectPr w:rsidR="00654482" w:rsidRPr="002C7C59" w:rsidSect="002D2ED4">
      <w:pgSz w:w="12240" w:h="15840"/>
      <w:pgMar w:top="1440" w:right="2160" w:bottom="1440" w:left="63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Leidy Martinez" w:date="2024-12-12T15:21:00Z" w:initials="LM">
    <w:p w14:paraId="51D31BAC" w14:textId="77777777" w:rsidR="007F1A93" w:rsidRPr="003F5D78" w:rsidRDefault="007F1A93" w:rsidP="007F1A93">
      <w:pPr>
        <w:pStyle w:val="CommentText"/>
      </w:pPr>
      <w:r>
        <w:rPr>
          <w:rStyle w:val="CommentReference"/>
        </w:rPr>
        <w:annotationRef/>
      </w:r>
      <w:r w:rsidRPr="003F5D78">
        <w:t>Validar si esta seccion va</w:t>
      </w:r>
    </w:p>
  </w:comment>
  <w:comment w:id="79" w:author="Jose Garcia" w:date="2025-11-27T17:35:00Z" w:initials="JG">
    <w:p w14:paraId="483DA9A4" w14:textId="77777777" w:rsidR="005D0277" w:rsidRDefault="005D0277" w:rsidP="005D0277">
      <w:pPr>
        <w:pStyle w:val="CommentText"/>
      </w:pPr>
      <w:r>
        <w:rPr>
          <w:rStyle w:val="CommentReference"/>
        </w:rPr>
        <w:annotationRef/>
      </w:r>
      <w:r>
        <w:t>Este proceso ha sido suspendido, hasta conciliar términos con ‘’stakeholders’’</w:t>
      </w:r>
    </w:p>
  </w:comment>
  <w:comment w:id="80" w:author="Jose Garcia" w:date="2025-11-28T11:38:00Z" w:initials="JG">
    <w:p w14:paraId="00A1D87E" w14:textId="77777777" w:rsidR="005D0277" w:rsidRDefault="005D0277" w:rsidP="005D0277">
      <w:pPr>
        <w:pStyle w:val="CommentText"/>
      </w:pPr>
      <w:r>
        <w:rPr>
          <w:rStyle w:val="CommentReference"/>
        </w:rPr>
        <w:annotationRef/>
      </w:r>
      <w:r>
        <w:t xml:space="preserve">Cambio de metodología de levantamiento de datos </w:t>
      </w:r>
    </w:p>
  </w:comment>
  <w:comment w:id="145" w:author="Winifer Romero" w:date="2025-12-09T15:00:00Z" w:initials="WR">
    <w:p w14:paraId="1C7BB63C" w14:textId="77777777" w:rsidR="00720F31" w:rsidRDefault="00720F31" w:rsidP="0021707C">
      <w:pPr>
        <w:pStyle w:val="CommentText"/>
      </w:pPr>
      <w:r>
        <w:rPr>
          <w:rStyle w:val="CommentReference"/>
        </w:rPr>
        <w:annotationRef/>
      </w:r>
      <w:r>
        <w:t>En esta columna (Resultados) puse lo obtenido en el T4, y en la columna porcentaje de avance puse el promedio de los 4 trimestres.</w:t>
      </w:r>
    </w:p>
  </w:comment>
  <w:comment w:id="146" w:author="Winifer Romero" w:date="2025-12-09T15:38:00Z" w:initials="WR">
    <w:p w14:paraId="510AE620" w14:textId="77777777" w:rsidR="00720F31" w:rsidRDefault="00720F31" w:rsidP="0021707C">
      <w:pPr>
        <w:pStyle w:val="CommentText"/>
      </w:pPr>
      <w:r>
        <w:rPr>
          <w:rStyle w:val="CommentReference"/>
        </w:rPr>
        <w:annotationRef/>
      </w:r>
      <w:r>
        <w:t xml:space="preserve">En </w:t>
      </w:r>
      <w:r>
        <w:t>excel se visualiza que algunos productos inician enero y culminan en febrero. Puse trimestrales o semestrales en estos casos, pero por favor revisa que est</w:t>
      </w:r>
      <w:r>
        <w:rPr>
          <w:color w:val="595959"/>
        </w:rPr>
        <w:t>é correcta la frecuencia para que se modifique las que sean necesarias.</w:t>
      </w:r>
    </w:p>
  </w:comment>
  <w:comment w:id="147" w:author="Winifer Romero" w:date="2025-12-11T09:05:00Z" w:initials="WR">
    <w:p w14:paraId="2A2B3AA9" w14:textId="77777777" w:rsidR="00720F31" w:rsidRDefault="00720F31" w:rsidP="0021707C">
      <w:pPr>
        <w:pStyle w:val="CommentText"/>
      </w:pPr>
      <w:r>
        <w:rPr>
          <w:rStyle w:val="CommentReference"/>
        </w:rPr>
        <w:annotationRef/>
      </w:r>
      <w:r>
        <w:t>En la direcci</w:t>
      </w:r>
      <w:r>
        <w:rPr>
          <w:color w:val="595959"/>
        </w:rPr>
        <w:t>ón de protocolo no pusieron el medio de verificación.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D31BAC" w15:done="1"/>
  <w15:commentEx w15:paraId="483DA9A4" w15:done="1"/>
  <w15:commentEx w15:paraId="00A1D87E" w15:done="1"/>
  <w15:commentEx w15:paraId="1C7BB63C" w15:done="1"/>
  <w15:commentEx w15:paraId="510AE620" w15:done="1"/>
  <w15:commentEx w15:paraId="2A2B3AA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2077508" w16cex:dateUtc="2024-12-12T19:21:00Z"/>
  <w16cex:commentExtensible w16cex:durableId="6EBF9673" w16cex:dateUtc="2025-11-27T21:35:00Z"/>
  <w16cex:commentExtensible w16cex:durableId="7F9B47EE" w16cex:dateUtc="2025-11-28T15:38:00Z"/>
  <w16cex:commentExtensible w16cex:durableId="1CE4C1A6" w16cex:dateUtc="2025-12-09T19:00:00Z"/>
  <w16cex:commentExtensible w16cex:durableId="5BDBFB58" w16cex:dateUtc="2025-12-09T19:38:00Z"/>
  <w16cex:commentExtensible w16cex:durableId="625ACECB" w16cex:dateUtc="2025-12-11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D31BAC" w16cid:durableId="52077508"/>
  <w16cid:commentId w16cid:paraId="483DA9A4" w16cid:durableId="6EBF9673"/>
  <w16cid:commentId w16cid:paraId="00A1D87E" w16cid:durableId="7F9B47EE"/>
  <w16cid:commentId w16cid:paraId="1C7BB63C" w16cid:durableId="1CE4C1A6"/>
  <w16cid:commentId w16cid:paraId="510AE620" w16cid:durableId="5BDBFB58"/>
  <w16cid:commentId w16cid:paraId="2A2B3AA9" w16cid:durableId="625ACE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25510" w14:textId="77777777" w:rsidR="000753D2" w:rsidRDefault="000753D2" w:rsidP="00E84651">
      <w:pPr>
        <w:spacing w:after="0" w:line="240" w:lineRule="auto"/>
      </w:pPr>
      <w:r>
        <w:separator/>
      </w:r>
    </w:p>
  </w:endnote>
  <w:endnote w:type="continuationSeparator" w:id="0">
    <w:p w14:paraId="5B36CE53" w14:textId="77777777" w:rsidR="000753D2" w:rsidRDefault="000753D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388636"/>
      <w:docPartObj>
        <w:docPartGallery w:val="Page Numbers (Bottom of Page)"/>
        <w:docPartUnique/>
      </w:docPartObj>
    </w:sdtPr>
    <w:sdtEndPr>
      <w:rPr>
        <w:noProof/>
      </w:rPr>
    </w:sdtEndPr>
    <w:sdtContent>
      <w:p w14:paraId="2AD97937" w14:textId="77777777" w:rsidR="007F1A93" w:rsidRDefault="007F1A93" w:rsidP="0021106F">
        <w:pPr>
          <w:pStyle w:val="Footer"/>
          <w:jc w:val="center"/>
        </w:pPr>
      </w:p>
      <w:p w14:paraId="740C03C0" w14:textId="77777777" w:rsidR="007F1A93" w:rsidRDefault="007F1A93" w:rsidP="0021106F">
        <w:pPr>
          <w:pStyle w:val="Footer"/>
          <w:jc w:val="center"/>
          <w:rPr>
            <w:color w:val="7F7F7F" w:themeColor="text1" w:themeTint="80"/>
          </w:rPr>
        </w:pPr>
      </w:p>
      <w:p w14:paraId="0BF8D59D" w14:textId="77777777" w:rsidR="007F1A93" w:rsidRDefault="007F1A93" w:rsidP="00FB7EE3">
        <w:pPr>
          <w:pStyle w:val="Footer"/>
          <w:jc w:val="center"/>
        </w:pPr>
        <w:r>
          <w:rPr>
            <w:noProof/>
          </w:rPr>
          <w:drawing>
            <wp:anchor distT="0" distB="0" distL="114300" distR="114300" simplePos="0" relativeHeight="251664384" behindDoc="0" locked="0" layoutInCell="1" allowOverlap="1" wp14:anchorId="5E748309" wp14:editId="36D3E263">
              <wp:simplePos x="0" y="0"/>
              <wp:positionH relativeFrom="margin">
                <wp:align>center</wp:align>
              </wp:positionH>
              <wp:positionV relativeFrom="paragraph">
                <wp:posOffset>-502920</wp:posOffset>
              </wp:positionV>
              <wp:extent cx="2995930" cy="408305"/>
              <wp:effectExtent l="0" t="0" r="0" b="0"/>
              <wp:wrapSquare wrapText="bothSides"/>
              <wp:docPr id="46" name="Picture 4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8800375" w:rsidR="0021106F" w:rsidRDefault="007C6071" w:rsidP="0021106F">
        <w:pPr>
          <w:pStyle w:val="Footer"/>
          <w:jc w:val="center"/>
        </w:pPr>
        <w:r>
          <w:rPr>
            <w:noProof/>
            <w:lang w:val="es-DO" w:eastAsia="es-DO"/>
          </w:rPr>
          <w:drawing>
            <wp:anchor distT="0" distB="0" distL="114300" distR="114300" simplePos="0" relativeHeight="251658240" behindDoc="0" locked="0" layoutInCell="1" allowOverlap="1" wp14:anchorId="54F82055" wp14:editId="149D35EC">
              <wp:simplePos x="0" y="0"/>
              <wp:positionH relativeFrom="margin">
                <wp:align>center</wp:align>
              </wp:positionH>
              <wp:positionV relativeFrom="paragraph">
                <wp:posOffset>-74295</wp:posOffset>
              </wp:positionV>
              <wp:extent cx="2995930" cy="408305"/>
              <wp:effectExtent l="0" t="0" r="0" b="0"/>
              <wp:wrapSquare wrapText="bothSides"/>
              <wp:docPr id="52" name="Picture 5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787E2B6D" w:rsidR="007C6071" w:rsidRDefault="007C6071" w:rsidP="0021106F">
        <w:pPr>
          <w:pStyle w:val="Footer"/>
          <w:jc w:val="center"/>
          <w:rPr>
            <w:color w:val="7F7F7F" w:themeColor="text1" w:themeTint="80"/>
          </w:rPr>
        </w:pPr>
      </w:p>
      <w:p w14:paraId="2B095E5E" w14:textId="5F82400D"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13DAD" w14:textId="77777777" w:rsidR="000753D2" w:rsidRDefault="000753D2" w:rsidP="00E84651">
      <w:pPr>
        <w:spacing w:after="0" w:line="240" w:lineRule="auto"/>
      </w:pPr>
      <w:r>
        <w:separator/>
      </w:r>
    </w:p>
  </w:footnote>
  <w:footnote w:type="continuationSeparator" w:id="0">
    <w:p w14:paraId="37BA94C2" w14:textId="77777777" w:rsidR="000753D2" w:rsidRDefault="000753D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Pr="00FA5AAB" w:rsidRDefault="00B56CA4" w:rsidP="00FA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E46"/>
    <w:multiLevelType w:val="hybridMultilevel"/>
    <w:tmpl w:val="22241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B93263"/>
    <w:multiLevelType w:val="hybridMultilevel"/>
    <w:tmpl w:val="64DA6E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D24DB8"/>
    <w:multiLevelType w:val="hybridMultilevel"/>
    <w:tmpl w:val="C5FE25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4B36F7B"/>
    <w:multiLevelType w:val="hybridMultilevel"/>
    <w:tmpl w:val="256A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DB75A4"/>
    <w:multiLevelType w:val="multilevel"/>
    <w:tmpl w:val="A9801F46"/>
    <w:lvl w:ilvl="0">
      <w:start w:val="1"/>
      <w:numFmt w:val="bullet"/>
      <w:lvlText w:val=""/>
      <w:lvlJc w:val="left"/>
      <w:pPr>
        <w:ind w:left="720" w:hanging="360"/>
      </w:pPr>
      <w:rPr>
        <w:rFonts w:ascii="Symbol" w:hAnsi="Symbol"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5914A44"/>
    <w:multiLevelType w:val="hybridMultilevel"/>
    <w:tmpl w:val="1B12F39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6D2DF3"/>
    <w:multiLevelType w:val="hybridMultilevel"/>
    <w:tmpl w:val="E506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353543"/>
    <w:multiLevelType w:val="hybridMultilevel"/>
    <w:tmpl w:val="1474EC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7CA491C"/>
    <w:multiLevelType w:val="hybridMultilevel"/>
    <w:tmpl w:val="1644AC82"/>
    <w:lvl w:ilvl="0" w:tplc="A59E0BE0">
      <w:start w:val="1"/>
      <w:numFmt w:val="bullet"/>
      <w:lvlText w:val=""/>
      <w:lvlJc w:val="left"/>
      <w:pPr>
        <w:ind w:left="644" w:hanging="360"/>
      </w:pPr>
      <w:rPr>
        <w:rFonts w:ascii="Symbol" w:hAnsi="Symbol" w:hint="default"/>
      </w:rPr>
    </w:lvl>
    <w:lvl w:ilvl="1" w:tplc="07185DFE">
      <w:start w:val="1"/>
      <w:numFmt w:val="bullet"/>
      <w:lvlText w:val="o"/>
      <w:lvlJc w:val="left"/>
      <w:pPr>
        <w:ind w:left="1364" w:hanging="360"/>
      </w:pPr>
      <w:rPr>
        <w:rFonts w:ascii="Courier New" w:hAnsi="Courier New" w:hint="default"/>
      </w:rPr>
    </w:lvl>
    <w:lvl w:ilvl="2" w:tplc="6A68B804">
      <w:start w:val="1"/>
      <w:numFmt w:val="bullet"/>
      <w:lvlText w:val=""/>
      <w:lvlJc w:val="left"/>
      <w:pPr>
        <w:ind w:left="2084" w:hanging="360"/>
      </w:pPr>
      <w:rPr>
        <w:rFonts w:ascii="Wingdings" w:hAnsi="Wingdings" w:hint="default"/>
      </w:rPr>
    </w:lvl>
    <w:lvl w:ilvl="3" w:tplc="F8520342">
      <w:start w:val="1"/>
      <w:numFmt w:val="bullet"/>
      <w:lvlText w:val=""/>
      <w:lvlJc w:val="left"/>
      <w:pPr>
        <w:ind w:left="2804" w:hanging="360"/>
      </w:pPr>
      <w:rPr>
        <w:rFonts w:ascii="Symbol" w:hAnsi="Symbol" w:hint="default"/>
      </w:rPr>
    </w:lvl>
    <w:lvl w:ilvl="4" w:tplc="694E57BE">
      <w:start w:val="1"/>
      <w:numFmt w:val="bullet"/>
      <w:lvlText w:val="o"/>
      <w:lvlJc w:val="left"/>
      <w:pPr>
        <w:ind w:left="3524" w:hanging="360"/>
      </w:pPr>
      <w:rPr>
        <w:rFonts w:ascii="Courier New" w:hAnsi="Courier New" w:hint="default"/>
      </w:rPr>
    </w:lvl>
    <w:lvl w:ilvl="5" w:tplc="696CECB6">
      <w:start w:val="1"/>
      <w:numFmt w:val="bullet"/>
      <w:lvlText w:val=""/>
      <w:lvlJc w:val="left"/>
      <w:pPr>
        <w:ind w:left="4244" w:hanging="360"/>
      </w:pPr>
      <w:rPr>
        <w:rFonts w:ascii="Wingdings" w:hAnsi="Wingdings" w:hint="default"/>
      </w:rPr>
    </w:lvl>
    <w:lvl w:ilvl="6" w:tplc="B4E2C5E8">
      <w:start w:val="1"/>
      <w:numFmt w:val="bullet"/>
      <w:lvlText w:val=""/>
      <w:lvlJc w:val="left"/>
      <w:pPr>
        <w:ind w:left="4964" w:hanging="360"/>
      </w:pPr>
      <w:rPr>
        <w:rFonts w:ascii="Symbol" w:hAnsi="Symbol" w:hint="default"/>
      </w:rPr>
    </w:lvl>
    <w:lvl w:ilvl="7" w:tplc="D5D4DDA8">
      <w:start w:val="1"/>
      <w:numFmt w:val="bullet"/>
      <w:lvlText w:val="o"/>
      <w:lvlJc w:val="left"/>
      <w:pPr>
        <w:ind w:left="5684" w:hanging="360"/>
      </w:pPr>
      <w:rPr>
        <w:rFonts w:ascii="Courier New" w:hAnsi="Courier New" w:hint="default"/>
      </w:rPr>
    </w:lvl>
    <w:lvl w:ilvl="8" w:tplc="3752C7E2">
      <w:start w:val="1"/>
      <w:numFmt w:val="bullet"/>
      <w:lvlText w:val=""/>
      <w:lvlJc w:val="left"/>
      <w:pPr>
        <w:ind w:left="6404" w:hanging="360"/>
      </w:pPr>
      <w:rPr>
        <w:rFonts w:ascii="Wingdings" w:hAnsi="Wingdings" w:hint="default"/>
      </w:rPr>
    </w:lvl>
  </w:abstractNum>
  <w:abstractNum w:abstractNumId="9" w15:restartNumberingAfterBreak="0">
    <w:nsid w:val="0824726D"/>
    <w:multiLevelType w:val="multilevel"/>
    <w:tmpl w:val="1484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F00511"/>
    <w:multiLevelType w:val="hybridMultilevel"/>
    <w:tmpl w:val="02B2C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990081A"/>
    <w:multiLevelType w:val="hybridMultilevel"/>
    <w:tmpl w:val="193695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0BE920CD"/>
    <w:multiLevelType w:val="multilevel"/>
    <w:tmpl w:val="34F85F9E"/>
    <w:lvl w:ilvl="0">
      <w:start w:val="2"/>
      <w:numFmt w:val="decimal"/>
      <w:lvlText w:val="%1"/>
      <w:lvlJc w:val="left"/>
      <w:pPr>
        <w:ind w:left="372" w:hanging="372"/>
      </w:pPr>
      <w:rPr>
        <w:rFonts w:hint="default"/>
      </w:rPr>
    </w:lvl>
    <w:lvl w:ilvl="1">
      <w:start w:val="1"/>
      <w:numFmt w:val="decimal"/>
      <w:lvlText w:val="%1.%2"/>
      <w:lvlJc w:val="left"/>
      <w:pPr>
        <w:ind w:left="732" w:hanging="372"/>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E7605A6"/>
    <w:multiLevelType w:val="hybridMultilevel"/>
    <w:tmpl w:val="D8061E5A"/>
    <w:lvl w:ilvl="0" w:tplc="04090017">
      <w:start w:val="1"/>
      <w:numFmt w:val="lowerLetter"/>
      <w:lvlText w:val="%1)"/>
      <w:lvlJc w:val="left"/>
      <w:pPr>
        <w:ind w:left="720" w:hanging="360"/>
      </w:pPr>
      <w:rPr>
        <w:rFont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0FAE3AA6"/>
    <w:multiLevelType w:val="hybridMultilevel"/>
    <w:tmpl w:val="51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2C11E5"/>
    <w:multiLevelType w:val="multilevel"/>
    <w:tmpl w:val="1B529A42"/>
    <w:lvl w:ilvl="0">
      <w:start w:val="4"/>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24756DE"/>
    <w:multiLevelType w:val="hybridMultilevel"/>
    <w:tmpl w:val="B504CB20"/>
    <w:lvl w:ilvl="0" w:tplc="2C60DA58">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7431BA7"/>
    <w:multiLevelType w:val="hybridMultilevel"/>
    <w:tmpl w:val="FA5AE1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18CB5792"/>
    <w:multiLevelType w:val="hybridMultilevel"/>
    <w:tmpl w:val="6E3A1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A9800FF"/>
    <w:multiLevelType w:val="hybridMultilevel"/>
    <w:tmpl w:val="2E10A91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1D09105A"/>
    <w:multiLevelType w:val="hybridMultilevel"/>
    <w:tmpl w:val="1856D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E1A01B1"/>
    <w:multiLevelType w:val="hybridMultilevel"/>
    <w:tmpl w:val="F34069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1E51316D"/>
    <w:multiLevelType w:val="hybridMultilevel"/>
    <w:tmpl w:val="A5681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EFC5BAF"/>
    <w:multiLevelType w:val="hybridMultilevel"/>
    <w:tmpl w:val="18B07FC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1FAD73C0"/>
    <w:multiLevelType w:val="hybridMultilevel"/>
    <w:tmpl w:val="C8D2B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FC044A1"/>
    <w:multiLevelType w:val="hybridMultilevel"/>
    <w:tmpl w:val="329E61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08B399F"/>
    <w:multiLevelType w:val="multilevel"/>
    <w:tmpl w:val="B6D4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9245F8"/>
    <w:multiLevelType w:val="hybridMultilevel"/>
    <w:tmpl w:val="0E34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240BFA"/>
    <w:multiLevelType w:val="multilevel"/>
    <w:tmpl w:val="664E4A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14203F"/>
    <w:multiLevelType w:val="hybridMultilevel"/>
    <w:tmpl w:val="A7AE5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2BC4AA6"/>
    <w:multiLevelType w:val="hybridMultilevel"/>
    <w:tmpl w:val="1A72E4B2"/>
    <w:lvl w:ilvl="0" w:tplc="55CCC57A">
      <w:start w:val="1"/>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247A03F3"/>
    <w:multiLevelType w:val="multilevel"/>
    <w:tmpl w:val="5ACC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F6381F"/>
    <w:multiLevelType w:val="hybridMultilevel"/>
    <w:tmpl w:val="43E28C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26E26D21"/>
    <w:multiLevelType w:val="hybridMultilevel"/>
    <w:tmpl w:val="08F0437C"/>
    <w:lvl w:ilvl="0" w:tplc="39F24D1A">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26E85D68"/>
    <w:multiLevelType w:val="hybridMultilevel"/>
    <w:tmpl w:val="4778552A"/>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562838"/>
    <w:multiLevelType w:val="multilevel"/>
    <w:tmpl w:val="3160A28A"/>
    <w:lvl w:ilvl="0">
      <w:start w:val="1"/>
      <w:numFmt w:val="upperRoman"/>
      <w:lvlText w:val="%1."/>
      <w:lvlJc w:val="right"/>
      <w:pPr>
        <w:ind w:left="600" w:hanging="600"/>
      </w:pPr>
      <w:rPr>
        <w:rFonts w:hint="default"/>
        <w:lang w:val="es-419"/>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6" w15:restartNumberingAfterBreak="0">
    <w:nsid w:val="28D1174F"/>
    <w:multiLevelType w:val="hybridMultilevel"/>
    <w:tmpl w:val="CD1C6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130592"/>
    <w:multiLevelType w:val="hybridMultilevel"/>
    <w:tmpl w:val="A73E7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CD3541"/>
    <w:multiLevelType w:val="hybridMultilevel"/>
    <w:tmpl w:val="0C242B1A"/>
    <w:lvl w:ilvl="0" w:tplc="1C0A0001">
      <w:start w:val="1"/>
      <w:numFmt w:val="bullet"/>
      <w:lvlText w:val=""/>
      <w:lvlJc w:val="left"/>
      <w:pPr>
        <w:ind w:left="800" w:hanging="360"/>
      </w:pPr>
      <w:rPr>
        <w:rFonts w:ascii="Symbol" w:hAnsi="Symbol" w:hint="default"/>
      </w:rPr>
    </w:lvl>
    <w:lvl w:ilvl="1" w:tplc="1C0A0003" w:tentative="1">
      <w:start w:val="1"/>
      <w:numFmt w:val="bullet"/>
      <w:lvlText w:val="o"/>
      <w:lvlJc w:val="left"/>
      <w:pPr>
        <w:ind w:left="1520" w:hanging="360"/>
      </w:pPr>
      <w:rPr>
        <w:rFonts w:ascii="Courier New" w:hAnsi="Courier New" w:cs="Courier New" w:hint="default"/>
      </w:rPr>
    </w:lvl>
    <w:lvl w:ilvl="2" w:tplc="1C0A0005" w:tentative="1">
      <w:start w:val="1"/>
      <w:numFmt w:val="bullet"/>
      <w:lvlText w:val=""/>
      <w:lvlJc w:val="left"/>
      <w:pPr>
        <w:ind w:left="2240" w:hanging="360"/>
      </w:pPr>
      <w:rPr>
        <w:rFonts w:ascii="Wingdings" w:hAnsi="Wingdings" w:hint="default"/>
      </w:rPr>
    </w:lvl>
    <w:lvl w:ilvl="3" w:tplc="1C0A0001" w:tentative="1">
      <w:start w:val="1"/>
      <w:numFmt w:val="bullet"/>
      <w:lvlText w:val=""/>
      <w:lvlJc w:val="left"/>
      <w:pPr>
        <w:ind w:left="2960" w:hanging="360"/>
      </w:pPr>
      <w:rPr>
        <w:rFonts w:ascii="Symbol" w:hAnsi="Symbol" w:hint="default"/>
      </w:rPr>
    </w:lvl>
    <w:lvl w:ilvl="4" w:tplc="1C0A0003" w:tentative="1">
      <w:start w:val="1"/>
      <w:numFmt w:val="bullet"/>
      <w:lvlText w:val="o"/>
      <w:lvlJc w:val="left"/>
      <w:pPr>
        <w:ind w:left="3680" w:hanging="360"/>
      </w:pPr>
      <w:rPr>
        <w:rFonts w:ascii="Courier New" w:hAnsi="Courier New" w:cs="Courier New" w:hint="default"/>
      </w:rPr>
    </w:lvl>
    <w:lvl w:ilvl="5" w:tplc="1C0A0005" w:tentative="1">
      <w:start w:val="1"/>
      <w:numFmt w:val="bullet"/>
      <w:lvlText w:val=""/>
      <w:lvlJc w:val="left"/>
      <w:pPr>
        <w:ind w:left="4400" w:hanging="360"/>
      </w:pPr>
      <w:rPr>
        <w:rFonts w:ascii="Wingdings" w:hAnsi="Wingdings" w:hint="default"/>
      </w:rPr>
    </w:lvl>
    <w:lvl w:ilvl="6" w:tplc="1C0A0001" w:tentative="1">
      <w:start w:val="1"/>
      <w:numFmt w:val="bullet"/>
      <w:lvlText w:val=""/>
      <w:lvlJc w:val="left"/>
      <w:pPr>
        <w:ind w:left="5120" w:hanging="360"/>
      </w:pPr>
      <w:rPr>
        <w:rFonts w:ascii="Symbol" w:hAnsi="Symbol" w:hint="default"/>
      </w:rPr>
    </w:lvl>
    <w:lvl w:ilvl="7" w:tplc="1C0A0003" w:tentative="1">
      <w:start w:val="1"/>
      <w:numFmt w:val="bullet"/>
      <w:lvlText w:val="o"/>
      <w:lvlJc w:val="left"/>
      <w:pPr>
        <w:ind w:left="5840" w:hanging="360"/>
      </w:pPr>
      <w:rPr>
        <w:rFonts w:ascii="Courier New" w:hAnsi="Courier New" w:cs="Courier New" w:hint="default"/>
      </w:rPr>
    </w:lvl>
    <w:lvl w:ilvl="8" w:tplc="1C0A0005" w:tentative="1">
      <w:start w:val="1"/>
      <w:numFmt w:val="bullet"/>
      <w:lvlText w:val=""/>
      <w:lvlJc w:val="left"/>
      <w:pPr>
        <w:ind w:left="6560" w:hanging="360"/>
      </w:pPr>
      <w:rPr>
        <w:rFonts w:ascii="Wingdings" w:hAnsi="Wingdings" w:hint="default"/>
      </w:rPr>
    </w:lvl>
  </w:abstractNum>
  <w:abstractNum w:abstractNumId="39" w15:restartNumberingAfterBreak="0">
    <w:nsid w:val="2B440BB4"/>
    <w:multiLevelType w:val="multilevel"/>
    <w:tmpl w:val="5EE4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502089"/>
    <w:multiLevelType w:val="multilevel"/>
    <w:tmpl w:val="625A7B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2EBC1894"/>
    <w:multiLevelType w:val="hybridMultilevel"/>
    <w:tmpl w:val="3B78D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2F911058"/>
    <w:multiLevelType w:val="multilevel"/>
    <w:tmpl w:val="C2E67CA6"/>
    <w:lvl w:ilvl="0">
      <w:start w:val="1"/>
      <w:numFmt w:val="upperRoman"/>
      <w:lvlText w:val="%1."/>
      <w:lvlJc w:val="left"/>
      <w:pPr>
        <w:ind w:left="1080" w:hanging="720"/>
      </w:pPr>
      <w:rPr>
        <w:rFonts w:hint="default"/>
      </w:rPr>
    </w:lvl>
    <w:lvl w:ilvl="1">
      <w:start w:val="1"/>
      <w:numFmt w:val="decimal"/>
      <w:isLgl/>
      <w:lvlText w:val="%1.%2"/>
      <w:lvlJc w:val="left"/>
      <w:pPr>
        <w:ind w:left="732" w:hanging="372"/>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30F85DA5"/>
    <w:multiLevelType w:val="hybridMultilevel"/>
    <w:tmpl w:val="AA8AE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13A3F10"/>
    <w:multiLevelType w:val="hybridMultilevel"/>
    <w:tmpl w:val="F814A816"/>
    <w:lvl w:ilvl="0" w:tplc="0409000F">
      <w:start w:val="1"/>
      <w:numFmt w:val="decimal"/>
      <w:lvlText w:val="%1."/>
      <w:lvlJc w:val="left"/>
      <w:pPr>
        <w:ind w:left="720" w:hanging="360"/>
      </w:pPr>
      <w:rPr>
        <w:rFonts w:hint="default"/>
      </w:rPr>
    </w:lvl>
    <w:lvl w:ilvl="1" w:tplc="04090001">
      <w:start w:val="1"/>
      <w:numFmt w:val="bullet"/>
      <w:lvlText w:val=""/>
      <w:lvlJc w:val="left"/>
      <w:pPr>
        <w:ind w:left="1800" w:hanging="72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5D6E5A"/>
    <w:multiLevelType w:val="hybridMultilevel"/>
    <w:tmpl w:val="639A78F2"/>
    <w:lvl w:ilvl="0" w:tplc="0409000F">
      <w:start w:val="1"/>
      <w:numFmt w:val="decimal"/>
      <w:lvlText w:val="%1."/>
      <w:lvlJc w:val="left"/>
      <w:pPr>
        <w:ind w:left="720" w:hanging="360"/>
      </w:pPr>
      <w:rPr>
        <w:rFonts w:hint="default"/>
      </w:rPr>
    </w:lvl>
    <w:lvl w:ilvl="1" w:tplc="04090001">
      <w:start w:val="1"/>
      <w:numFmt w:val="bullet"/>
      <w:lvlText w:val=""/>
      <w:lvlJc w:val="left"/>
      <w:pPr>
        <w:ind w:left="1800" w:hanging="72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032508"/>
    <w:multiLevelType w:val="hybridMultilevel"/>
    <w:tmpl w:val="ADB463B0"/>
    <w:lvl w:ilvl="0" w:tplc="55CCC57A">
      <w:start w:val="1"/>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35385F85"/>
    <w:multiLevelType w:val="hybridMultilevel"/>
    <w:tmpl w:val="7876D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362565FF"/>
    <w:multiLevelType w:val="hybridMultilevel"/>
    <w:tmpl w:val="80CEC2EA"/>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9" w15:restartNumberingAfterBreak="0">
    <w:nsid w:val="37E63FF5"/>
    <w:multiLevelType w:val="hybridMultilevel"/>
    <w:tmpl w:val="09C8B1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394F4B39"/>
    <w:multiLevelType w:val="multilevel"/>
    <w:tmpl w:val="270C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6E2099"/>
    <w:multiLevelType w:val="hybridMultilevel"/>
    <w:tmpl w:val="069E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BAA2AB9"/>
    <w:multiLevelType w:val="hybridMultilevel"/>
    <w:tmpl w:val="6CAC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927242"/>
    <w:multiLevelType w:val="hybridMultilevel"/>
    <w:tmpl w:val="56B285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450368"/>
    <w:multiLevelType w:val="hybridMultilevel"/>
    <w:tmpl w:val="C9B6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307F0A"/>
    <w:multiLevelType w:val="hybridMultilevel"/>
    <w:tmpl w:val="F1B67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557028"/>
    <w:multiLevelType w:val="multilevel"/>
    <w:tmpl w:val="7A7EB432"/>
    <w:lvl w:ilvl="0">
      <w:start w:val="5"/>
      <w:numFmt w:val="upperRoman"/>
      <w:lvlText w:val="%1."/>
      <w:lvlJc w:val="left"/>
      <w:pPr>
        <w:ind w:left="1080" w:hanging="720"/>
      </w:pPr>
      <w:rPr>
        <w:rFonts w:hint="default"/>
      </w:rPr>
    </w:lvl>
    <w:lvl w:ilvl="1">
      <w:start w:val="1"/>
      <w:numFmt w:val="decimal"/>
      <w:isLgl/>
      <w:lvlText w:val="%1.%2"/>
      <w:lvlJc w:val="left"/>
      <w:pPr>
        <w:ind w:left="732" w:hanging="372"/>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46BD0327"/>
    <w:multiLevelType w:val="hybridMultilevel"/>
    <w:tmpl w:val="325C5EE8"/>
    <w:lvl w:ilvl="0" w:tplc="0409000F">
      <w:start w:val="1"/>
      <w:numFmt w:val="decimal"/>
      <w:lvlText w:val="%1."/>
      <w:lvlJc w:val="left"/>
      <w:pPr>
        <w:ind w:left="720" w:hanging="360"/>
      </w:pPr>
      <w:rPr>
        <w:rFonts w:hint="default"/>
      </w:rPr>
    </w:lvl>
    <w:lvl w:ilvl="1" w:tplc="4C34C558">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70018A2"/>
    <w:multiLevelType w:val="multilevel"/>
    <w:tmpl w:val="34F85F9E"/>
    <w:lvl w:ilvl="0">
      <w:start w:val="2"/>
      <w:numFmt w:val="decimal"/>
      <w:lvlText w:val="%1"/>
      <w:lvlJc w:val="left"/>
      <w:pPr>
        <w:ind w:left="372" w:hanging="372"/>
      </w:pPr>
      <w:rPr>
        <w:rFonts w:hint="default"/>
      </w:rPr>
    </w:lvl>
    <w:lvl w:ilvl="1">
      <w:start w:val="1"/>
      <w:numFmt w:val="decimal"/>
      <w:lvlText w:val="%1.%2"/>
      <w:lvlJc w:val="left"/>
      <w:pPr>
        <w:ind w:left="732" w:hanging="372"/>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 w15:restartNumberingAfterBreak="0">
    <w:nsid w:val="477C18D5"/>
    <w:multiLevelType w:val="hybridMultilevel"/>
    <w:tmpl w:val="9D3485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482E49EB"/>
    <w:multiLevelType w:val="hybridMultilevel"/>
    <w:tmpl w:val="25546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A515779"/>
    <w:multiLevelType w:val="hybridMultilevel"/>
    <w:tmpl w:val="0442A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4ADA4496"/>
    <w:multiLevelType w:val="hybridMultilevel"/>
    <w:tmpl w:val="E8267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B693434"/>
    <w:multiLevelType w:val="hybridMultilevel"/>
    <w:tmpl w:val="6E6468D4"/>
    <w:lvl w:ilvl="0" w:tplc="97867F26">
      <w:start w:val="15"/>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4" w15:restartNumberingAfterBreak="0">
    <w:nsid w:val="4B776996"/>
    <w:multiLevelType w:val="hybridMultilevel"/>
    <w:tmpl w:val="E1ECB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C8C6EFC"/>
    <w:multiLevelType w:val="hybridMultilevel"/>
    <w:tmpl w:val="02386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DD362C5"/>
    <w:multiLevelType w:val="hybridMultilevel"/>
    <w:tmpl w:val="FBB4D88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7" w15:restartNumberingAfterBreak="0">
    <w:nsid w:val="4FD30CC1"/>
    <w:multiLevelType w:val="multilevel"/>
    <w:tmpl w:val="D574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1D22F6C"/>
    <w:multiLevelType w:val="hybridMultilevel"/>
    <w:tmpl w:val="EF54F6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EF7509"/>
    <w:multiLevelType w:val="hybridMultilevel"/>
    <w:tmpl w:val="CEEA8CD0"/>
    <w:lvl w:ilvl="0" w:tplc="55CCC57A">
      <w:start w:val="1"/>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525D0F01"/>
    <w:multiLevelType w:val="hybridMultilevel"/>
    <w:tmpl w:val="81C4D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56C50C0E"/>
    <w:multiLevelType w:val="hybridMultilevel"/>
    <w:tmpl w:val="3CE82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9BA7084"/>
    <w:multiLevelType w:val="multilevel"/>
    <w:tmpl w:val="A2C031EC"/>
    <w:lvl w:ilvl="0">
      <w:start w:val="7"/>
      <w:numFmt w:val="decimal"/>
      <w:lvlText w:val="%1"/>
      <w:lvlJc w:val="left"/>
      <w:pPr>
        <w:ind w:left="372" w:hanging="372"/>
      </w:pPr>
      <w:rPr>
        <w:rFonts w:hint="default"/>
      </w:rPr>
    </w:lvl>
    <w:lvl w:ilvl="1">
      <w:start w:val="5"/>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5A105999"/>
    <w:multiLevelType w:val="multilevel"/>
    <w:tmpl w:val="1B529A42"/>
    <w:lvl w:ilvl="0">
      <w:start w:val="3"/>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5C5B5A43"/>
    <w:multiLevelType w:val="hybridMultilevel"/>
    <w:tmpl w:val="2E782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D05524D"/>
    <w:multiLevelType w:val="multilevel"/>
    <w:tmpl w:val="1A14CC44"/>
    <w:lvl w:ilvl="0">
      <w:start w:val="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6" w15:restartNumberingAfterBreak="0">
    <w:nsid w:val="5D1662CD"/>
    <w:multiLevelType w:val="multilevel"/>
    <w:tmpl w:val="2B2A44FC"/>
    <w:lvl w:ilvl="0">
      <w:start w:val="3"/>
      <w:numFmt w:val="decimal"/>
      <w:lvlText w:val="%1"/>
      <w:lvlJc w:val="left"/>
      <w:pPr>
        <w:ind w:left="372" w:hanging="372"/>
      </w:pPr>
      <w:rPr>
        <w:rFonts w:hint="default"/>
      </w:rPr>
    </w:lvl>
    <w:lvl w:ilvl="1">
      <w:start w:val="3"/>
      <w:numFmt w:val="decimal"/>
      <w:lvlText w:val="%1.%2"/>
      <w:lvlJc w:val="left"/>
      <w:pPr>
        <w:ind w:left="552" w:hanging="37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7" w15:restartNumberingAfterBreak="0">
    <w:nsid w:val="5F341112"/>
    <w:multiLevelType w:val="hybridMultilevel"/>
    <w:tmpl w:val="3A426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60142F0B"/>
    <w:multiLevelType w:val="hybridMultilevel"/>
    <w:tmpl w:val="DEA8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06306BA"/>
    <w:multiLevelType w:val="hybridMultilevel"/>
    <w:tmpl w:val="926A6112"/>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0AF7193"/>
    <w:multiLevelType w:val="hybridMultilevel"/>
    <w:tmpl w:val="E99A48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1" w15:restartNumberingAfterBreak="0">
    <w:nsid w:val="60BA7FE7"/>
    <w:multiLevelType w:val="hybridMultilevel"/>
    <w:tmpl w:val="136C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255259B"/>
    <w:multiLevelType w:val="hybridMultilevel"/>
    <w:tmpl w:val="D6D06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6304513F"/>
    <w:multiLevelType w:val="multilevel"/>
    <w:tmpl w:val="A9801F46"/>
    <w:lvl w:ilvl="0">
      <w:start w:val="1"/>
      <w:numFmt w:val="bullet"/>
      <w:lvlText w:val=""/>
      <w:lvlJc w:val="left"/>
      <w:pPr>
        <w:ind w:left="720" w:hanging="360"/>
      </w:pPr>
      <w:rPr>
        <w:rFonts w:ascii="Symbol" w:hAnsi="Symbol"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15:restartNumberingAfterBreak="0">
    <w:nsid w:val="65802A1D"/>
    <w:multiLevelType w:val="multilevel"/>
    <w:tmpl w:val="A9801F46"/>
    <w:lvl w:ilvl="0">
      <w:start w:val="1"/>
      <w:numFmt w:val="bullet"/>
      <w:lvlText w:val=""/>
      <w:lvlJc w:val="left"/>
      <w:pPr>
        <w:ind w:left="720" w:hanging="360"/>
      </w:pPr>
      <w:rPr>
        <w:rFonts w:ascii="Symbol" w:hAnsi="Symbol"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66F22A6D"/>
    <w:multiLevelType w:val="hybridMultilevel"/>
    <w:tmpl w:val="98881E24"/>
    <w:lvl w:ilvl="0" w:tplc="0409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6" w15:restartNumberingAfterBreak="0">
    <w:nsid w:val="67531F84"/>
    <w:multiLevelType w:val="hybridMultilevel"/>
    <w:tmpl w:val="8EC6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95410E7"/>
    <w:multiLevelType w:val="hybridMultilevel"/>
    <w:tmpl w:val="A4921566"/>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8" w15:restartNumberingAfterBreak="0">
    <w:nsid w:val="6C5F5484"/>
    <w:multiLevelType w:val="hybridMultilevel"/>
    <w:tmpl w:val="485A29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9" w15:restartNumberingAfterBreak="0">
    <w:nsid w:val="6C890425"/>
    <w:multiLevelType w:val="hybridMultilevel"/>
    <w:tmpl w:val="7BF2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852838"/>
    <w:multiLevelType w:val="hybridMultilevel"/>
    <w:tmpl w:val="98B4C7F0"/>
    <w:lvl w:ilvl="0" w:tplc="FABECF10">
      <w:start w:val="1"/>
      <w:numFmt w:val="bullet"/>
      <w:lvlText w:val=""/>
      <w:lvlJc w:val="left"/>
      <w:pPr>
        <w:ind w:left="644" w:hanging="360"/>
      </w:pPr>
      <w:rPr>
        <w:rFonts w:ascii="Symbol" w:hAnsi="Symbol" w:hint="default"/>
      </w:rPr>
    </w:lvl>
    <w:lvl w:ilvl="1" w:tplc="46F47884">
      <w:start w:val="1"/>
      <w:numFmt w:val="bullet"/>
      <w:lvlText w:val="o"/>
      <w:lvlJc w:val="left"/>
      <w:pPr>
        <w:ind w:left="1364" w:hanging="360"/>
      </w:pPr>
      <w:rPr>
        <w:rFonts w:ascii="Courier New" w:hAnsi="Courier New" w:hint="default"/>
      </w:rPr>
    </w:lvl>
    <w:lvl w:ilvl="2" w:tplc="EFD2DE24">
      <w:start w:val="1"/>
      <w:numFmt w:val="bullet"/>
      <w:lvlText w:val=""/>
      <w:lvlJc w:val="left"/>
      <w:pPr>
        <w:ind w:left="2084" w:hanging="360"/>
      </w:pPr>
      <w:rPr>
        <w:rFonts w:ascii="Wingdings" w:hAnsi="Wingdings" w:hint="default"/>
      </w:rPr>
    </w:lvl>
    <w:lvl w:ilvl="3" w:tplc="BB2ACE82">
      <w:start w:val="1"/>
      <w:numFmt w:val="bullet"/>
      <w:lvlText w:val=""/>
      <w:lvlJc w:val="left"/>
      <w:pPr>
        <w:ind w:left="2804" w:hanging="360"/>
      </w:pPr>
      <w:rPr>
        <w:rFonts w:ascii="Symbol" w:hAnsi="Symbol" w:hint="default"/>
      </w:rPr>
    </w:lvl>
    <w:lvl w:ilvl="4" w:tplc="EB62AF86">
      <w:start w:val="1"/>
      <w:numFmt w:val="bullet"/>
      <w:lvlText w:val="o"/>
      <w:lvlJc w:val="left"/>
      <w:pPr>
        <w:ind w:left="3524" w:hanging="360"/>
      </w:pPr>
      <w:rPr>
        <w:rFonts w:ascii="Courier New" w:hAnsi="Courier New" w:hint="default"/>
      </w:rPr>
    </w:lvl>
    <w:lvl w:ilvl="5" w:tplc="2B7A7060">
      <w:start w:val="1"/>
      <w:numFmt w:val="bullet"/>
      <w:lvlText w:val=""/>
      <w:lvlJc w:val="left"/>
      <w:pPr>
        <w:ind w:left="4244" w:hanging="360"/>
      </w:pPr>
      <w:rPr>
        <w:rFonts w:ascii="Wingdings" w:hAnsi="Wingdings" w:hint="default"/>
      </w:rPr>
    </w:lvl>
    <w:lvl w:ilvl="6" w:tplc="93A48BF6">
      <w:start w:val="1"/>
      <w:numFmt w:val="bullet"/>
      <w:lvlText w:val=""/>
      <w:lvlJc w:val="left"/>
      <w:pPr>
        <w:ind w:left="4964" w:hanging="360"/>
      </w:pPr>
      <w:rPr>
        <w:rFonts w:ascii="Symbol" w:hAnsi="Symbol" w:hint="default"/>
      </w:rPr>
    </w:lvl>
    <w:lvl w:ilvl="7" w:tplc="F0384528">
      <w:start w:val="1"/>
      <w:numFmt w:val="bullet"/>
      <w:lvlText w:val="o"/>
      <w:lvlJc w:val="left"/>
      <w:pPr>
        <w:ind w:left="5684" w:hanging="360"/>
      </w:pPr>
      <w:rPr>
        <w:rFonts w:ascii="Courier New" w:hAnsi="Courier New" w:hint="default"/>
      </w:rPr>
    </w:lvl>
    <w:lvl w:ilvl="8" w:tplc="7828FDF0">
      <w:start w:val="1"/>
      <w:numFmt w:val="bullet"/>
      <w:lvlText w:val=""/>
      <w:lvlJc w:val="left"/>
      <w:pPr>
        <w:ind w:left="6404" w:hanging="360"/>
      </w:pPr>
      <w:rPr>
        <w:rFonts w:ascii="Wingdings" w:hAnsi="Wingdings" w:hint="default"/>
      </w:rPr>
    </w:lvl>
  </w:abstractNum>
  <w:abstractNum w:abstractNumId="91" w15:restartNumberingAfterBreak="0">
    <w:nsid w:val="7035025C"/>
    <w:multiLevelType w:val="hybridMultilevel"/>
    <w:tmpl w:val="65340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71F50FA4"/>
    <w:multiLevelType w:val="multilevel"/>
    <w:tmpl w:val="4CACE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2236E01"/>
    <w:multiLevelType w:val="hybridMultilevel"/>
    <w:tmpl w:val="E7CC0F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4" w15:restartNumberingAfterBreak="0">
    <w:nsid w:val="731948CB"/>
    <w:multiLevelType w:val="hybridMultilevel"/>
    <w:tmpl w:val="BA3AD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76D21952"/>
    <w:multiLevelType w:val="hybridMultilevel"/>
    <w:tmpl w:val="3AAAF1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6" w15:restartNumberingAfterBreak="0">
    <w:nsid w:val="77287A26"/>
    <w:multiLevelType w:val="hybridMultilevel"/>
    <w:tmpl w:val="B8307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79241B4E"/>
    <w:multiLevelType w:val="hybridMultilevel"/>
    <w:tmpl w:val="7EB4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A11237F"/>
    <w:multiLevelType w:val="multilevel"/>
    <w:tmpl w:val="D8EE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343DD9"/>
    <w:multiLevelType w:val="multilevel"/>
    <w:tmpl w:val="CEA8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BC15C0B"/>
    <w:multiLevelType w:val="hybridMultilevel"/>
    <w:tmpl w:val="D6D65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7"/>
  </w:num>
  <w:num w:numId="2">
    <w:abstractNumId w:val="40"/>
  </w:num>
  <w:num w:numId="3">
    <w:abstractNumId w:val="68"/>
  </w:num>
  <w:num w:numId="4">
    <w:abstractNumId w:val="12"/>
  </w:num>
  <w:num w:numId="5">
    <w:abstractNumId w:val="19"/>
  </w:num>
  <w:num w:numId="6">
    <w:abstractNumId w:val="66"/>
  </w:num>
  <w:num w:numId="7">
    <w:abstractNumId w:val="89"/>
  </w:num>
  <w:num w:numId="8">
    <w:abstractNumId w:val="60"/>
  </w:num>
  <w:num w:numId="9">
    <w:abstractNumId w:val="86"/>
  </w:num>
  <w:num w:numId="10">
    <w:abstractNumId w:val="20"/>
  </w:num>
  <w:num w:numId="11">
    <w:abstractNumId w:val="94"/>
  </w:num>
  <w:num w:numId="12">
    <w:abstractNumId w:val="24"/>
  </w:num>
  <w:num w:numId="13">
    <w:abstractNumId w:val="62"/>
  </w:num>
  <w:num w:numId="14">
    <w:abstractNumId w:val="71"/>
  </w:num>
  <w:num w:numId="15">
    <w:abstractNumId w:val="52"/>
  </w:num>
  <w:num w:numId="16">
    <w:abstractNumId w:val="3"/>
  </w:num>
  <w:num w:numId="17">
    <w:abstractNumId w:val="55"/>
  </w:num>
  <w:num w:numId="18">
    <w:abstractNumId w:val="27"/>
  </w:num>
  <w:num w:numId="19">
    <w:abstractNumId w:val="54"/>
  </w:num>
  <w:num w:numId="20">
    <w:abstractNumId w:val="78"/>
  </w:num>
  <w:num w:numId="21">
    <w:abstractNumId w:val="6"/>
  </w:num>
  <w:num w:numId="22">
    <w:abstractNumId w:val="73"/>
  </w:num>
  <w:num w:numId="23">
    <w:abstractNumId w:val="11"/>
  </w:num>
  <w:num w:numId="24">
    <w:abstractNumId w:val="95"/>
  </w:num>
  <w:num w:numId="25">
    <w:abstractNumId w:val="49"/>
  </w:num>
  <w:num w:numId="26">
    <w:abstractNumId w:val="97"/>
  </w:num>
  <w:num w:numId="27">
    <w:abstractNumId w:val="81"/>
  </w:num>
  <w:num w:numId="28">
    <w:abstractNumId w:val="93"/>
  </w:num>
  <w:num w:numId="29">
    <w:abstractNumId w:val="63"/>
  </w:num>
  <w:num w:numId="30">
    <w:abstractNumId w:val="100"/>
  </w:num>
  <w:num w:numId="31">
    <w:abstractNumId w:val="17"/>
  </w:num>
  <w:num w:numId="32">
    <w:abstractNumId w:val="7"/>
  </w:num>
  <w:num w:numId="33">
    <w:abstractNumId w:val="59"/>
  </w:num>
  <w:num w:numId="34">
    <w:abstractNumId w:val="1"/>
  </w:num>
  <w:num w:numId="35">
    <w:abstractNumId w:val="9"/>
  </w:num>
  <w:num w:numId="36">
    <w:abstractNumId w:val="98"/>
  </w:num>
  <w:num w:numId="37">
    <w:abstractNumId w:val="31"/>
  </w:num>
  <w:num w:numId="38">
    <w:abstractNumId w:val="50"/>
  </w:num>
  <w:num w:numId="39">
    <w:abstractNumId w:val="28"/>
  </w:num>
  <w:num w:numId="40">
    <w:abstractNumId w:val="65"/>
  </w:num>
  <w:num w:numId="41">
    <w:abstractNumId w:val="91"/>
  </w:num>
  <w:num w:numId="42">
    <w:abstractNumId w:val="10"/>
  </w:num>
  <w:num w:numId="43">
    <w:abstractNumId w:val="47"/>
  </w:num>
  <w:num w:numId="44">
    <w:abstractNumId w:val="70"/>
  </w:num>
  <w:num w:numId="45">
    <w:abstractNumId w:val="29"/>
  </w:num>
  <w:num w:numId="46">
    <w:abstractNumId w:val="0"/>
  </w:num>
  <w:num w:numId="47">
    <w:abstractNumId w:val="22"/>
  </w:num>
  <w:num w:numId="48">
    <w:abstractNumId w:val="41"/>
  </w:num>
  <w:num w:numId="49">
    <w:abstractNumId w:val="96"/>
  </w:num>
  <w:num w:numId="50">
    <w:abstractNumId w:val="74"/>
  </w:num>
  <w:num w:numId="51">
    <w:abstractNumId w:val="26"/>
  </w:num>
  <w:num w:numId="52">
    <w:abstractNumId w:val="51"/>
  </w:num>
  <w:num w:numId="53">
    <w:abstractNumId w:val="15"/>
  </w:num>
  <w:num w:numId="54">
    <w:abstractNumId w:val="23"/>
  </w:num>
  <w:num w:numId="55">
    <w:abstractNumId w:val="18"/>
  </w:num>
  <w:num w:numId="56">
    <w:abstractNumId w:val="43"/>
  </w:num>
  <w:num w:numId="57">
    <w:abstractNumId w:val="77"/>
  </w:num>
  <w:num w:numId="58">
    <w:abstractNumId w:val="64"/>
  </w:num>
  <w:num w:numId="59">
    <w:abstractNumId w:val="82"/>
  </w:num>
  <w:num w:numId="60">
    <w:abstractNumId w:val="69"/>
  </w:num>
  <w:num w:numId="61">
    <w:abstractNumId w:val="8"/>
  </w:num>
  <w:num w:numId="62">
    <w:abstractNumId w:val="90"/>
  </w:num>
  <w:num w:numId="63">
    <w:abstractNumId w:val="21"/>
  </w:num>
  <w:num w:numId="64">
    <w:abstractNumId w:val="92"/>
  </w:num>
  <w:num w:numId="65">
    <w:abstractNumId w:val="30"/>
  </w:num>
  <w:num w:numId="66">
    <w:abstractNumId w:val="2"/>
  </w:num>
  <w:num w:numId="67">
    <w:abstractNumId w:val="5"/>
  </w:num>
  <w:num w:numId="68">
    <w:abstractNumId w:val="38"/>
  </w:num>
  <w:num w:numId="69">
    <w:abstractNumId w:val="46"/>
  </w:num>
  <w:num w:numId="70">
    <w:abstractNumId w:val="80"/>
  </w:num>
  <w:num w:numId="71">
    <w:abstractNumId w:val="87"/>
  </w:num>
  <w:num w:numId="72">
    <w:abstractNumId w:val="48"/>
  </w:num>
  <w:num w:numId="73">
    <w:abstractNumId w:val="85"/>
  </w:num>
  <w:num w:numId="74">
    <w:abstractNumId w:val="36"/>
  </w:num>
  <w:num w:numId="75">
    <w:abstractNumId w:val="53"/>
  </w:num>
  <w:num w:numId="76">
    <w:abstractNumId w:val="79"/>
  </w:num>
  <w:num w:numId="77">
    <w:abstractNumId w:val="34"/>
  </w:num>
  <w:num w:numId="78">
    <w:abstractNumId w:val="84"/>
  </w:num>
  <w:num w:numId="79">
    <w:abstractNumId w:val="32"/>
  </w:num>
  <w:num w:numId="80">
    <w:abstractNumId w:val="99"/>
  </w:num>
  <w:num w:numId="81">
    <w:abstractNumId w:val="83"/>
  </w:num>
  <w:num w:numId="82">
    <w:abstractNumId w:val="67"/>
  </w:num>
  <w:num w:numId="83">
    <w:abstractNumId w:val="33"/>
  </w:num>
  <w:num w:numId="84">
    <w:abstractNumId w:val="39"/>
  </w:num>
  <w:num w:numId="85">
    <w:abstractNumId w:val="88"/>
  </w:num>
  <w:num w:numId="86">
    <w:abstractNumId w:val="16"/>
  </w:num>
  <w:num w:numId="87">
    <w:abstractNumId w:val="25"/>
  </w:num>
  <w:num w:numId="88">
    <w:abstractNumId w:val="58"/>
  </w:num>
  <w:num w:numId="89">
    <w:abstractNumId w:val="13"/>
  </w:num>
  <w:num w:numId="90">
    <w:abstractNumId w:val="4"/>
  </w:num>
  <w:num w:numId="91">
    <w:abstractNumId w:val="57"/>
  </w:num>
  <w:num w:numId="92">
    <w:abstractNumId w:val="14"/>
  </w:num>
  <w:num w:numId="93">
    <w:abstractNumId w:val="44"/>
  </w:num>
  <w:num w:numId="94">
    <w:abstractNumId w:val="45"/>
  </w:num>
  <w:num w:numId="95">
    <w:abstractNumId w:val="42"/>
  </w:num>
  <w:num w:numId="96">
    <w:abstractNumId w:val="75"/>
  </w:num>
  <w:num w:numId="97">
    <w:abstractNumId w:val="56"/>
  </w:num>
  <w:num w:numId="98">
    <w:abstractNumId w:val="72"/>
  </w:num>
  <w:num w:numId="99">
    <w:abstractNumId w:val="61"/>
  </w:num>
  <w:num w:numId="100">
    <w:abstractNumId w:val="35"/>
  </w:num>
  <w:num w:numId="101">
    <w:abstractNumId w:val="76"/>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idy Martinez">
    <w15:presenceInfo w15:providerId="AD" w15:userId="S::leidymartinez@minpre.gob.do::c4ab0aa4-9bdf-4477-865a-56240fc801c9"/>
  </w15:person>
  <w15:person w15:author="Jose Garcia">
    <w15:presenceInfo w15:providerId="AD" w15:userId="S::josegarcia@vbc.gob.do::806dddf5-8bcc-47d9-b16b-6cda7a97ddc9"/>
  </w15:person>
  <w15:person w15:author="Winifer Romero">
    <w15:presenceInfo w15:providerId="AD" w15:userId="S::winiferromero@minpre.gob.do::ef122ecf-5ef6-48d0-b7c5-8c3029bb3f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128B"/>
    <w:rsid w:val="000025D4"/>
    <w:rsid w:val="000050A3"/>
    <w:rsid w:val="000243BE"/>
    <w:rsid w:val="00030F69"/>
    <w:rsid w:val="00032423"/>
    <w:rsid w:val="000347A3"/>
    <w:rsid w:val="00041187"/>
    <w:rsid w:val="0004248F"/>
    <w:rsid w:val="000464F3"/>
    <w:rsid w:val="00052D24"/>
    <w:rsid w:val="00056477"/>
    <w:rsid w:val="00056A6A"/>
    <w:rsid w:val="000607B9"/>
    <w:rsid w:val="000635F8"/>
    <w:rsid w:val="00066093"/>
    <w:rsid w:val="000741A1"/>
    <w:rsid w:val="0007427A"/>
    <w:rsid w:val="00074B63"/>
    <w:rsid w:val="000753D2"/>
    <w:rsid w:val="000824B6"/>
    <w:rsid w:val="000946D3"/>
    <w:rsid w:val="000956E6"/>
    <w:rsid w:val="000960E2"/>
    <w:rsid w:val="000970A9"/>
    <w:rsid w:val="00097509"/>
    <w:rsid w:val="000A5475"/>
    <w:rsid w:val="000A5B7E"/>
    <w:rsid w:val="000B015F"/>
    <w:rsid w:val="000B52C7"/>
    <w:rsid w:val="000B7AD4"/>
    <w:rsid w:val="000C002B"/>
    <w:rsid w:val="000C6020"/>
    <w:rsid w:val="000C6D06"/>
    <w:rsid w:val="000D143C"/>
    <w:rsid w:val="000E5BB5"/>
    <w:rsid w:val="000F3484"/>
    <w:rsid w:val="000F38E8"/>
    <w:rsid w:val="000F3E77"/>
    <w:rsid w:val="0010702D"/>
    <w:rsid w:val="0011309F"/>
    <w:rsid w:val="0011349F"/>
    <w:rsid w:val="00114F2A"/>
    <w:rsid w:val="00116E8C"/>
    <w:rsid w:val="001240D0"/>
    <w:rsid w:val="00124DC0"/>
    <w:rsid w:val="00125D46"/>
    <w:rsid w:val="00135E12"/>
    <w:rsid w:val="00136635"/>
    <w:rsid w:val="00141F0D"/>
    <w:rsid w:val="00146AA1"/>
    <w:rsid w:val="00155C8B"/>
    <w:rsid w:val="0016450C"/>
    <w:rsid w:val="00165A99"/>
    <w:rsid w:val="00170BA0"/>
    <w:rsid w:val="00192F36"/>
    <w:rsid w:val="001B0F47"/>
    <w:rsid w:val="001B621D"/>
    <w:rsid w:val="001B65AB"/>
    <w:rsid w:val="001C12EA"/>
    <w:rsid w:val="001D1674"/>
    <w:rsid w:val="001D608D"/>
    <w:rsid w:val="001E07B9"/>
    <w:rsid w:val="001E1738"/>
    <w:rsid w:val="001E209B"/>
    <w:rsid w:val="001E494B"/>
    <w:rsid w:val="001E674D"/>
    <w:rsid w:val="001F286C"/>
    <w:rsid w:val="001F31E2"/>
    <w:rsid w:val="001F3AA7"/>
    <w:rsid w:val="001F5BF3"/>
    <w:rsid w:val="00200B6E"/>
    <w:rsid w:val="0020580A"/>
    <w:rsid w:val="0021106F"/>
    <w:rsid w:val="00211C4E"/>
    <w:rsid w:val="00211DCF"/>
    <w:rsid w:val="0021331F"/>
    <w:rsid w:val="00214D5A"/>
    <w:rsid w:val="0021707C"/>
    <w:rsid w:val="002179DA"/>
    <w:rsid w:val="00222BD9"/>
    <w:rsid w:val="00224C04"/>
    <w:rsid w:val="002255CA"/>
    <w:rsid w:val="00225975"/>
    <w:rsid w:val="00234713"/>
    <w:rsid w:val="002348D5"/>
    <w:rsid w:val="00236ED6"/>
    <w:rsid w:val="00243FED"/>
    <w:rsid w:val="0024709B"/>
    <w:rsid w:val="00247394"/>
    <w:rsid w:val="002553DD"/>
    <w:rsid w:val="00256904"/>
    <w:rsid w:val="00265EF3"/>
    <w:rsid w:val="00267E9F"/>
    <w:rsid w:val="00270DA8"/>
    <w:rsid w:val="00286800"/>
    <w:rsid w:val="00295AC8"/>
    <w:rsid w:val="002A22AD"/>
    <w:rsid w:val="002A28CB"/>
    <w:rsid w:val="002A49E9"/>
    <w:rsid w:val="002B32EE"/>
    <w:rsid w:val="002B4451"/>
    <w:rsid w:val="002B5F02"/>
    <w:rsid w:val="002C2238"/>
    <w:rsid w:val="002C4FA9"/>
    <w:rsid w:val="002C7C59"/>
    <w:rsid w:val="002D2ED4"/>
    <w:rsid w:val="002D4C27"/>
    <w:rsid w:val="002E0CEC"/>
    <w:rsid w:val="002E7C77"/>
    <w:rsid w:val="002F6B4F"/>
    <w:rsid w:val="002F6B6A"/>
    <w:rsid w:val="00303512"/>
    <w:rsid w:val="003050D7"/>
    <w:rsid w:val="003051BA"/>
    <w:rsid w:val="003131B6"/>
    <w:rsid w:val="00314D81"/>
    <w:rsid w:val="00320AEB"/>
    <w:rsid w:val="00325456"/>
    <w:rsid w:val="003302B8"/>
    <w:rsid w:val="00330BBF"/>
    <w:rsid w:val="0034224F"/>
    <w:rsid w:val="0034337A"/>
    <w:rsid w:val="003453DD"/>
    <w:rsid w:val="003532BD"/>
    <w:rsid w:val="00355FE2"/>
    <w:rsid w:val="0035678B"/>
    <w:rsid w:val="0036247D"/>
    <w:rsid w:val="00366DD1"/>
    <w:rsid w:val="00372065"/>
    <w:rsid w:val="00373C07"/>
    <w:rsid w:val="00385E13"/>
    <w:rsid w:val="003876F5"/>
    <w:rsid w:val="00391C60"/>
    <w:rsid w:val="003972C5"/>
    <w:rsid w:val="00397AC0"/>
    <w:rsid w:val="003A21E8"/>
    <w:rsid w:val="003A2485"/>
    <w:rsid w:val="003A2814"/>
    <w:rsid w:val="003A4748"/>
    <w:rsid w:val="003A56DE"/>
    <w:rsid w:val="003B15A3"/>
    <w:rsid w:val="003C5A4B"/>
    <w:rsid w:val="003C644E"/>
    <w:rsid w:val="003D600C"/>
    <w:rsid w:val="003D6E9C"/>
    <w:rsid w:val="003E069C"/>
    <w:rsid w:val="003E27C5"/>
    <w:rsid w:val="003E592E"/>
    <w:rsid w:val="003E7C79"/>
    <w:rsid w:val="003E7EAF"/>
    <w:rsid w:val="003F6DB4"/>
    <w:rsid w:val="003F7914"/>
    <w:rsid w:val="00407B07"/>
    <w:rsid w:val="004100B9"/>
    <w:rsid w:val="00411879"/>
    <w:rsid w:val="00411BDC"/>
    <w:rsid w:val="00413EDF"/>
    <w:rsid w:val="0042278D"/>
    <w:rsid w:val="0042578D"/>
    <w:rsid w:val="00425CF6"/>
    <w:rsid w:val="00426EF7"/>
    <w:rsid w:val="00432BCF"/>
    <w:rsid w:val="00434604"/>
    <w:rsid w:val="00437CB5"/>
    <w:rsid w:val="00443BFC"/>
    <w:rsid w:val="00443C94"/>
    <w:rsid w:val="004448B5"/>
    <w:rsid w:val="00460CDF"/>
    <w:rsid w:val="00463A18"/>
    <w:rsid w:val="0046492A"/>
    <w:rsid w:val="004671B7"/>
    <w:rsid w:val="00470C75"/>
    <w:rsid w:val="00470E32"/>
    <w:rsid w:val="004764E2"/>
    <w:rsid w:val="00477E65"/>
    <w:rsid w:val="004834FE"/>
    <w:rsid w:val="00483E9F"/>
    <w:rsid w:val="00485FBB"/>
    <w:rsid w:val="00487A4D"/>
    <w:rsid w:val="00496CA4"/>
    <w:rsid w:val="004A02B3"/>
    <w:rsid w:val="004A0313"/>
    <w:rsid w:val="004A28DB"/>
    <w:rsid w:val="004A3220"/>
    <w:rsid w:val="004A7B4D"/>
    <w:rsid w:val="004C0C15"/>
    <w:rsid w:val="004C3C71"/>
    <w:rsid w:val="004D4086"/>
    <w:rsid w:val="004E4E4B"/>
    <w:rsid w:val="004F02E0"/>
    <w:rsid w:val="004F2DD5"/>
    <w:rsid w:val="004F3574"/>
    <w:rsid w:val="004F4452"/>
    <w:rsid w:val="004F7403"/>
    <w:rsid w:val="005034C7"/>
    <w:rsid w:val="005104A0"/>
    <w:rsid w:val="0051104B"/>
    <w:rsid w:val="0051619E"/>
    <w:rsid w:val="0051693B"/>
    <w:rsid w:val="0052274B"/>
    <w:rsid w:val="0052297B"/>
    <w:rsid w:val="005273D1"/>
    <w:rsid w:val="00530B1E"/>
    <w:rsid w:val="00531CDC"/>
    <w:rsid w:val="00535822"/>
    <w:rsid w:val="00537C51"/>
    <w:rsid w:val="005421D6"/>
    <w:rsid w:val="00544419"/>
    <w:rsid w:val="00545797"/>
    <w:rsid w:val="00547707"/>
    <w:rsid w:val="00564DD8"/>
    <w:rsid w:val="0056513D"/>
    <w:rsid w:val="005654BB"/>
    <w:rsid w:val="0056604A"/>
    <w:rsid w:val="0056612A"/>
    <w:rsid w:val="005664EF"/>
    <w:rsid w:val="0057225C"/>
    <w:rsid w:val="00572D53"/>
    <w:rsid w:val="00573439"/>
    <w:rsid w:val="0058014A"/>
    <w:rsid w:val="005805BA"/>
    <w:rsid w:val="00594B4D"/>
    <w:rsid w:val="005A44A8"/>
    <w:rsid w:val="005B1AED"/>
    <w:rsid w:val="005C1F44"/>
    <w:rsid w:val="005C2E2A"/>
    <w:rsid w:val="005C548C"/>
    <w:rsid w:val="005D0277"/>
    <w:rsid w:val="005D100F"/>
    <w:rsid w:val="005D1FE6"/>
    <w:rsid w:val="005D698C"/>
    <w:rsid w:val="005E2676"/>
    <w:rsid w:val="005E299F"/>
    <w:rsid w:val="005E48CD"/>
    <w:rsid w:val="005E67FE"/>
    <w:rsid w:val="005E7BEE"/>
    <w:rsid w:val="005F72E4"/>
    <w:rsid w:val="00604F17"/>
    <w:rsid w:val="006051A6"/>
    <w:rsid w:val="0061095C"/>
    <w:rsid w:val="006160B6"/>
    <w:rsid w:val="006228A7"/>
    <w:rsid w:val="00622966"/>
    <w:rsid w:val="00623FB3"/>
    <w:rsid w:val="00631F6E"/>
    <w:rsid w:val="0063379A"/>
    <w:rsid w:val="00634EC2"/>
    <w:rsid w:val="0063595F"/>
    <w:rsid w:val="0063729E"/>
    <w:rsid w:val="0064179B"/>
    <w:rsid w:val="006442D1"/>
    <w:rsid w:val="00644BF9"/>
    <w:rsid w:val="0064754E"/>
    <w:rsid w:val="00654164"/>
    <w:rsid w:val="00654482"/>
    <w:rsid w:val="00654BB1"/>
    <w:rsid w:val="00654EFA"/>
    <w:rsid w:val="00663921"/>
    <w:rsid w:val="00664F52"/>
    <w:rsid w:val="006651EA"/>
    <w:rsid w:val="00667037"/>
    <w:rsid w:val="006741A4"/>
    <w:rsid w:val="00676735"/>
    <w:rsid w:val="006779D3"/>
    <w:rsid w:val="00680571"/>
    <w:rsid w:val="00680AC4"/>
    <w:rsid w:val="00692E43"/>
    <w:rsid w:val="006A222F"/>
    <w:rsid w:val="006A5634"/>
    <w:rsid w:val="006B06E7"/>
    <w:rsid w:val="006B177F"/>
    <w:rsid w:val="006B2AB8"/>
    <w:rsid w:val="006B674B"/>
    <w:rsid w:val="006C3A30"/>
    <w:rsid w:val="006D090D"/>
    <w:rsid w:val="006D2A95"/>
    <w:rsid w:val="006D7F1D"/>
    <w:rsid w:val="006E3F08"/>
    <w:rsid w:val="006E7648"/>
    <w:rsid w:val="006F34E7"/>
    <w:rsid w:val="006F425F"/>
    <w:rsid w:val="007113C0"/>
    <w:rsid w:val="007175E1"/>
    <w:rsid w:val="00720F31"/>
    <w:rsid w:val="00723259"/>
    <w:rsid w:val="00727CB4"/>
    <w:rsid w:val="007371F9"/>
    <w:rsid w:val="007405DC"/>
    <w:rsid w:val="0074316E"/>
    <w:rsid w:val="00743D49"/>
    <w:rsid w:val="007450DA"/>
    <w:rsid w:val="007450F6"/>
    <w:rsid w:val="0075153A"/>
    <w:rsid w:val="00751A6E"/>
    <w:rsid w:val="007522F1"/>
    <w:rsid w:val="00770E44"/>
    <w:rsid w:val="00773116"/>
    <w:rsid w:val="00782836"/>
    <w:rsid w:val="00786C60"/>
    <w:rsid w:val="007879A4"/>
    <w:rsid w:val="00792D75"/>
    <w:rsid w:val="00795A16"/>
    <w:rsid w:val="00796C22"/>
    <w:rsid w:val="00796F24"/>
    <w:rsid w:val="007A267B"/>
    <w:rsid w:val="007B6B04"/>
    <w:rsid w:val="007B6BCF"/>
    <w:rsid w:val="007C0683"/>
    <w:rsid w:val="007C2CAE"/>
    <w:rsid w:val="007C4411"/>
    <w:rsid w:val="007C544F"/>
    <w:rsid w:val="007C6071"/>
    <w:rsid w:val="007D5CCC"/>
    <w:rsid w:val="007D64C6"/>
    <w:rsid w:val="007E3E5E"/>
    <w:rsid w:val="007F1A93"/>
    <w:rsid w:val="007F3FB8"/>
    <w:rsid w:val="007F6395"/>
    <w:rsid w:val="00800B79"/>
    <w:rsid w:val="00811FD9"/>
    <w:rsid w:val="0081262F"/>
    <w:rsid w:val="0082260F"/>
    <w:rsid w:val="00827793"/>
    <w:rsid w:val="00827E05"/>
    <w:rsid w:val="0083294F"/>
    <w:rsid w:val="008421F6"/>
    <w:rsid w:val="0084406D"/>
    <w:rsid w:val="008575C0"/>
    <w:rsid w:val="00857B79"/>
    <w:rsid w:val="00860389"/>
    <w:rsid w:val="008614D0"/>
    <w:rsid w:val="008631E1"/>
    <w:rsid w:val="00871F50"/>
    <w:rsid w:val="00873E82"/>
    <w:rsid w:val="0087772C"/>
    <w:rsid w:val="008817E3"/>
    <w:rsid w:val="00881874"/>
    <w:rsid w:val="00881AAA"/>
    <w:rsid w:val="00886F32"/>
    <w:rsid w:val="0089273D"/>
    <w:rsid w:val="008931CC"/>
    <w:rsid w:val="008B3EC1"/>
    <w:rsid w:val="008C041E"/>
    <w:rsid w:val="008C0EFF"/>
    <w:rsid w:val="008C22C6"/>
    <w:rsid w:val="008C27AA"/>
    <w:rsid w:val="008C34F4"/>
    <w:rsid w:val="008C4283"/>
    <w:rsid w:val="008C4675"/>
    <w:rsid w:val="008C5212"/>
    <w:rsid w:val="008C73F7"/>
    <w:rsid w:val="008D7F4E"/>
    <w:rsid w:val="008F3F8D"/>
    <w:rsid w:val="008F5803"/>
    <w:rsid w:val="008F6447"/>
    <w:rsid w:val="008F6ECE"/>
    <w:rsid w:val="008F7D18"/>
    <w:rsid w:val="008F7EDC"/>
    <w:rsid w:val="009000C6"/>
    <w:rsid w:val="00900D43"/>
    <w:rsid w:val="0090187D"/>
    <w:rsid w:val="00903043"/>
    <w:rsid w:val="00911055"/>
    <w:rsid w:val="00920A80"/>
    <w:rsid w:val="00921AE4"/>
    <w:rsid w:val="009316F1"/>
    <w:rsid w:val="00936EB7"/>
    <w:rsid w:val="00945EE2"/>
    <w:rsid w:val="0094723A"/>
    <w:rsid w:val="00947851"/>
    <w:rsid w:val="009479B0"/>
    <w:rsid w:val="009558E4"/>
    <w:rsid w:val="0095785E"/>
    <w:rsid w:val="00960468"/>
    <w:rsid w:val="00967B36"/>
    <w:rsid w:val="0097291D"/>
    <w:rsid w:val="00972F33"/>
    <w:rsid w:val="00973133"/>
    <w:rsid w:val="00974893"/>
    <w:rsid w:val="00975969"/>
    <w:rsid w:val="00975DDE"/>
    <w:rsid w:val="0098576A"/>
    <w:rsid w:val="00986FE7"/>
    <w:rsid w:val="00987BE0"/>
    <w:rsid w:val="00990161"/>
    <w:rsid w:val="009904DB"/>
    <w:rsid w:val="00995128"/>
    <w:rsid w:val="009B239B"/>
    <w:rsid w:val="009B7BFD"/>
    <w:rsid w:val="009C2661"/>
    <w:rsid w:val="009C6199"/>
    <w:rsid w:val="009C655C"/>
    <w:rsid w:val="009C7FB9"/>
    <w:rsid w:val="009D61CE"/>
    <w:rsid w:val="009D72C1"/>
    <w:rsid w:val="009E13DC"/>
    <w:rsid w:val="009E24FE"/>
    <w:rsid w:val="009F3D54"/>
    <w:rsid w:val="00A00FE0"/>
    <w:rsid w:val="00A025B2"/>
    <w:rsid w:val="00A044CA"/>
    <w:rsid w:val="00A04B5B"/>
    <w:rsid w:val="00A240E3"/>
    <w:rsid w:val="00A24A44"/>
    <w:rsid w:val="00A30CE6"/>
    <w:rsid w:val="00A33C2F"/>
    <w:rsid w:val="00A36B5D"/>
    <w:rsid w:val="00A36DC7"/>
    <w:rsid w:val="00A40444"/>
    <w:rsid w:val="00A42121"/>
    <w:rsid w:val="00A4214E"/>
    <w:rsid w:val="00A42CC0"/>
    <w:rsid w:val="00A44089"/>
    <w:rsid w:val="00A529B4"/>
    <w:rsid w:val="00A53615"/>
    <w:rsid w:val="00A54BB0"/>
    <w:rsid w:val="00A5647B"/>
    <w:rsid w:val="00A630BC"/>
    <w:rsid w:val="00A63A00"/>
    <w:rsid w:val="00A6602B"/>
    <w:rsid w:val="00A67A7D"/>
    <w:rsid w:val="00A755B5"/>
    <w:rsid w:val="00A7627D"/>
    <w:rsid w:val="00A807D2"/>
    <w:rsid w:val="00A838C5"/>
    <w:rsid w:val="00A84F63"/>
    <w:rsid w:val="00A87FCF"/>
    <w:rsid w:val="00A910CA"/>
    <w:rsid w:val="00A959FA"/>
    <w:rsid w:val="00AA3CF3"/>
    <w:rsid w:val="00AA3E1E"/>
    <w:rsid w:val="00AA5C69"/>
    <w:rsid w:val="00AA6E46"/>
    <w:rsid w:val="00AA76F5"/>
    <w:rsid w:val="00AA779D"/>
    <w:rsid w:val="00AB1583"/>
    <w:rsid w:val="00AB23A7"/>
    <w:rsid w:val="00AB4946"/>
    <w:rsid w:val="00AB4E74"/>
    <w:rsid w:val="00AC0F7D"/>
    <w:rsid w:val="00AC3509"/>
    <w:rsid w:val="00AD11E1"/>
    <w:rsid w:val="00AD6032"/>
    <w:rsid w:val="00AE322A"/>
    <w:rsid w:val="00AE550E"/>
    <w:rsid w:val="00AF70F5"/>
    <w:rsid w:val="00B0636C"/>
    <w:rsid w:val="00B14EE4"/>
    <w:rsid w:val="00B16EF5"/>
    <w:rsid w:val="00B21A70"/>
    <w:rsid w:val="00B22169"/>
    <w:rsid w:val="00B228C2"/>
    <w:rsid w:val="00B22ED8"/>
    <w:rsid w:val="00B45277"/>
    <w:rsid w:val="00B45B38"/>
    <w:rsid w:val="00B56CA4"/>
    <w:rsid w:val="00B6056D"/>
    <w:rsid w:val="00B7375E"/>
    <w:rsid w:val="00B7460D"/>
    <w:rsid w:val="00B8086E"/>
    <w:rsid w:val="00B871A6"/>
    <w:rsid w:val="00B87FDF"/>
    <w:rsid w:val="00B9635A"/>
    <w:rsid w:val="00B976F8"/>
    <w:rsid w:val="00BA1410"/>
    <w:rsid w:val="00BA141C"/>
    <w:rsid w:val="00BA2267"/>
    <w:rsid w:val="00BA51E7"/>
    <w:rsid w:val="00BA56DF"/>
    <w:rsid w:val="00BB1030"/>
    <w:rsid w:val="00BB1D9C"/>
    <w:rsid w:val="00BB324F"/>
    <w:rsid w:val="00BB7662"/>
    <w:rsid w:val="00BC0D0F"/>
    <w:rsid w:val="00BC35F8"/>
    <w:rsid w:val="00BC5730"/>
    <w:rsid w:val="00BC7C47"/>
    <w:rsid w:val="00BD6B31"/>
    <w:rsid w:val="00BE2AB6"/>
    <w:rsid w:val="00BE3668"/>
    <w:rsid w:val="00BE4462"/>
    <w:rsid w:val="00BE53FA"/>
    <w:rsid w:val="00BF6927"/>
    <w:rsid w:val="00C008B8"/>
    <w:rsid w:val="00C009D6"/>
    <w:rsid w:val="00C02322"/>
    <w:rsid w:val="00C10543"/>
    <w:rsid w:val="00C11A13"/>
    <w:rsid w:val="00C122E3"/>
    <w:rsid w:val="00C1375D"/>
    <w:rsid w:val="00C179EC"/>
    <w:rsid w:val="00C22E88"/>
    <w:rsid w:val="00C24DC0"/>
    <w:rsid w:val="00C30B28"/>
    <w:rsid w:val="00C37700"/>
    <w:rsid w:val="00C429E2"/>
    <w:rsid w:val="00C57FDA"/>
    <w:rsid w:val="00C64CEF"/>
    <w:rsid w:val="00C666CF"/>
    <w:rsid w:val="00C673AC"/>
    <w:rsid w:val="00C70280"/>
    <w:rsid w:val="00C70391"/>
    <w:rsid w:val="00C711BE"/>
    <w:rsid w:val="00C721A0"/>
    <w:rsid w:val="00C87DC4"/>
    <w:rsid w:val="00C90862"/>
    <w:rsid w:val="00C9593F"/>
    <w:rsid w:val="00C96327"/>
    <w:rsid w:val="00C97C83"/>
    <w:rsid w:val="00CA0790"/>
    <w:rsid w:val="00CA225D"/>
    <w:rsid w:val="00CA6229"/>
    <w:rsid w:val="00CB19C9"/>
    <w:rsid w:val="00CB3336"/>
    <w:rsid w:val="00CB3FA7"/>
    <w:rsid w:val="00CB6095"/>
    <w:rsid w:val="00CB6C42"/>
    <w:rsid w:val="00CC18BE"/>
    <w:rsid w:val="00CC1E81"/>
    <w:rsid w:val="00CC5051"/>
    <w:rsid w:val="00CD0F92"/>
    <w:rsid w:val="00CD1193"/>
    <w:rsid w:val="00CD41EC"/>
    <w:rsid w:val="00CD73A3"/>
    <w:rsid w:val="00CE5CE7"/>
    <w:rsid w:val="00CF6882"/>
    <w:rsid w:val="00D014A3"/>
    <w:rsid w:val="00D03859"/>
    <w:rsid w:val="00D04B5A"/>
    <w:rsid w:val="00D05C4D"/>
    <w:rsid w:val="00D068A9"/>
    <w:rsid w:val="00D07F65"/>
    <w:rsid w:val="00D12416"/>
    <w:rsid w:val="00D12594"/>
    <w:rsid w:val="00D179D6"/>
    <w:rsid w:val="00D2018B"/>
    <w:rsid w:val="00D223FD"/>
    <w:rsid w:val="00D22567"/>
    <w:rsid w:val="00D23481"/>
    <w:rsid w:val="00D27ADB"/>
    <w:rsid w:val="00D367CE"/>
    <w:rsid w:val="00D43A38"/>
    <w:rsid w:val="00D51409"/>
    <w:rsid w:val="00D5151E"/>
    <w:rsid w:val="00D62D0F"/>
    <w:rsid w:val="00D67F39"/>
    <w:rsid w:val="00D72826"/>
    <w:rsid w:val="00D75115"/>
    <w:rsid w:val="00D82A72"/>
    <w:rsid w:val="00D837AC"/>
    <w:rsid w:val="00D83A98"/>
    <w:rsid w:val="00D84359"/>
    <w:rsid w:val="00D845C9"/>
    <w:rsid w:val="00D8504C"/>
    <w:rsid w:val="00D9164C"/>
    <w:rsid w:val="00D91E3B"/>
    <w:rsid w:val="00D92A94"/>
    <w:rsid w:val="00D94463"/>
    <w:rsid w:val="00D9735E"/>
    <w:rsid w:val="00DA0BD4"/>
    <w:rsid w:val="00DA0DF7"/>
    <w:rsid w:val="00DA3488"/>
    <w:rsid w:val="00DA4A48"/>
    <w:rsid w:val="00DB080B"/>
    <w:rsid w:val="00DB12AA"/>
    <w:rsid w:val="00DC571C"/>
    <w:rsid w:val="00DD00D0"/>
    <w:rsid w:val="00DD0A46"/>
    <w:rsid w:val="00DD1008"/>
    <w:rsid w:val="00DD2C5B"/>
    <w:rsid w:val="00DD2D46"/>
    <w:rsid w:val="00DD7615"/>
    <w:rsid w:val="00DE01D4"/>
    <w:rsid w:val="00DE5246"/>
    <w:rsid w:val="00DE72D1"/>
    <w:rsid w:val="00DE7620"/>
    <w:rsid w:val="00DE7B74"/>
    <w:rsid w:val="00DF01FF"/>
    <w:rsid w:val="00DF0B54"/>
    <w:rsid w:val="00DF56E2"/>
    <w:rsid w:val="00E03083"/>
    <w:rsid w:val="00E030E0"/>
    <w:rsid w:val="00E036CF"/>
    <w:rsid w:val="00E03EBF"/>
    <w:rsid w:val="00E12C2F"/>
    <w:rsid w:val="00E12DDE"/>
    <w:rsid w:val="00E14734"/>
    <w:rsid w:val="00E16B9A"/>
    <w:rsid w:val="00E20C22"/>
    <w:rsid w:val="00E27E54"/>
    <w:rsid w:val="00E30C0D"/>
    <w:rsid w:val="00E327FC"/>
    <w:rsid w:val="00E34659"/>
    <w:rsid w:val="00E376B5"/>
    <w:rsid w:val="00E4678B"/>
    <w:rsid w:val="00E51584"/>
    <w:rsid w:val="00E6384C"/>
    <w:rsid w:val="00E65210"/>
    <w:rsid w:val="00E65686"/>
    <w:rsid w:val="00E70289"/>
    <w:rsid w:val="00E739F8"/>
    <w:rsid w:val="00E80BF2"/>
    <w:rsid w:val="00E84651"/>
    <w:rsid w:val="00E8768B"/>
    <w:rsid w:val="00E943A4"/>
    <w:rsid w:val="00E96CAF"/>
    <w:rsid w:val="00EA0243"/>
    <w:rsid w:val="00EA7641"/>
    <w:rsid w:val="00EC0AEC"/>
    <w:rsid w:val="00EC0C00"/>
    <w:rsid w:val="00EC3308"/>
    <w:rsid w:val="00EC4CBD"/>
    <w:rsid w:val="00EC7165"/>
    <w:rsid w:val="00ED1F27"/>
    <w:rsid w:val="00EE477D"/>
    <w:rsid w:val="00EE53A6"/>
    <w:rsid w:val="00EE5462"/>
    <w:rsid w:val="00EE55EF"/>
    <w:rsid w:val="00EF472D"/>
    <w:rsid w:val="00F02109"/>
    <w:rsid w:val="00F02664"/>
    <w:rsid w:val="00F05DF4"/>
    <w:rsid w:val="00F078C4"/>
    <w:rsid w:val="00F10B25"/>
    <w:rsid w:val="00F154BB"/>
    <w:rsid w:val="00F177DE"/>
    <w:rsid w:val="00F21DBA"/>
    <w:rsid w:val="00F23DCD"/>
    <w:rsid w:val="00F2440C"/>
    <w:rsid w:val="00F27D24"/>
    <w:rsid w:val="00F300FA"/>
    <w:rsid w:val="00F33229"/>
    <w:rsid w:val="00F36012"/>
    <w:rsid w:val="00F408B0"/>
    <w:rsid w:val="00F4415B"/>
    <w:rsid w:val="00F464A7"/>
    <w:rsid w:val="00F56299"/>
    <w:rsid w:val="00F648DE"/>
    <w:rsid w:val="00F67053"/>
    <w:rsid w:val="00F6715A"/>
    <w:rsid w:val="00F67DF6"/>
    <w:rsid w:val="00F70D15"/>
    <w:rsid w:val="00F72458"/>
    <w:rsid w:val="00F74112"/>
    <w:rsid w:val="00F819C0"/>
    <w:rsid w:val="00F92FC3"/>
    <w:rsid w:val="00F94808"/>
    <w:rsid w:val="00F95316"/>
    <w:rsid w:val="00F972CC"/>
    <w:rsid w:val="00FA2F66"/>
    <w:rsid w:val="00FA5AAB"/>
    <w:rsid w:val="00FB444B"/>
    <w:rsid w:val="00FB6C70"/>
    <w:rsid w:val="00FB77B8"/>
    <w:rsid w:val="00FB7EE3"/>
    <w:rsid w:val="00FC661A"/>
    <w:rsid w:val="00FC7D03"/>
    <w:rsid w:val="00FD138F"/>
    <w:rsid w:val="00FD4901"/>
    <w:rsid w:val="00FD55E7"/>
    <w:rsid w:val="00FE37F6"/>
    <w:rsid w:val="00FF3718"/>
    <w:rsid w:val="00FF62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7F1A93"/>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D02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D02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character" w:customStyle="1" w:styleId="Heading3Char">
    <w:name w:val="Heading 3 Char"/>
    <w:basedOn w:val="DefaultParagraphFont"/>
    <w:link w:val="Heading3"/>
    <w:uiPriority w:val="9"/>
    <w:rsid w:val="007F1A93"/>
    <w:rPr>
      <w:rFonts w:asciiTheme="majorHAnsi" w:eastAsiaTheme="majorEastAsia" w:hAnsiTheme="majorHAnsi" w:cstheme="majorBidi"/>
      <w:color w:val="1F3763" w:themeColor="accent1" w:themeShade="7F"/>
    </w:rPr>
  </w:style>
  <w:style w:type="paragraph" w:styleId="ListParagraph">
    <w:name w:val="List Paragraph"/>
    <w:aliases w:val="Lista sin Numerar,List Paragraph (numbered (a)),List Paragraph1,WB Para,Numbered Paragraph,Main numbered paragraph,Bullets,Lapis Bulleted List,Dot pt,F5 List Paragraph,No Spacing1,List Paragraph Char Char Char,Indicator Text,Bullet 1,L"/>
    <w:basedOn w:val="Normal"/>
    <w:link w:val="ListParagraphChar"/>
    <w:uiPriority w:val="34"/>
    <w:qFormat/>
    <w:rsid w:val="007F1A93"/>
    <w:pPr>
      <w:ind w:left="720"/>
      <w:contextualSpacing/>
    </w:pPr>
    <w:rPr>
      <w:lang w:val="es-DO"/>
    </w:rPr>
  </w:style>
  <w:style w:type="paragraph" w:styleId="CommentText">
    <w:name w:val="annotation text"/>
    <w:basedOn w:val="Normal"/>
    <w:link w:val="CommentTextChar"/>
    <w:uiPriority w:val="99"/>
    <w:unhideWhenUsed/>
    <w:rsid w:val="007F1A93"/>
    <w:pPr>
      <w:spacing w:line="240" w:lineRule="auto"/>
    </w:pPr>
    <w:rPr>
      <w:sz w:val="20"/>
      <w:szCs w:val="20"/>
      <w:lang w:val="es-DO"/>
    </w:rPr>
  </w:style>
  <w:style w:type="character" w:customStyle="1" w:styleId="CommentTextChar">
    <w:name w:val="Comment Text Char"/>
    <w:basedOn w:val="DefaultParagraphFont"/>
    <w:link w:val="CommentText"/>
    <w:uiPriority w:val="99"/>
    <w:rsid w:val="007F1A93"/>
    <w:rPr>
      <w:sz w:val="20"/>
      <w:szCs w:val="20"/>
      <w:lang w:val="es-DO"/>
    </w:rPr>
  </w:style>
  <w:style w:type="character" w:styleId="CommentReference">
    <w:name w:val="annotation reference"/>
    <w:basedOn w:val="DefaultParagraphFont"/>
    <w:uiPriority w:val="99"/>
    <w:semiHidden/>
    <w:unhideWhenUsed/>
    <w:rsid w:val="007F1A93"/>
    <w:rPr>
      <w:sz w:val="16"/>
      <w:szCs w:val="16"/>
    </w:rPr>
  </w:style>
  <w:style w:type="character" w:customStyle="1" w:styleId="Heading4Char">
    <w:name w:val="Heading 4 Char"/>
    <w:basedOn w:val="DefaultParagraphFont"/>
    <w:link w:val="Heading4"/>
    <w:uiPriority w:val="9"/>
    <w:rsid w:val="005D02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D0277"/>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qFormat/>
    <w:rsid w:val="005D0277"/>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D0277"/>
    <w:rPr>
      <w:rFonts w:asciiTheme="minorHAnsi" w:eastAsiaTheme="minorEastAsia" w:hAnsiTheme="minorHAnsi" w:cstheme="minorBidi"/>
      <w:color w:val="5A5A5A" w:themeColor="text1" w:themeTint="A5"/>
      <w:spacing w:val="15"/>
      <w:sz w:val="22"/>
      <w:szCs w:val="22"/>
    </w:rPr>
  </w:style>
  <w:style w:type="paragraph" w:customStyle="1" w:styleId="Bullet">
    <w:name w:val="Bullet"/>
    <w:basedOn w:val="Normal"/>
    <w:qFormat/>
    <w:rsid w:val="00947851"/>
    <w:pPr>
      <w:spacing w:after="120" w:line="276" w:lineRule="auto"/>
      <w:jc w:val="both"/>
    </w:pPr>
    <w:rPr>
      <w:rFonts w:eastAsia="MS Mincho"/>
      <w:color w:val="auto"/>
      <w:spacing w:val="0"/>
      <w:lang w:val="es-DO"/>
    </w:rPr>
  </w:style>
  <w:style w:type="paragraph" w:styleId="NormalWeb">
    <w:name w:val="Normal (Web)"/>
    <w:basedOn w:val="Normal"/>
    <w:uiPriority w:val="99"/>
    <w:unhideWhenUsed/>
    <w:rsid w:val="00947851"/>
    <w:pPr>
      <w:spacing w:before="100" w:beforeAutospacing="1" w:after="100" w:afterAutospacing="1" w:line="240" w:lineRule="auto"/>
    </w:pPr>
    <w:rPr>
      <w:rFonts w:eastAsia="Times New Roman"/>
      <w:color w:val="auto"/>
      <w:spacing w:val="0"/>
      <w:lang w:val="es-DO" w:eastAsia="es-DO"/>
    </w:rPr>
  </w:style>
  <w:style w:type="character" w:styleId="Strong">
    <w:name w:val="Strong"/>
    <w:basedOn w:val="DefaultParagraphFont"/>
    <w:uiPriority w:val="22"/>
    <w:qFormat/>
    <w:rsid w:val="00C11A13"/>
    <w:rPr>
      <w:b/>
      <w:bCs/>
    </w:rPr>
  </w:style>
  <w:style w:type="table" w:styleId="TableGridLight">
    <w:name w:val="Grid Table Light"/>
    <w:basedOn w:val="TableNormal"/>
    <w:uiPriority w:val="40"/>
    <w:rsid w:val="00C11A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3">
    <w:name w:val="Grid Table 1 Light Accent 3"/>
    <w:basedOn w:val="TableNormal"/>
    <w:uiPriority w:val="46"/>
    <w:rsid w:val="0096046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824B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535822"/>
    <w:rPr>
      <w:rFonts w:ascii="Times New Roman" w:eastAsiaTheme="minorEastAsia" w:hAnsi="Times New Roman" w:cs="Times New Roman"/>
      <w:color w:val="767171" w:themeColor="background2" w:themeShade="80"/>
      <w:sz w:val="24"/>
      <w:szCs w:val="24"/>
    </w:rPr>
  </w:style>
  <w:style w:type="character" w:customStyle="1" w:styleId="eop">
    <w:name w:val="eop"/>
    <w:basedOn w:val="DefaultParagraphFont"/>
    <w:rsid w:val="00535822"/>
    <w:rPr>
      <w:rFonts w:ascii="Times New Roman" w:eastAsiaTheme="minorEastAsia" w:hAnsi="Times New Roman" w:cs="Times New Roman"/>
      <w:color w:val="767171" w:themeColor="background2" w:themeShade="80"/>
      <w:sz w:val="24"/>
      <w:szCs w:val="24"/>
    </w:rPr>
  </w:style>
  <w:style w:type="character" w:customStyle="1" w:styleId="ListParagraphChar">
    <w:name w:val="List Paragraph Char"/>
    <w:aliases w:val="Lista sin Numerar Char,List Paragraph (numbered (a)) Char,List Paragraph1 Char,WB Para Char,Numbered Paragraph Char,Main numbered paragraph Char,Bullets Char,Lapis Bulleted List Char,Dot pt Char,F5 List Paragraph Char,Bullet 1 Char"/>
    <w:link w:val="ListParagraph"/>
    <w:uiPriority w:val="34"/>
    <w:qFormat/>
    <w:locked/>
    <w:rsid w:val="00247394"/>
    <w:rPr>
      <w:lang w:val="es-DO"/>
    </w:rPr>
  </w:style>
  <w:style w:type="paragraph" w:customStyle="1" w:styleId="paragraph">
    <w:name w:val="paragraph"/>
    <w:basedOn w:val="Normal"/>
    <w:rsid w:val="00247394"/>
    <w:pPr>
      <w:spacing w:after="0" w:line="240" w:lineRule="auto"/>
    </w:pPr>
    <w:rPr>
      <w:rFonts w:eastAsia="Times New Roman"/>
      <w:color w:val="auto"/>
      <w:spacing w:val="0"/>
    </w:rPr>
  </w:style>
  <w:style w:type="table" w:customStyle="1" w:styleId="Tabladecuadrcula1clara-nfasis12">
    <w:name w:val="Tabla de cuadrícula 1 clara - Énfasis 12"/>
    <w:basedOn w:val="TableNormal"/>
    <w:uiPriority w:val="46"/>
    <w:rsid w:val="00247394"/>
    <w:pPr>
      <w:spacing w:after="0" w:line="240" w:lineRule="auto"/>
      <w:ind w:left="284"/>
      <w:jc w:val="both"/>
    </w:pPr>
    <w:rPr>
      <w:color w:val="auto"/>
      <w:spacing w:val="0"/>
      <w:szCs w:val="22"/>
      <w:lang w:val="es-D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Caption">
    <w:name w:val="caption"/>
    <w:basedOn w:val="Normal"/>
    <w:next w:val="Normal"/>
    <w:unhideWhenUsed/>
    <w:qFormat/>
    <w:rsid w:val="00247394"/>
    <w:pPr>
      <w:spacing w:after="200" w:line="240" w:lineRule="auto"/>
      <w:ind w:left="284"/>
      <w:jc w:val="both"/>
    </w:pPr>
    <w:rPr>
      <w:rFonts w:eastAsia="Times New Roman"/>
      <w:b/>
      <w:bCs/>
      <w:color w:val="4F81BD"/>
      <w:spacing w:val="0"/>
      <w:sz w:val="18"/>
      <w:szCs w:val="18"/>
      <w:lang w:val="es-DO" w:eastAsia="es-DO"/>
    </w:rPr>
  </w:style>
  <w:style w:type="table" w:customStyle="1" w:styleId="Tabladecuadrcula4-nfasis52">
    <w:name w:val="Tabla de cuadrícula 4 - Énfasis 52"/>
    <w:basedOn w:val="TableNormal"/>
    <w:uiPriority w:val="49"/>
    <w:rsid w:val="00247394"/>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itle">
    <w:name w:val="Title"/>
    <w:link w:val="TitleChar"/>
    <w:uiPriority w:val="10"/>
    <w:qFormat/>
    <w:rsid w:val="000B52C7"/>
    <w:pPr>
      <w:spacing w:before="240" w:after="240" w:line="240" w:lineRule="auto"/>
      <w:jc w:val="center"/>
    </w:pPr>
    <w:rPr>
      <w:rFonts w:ascii="Arial" w:eastAsia="Arial" w:hAnsi="Arial" w:cs="Arial"/>
      <w:b/>
      <w:bCs/>
      <w:color w:val="000000"/>
      <w:spacing w:val="0"/>
      <w:sz w:val="48"/>
      <w:szCs w:val="48"/>
      <w:lang w:val="es-DO" w:eastAsia="es-DO"/>
    </w:rPr>
  </w:style>
  <w:style w:type="character" w:customStyle="1" w:styleId="TitleChar">
    <w:name w:val="Title Char"/>
    <w:basedOn w:val="DefaultParagraphFont"/>
    <w:link w:val="Title"/>
    <w:uiPriority w:val="10"/>
    <w:rsid w:val="000B52C7"/>
    <w:rPr>
      <w:rFonts w:ascii="Arial" w:eastAsia="Arial" w:hAnsi="Arial" w:cs="Arial"/>
      <w:b/>
      <w:bCs/>
      <w:color w:val="000000"/>
      <w:spacing w:val="0"/>
      <w:sz w:val="48"/>
      <w:szCs w:val="48"/>
      <w:lang w:val="es-DO" w:eastAsia="es-DO"/>
    </w:rPr>
  </w:style>
  <w:style w:type="paragraph" w:customStyle="1" w:styleId="xxmsonormal">
    <w:name w:val="x_x_msonormal"/>
    <w:basedOn w:val="Normal"/>
    <w:rsid w:val="00D67F39"/>
    <w:pPr>
      <w:spacing w:after="0" w:line="240" w:lineRule="auto"/>
    </w:pPr>
    <w:rPr>
      <w:rFonts w:ascii="Calibri" w:hAnsi="Calibri" w:cs="Calibri"/>
      <w:color w:val="auto"/>
      <w:spacing w:val="0"/>
      <w:sz w:val="22"/>
      <w:szCs w:val="22"/>
      <w:lang w:val="es-DO" w:eastAsia="es-DO"/>
    </w:rPr>
  </w:style>
  <w:style w:type="paragraph" w:styleId="TOC2">
    <w:name w:val="toc 2"/>
    <w:basedOn w:val="Normal"/>
    <w:next w:val="Normal"/>
    <w:autoRedefine/>
    <w:uiPriority w:val="39"/>
    <w:unhideWhenUsed/>
    <w:rsid w:val="0074316E"/>
    <w:pPr>
      <w:spacing w:after="100"/>
      <w:ind w:left="240"/>
    </w:pPr>
  </w:style>
  <w:style w:type="paragraph" w:styleId="TOC3">
    <w:name w:val="toc 3"/>
    <w:basedOn w:val="Normal"/>
    <w:next w:val="Normal"/>
    <w:autoRedefine/>
    <w:uiPriority w:val="39"/>
    <w:unhideWhenUsed/>
    <w:rsid w:val="0074316E"/>
    <w:pPr>
      <w:spacing w:after="100"/>
      <w:ind w:left="480"/>
    </w:pPr>
  </w:style>
  <w:style w:type="character" w:styleId="UnresolvedMention">
    <w:name w:val="Unresolved Mention"/>
    <w:basedOn w:val="DefaultParagraphFont"/>
    <w:uiPriority w:val="99"/>
    <w:semiHidden/>
    <w:unhideWhenUsed/>
    <w:rsid w:val="00E34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94813368">
      <w:bodyDiv w:val="1"/>
      <w:marLeft w:val="0"/>
      <w:marRight w:val="0"/>
      <w:marTop w:val="0"/>
      <w:marBottom w:val="0"/>
      <w:divBdr>
        <w:top w:val="none" w:sz="0" w:space="0" w:color="auto"/>
        <w:left w:val="none" w:sz="0" w:space="0" w:color="auto"/>
        <w:bottom w:val="none" w:sz="0" w:space="0" w:color="auto"/>
        <w:right w:val="none" w:sz="0" w:space="0" w:color="auto"/>
      </w:divBdr>
    </w:div>
    <w:div w:id="1682274589">
      <w:bodyDiv w:val="1"/>
      <w:marLeft w:val="0"/>
      <w:marRight w:val="0"/>
      <w:marTop w:val="0"/>
      <w:marBottom w:val="0"/>
      <w:divBdr>
        <w:top w:val="none" w:sz="0" w:space="0" w:color="auto"/>
        <w:left w:val="none" w:sz="0" w:space="0" w:color="auto"/>
        <w:bottom w:val="none" w:sz="0" w:space="0" w:color="auto"/>
        <w:right w:val="none" w:sz="0" w:space="0" w:color="auto"/>
      </w:divBdr>
    </w:div>
    <w:div w:id="1940676419">
      <w:bodyDiv w:val="1"/>
      <w:marLeft w:val="0"/>
      <w:marRight w:val="0"/>
      <w:marTop w:val="0"/>
      <w:marBottom w:val="0"/>
      <w:divBdr>
        <w:top w:val="none" w:sz="0" w:space="0" w:color="auto"/>
        <w:left w:val="none" w:sz="0" w:space="0" w:color="auto"/>
        <w:bottom w:val="none" w:sz="0" w:space="0" w:color="auto"/>
        <w:right w:val="none" w:sz="0" w:space="0" w:color="auto"/>
      </w:divBdr>
    </w:div>
    <w:div w:id="19542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footer" Target="footer2.xml"/><Relationship Id="rId42" Type="http://schemas.openxmlformats.org/officeDocument/2006/relationships/chart" Target="charts/chart4.xml"/><Relationship Id="rId47" Type="http://schemas.openxmlformats.org/officeDocument/2006/relationships/chart" Target="charts/chart9.xml"/><Relationship Id="rId63" Type="http://schemas.openxmlformats.org/officeDocument/2006/relationships/image" Target="cid:265F6091-22A9-45A0-BC61-20369F4B3DDA" TargetMode="External"/><Relationship Id="rId68" Type="http://schemas.openxmlformats.org/officeDocument/2006/relationships/image" Target="media/image24.png"/><Relationship Id="rId84" Type="http://schemas.openxmlformats.org/officeDocument/2006/relationships/image" Target="media/image39.png"/><Relationship Id="rId89"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cid:15c03e60-3db3-49b8-89fd-5a28f8c6727b" TargetMode="External"/><Relationship Id="rId53" Type="http://schemas.openxmlformats.org/officeDocument/2006/relationships/image" Target="media/image15.png"/><Relationship Id="rId58" Type="http://schemas.openxmlformats.org/officeDocument/2006/relationships/image" Target="cid:98AFCCB8-06CF-4E71-A9A7-77A5D8D78894" TargetMode="External"/><Relationship Id="rId74" Type="http://schemas.openxmlformats.org/officeDocument/2006/relationships/image" Target="media/image29.jpeg"/><Relationship Id="rId79" Type="http://schemas.openxmlformats.org/officeDocument/2006/relationships/image" Target="media/image34.jpeg"/><Relationship Id="rId5" Type="http://schemas.openxmlformats.org/officeDocument/2006/relationships/numbering" Target="numbering.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footer" Target="footer3.xml"/><Relationship Id="rId30" Type="http://schemas.openxmlformats.org/officeDocument/2006/relationships/image" Target="media/image7.png"/><Relationship Id="rId35" Type="http://schemas.openxmlformats.org/officeDocument/2006/relationships/image" Target="cid:b2729d99-127c-4081-b94f-83594bf326f4" TargetMode="External"/><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image" Target="cid:35095D4B-51B2-48F4-BC43-30103E50B3B7" TargetMode="External"/><Relationship Id="rId64" Type="http://schemas.openxmlformats.org/officeDocument/2006/relationships/image" Target="media/image22.png"/><Relationship Id="rId69" Type="http://schemas.openxmlformats.org/officeDocument/2006/relationships/image" Target="cid:DFF9B966-95E5-4111-807D-A0001F71CDF0" TargetMode="External"/><Relationship Id="rId77" Type="http://schemas.openxmlformats.org/officeDocument/2006/relationships/image" Target="media/image32.jpeg"/><Relationship Id="rId8" Type="http://schemas.openxmlformats.org/officeDocument/2006/relationships/webSettings" Target="webSettings.xml"/><Relationship Id="rId51" Type="http://schemas.openxmlformats.org/officeDocument/2006/relationships/chart" Target="charts/chart12.xml"/><Relationship Id="rId72" Type="http://schemas.openxmlformats.org/officeDocument/2006/relationships/image" Target="media/image27.png"/><Relationship Id="rId80" Type="http://schemas.openxmlformats.org/officeDocument/2006/relationships/image" Target="media/image35.jpeg"/><Relationship Id="rId85"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omments" Target="comments.xml"/><Relationship Id="rId25" Type="http://schemas.openxmlformats.org/officeDocument/2006/relationships/image" Target="media/image8.png"/><Relationship Id="rId33" Type="http://schemas.openxmlformats.org/officeDocument/2006/relationships/image" Target="cid:b3e71508-583b-4231-9eba-19e82e9603eb" TargetMode="External"/><Relationship Id="rId38" Type="http://schemas.openxmlformats.org/officeDocument/2006/relationships/image" Target="media/image12.png"/><Relationship Id="rId46" Type="http://schemas.openxmlformats.org/officeDocument/2006/relationships/chart" Target="charts/chart8.xml"/><Relationship Id="rId59" Type="http://schemas.openxmlformats.org/officeDocument/2006/relationships/image" Target="media/image19.png"/><Relationship Id="rId67" Type="http://schemas.openxmlformats.org/officeDocument/2006/relationships/image" Target="cid:6BF446D8-C157-4D1A-9888-95868AC48A13" TargetMode="External"/><Relationship Id="rId20" Type="http://schemas.microsoft.com/office/2018/08/relationships/commentsExtensible" Target="commentsExtensible.xml"/><Relationship Id="rId41" Type="http://schemas.openxmlformats.org/officeDocument/2006/relationships/chart" Target="charts/chart3.xml"/><Relationship Id="rId54" Type="http://schemas.openxmlformats.org/officeDocument/2006/relationships/image" Target="media/image16.png"/><Relationship Id="rId62" Type="http://schemas.openxmlformats.org/officeDocument/2006/relationships/image" Target="media/image21.png"/><Relationship Id="rId70" Type="http://schemas.openxmlformats.org/officeDocument/2006/relationships/image" Target="media/image25.png"/><Relationship Id="rId75" Type="http://schemas.openxmlformats.org/officeDocument/2006/relationships/image" Target="media/image30.jpeg"/><Relationship Id="rId83" Type="http://schemas.openxmlformats.org/officeDocument/2006/relationships/image" Target="media/image38.png"/><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minpre.gob.do/sobre-nosotros/organigrama/" TargetMode="External"/><Relationship Id="rId28" Type="http://schemas.openxmlformats.org/officeDocument/2006/relationships/chart" Target="charts/chart1.xml"/><Relationship Id="rId36" Type="http://schemas.openxmlformats.org/officeDocument/2006/relationships/image" Target="media/image11.png"/><Relationship Id="rId49" Type="http://schemas.openxmlformats.org/officeDocument/2006/relationships/image" Target="media/image14.png"/><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image" Target="cid:e6290986-8dc5-4b3d-b7e4-b8eddee5ea64" TargetMode="External"/><Relationship Id="rId44" Type="http://schemas.openxmlformats.org/officeDocument/2006/relationships/chart" Target="charts/chart6.xml"/><Relationship Id="rId52" Type="http://schemas.openxmlformats.org/officeDocument/2006/relationships/chart" Target="charts/chart13.xml"/><Relationship Id="rId60" Type="http://schemas.openxmlformats.org/officeDocument/2006/relationships/image" Target="media/image20.png"/><Relationship Id="rId65" Type="http://schemas.openxmlformats.org/officeDocument/2006/relationships/image" Target="cid:B08FBA21-6E50-4A81-BA44-40DE8FC1B731" TargetMode="External"/><Relationship Id="rId73" Type="http://schemas.openxmlformats.org/officeDocument/2006/relationships/image" Target="media/image28.png"/><Relationship Id="rId78" Type="http://schemas.openxmlformats.org/officeDocument/2006/relationships/image" Target="media/image33.jpeg"/><Relationship Id="rId81" Type="http://schemas.openxmlformats.org/officeDocument/2006/relationships/image" Target="media/image36.jpeg"/><Relationship Id="rId86"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11/relationships/commentsExtended" Target="commentsExtended.xml"/><Relationship Id="rId39" Type="http://schemas.openxmlformats.org/officeDocument/2006/relationships/image" Target="cid:image001.png@01DC6447.1C9C1940" TargetMode="External"/><Relationship Id="rId34" Type="http://schemas.openxmlformats.org/officeDocument/2006/relationships/image" Target="media/image10.png"/><Relationship Id="rId50" Type="http://schemas.openxmlformats.org/officeDocument/2006/relationships/chart" Target="charts/chart11.xml"/><Relationship Id="rId55" Type="http://schemas.openxmlformats.org/officeDocument/2006/relationships/image" Target="media/image17.png"/><Relationship Id="rId76" Type="http://schemas.openxmlformats.org/officeDocument/2006/relationships/image" Target="media/image31.jpeg"/><Relationship Id="rId7" Type="http://schemas.openxmlformats.org/officeDocument/2006/relationships/settings" Target="settings.xml"/><Relationship Id="rId71" Type="http://schemas.openxmlformats.org/officeDocument/2006/relationships/image" Target="media/image26.jpeg"/><Relationship Id="rId2" Type="http://schemas.openxmlformats.org/officeDocument/2006/relationships/customXml" Target="../customXml/item2.xml"/><Relationship Id="rId29" Type="http://schemas.openxmlformats.org/officeDocument/2006/relationships/chart" Target="charts/chart2.xml"/><Relationship Id="rId24" Type="http://schemas.microsoft.com/office/2014/relationships/chartEx" Target="charts/chartEx1.xml"/><Relationship Id="rId40" Type="http://schemas.openxmlformats.org/officeDocument/2006/relationships/image" Target="media/image13.png"/><Relationship Id="rId45" Type="http://schemas.openxmlformats.org/officeDocument/2006/relationships/chart" Target="charts/chart7.xml"/><Relationship Id="rId66" Type="http://schemas.openxmlformats.org/officeDocument/2006/relationships/image" Target="media/image23.png"/><Relationship Id="rId87" Type="http://schemas.openxmlformats.org/officeDocument/2006/relationships/fontTable" Target="fontTable.xml"/><Relationship Id="rId61" Type="http://schemas.openxmlformats.org/officeDocument/2006/relationships/image" Target="cid:28D0E32D-A116-4B94-AF86-A34CC6EC1284" TargetMode="External"/><Relationship Id="rId82" Type="http://schemas.openxmlformats.org/officeDocument/2006/relationships/image" Target="media/image37.png"/><Relationship Id="rId19"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a%20Benitez\AppData\Local\Microsoft\Windows\INetCache\Content.Outlook\W3RRV0YU\Gr&#225;ficas%20Procesos%20de%20Compras.xlsx" TargetMode="External"/><Relationship Id="rId2" Type="http://schemas.microsoft.com/office/2011/relationships/chartColorStyle" Target="colors2.xml"/><Relationship Id="rId1" Type="http://schemas.microsoft.com/office/2011/relationships/chartStyle" Target="style2.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oleObject" Target="https://minpre-my.sharepoint.com/personal/mariabenitez_minpre_gob_do/Documents/Escritorio/POA%202025/Informe%20POA%202025%20T2/Plan%20Operativo%20Anual%20POA%202025%20(Informe%20T2).xlsx" TargetMode="External"/><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oleObject" Target="https://minpre-my.sharepoint.com/personal/mariabenitez_minpre_gob_do/Documents/Escritorio/POA%202025/Informe%20POA%202025%20T3/Plan%20Operativo%20Anual%20POA%202025%20(Informe%20T3)%20Informe.xlsx" TargetMode="External"/><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oleObject" Target="https://minpre-my.sharepoint.com/personal/mariabenitez_minpre_gob_do/Documents/Escritorio/POA%202025/Informe%20POA%202025%20T4/Plan%20Operativo%20Anual%20POA%202025%20Informe%20T4%20Consolidado.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20Benitez\AppData\Local\Microsoft\Windows\INetCache\Content.Outlook\W3RRV0YU\Gr&#225;ficas%20Procesos%20de%20Compras.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minpre-my.sharepoint.com/personal/mariadelacruz_minpre_gob_do/Documents/11.-%20DB%20CASOS%20DEL%20311%20(Actualizado%20Noviembre%202025).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Cantidad</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Sheet1!$C$2</c:f>
              <c:strCache>
                <c:ptCount val="1"/>
                <c:pt idx="0">
                  <c:v>Cantidad</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Sheet1!$B$3:$B$8</c:f>
              <c:strCache>
                <c:ptCount val="6"/>
                <c:pt idx="0">
                  <c:v>Compras Menores</c:v>
                </c:pt>
                <c:pt idx="1">
                  <c:v>Compras por Debajo del Umbral</c:v>
                </c:pt>
                <c:pt idx="2">
                  <c:v>Comparación de Precios</c:v>
                </c:pt>
                <c:pt idx="3">
                  <c:v>Subasta Inversa</c:v>
                </c:pt>
                <c:pt idx="4">
                  <c:v>Procesos de Excepción</c:v>
                </c:pt>
                <c:pt idx="5">
                  <c:v>TOTAL</c:v>
                </c:pt>
              </c:strCache>
            </c:strRef>
          </c:cat>
          <c:val>
            <c:numRef>
              <c:f>Sheet1!$C$3:$C$8</c:f>
              <c:numCache>
                <c:formatCode>General</c:formatCode>
                <c:ptCount val="6"/>
                <c:pt idx="0">
                  <c:v>38</c:v>
                </c:pt>
                <c:pt idx="1">
                  <c:v>40</c:v>
                </c:pt>
                <c:pt idx="2">
                  <c:v>4</c:v>
                </c:pt>
                <c:pt idx="3">
                  <c:v>1</c:v>
                </c:pt>
                <c:pt idx="4">
                  <c:v>8</c:v>
                </c:pt>
                <c:pt idx="5">
                  <c:v>91</c:v>
                </c:pt>
              </c:numCache>
            </c:numRef>
          </c:val>
          <c:extLst>
            <c:ext xmlns:c16="http://schemas.microsoft.com/office/drawing/2014/chart" uri="{C3380CC4-5D6E-409C-BE32-E72D297353CC}">
              <c16:uniqueId val="{00000000-9839-489A-8567-7B898441F03C}"/>
            </c:ext>
          </c:extLst>
        </c:ser>
        <c:dLbls>
          <c:showLegendKey val="0"/>
          <c:showVal val="1"/>
          <c:showCatName val="0"/>
          <c:showSerName val="0"/>
          <c:showPercent val="0"/>
          <c:showBubbleSize val="0"/>
        </c:dLbls>
        <c:gapWidth val="79"/>
        <c:shape val="box"/>
        <c:axId val="1609066112"/>
        <c:axId val="1609068992"/>
        <c:axId val="0"/>
      </c:bar3DChart>
      <c:catAx>
        <c:axId val="160906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09068992"/>
        <c:crosses val="autoZero"/>
        <c:auto val="1"/>
        <c:lblAlgn val="ctr"/>
        <c:lblOffset val="100"/>
        <c:noMultiLvlLbl val="0"/>
      </c:catAx>
      <c:valAx>
        <c:axId val="1609068992"/>
        <c:scaling>
          <c:orientation val="minMax"/>
        </c:scaling>
        <c:delete val="1"/>
        <c:axPos val="b"/>
        <c:numFmt formatCode="General" sourceLinked="1"/>
        <c:majorTickMark val="none"/>
        <c:minorTickMark val="none"/>
        <c:tickLblPos val="nextTo"/>
        <c:crossAx val="1609066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Actas del Comité de Compras y Contrataciones</c:v>
                </c:pt>
              </c:strCache>
            </c:strRef>
          </c:tx>
          <c:dPt>
            <c:idx val="0"/>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CD0-46D9-99CA-4BD95AAA00FC}"/>
              </c:ext>
            </c:extLst>
          </c:dPt>
          <c:dPt>
            <c:idx val="1"/>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CD0-46D9-99CA-4BD95AAA00FC}"/>
              </c:ext>
            </c:extLst>
          </c:dPt>
          <c:dPt>
            <c:idx val="2"/>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CD0-46D9-99CA-4BD95AAA00FC}"/>
              </c:ext>
            </c:extLst>
          </c:dPt>
          <c:dPt>
            <c:idx val="3"/>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CD0-46D9-99CA-4BD95AAA00FC}"/>
              </c:ext>
            </c:extLst>
          </c:dPt>
          <c:dPt>
            <c:idx val="4"/>
            <c:bubble3D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3CD0-46D9-99CA-4BD95AAA00FC}"/>
              </c:ext>
            </c:extLst>
          </c:dPt>
          <c:dLbls>
            <c:dLbl>
              <c:idx val="2"/>
              <c:layout>
                <c:manualLayout>
                  <c:x val="-0.11992442149320245"/>
                  <c:y val="9.87268155564551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CD0-46D9-99CA-4BD95AAA00FC}"/>
                </c:ext>
              </c:extLst>
            </c:dLbl>
            <c:dLbl>
              <c:idx val="3"/>
              <c:layout>
                <c:manualLayout>
                  <c:x val="1.3657470636438131E-2"/>
                  <c:y val="2.41370987207337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CD0-46D9-99CA-4BD95AAA00FC}"/>
                </c:ext>
              </c:extLst>
            </c:dLbl>
            <c:dLbl>
              <c:idx val="4"/>
              <c:layout>
                <c:manualLayout>
                  <c:x val="0.17728579816624251"/>
                  <c:y val="6.75838764180545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CD0-46D9-99CA-4BD95AAA00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Actas de adjudicación</c:v>
                </c:pt>
                <c:pt idx="1">
                  <c:v>Resoluciones motivadas</c:v>
                </c:pt>
                <c:pt idx="2">
                  <c:v>Actas técnicas (peritos)</c:v>
                </c:pt>
                <c:pt idx="3">
                  <c:v>Acta de enmienda</c:v>
                </c:pt>
                <c:pt idx="4">
                  <c:v>Acta de cancelación</c:v>
                </c:pt>
              </c:strCache>
            </c:strRef>
          </c:cat>
          <c:val>
            <c:numRef>
              <c:f>Hoja1!$B$2:$B$6</c:f>
              <c:numCache>
                <c:formatCode>General</c:formatCode>
                <c:ptCount val="5"/>
                <c:pt idx="0">
                  <c:v>10</c:v>
                </c:pt>
                <c:pt idx="1">
                  <c:v>9</c:v>
                </c:pt>
                <c:pt idx="2">
                  <c:v>2</c:v>
                </c:pt>
                <c:pt idx="3">
                  <c:v>1</c:v>
                </c:pt>
                <c:pt idx="4">
                  <c:v>1</c:v>
                </c:pt>
              </c:numCache>
            </c:numRef>
          </c:val>
          <c:extLst>
            <c:ext xmlns:c16="http://schemas.microsoft.com/office/drawing/2014/chart" uri="{C3380CC4-5D6E-409C-BE32-E72D297353CC}">
              <c16:uniqueId val="{0000000A-3CD0-46D9-99CA-4BD95AAA00FC}"/>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latin typeface="Times New Roman" panose="02020603050405020304" pitchFamily="18" charset="0"/>
                <a:cs typeface="Times New Roman" panose="02020603050405020304" pitchFamily="18" charset="0"/>
              </a:rPr>
              <a:t>Porcentaje de Ejecución POA 2do Trimestre 2025</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Sheet1!$G$2:$G$14</c:f>
              <c:strCache>
                <c:ptCount val="13"/>
                <c:pt idx="0">
                  <c:v>Viceministerio de Seguimiento y Coordinación gubernamental</c:v>
                </c:pt>
                <c:pt idx="1">
                  <c:v>Viceministerio de Desarrollo Social</c:v>
                </c:pt>
                <c:pt idx="2">
                  <c:v>Viceministerio de Relaciones Institucionales</c:v>
                </c:pt>
                <c:pt idx="3">
                  <c:v>Viceministerio de Proyectos de Inversión</c:v>
                </c:pt>
                <c:pt idx="4">
                  <c:v>Viceministerio de Proyectos Especiales y Coordinación de Seguridad</c:v>
                </c:pt>
                <c:pt idx="5">
                  <c:v>Dirección de Planificación y Desarrollo</c:v>
                </c:pt>
                <c:pt idx="6">
                  <c:v>Dirección Administrativa Financiera</c:v>
                </c:pt>
                <c:pt idx="7">
                  <c:v>Dirección Jurídica</c:v>
                </c:pt>
                <c:pt idx="8">
                  <c:v>Dirección de Protocolo y Eventos</c:v>
                </c:pt>
                <c:pt idx="9">
                  <c:v>Dirección de Recursos Humanos</c:v>
                </c:pt>
                <c:pt idx="10">
                  <c:v>Dirección de Comunicaciones</c:v>
                </c:pt>
                <c:pt idx="11">
                  <c:v>Dirección de Tecnologías de la Información y Comunicación</c:v>
                </c:pt>
                <c:pt idx="12">
                  <c:v>Departamento de Acceso a la Información</c:v>
                </c:pt>
              </c:strCache>
            </c:strRef>
          </c:cat>
          <c:val>
            <c:numRef>
              <c:f>Sheet1!$H$2:$H$14</c:f>
              <c:numCache>
                <c:formatCode>0%</c:formatCode>
                <c:ptCount val="13"/>
                <c:pt idx="0">
                  <c:v>0.87814615384615391</c:v>
                </c:pt>
                <c:pt idx="1">
                  <c:v>0.91666666666666663</c:v>
                </c:pt>
                <c:pt idx="2">
                  <c:v>0.90666666666666662</c:v>
                </c:pt>
                <c:pt idx="3">
                  <c:v>1</c:v>
                </c:pt>
                <c:pt idx="4">
                  <c:v>1</c:v>
                </c:pt>
                <c:pt idx="5">
                  <c:v>0.97499999999999998</c:v>
                </c:pt>
                <c:pt idx="6">
                  <c:v>0.99379999999999991</c:v>
                </c:pt>
                <c:pt idx="7">
                  <c:v>0.5</c:v>
                </c:pt>
                <c:pt idx="8">
                  <c:v>0.93333333333333324</c:v>
                </c:pt>
                <c:pt idx="9">
                  <c:v>1</c:v>
                </c:pt>
                <c:pt idx="10">
                  <c:v>0.94600000000000006</c:v>
                </c:pt>
                <c:pt idx="11">
                  <c:v>0.875</c:v>
                </c:pt>
                <c:pt idx="12">
                  <c:v>0.98399999999999999</c:v>
                </c:pt>
              </c:numCache>
            </c:numRef>
          </c:val>
          <c:extLst>
            <c:ext xmlns:c16="http://schemas.microsoft.com/office/drawing/2014/chart" uri="{C3380CC4-5D6E-409C-BE32-E72D297353CC}">
              <c16:uniqueId val="{00000000-ADB0-4824-8885-81700798685E}"/>
            </c:ext>
          </c:extLst>
        </c:ser>
        <c:dLbls>
          <c:dLblPos val="outEnd"/>
          <c:showLegendKey val="0"/>
          <c:showVal val="1"/>
          <c:showCatName val="0"/>
          <c:showSerName val="0"/>
          <c:showPercent val="0"/>
          <c:showBubbleSize val="0"/>
        </c:dLbls>
        <c:gapWidth val="219"/>
        <c:overlap val="-27"/>
        <c:axId val="491014127"/>
        <c:axId val="491015375"/>
      </c:barChart>
      <c:catAx>
        <c:axId val="491014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1015375"/>
        <c:crosses val="autoZero"/>
        <c:auto val="1"/>
        <c:lblAlgn val="ctr"/>
        <c:lblOffset val="100"/>
        <c:noMultiLvlLbl val="0"/>
      </c:catAx>
      <c:valAx>
        <c:axId val="4910153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1014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i="0" baseline="0">
                <a:effectLst/>
                <a:latin typeface="Times New Roman" panose="02020603050405020304" pitchFamily="18" charset="0"/>
                <a:cs typeface="Times New Roman" panose="02020603050405020304" pitchFamily="18" charset="0"/>
              </a:rPr>
              <a:t>Porcentaje de Ejecución POA 3er Trimestre 2025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Sheet1!$G$2:$G$14</c:f>
              <c:strCache>
                <c:ptCount val="13"/>
                <c:pt idx="0">
                  <c:v>Viceministerio de Seguimiento y Coordinación gubernamental</c:v>
                </c:pt>
                <c:pt idx="1">
                  <c:v>Viceministerio de Desarrollo Social</c:v>
                </c:pt>
                <c:pt idx="2">
                  <c:v>Viceministerio de Relaciones Institucionales</c:v>
                </c:pt>
                <c:pt idx="3">
                  <c:v>Viceministerio de Proyectos de Inversión</c:v>
                </c:pt>
                <c:pt idx="4">
                  <c:v>Viceministerio de Proyectos Especiales y Coordinación de Seguridad</c:v>
                </c:pt>
                <c:pt idx="5">
                  <c:v>Dirección de Planificación y Desarrollo</c:v>
                </c:pt>
                <c:pt idx="6">
                  <c:v>Dirección Administrativa Financiera</c:v>
                </c:pt>
                <c:pt idx="7">
                  <c:v>Dirección Jurídica</c:v>
                </c:pt>
                <c:pt idx="8">
                  <c:v>Dirección de Protocolo y Eventos</c:v>
                </c:pt>
                <c:pt idx="9">
                  <c:v>Dirección de Recursos Humanos</c:v>
                </c:pt>
                <c:pt idx="10">
                  <c:v>Dirección de Comunicaciones</c:v>
                </c:pt>
                <c:pt idx="11">
                  <c:v>Dirección de Tecnologías de la Información y Comunicación</c:v>
                </c:pt>
                <c:pt idx="12">
                  <c:v>Departamento de Acceso a la Información</c:v>
                </c:pt>
              </c:strCache>
            </c:strRef>
          </c:cat>
          <c:val>
            <c:numRef>
              <c:f>Sheet1!$H$2:$H$14</c:f>
              <c:numCache>
                <c:formatCode>0%</c:formatCode>
                <c:ptCount val="13"/>
                <c:pt idx="0">
                  <c:v>0.98458333333333325</c:v>
                </c:pt>
                <c:pt idx="1">
                  <c:v>1</c:v>
                </c:pt>
                <c:pt idx="2">
                  <c:v>0.96333333333333337</c:v>
                </c:pt>
                <c:pt idx="3">
                  <c:v>1</c:v>
                </c:pt>
                <c:pt idx="4">
                  <c:v>1</c:v>
                </c:pt>
                <c:pt idx="5">
                  <c:v>0.96</c:v>
                </c:pt>
                <c:pt idx="6">
                  <c:v>0.98292500000000005</c:v>
                </c:pt>
                <c:pt idx="7">
                  <c:v>1</c:v>
                </c:pt>
                <c:pt idx="8">
                  <c:v>1</c:v>
                </c:pt>
                <c:pt idx="9">
                  <c:v>0.91400000000000003</c:v>
                </c:pt>
                <c:pt idx="10">
                  <c:v>1</c:v>
                </c:pt>
                <c:pt idx="11">
                  <c:v>1</c:v>
                </c:pt>
                <c:pt idx="12">
                  <c:v>0.98640000000000005</c:v>
                </c:pt>
              </c:numCache>
            </c:numRef>
          </c:val>
          <c:extLst>
            <c:ext xmlns:c16="http://schemas.microsoft.com/office/drawing/2014/chart" uri="{C3380CC4-5D6E-409C-BE32-E72D297353CC}">
              <c16:uniqueId val="{00000000-E21A-4356-AACD-B838900978F6}"/>
            </c:ext>
          </c:extLst>
        </c:ser>
        <c:dLbls>
          <c:dLblPos val="outEnd"/>
          <c:showLegendKey val="0"/>
          <c:showVal val="1"/>
          <c:showCatName val="0"/>
          <c:showSerName val="0"/>
          <c:showPercent val="0"/>
          <c:showBubbleSize val="0"/>
        </c:dLbls>
        <c:gapWidth val="219"/>
        <c:overlap val="-27"/>
        <c:axId val="835831983"/>
        <c:axId val="835833231"/>
      </c:barChart>
      <c:catAx>
        <c:axId val="835831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5833231"/>
        <c:crosses val="autoZero"/>
        <c:auto val="1"/>
        <c:lblAlgn val="ctr"/>
        <c:lblOffset val="100"/>
        <c:noMultiLvlLbl val="0"/>
      </c:catAx>
      <c:valAx>
        <c:axId val="8358332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58319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Porcentaje</a:t>
            </a:r>
            <a:r>
              <a:rPr lang="en-US" baseline="0">
                <a:latin typeface="Times New Roman" panose="02020603050405020304" pitchFamily="18" charset="0"/>
                <a:cs typeface="Times New Roman" panose="02020603050405020304" pitchFamily="18" charset="0"/>
              </a:rPr>
              <a:t> de Ejecución POA 4to Trimestre 2025</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Sheet1!$G$2:$G$13</c:f>
              <c:strCache>
                <c:ptCount val="12"/>
                <c:pt idx="0">
                  <c:v>Viceministerio de Seguimiento y Coordinación gubernamental</c:v>
                </c:pt>
                <c:pt idx="1">
                  <c:v>Viceministerio de Desarrollo Social</c:v>
                </c:pt>
                <c:pt idx="2">
                  <c:v>Viceministerio de Relaciones Institucionales</c:v>
                </c:pt>
                <c:pt idx="3">
                  <c:v>Viceministerio de Proyectos de Inversión</c:v>
                </c:pt>
                <c:pt idx="4">
                  <c:v>Dirección de Planificación y Desarrollo</c:v>
                </c:pt>
                <c:pt idx="5">
                  <c:v>Dirección Administrativa Financiera</c:v>
                </c:pt>
                <c:pt idx="6">
                  <c:v>Dirección Jurídica</c:v>
                </c:pt>
                <c:pt idx="7">
                  <c:v>Dirección de Protocolo y Eventos</c:v>
                </c:pt>
                <c:pt idx="8">
                  <c:v>Dirección de Recursos Humanos</c:v>
                </c:pt>
                <c:pt idx="9">
                  <c:v>Dirección de Comunicaciones</c:v>
                </c:pt>
                <c:pt idx="10">
                  <c:v>Dirección de Tecnologías de la Información y Comunicación</c:v>
                </c:pt>
                <c:pt idx="11">
                  <c:v>Departamento de Acceso a la Información</c:v>
                </c:pt>
              </c:strCache>
            </c:strRef>
          </c:cat>
          <c:val>
            <c:numRef>
              <c:f>Sheet1!$H$2:$H$13</c:f>
              <c:numCache>
                <c:formatCode>0%</c:formatCode>
                <c:ptCount val="12"/>
                <c:pt idx="0">
                  <c:v>0.96233076923076921</c:v>
                </c:pt>
                <c:pt idx="1">
                  <c:v>1</c:v>
                </c:pt>
                <c:pt idx="2">
                  <c:v>1</c:v>
                </c:pt>
                <c:pt idx="3">
                  <c:v>0.83350000000000002</c:v>
                </c:pt>
                <c:pt idx="4">
                  <c:v>1</c:v>
                </c:pt>
                <c:pt idx="5">
                  <c:v>0.98239999999999994</c:v>
                </c:pt>
                <c:pt idx="6">
                  <c:v>1</c:v>
                </c:pt>
                <c:pt idx="7">
                  <c:v>1</c:v>
                </c:pt>
                <c:pt idx="8">
                  <c:v>0.9</c:v>
                </c:pt>
                <c:pt idx="9">
                  <c:v>0.98320000000000007</c:v>
                </c:pt>
                <c:pt idx="10">
                  <c:v>1</c:v>
                </c:pt>
                <c:pt idx="11">
                  <c:v>0.97609999999999997</c:v>
                </c:pt>
              </c:numCache>
            </c:numRef>
          </c:val>
          <c:extLst>
            <c:ext xmlns:c16="http://schemas.microsoft.com/office/drawing/2014/chart" uri="{C3380CC4-5D6E-409C-BE32-E72D297353CC}">
              <c16:uniqueId val="{00000000-39DD-4C76-8C77-7386A4BB263A}"/>
            </c:ext>
          </c:extLst>
        </c:ser>
        <c:dLbls>
          <c:showLegendKey val="0"/>
          <c:showVal val="0"/>
          <c:showCatName val="0"/>
          <c:showSerName val="0"/>
          <c:showPercent val="0"/>
          <c:showBubbleSize val="0"/>
        </c:dLbls>
        <c:gapWidth val="219"/>
        <c:overlap val="-27"/>
        <c:axId val="1940106752"/>
        <c:axId val="500807616"/>
      </c:barChart>
      <c:catAx>
        <c:axId val="194010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0807616"/>
        <c:crosses val="autoZero"/>
        <c:auto val="1"/>
        <c:lblAlgn val="ctr"/>
        <c:lblOffset val="100"/>
        <c:noMultiLvlLbl val="0"/>
      </c:catAx>
      <c:valAx>
        <c:axId val="500807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010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latin typeface="Times New Roman" panose="02020603050405020304" pitchFamily="18" charset="0"/>
                <a:cs typeface="Times New Roman" panose="02020603050405020304" pitchFamily="18" charset="0"/>
              </a:rPr>
              <a:t>Distribución</a:t>
            </a:r>
            <a:r>
              <a:rPr lang="en-US" sz="1400" baseline="0">
                <a:latin typeface="Times New Roman" panose="02020603050405020304" pitchFamily="18" charset="0"/>
                <a:cs typeface="Times New Roman" panose="02020603050405020304" pitchFamily="18" charset="0"/>
              </a:rPr>
              <a:t> por Tipo de Proceso de Compras</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Sheet1!$C$2</c:f>
              <c:strCache>
                <c:ptCount val="1"/>
                <c:pt idx="0">
                  <c:v>Cantidad</c:v>
                </c:pt>
              </c:strCache>
            </c:strRef>
          </c:tx>
          <c:dPt>
            <c:idx val="0"/>
            <c:bubble3D val="0"/>
            <c:spPr>
              <a:gradFill rotWithShape="1">
                <a:gsLst>
                  <a:gs pos="0">
                    <a:schemeClr val="accent1">
                      <a:tint val="50000"/>
                      <a:satMod val="103000"/>
                      <a:lumMod val="102000"/>
                      <a:tint val="94000"/>
                    </a:schemeClr>
                  </a:gs>
                  <a:gs pos="50000">
                    <a:schemeClr val="accent1">
                      <a:tint val="50000"/>
                      <a:satMod val="110000"/>
                      <a:lumMod val="100000"/>
                      <a:shade val="100000"/>
                    </a:schemeClr>
                  </a:gs>
                  <a:gs pos="100000">
                    <a:schemeClr val="accent1">
                      <a:tint val="50000"/>
                      <a:lumMod val="99000"/>
                      <a:satMod val="120000"/>
                      <a:shade val="78000"/>
                    </a:schemeClr>
                  </a:gs>
                </a:gsLst>
                <a:lin ang="5400000" scaled="0"/>
              </a:gradFill>
              <a:ln>
                <a:noFill/>
              </a:ln>
              <a:effectLst/>
              <a:sp3d/>
            </c:spPr>
            <c:extLst>
              <c:ext xmlns:c16="http://schemas.microsoft.com/office/drawing/2014/chart" uri="{C3380CC4-5D6E-409C-BE32-E72D297353CC}">
                <c16:uniqueId val="{00000001-CE1A-4D04-BDF0-A7974F6A39CD}"/>
              </c:ext>
            </c:extLst>
          </c:dPt>
          <c:dPt>
            <c:idx val="1"/>
            <c:bubble3D val="0"/>
            <c:spPr>
              <a:gradFill rotWithShape="1">
                <a:gsLst>
                  <a:gs pos="0">
                    <a:schemeClr val="accent1">
                      <a:tint val="70000"/>
                      <a:satMod val="103000"/>
                      <a:lumMod val="102000"/>
                      <a:tint val="94000"/>
                    </a:schemeClr>
                  </a:gs>
                  <a:gs pos="50000">
                    <a:schemeClr val="accent1">
                      <a:tint val="70000"/>
                      <a:satMod val="110000"/>
                      <a:lumMod val="100000"/>
                      <a:shade val="100000"/>
                    </a:schemeClr>
                  </a:gs>
                  <a:gs pos="100000">
                    <a:schemeClr val="accent1">
                      <a:tint val="70000"/>
                      <a:lumMod val="99000"/>
                      <a:satMod val="120000"/>
                      <a:shade val="78000"/>
                    </a:schemeClr>
                  </a:gs>
                </a:gsLst>
                <a:lin ang="5400000" scaled="0"/>
              </a:gradFill>
              <a:ln>
                <a:noFill/>
              </a:ln>
              <a:effectLst/>
              <a:sp3d/>
            </c:spPr>
            <c:extLst>
              <c:ext xmlns:c16="http://schemas.microsoft.com/office/drawing/2014/chart" uri="{C3380CC4-5D6E-409C-BE32-E72D297353CC}">
                <c16:uniqueId val="{00000003-CE1A-4D04-BDF0-A7974F6A39CD}"/>
              </c:ext>
            </c:extLst>
          </c:dPt>
          <c:dPt>
            <c:idx val="2"/>
            <c:bubble3D val="0"/>
            <c:spPr>
              <a:gradFill rotWithShape="1">
                <a:gsLst>
                  <a:gs pos="0">
                    <a:schemeClr val="accent1">
                      <a:tint val="90000"/>
                      <a:satMod val="103000"/>
                      <a:lumMod val="102000"/>
                      <a:tint val="94000"/>
                    </a:schemeClr>
                  </a:gs>
                  <a:gs pos="50000">
                    <a:schemeClr val="accent1">
                      <a:tint val="90000"/>
                      <a:satMod val="110000"/>
                      <a:lumMod val="100000"/>
                      <a:shade val="100000"/>
                    </a:schemeClr>
                  </a:gs>
                  <a:gs pos="100000">
                    <a:schemeClr val="accent1">
                      <a:tint val="90000"/>
                      <a:lumMod val="99000"/>
                      <a:satMod val="120000"/>
                      <a:shade val="78000"/>
                    </a:schemeClr>
                  </a:gs>
                </a:gsLst>
                <a:lin ang="5400000" scaled="0"/>
              </a:gradFill>
              <a:ln>
                <a:noFill/>
              </a:ln>
              <a:effectLst/>
              <a:sp3d/>
            </c:spPr>
            <c:extLst>
              <c:ext xmlns:c16="http://schemas.microsoft.com/office/drawing/2014/chart" uri="{C3380CC4-5D6E-409C-BE32-E72D297353CC}">
                <c16:uniqueId val="{00000005-CE1A-4D04-BDF0-A7974F6A39CD}"/>
              </c:ext>
            </c:extLst>
          </c:dPt>
          <c:dPt>
            <c:idx val="3"/>
            <c:bubble3D val="0"/>
            <c:spPr>
              <a:gradFill rotWithShape="1">
                <a:gsLst>
                  <a:gs pos="0">
                    <a:schemeClr val="accent1">
                      <a:shade val="90000"/>
                      <a:satMod val="103000"/>
                      <a:lumMod val="102000"/>
                      <a:tint val="94000"/>
                    </a:schemeClr>
                  </a:gs>
                  <a:gs pos="50000">
                    <a:schemeClr val="accent1">
                      <a:shade val="90000"/>
                      <a:satMod val="110000"/>
                      <a:lumMod val="100000"/>
                      <a:shade val="100000"/>
                    </a:schemeClr>
                  </a:gs>
                  <a:gs pos="100000">
                    <a:schemeClr val="accent1">
                      <a:shade val="90000"/>
                      <a:lumMod val="99000"/>
                      <a:satMod val="120000"/>
                      <a:shade val="78000"/>
                    </a:schemeClr>
                  </a:gs>
                </a:gsLst>
                <a:lin ang="5400000" scaled="0"/>
              </a:gradFill>
              <a:ln>
                <a:noFill/>
              </a:ln>
              <a:effectLst/>
              <a:sp3d/>
            </c:spPr>
            <c:extLst>
              <c:ext xmlns:c16="http://schemas.microsoft.com/office/drawing/2014/chart" uri="{C3380CC4-5D6E-409C-BE32-E72D297353CC}">
                <c16:uniqueId val="{00000007-CE1A-4D04-BDF0-A7974F6A39CD}"/>
              </c:ext>
            </c:extLst>
          </c:dPt>
          <c:dPt>
            <c:idx val="4"/>
            <c:bubble3D val="0"/>
            <c:spPr>
              <a:gradFill rotWithShape="1">
                <a:gsLst>
                  <a:gs pos="0">
                    <a:schemeClr val="accent1">
                      <a:shade val="70000"/>
                      <a:satMod val="103000"/>
                      <a:lumMod val="102000"/>
                      <a:tint val="94000"/>
                    </a:schemeClr>
                  </a:gs>
                  <a:gs pos="50000">
                    <a:schemeClr val="accent1">
                      <a:shade val="70000"/>
                      <a:satMod val="110000"/>
                      <a:lumMod val="100000"/>
                      <a:shade val="100000"/>
                    </a:schemeClr>
                  </a:gs>
                  <a:gs pos="100000">
                    <a:schemeClr val="accent1">
                      <a:shade val="70000"/>
                      <a:lumMod val="99000"/>
                      <a:satMod val="120000"/>
                      <a:shade val="78000"/>
                    </a:schemeClr>
                  </a:gs>
                </a:gsLst>
                <a:lin ang="5400000" scaled="0"/>
              </a:gradFill>
              <a:ln>
                <a:noFill/>
              </a:ln>
              <a:effectLst/>
              <a:sp3d/>
            </c:spPr>
            <c:extLst>
              <c:ext xmlns:c16="http://schemas.microsoft.com/office/drawing/2014/chart" uri="{C3380CC4-5D6E-409C-BE32-E72D297353CC}">
                <c16:uniqueId val="{00000009-CE1A-4D04-BDF0-A7974F6A39CD}"/>
              </c:ext>
            </c:extLst>
          </c:dPt>
          <c:dPt>
            <c:idx val="5"/>
            <c:bubble3D val="0"/>
            <c:spPr>
              <a:gradFill rotWithShape="1">
                <a:gsLst>
                  <a:gs pos="0">
                    <a:schemeClr val="accent1">
                      <a:shade val="50000"/>
                      <a:satMod val="103000"/>
                      <a:lumMod val="102000"/>
                      <a:tint val="94000"/>
                    </a:schemeClr>
                  </a:gs>
                  <a:gs pos="50000">
                    <a:schemeClr val="accent1">
                      <a:shade val="50000"/>
                      <a:satMod val="110000"/>
                      <a:lumMod val="100000"/>
                      <a:shade val="100000"/>
                    </a:schemeClr>
                  </a:gs>
                  <a:gs pos="100000">
                    <a:schemeClr val="accent1">
                      <a:shade val="50000"/>
                      <a:lumMod val="99000"/>
                      <a:satMod val="120000"/>
                      <a:shade val="78000"/>
                    </a:schemeClr>
                  </a:gs>
                </a:gsLst>
                <a:lin ang="5400000" scaled="0"/>
              </a:gradFill>
              <a:ln>
                <a:noFill/>
              </a:ln>
              <a:effectLst/>
              <a:sp3d/>
            </c:spPr>
            <c:extLst>
              <c:ext xmlns:c16="http://schemas.microsoft.com/office/drawing/2014/chart" uri="{C3380CC4-5D6E-409C-BE32-E72D297353CC}">
                <c16:uniqueId val="{0000000B-CE1A-4D04-BDF0-A7974F6A39CD}"/>
              </c:ext>
            </c:extLst>
          </c:dPt>
          <c:dLbls>
            <c:dLbl>
              <c:idx val="3"/>
              <c:layout>
                <c:manualLayout>
                  <c:x val="-2.5416306574483068E-2"/>
                  <c:y val="-0.1505403305033798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E1A-4D04-BDF0-A7974F6A39CD}"/>
                </c:ext>
              </c:extLst>
            </c:dLbl>
            <c:dLbl>
              <c:idx val="4"/>
              <c:layout>
                <c:manualLayout>
                  <c:x val="-4.2929189872607389E-2"/>
                  <c:y val="-0.1863205472221000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E1A-4D04-BDF0-A7974F6A39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Sheet1!$B$3:$B$8</c:f>
              <c:strCache>
                <c:ptCount val="6"/>
                <c:pt idx="0">
                  <c:v>Compras Menores</c:v>
                </c:pt>
                <c:pt idx="1">
                  <c:v>Compras por Debajo del Umbral</c:v>
                </c:pt>
                <c:pt idx="2">
                  <c:v>Comparación de Precios</c:v>
                </c:pt>
                <c:pt idx="3">
                  <c:v>Subasta Inversa</c:v>
                </c:pt>
                <c:pt idx="4">
                  <c:v>Procesos de Excepción</c:v>
                </c:pt>
                <c:pt idx="5">
                  <c:v>TOTAL</c:v>
                </c:pt>
              </c:strCache>
            </c:strRef>
          </c:cat>
          <c:val>
            <c:numRef>
              <c:f>Sheet1!$C$3:$C$8</c:f>
              <c:numCache>
                <c:formatCode>General</c:formatCode>
                <c:ptCount val="6"/>
                <c:pt idx="0">
                  <c:v>38</c:v>
                </c:pt>
                <c:pt idx="1">
                  <c:v>40</c:v>
                </c:pt>
                <c:pt idx="2">
                  <c:v>4</c:v>
                </c:pt>
                <c:pt idx="3">
                  <c:v>1</c:v>
                </c:pt>
                <c:pt idx="4">
                  <c:v>8</c:v>
                </c:pt>
                <c:pt idx="5">
                  <c:v>91</c:v>
                </c:pt>
              </c:numCache>
            </c:numRef>
          </c:val>
          <c:extLst>
            <c:ext xmlns:c16="http://schemas.microsoft.com/office/drawing/2014/chart" uri="{C3380CC4-5D6E-409C-BE32-E72D297353CC}">
              <c16:uniqueId val="{0000000C-CE1A-4D04-BDF0-A7974F6A39CD}"/>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solidFill>
                  <a:schemeClr val="accent1">
                    <a:lumMod val="50000"/>
                  </a:schemeClr>
                </a:solidFill>
                <a:latin typeface="Times New Roman" panose="02020603050405020304" pitchFamily="18" charset="0"/>
                <a:cs typeface="Times New Roman" panose="02020603050405020304" pitchFamily="18" charset="0"/>
              </a:rPr>
              <a:t>OPINIONES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OPINIONES</c:v>
                </c:pt>
              </c:strCache>
            </c:strRef>
          </c:tx>
          <c:dPt>
            <c:idx val="0"/>
            <c:bubble3D val="0"/>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c:spPr>
            <c:extLst>
              <c:ext xmlns:c16="http://schemas.microsoft.com/office/drawing/2014/chart" uri="{C3380CC4-5D6E-409C-BE32-E72D297353CC}">
                <c16:uniqueId val="{00000001-4E6F-4CBB-A4EA-A8945F0C837A}"/>
              </c:ext>
            </c:extLst>
          </c:dPt>
          <c:dPt>
            <c:idx val="1"/>
            <c:bubble3D val="0"/>
            <c:spPr>
              <a:gradFill rotWithShape="1">
                <a:gsLst>
                  <a:gs pos="0">
                    <a:schemeClr val="accent1">
                      <a:tint val="86000"/>
                      <a:satMod val="103000"/>
                      <a:lumMod val="102000"/>
                      <a:tint val="94000"/>
                    </a:schemeClr>
                  </a:gs>
                  <a:gs pos="50000">
                    <a:schemeClr val="accent1">
                      <a:tint val="86000"/>
                      <a:satMod val="110000"/>
                      <a:lumMod val="100000"/>
                      <a:shade val="100000"/>
                    </a:schemeClr>
                  </a:gs>
                  <a:gs pos="100000">
                    <a:schemeClr val="accent1">
                      <a:tint val="86000"/>
                      <a:lumMod val="99000"/>
                      <a:satMod val="120000"/>
                      <a:shade val="78000"/>
                    </a:schemeClr>
                  </a:gs>
                </a:gsLst>
                <a:lin ang="5400000" scaled="0"/>
              </a:gradFill>
              <a:ln>
                <a:noFill/>
              </a:ln>
              <a:effectLst/>
            </c:spPr>
            <c:extLst>
              <c:ext xmlns:c16="http://schemas.microsoft.com/office/drawing/2014/chart" uri="{C3380CC4-5D6E-409C-BE32-E72D297353CC}">
                <c16:uniqueId val="{00000003-4E6F-4CBB-A4EA-A8945F0C837A}"/>
              </c:ext>
            </c:extLst>
          </c:dPt>
          <c:dPt>
            <c:idx val="2"/>
            <c:bubble3D val="0"/>
            <c:spPr>
              <a:gradFill rotWithShape="1">
                <a:gsLst>
                  <a:gs pos="0">
                    <a:schemeClr val="accent1">
                      <a:shade val="86000"/>
                      <a:satMod val="103000"/>
                      <a:lumMod val="102000"/>
                      <a:tint val="94000"/>
                    </a:schemeClr>
                  </a:gs>
                  <a:gs pos="50000">
                    <a:schemeClr val="accent1">
                      <a:shade val="86000"/>
                      <a:satMod val="110000"/>
                      <a:lumMod val="100000"/>
                      <a:shade val="100000"/>
                    </a:schemeClr>
                  </a:gs>
                  <a:gs pos="100000">
                    <a:schemeClr val="accent1">
                      <a:shade val="86000"/>
                      <a:lumMod val="99000"/>
                      <a:satMod val="120000"/>
                      <a:shade val="78000"/>
                    </a:schemeClr>
                  </a:gs>
                </a:gsLst>
                <a:lin ang="5400000" scaled="0"/>
              </a:gradFill>
              <a:ln>
                <a:noFill/>
              </a:ln>
              <a:effectLst/>
            </c:spPr>
            <c:extLst>
              <c:ext xmlns:c16="http://schemas.microsoft.com/office/drawing/2014/chart" uri="{C3380CC4-5D6E-409C-BE32-E72D297353CC}">
                <c16:uniqueId val="{00000005-4E6F-4CBB-A4EA-A8945F0C837A}"/>
              </c:ext>
            </c:extLst>
          </c:dPt>
          <c:dPt>
            <c:idx val="3"/>
            <c:bubble3D val="0"/>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a:noFill/>
              </a:ln>
              <a:effectLst/>
            </c:spPr>
            <c:extLst>
              <c:ext xmlns:c16="http://schemas.microsoft.com/office/drawing/2014/chart" uri="{C3380CC4-5D6E-409C-BE32-E72D297353CC}">
                <c16:uniqueId val="{00000007-4E6F-4CBB-A4EA-A8945F0C837A}"/>
              </c:ext>
            </c:extLst>
          </c:dPt>
          <c:dLbls>
            <c:dLbl>
              <c:idx val="0"/>
              <c:tx>
                <c:rich>
                  <a:bodyPr/>
                  <a:lstStyle/>
                  <a:p>
                    <a:fld id="{CA4A5CA1-556C-450C-8082-B5148D90606F}" type="CATEGORYNAME">
                      <a:rPr lang="en-US">
                        <a:latin typeface="Times New Roman" panose="02020603050405020304" pitchFamily="18" charset="0"/>
                        <a:cs typeface="Times New Roman" panose="02020603050405020304" pitchFamily="18" charset="0"/>
                      </a:rPr>
                      <a:pPr/>
                      <a:t>[CATEGORY NAME]</a:t>
                    </a:fld>
                    <a:r>
                      <a:rPr lang="en-US" baseline="0"/>
                      <a:t>
</a:t>
                    </a:r>
                    <a:fld id="{21188D90-F084-47AB-9820-0B1947988B14}" type="PERCENTAGE">
                      <a:rPr lang="en-US" baseline="0"/>
                      <a:pPr/>
                      <a:t>[PERCENTAGE]</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6F-4CBB-A4EA-A8945F0C837A}"/>
                </c:ext>
              </c:extLst>
            </c:dLbl>
            <c:dLbl>
              <c:idx val="1"/>
              <c:layout>
                <c:manualLayout>
                  <c:x val="0.18939393939393939"/>
                  <c:y val="-3.08030803080309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6F-4CBB-A4EA-A8945F0C837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Hoja1!$A$2:$A$5</c:f>
              <c:strCache>
                <c:ptCount val="4"/>
                <c:pt idx="0">
                  <c:v>Leyes y decretos </c:v>
                </c:pt>
                <c:pt idx="1">
                  <c:v>Fideicomiso </c:v>
                </c:pt>
                <c:pt idx="2">
                  <c:v>Ciberseguridad</c:v>
                </c:pt>
                <c:pt idx="3">
                  <c:v>Diferentes temas </c:v>
                </c:pt>
              </c:strCache>
            </c:strRef>
          </c:cat>
          <c:val>
            <c:numRef>
              <c:f>Hoja1!$B$2:$B$5</c:f>
              <c:numCache>
                <c:formatCode>General</c:formatCode>
                <c:ptCount val="4"/>
                <c:pt idx="0">
                  <c:v>12</c:v>
                </c:pt>
                <c:pt idx="1">
                  <c:v>8</c:v>
                </c:pt>
                <c:pt idx="2">
                  <c:v>2</c:v>
                </c:pt>
                <c:pt idx="3">
                  <c:v>10</c:v>
                </c:pt>
              </c:numCache>
            </c:numRef>
          </c:val>
          <c:extLst>
            <c:ext xmlns:c16="http://schemas.microsoft.com/office/drawing/2014/chart" uri="{C3380CC4-5D6E-409C-BE32-E72D297353CC}">
              <c16:uniqueId val="{00000008-4E6F-4CBB-A4EA-A8945F0C837A}"/>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0" i="0" u="none" strike="noStrike" kern="1200" cap="none" spc="50" normalizeH="0" baseline="0">
                <a:solidFill>
                  <a:schemeClr val="tx1">
                    <a:lumMod val="65000"/>
                    <a:lumOff val="35000"/>
                  </a:schemeClr>
                </a:solidFill>
                <a:latin typeface="+mj-lt"/>
                <a:ea typeface="+mj-ea"/>
                <a:cs typeface="+mj-cs"/>
              </a:defRPr>
            </a:pPr>
            <a:r>
              <a:rPr lang="en-US">
                <a:latin typeface="Times New Roman" panose="02020603050405020304" pitchFamily="18" charset="0"/>
                <a:cs typeface="Times New Roman" panose="02020603050405020304" pitchFamily="18" charset="0"/>
              </a:rPr>
              <a:t>REVISIÓN DE DOCUMENTOS</a:t>
            </a:r>
          </a:p>
        </c:rich>
      </c:tx>
      <c:overlay val="0"/>
      <c:spPr>
        <a:noFill/>
        <a:ln>
          <a:noFill/>
        </a:ln>
        <a:effectLst/>
      </c:spPr>
      <c:txPr>
        <a:bodyPr rot="0" spcFirstLastPara="1" vertOverflow="ellipsis" vert="horz" wrap="square" anchor="ctr" anchorCtr="1"/>
        <a:lstStyle/>
        <a:p>
          <a:pPr>
            <a:defRPr sz="11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Hoja1!$B$1</c:f>
              <c:strCache>
                <c:ptCount val="1"/>
                <c:pt idx="0">
                  <c:v>REVISIÓN DE DOCUMENTOS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Acuerdos 4</c:v>
                </c:pt>
                <c:pt idx="1">
                  <c:v> Convenios 5</c:v>
                </c:pt>
                <c:pt idx="2">
                  <c:v>Resoluciones 4</c:v>
                </c:pt>
                <c:pt idx="3">
                  <c:v>Nota estrategica 1</c:v>
                </c:pt>
              </c:strCache>
            </c:strRef>
          </c:cat>
          <c:val>
            <c:numRef>
              <c:f>Hoja1!$B$2:$B$5</c:f>
              <c:numCache>
                <c:formatCode>General</c:formatCode>
                <c:ptCount val="4"/>
                <c:pt idx="0">
                  <c:v>5</c:v>
                </c:pt>
                <c:pt idx="1">
                  <c:v>5</c:v>
                </c:pt>
                <c:pt idx="2">
                  <c:v>4</c:v>
                </c:pt>
                <c:pt idx="3">
                  <c:v>1</c:v>
                </c:pt>
              </c:numCache>
            </c:numRef>
          </c:val>
          <c:extLst>
            <c:ext xmlns:c16="http://schemas.microsoft.com/office/drawing/2014/chart" uri="{C3380CC4-5D6E-409C-BE32-E72D297353CC}">
              <c16:uniqueId val="{00000000-2EEB-4740-AB14-4E4FC9248ABF}"/>
            </c:ext>
          </c:extLst>
        </c:ser>
        <c:dLbls>
          <c:dLblPos val="outEnd"/>
          <c:showLegendKey val="0"/>
          <c:showVal val="1"/>
          <c:showCatName val="0"/>
          <c:showSerName val="0"/>
          <c:showPercent val="0"/>
          <c:showBubbleSize val="0"/>
        </c:dLbls>
        <c:gapWidth val="80"/>
        <c:overlap val="25"/>
        <c:axId val="1594935664"/>
        <c:axId val="1563899808"/>
      </c:barChart>
      <c:catAx>
        <c:axId val="15949356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3899808"/>
        <c:crosses val="autoZero"/>
        <c:auto val="1"/>
        <c:lblAlgn val="ctr"/>
        <c:lblOffset val="100"/>
        <c:noMultiLvlLbl val="0"/>
      </c:catAx>
      <c:valAx>
        <c:axId val="1563899808"/>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1594935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ACTAS FIDEICOMISO</c:v>
                </c:pt>
              </c:strCache>
            </c:strRef>
          </c:tx>
          <c:dPt>
            <c:idx val="0"/>
            <c:bubble3D val="0"/>
            <c:spPr>
              <a:solidFill>
                <a:schemeClr val="accent1">
                  <a:shade val="47000"/>
                </a:schemeClr>
              </a:solidFill>
              <a:ln w="19050">
                <a:solidFill>
                  <a:schemeClr val="lt1"/>
                </a:solidFill>
              </a:ln>
              <a:effectLst/>
            </c:spPr>
            <c:extLst>
              <c:ext xmlns:c16="http://schemas.microsoft.com/office/drawing/2014/chart" uri="{C3380CC4-5D6E-409C-BE32-E72D297353CC}">
                <c16:uniqueId val="{00000001-7EA0-4DE7-A3BF-C360C0540BD9}"/>
              </c:ext>
            </c:extLst>
          </c:dPt>
          <c:dPt>
            <c:idx val="1"/>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3-7EA0-4DE7-A3BF-C360C0540BD9}"/>
              </c:ext>
            </c:extLst>
          </c:dPt>
          <c:dPt>
            <c:idx val="2"/>
            <c:bubble3D val="0"/>
            <c:spPr>
              <a:solidFill>
                <a:schemeClr val="accent1">
                  <a:shade val="82000"/>
                </a:schemeClr>
              </a:solidFill>
              <a:ln w="19050">
                <a:solidFill>
                  <a:schemeClr val="lt1"/>
                </a:solidFill>
              </a:ln>
              <a:effectLst/>
            </c:spPr>
            <c:extLst>
              <c:ext xmlns:c16="http://schemas.microsoft.com/office/drawing/2014/chart" uri="{C3380CC4-5D6E-409C-BE32-E72D297353CC}">
                <c16:uniqueId val="{00000005-7EA0-4DE7-A3BF-C360C0540BD9}"/>
              </c:ext>
            </c:extLst>
          </c:dPt>
          <c:dPt>
            <c:idx val="3"/>
            <c:bubble3D val="0"/>
            <c:spPr>
              <a:solidFill>
                <a:schemeClr val="accent1"/>
              </a:solidFill>
              <a:ln w="19050">
                <a:solidFill>
                  <a:schemeClr val="lt1"/>
                </a:solidFill>
              </a:ln>
              <a:effectLst/>
            </c:spPr>
            <c:extLst>
              <c:ext xmlns:c16="http://schemas.microsoft.com/office/drawing/2014/chart" uri="{C3380CC4-5D6E-409C-BE32-E72D297353CC}">
                <c16:uniqueId val="{00000007-7EA0-4DE7-A3BF-C360C0540BD9}"/>
              </c:ext>
            </c:extLst>
          </c:dPt>
          <c:dPt>
            <c:idx val="4"/>
            <c:bubble3D val="0"/>
            <c:spPr>
              <a:solidFill>
                <a:schemeClr val="accent1">
                  <a:tint val="83000"/>
                </a:schemeClr>
              </a:solidFill>
              <a:ln w="19050">
                <a:solidFill>
                  <a:schemeClr val="lt1"/>
                </a:solidFill>
              </a:ln>
              <a:effectLst/>
            </c:spPr>
            <c:extLst>
              <c:ext xmlns:c16="http://schemas.microsoft.com/office/drawing/2014/chart" uri="{C3380CC4-5D6E-409C-BE32-E72D297353CC}">
                <c16:uniqueId val="{00000009-7EA0-4DE7-A3BF-C360C0540BD9}"/>
              </c:ext>
            </c:extLst>
          </c:dPt>
          <c:dPt>
            <c:idx val="5"/>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B-7EA0-4DE7-A3BF-C360C0540BD9}"/>
              </c:ext>
            </c:extLst>
          </c:dPt>
          <c:dPt>
            <c:idx val="6"/>
            <c:bubble3D val="0"/>
            <c:spPr>
              <a:solidFill>
                <a:schemeClr val="accent1">
                  <a:tint val="48000"/>
                </a:schemeClr>
              </a:solidFill>
              <a:ln w="19050">
                <a:solidFill>
                  <a:schemeClr val="lt1"/>
                </a:solidFill>
              </a:ln>
              <a:effectLst/>
            </c:spPr>
            <c:extLst>
              <c:ext xmlns:c16="http://schemas.microsoft.com/office/drawing/2014/chart" uri="{C3380CC4-5D6E-409C-BE32-E72D297353CC}">
                <c16:uniqueId val="{0000000D-7EA0-4DE7-A3BF-C360C0540BD9}"/>
              </c:ext>
            </c:extLst>
          </c:dPt>
          <c:dLbls>
            <c:dLbl>
              <c:idx val="0"/>
              <c:layout>
                <c:manualLayout>
                  <c:x val="-0.24242424242424243"/>
                  <c:y val="3.03030303030303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EA0-4DE7-A3BF-C360C0540BD9}"/>
                </c:ext>
              </c:extLst>
            </c:dLbl>
            <c:dLbl>
              <c:idx val="1"/>
              <c:layout>
                <c:manualLayout>
                  <c:x val="6.8181818181818177E-2"/>
                  <c:y val="-2.59740259740259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EA0-4DE7-A3BF-C360C0540BD9}"/>
                </c:ext>
              </c:extLst>
            </c:dLbl>
            <c:dLbl>
              <c:idx val="6"/>
              <c:layout>
                <c:manualLayout>
                  <c:x val="-0.10353535353535351"/>
                  <c:y val="9.52380952380952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EA0-4DE7-A3BF-C360C0540BD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Hoja1!$A$2:$A$8</c:f>
              <c:strCache>
                <c:ptCount val="7"/>
                <c:pt idx="0">
                  <c:v>FONVIVIENDA</c:v>
                </c:pt>
                <c:pt idx="1">
                  <c:v>FTPN</c:v>
                </c:pt>
                <c:pt idx="2">
                  <c:v>Pro-Pedernales</c:v>
                </c:pt>
                <c:pt idx="3">
                  <c:v>FIMERCA-SD</c:v>
                </c:pt>
                <c:pt idx="4">
                  <c:v>VBC-RD</c:v>
                </c:pt>
                <c:pt idx="5">
                  <c:v>FITRAM</c:v>
                </c:pt>
                <c:pt idx="6">
                  <c:v>FDI</c:v>
                </c:pt>
              </c:strCache>
            </c:strRef>
          </c:cat>
          <c:val>
            <c:numRef>
              <c:f>Hoja1!$B$2:$B$8</c:f>
              <c:numCache>
                <c:formatCode>General</c:formatCode>
                <c:ptCount val="7"/>
                <c:pt idx="0">
                  <c:v>1</c:v>
                </c:pt>
                <c:pt idx="1">
                  <c:v>1</c:v>
                </c:pt>
                <c:pt idx="2">
                  <c:v>2</c:v>
                </c:pt>
                <c:pt idx="3">
                  <c:v>2</c:v>
                </c:pt>
                <c:pt idx="4">
                  <c:v>2</c:v>
                </c:pt>
                <c:pt idx="5">
                  <c:v>6</c:v>
                </c:pt>
                <c:pt idx="6">
                  <c:v>6</c:v>
                </c:pt>
              </c:numCache>
            </c:numRef>
          </c:val>
          <c:extLst>
            <c:ext xmlns:c16="http://schemas.microsoft.com/office/drawing/2014/chart" uri="{C3380CC4-5D6E-409C-BE32-E72D297353CC}">
              <c16:uniqueId val="{0000000E-7EA0-4DE7-A3BF-C360C0540BD9}"/>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Oficios</a:t>
            </a:r>
            <a:r>
              <a:rPr lang="en-US" sz="1200" baseline="0">
                <a:latin typeface="Times New Roman" panose="02020603050405020304" pitchFamily="18" charset="0"/>
                <a:cs typeface="Times New Roman" panose="02020603050405020304" pitchFamily="18" charset="0"/>
              </a:rPr>
              <a:t> Remitidos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Hoja1!$B$1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Litigios, sentencias y actos de alguacil</c:v>
                </c:pt>
                <c:pt idx="1">
                  <c:v>Consultas, análisis y opiniones jurídicas</c:v>
                </c:pt>
                <c:pt idx="2">
                  <c:v>Relativos a decretos y anteproyectos normativos</c:v>
                </c:pt>
                <c:pt idx="3">
                  <c:v>Asuntos administrativos y financieros internos</c:v>
                </c:pt>
                <c:pt idx="4">
                  <c:v>Evaluación de Desempeño Institucional (EDI)</c:v>
                </c:pt>
                <c:pt idx="5">
                  <c:v>Temas internacionales y relaciones exteriores</c:v>
                </c:pt>
              </c:strCache>
            </c:strRef>
          </c:cat>
          <c:val>
            <c:numRef>
              <c:f>Hoja1!$B$2:$B$7</c:f>
              <c:numCache>
                <c:formatCode>General</c:formatCode>
                <c:ptCount val="6"/>
                <c:pt idx="0">
                  <c:v>13</c:v>
                </c:pt>
                <c:pt idx="1">
                  <c:v>13</c:v>
                </c:pt>
                <c:pt idx="2">
                  <c:v>7</c:v>
                </c:pt>
                <c:pt idx="3">
                  <c:v>6</c:v>
                </c:pt>
                <c:pt idx="4">
                  <c:v>3</c:v>
                </c:pt>
                <c:pt idx="5">
                  <c:v>1</c:v>
                </c:pt>
              </c:numCache>
            </c:numRef>
          </c:val>
          <c:extLst>
            <c:ext xmlns:c16="http://schemas.microsoft.com/office/drawing/2014/chart" uri="{C3380CC4-5D6E-409C-BE32-E72D297353CC}">
              <c16:uniqueId val="{00000000-EE4F-4515-A61B-C30D488773B5}"/>
            </c:ext>
          </c:extLst>
        </c:ser>
        <c:dLbls>
          <c:dLblPos val="outEnd"/>
          <c:showLegendKey val="0"/>
          <c:showVal val="1"/>
          <c:showCatName val="0"/>
          <c:showSerName val="0"/>
          <c:showPercent val="0"/>
          <c:showBubbleSize val="0"/>
        </c:dLbls>
        <c:gapWidth val="182"/>
        <c:axId val="1168252640"/>
        <c:axId val="1076339776"/>
      </c:barChart>
      <c:valAx>
        <c:axId val="1076339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8252640"/>
        <c:crosses val="autoZero"/>
        <c:crossBetween val="between"/>
      </c:valAx>
      <c:catAx>
        <c:axId val="1168252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633977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Informes y Opiniones</c:v>
                </c:pt>
              </c:strCache>
            </c:strRef>
          </c:tx>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1-7CF9-4FB5-8A84-04010EDD0F7F}"/>
              </c:ext>
            </c:extLst>
          </c:dPt>
          <c:dPt>
            <c:idx val="1"/>
            <c:bubble3D val="0"/>
            <c:explosion val="8"/>
            <c:spPr>
              <a:solidFill>
                <a:schemeClr val="accent1">
                  <a:shade val="86000"/>
                </a:schemeClr>
              </a:solidFill>
              <a:ln w="19050">
                <a:solidFill>
                  <a:schemeClr val="lt1"/>
                </a:solidFill>
              </a:ln>
              <a:effectLst/>
            </c:spPr>
            <c:extLst>
              <c:ext xmlns:c16="http://schemas.microsoft.com/office/drawing/2014/chart" uri="{C3380CC4-5D6E-409C-BE32-E72D297353CC}">
                <c16:uniqueId val="{00000003-7CF9-4FB5-8A84-04010EDD0F7F}"/>
              </c:ext>
            </c:extLst>
          </c:dPt>
          <c:dPt>
            <c:idx val="2"/>
            <c:bubble3D val="0"/>
            <c:spPr>
              <a:solidFill>
                <a:schemeClr val="accent1">
                  <a:tint val="86000"/>
                </a:schemeClr>
              </a:solidFill>
              <a:ln w="19050">
                <a:solidFill>
                  <a:schemeClr val="lt1"/>
                </a:solidFill>
              </a:ln>
              <a:effectLst/>
            </c:spPr>
            <c:extLst>
              <c:ext xmlns:c16="http://schemas.microsoft.com/office/drawing/2014/chart" uri="{C3380CC4-5D6E-409C-BE32-E72D297353CC}">
                <c16:uniqueId val="{00000005-7CF9-4FB5-8A84-04010EDD0F7F}"/>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7-7CF9-4FB5-8A84-04010EDD0F7F}"/>
              </c:ext>
            </c:extLst>
          </c:dPt>
          <c:dLbls>
            <c:dLbl>
              <c:idx val="0"/>
              <c:layout>
                <c:manualLayout>
                  <c:x val="7.5757575757575857E-2"/>
                  <c:y val="5.20059435364041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CF9-4FB5-8A84-04010EDD0F7F}"/>
                </c:ext>
              </c:extLst>
            </c:dLbl>
            <c:dLbl>
              <c:idx val="1"/>
              <c:layout>
                <c:manualLayout>
                  <c:x val="0.23484848484848475"/>
                  <c:y val="-5.2005943536404163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4769"/>
                        <a:gd name="adj2" fmla="val -37549"/>
                      </a:avLst>
                    </a:prstGeom>
                    <a:noFill/>
                    <a:ln>
                      <a:noFill/>
                    </a:ln>
                  </c15:spPr>
                </c:ext>
                <c:ext xmlns:c16="http://schemas.microsoft.com/office/drawing/2014/chart" uri="{C3380CC4-5D6E-409C-BE32-E72D297353CC}">
                  <c16:uniqueId val="{00000003-7CF9-4FB5-8A84-04010EDD0F7F}"/>
                </c:ext>
              </c:extLst>
            </c:dLbl>
            <c:dLbl>
              <c:idx val="3"/>
              <c:layout>
                <c:manualLayout>
                  <c:x val="-4.7979797979797977E-2"/>
                  <c:y val="2.97176820208023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CF9-4FB5-8A84-04010EDD0F7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Hoja1!$A$2:$A$5</c:f>
              <c:strCache>
                <c:ptCount val="4"/>
                <c:pt idx="0">
                  <c:v>Informes sobre litigios y casos judiciales</c:v>
                </c:pt>
                <c:pt idx="1">
                  <c:v>Opiniones sobre normativas, leyes y decretos</c:v>
                </c:pt>
                <c:pt idx="2">
                  <c:v>Análisis y revisiones institucionales </c:v>
                </c:pt>
                <c:pt idx="3">
                  <c:v>Respuestas a solicitudes técnicas y administrativas</c:v>
                </c:pt>
              </c:strCache>
            </c:strRef>
          </c:cat>
          <c:val>
            <c:numRef>
              <c:f>Hoja1!$B$2:$B$5</c:f>
              <c:numCache>
                <c:formatCode>General</c:formatCode>
                <c:ptCount val="4"/>
                <c:pt idx="0">
                  <c:v>4</c:v>
                </c:pt>
                <c:pt idx="1">
                  <c:v>6</c:v>
                </c:pt>
                <c:pt idx="2">
                  <c:v>2</c:v>
                </c:pt>
                <c:pt idx="3">
                  <c:v>3</c:v>
                </c:pt>
              </c:numCache>
            </c:numRef>
          </c:val>
          <c:extLst>
            <c:ext xmlns:c16="http://schemas.microsoft.com/office/drawing/2014/chart" uri="{C3380CC4-5D6E-409C-BE32-E72D297353CC}">
              <c16:uniqueId val="{00000008-7CF9-4FB5-8A84-04010EDD0F7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Demandas, recursos y acciones recibidas </c:v>
                </c:pt>
              </c:strCache>
            </c:strRef>
          </c:tx>
          <c:explosion val="9"/>
          <c:dPt>
            <c:idx val="0"/>
            <c:bubble3D val="0"/>
            <c:spPr>
              <a:solidFill>
                <a:schemeClr val="accent1">
                  <a:shade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82A-480B-83AA-A99692797311}"/>
              </c:ext>
            </c:extLst>
          </c:dPt>
          <c:dPt>
            <c:idx val="1"/>
            <c:bubble3D val="0"/>
            <c:spPr>
              <a:solidFill>
                <a:schemeClr val="accent1">
                  <a:shade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82A-480B-83AA-A99692797311}"/>
              </c:ext>
            </c:extLst>
          </c:dPt>
          <c:dPt>
            <c:idx val="2"/>
            <c:bubble3D val="0"/>
            <c:spPr>
              <a:solidFill>
                <a:schemeClr val="accent1">
                  <a:tint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82A-480B-83AA-A99692797311}"/>
              </c:ext>
            </c:extLst>
          </c:dPt>
          <c:dPt>
            <c:idx val="3"/>
            <c:bubble3D val="0"/>
            <c:spPr>
              <a:solidFill>
                <a:schemeClr val="accent1">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82A-480B-83AA-A99692797311}"/>
              </c:ext>
            </c:extLst>
          </c:dPt>
          <c:dLbls>
            <c:dLbl>
              <c:idx val="0"/>
              <c:layout>
                <c:manualLayout>
                  <c:x val="0.12878787878787859"/>
                  <c:y val="1.298701298701298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2A-480B-83AA-A99692797311}"/>
                </c:ext>
              </c:extLst>
            </c:dLbl>
            <c:dLbl>
              <c:idx val="1"/>
              <c:layout>
                <c:manualLayout>
                  <c:x val="0.14141414141414133"/>
                  <c:y val="7.79220779220779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82A-480B-83AA-A99692797311}"/>
                </c:ext>
              </c:extLst>
            </c:dLbl>
            <c:dLbl>
              <c:idx val="2"/>
              <c:layout>
                <c:manualLayout>
                  <c:x val="-0.21717171717171718"/>
                  <c:y val="-5.194805194805210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82A-480B-83AA-A99692797311}"/>
                </c:ext>
              </c:extLst>
            </c:dLbl>
            <c:dLbl>
              <c:idx val="3"/>
              <c:layout>
                <c:manualLayout>
                  <c:x val="-0.1262626262626263"/>
                  <c:y val="5.62770562770562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82A-480B-83AA-A9969279731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Civil</c:v>
                </c:pt>
                <c:pt idx="1">
                  <c:v>Constitucional</c:v>
                </c:pt>
                <c:pt idx="2">
                  <c:v>Contencioso-administrativo</c:v>
                </c:pt>
                <c:pt idx="3">
                  <c:v>Inmobiliario</c:v>
                </c:pt>
              </c:strCache>
            </c:strRef>
          </c:cat>
          <c:val>
            <c:numRef>
              <c:f>Hoja1!$B$2:$B$5</c:f>
              <c:numCache>
                <c:formatCode>General</c:formatCode>
                <c:ptCount val="4"/>
                <c:pt idx="0">
                  <c:v>1</c:v>
                </c:pt>
                <c:pt idx="1">
                  <c:v>1</c:v>
                </c:pt>
                <c:pt idx="2">
                  <c:v>14</c:v>
                </c:pt>
                <c:pt idx="3">
                  <c:v>2</c:v>
                </c:pt>
              </c:numCache>
            </c:numRef>
          </c:val>
          <c:extLst>
            <c:ext xmlns:c16="http://schemas.microsoft.com/office/drawing/2014/chart" uri="{C3380CC4-5D6E-409C-BE32-E72D297353CC}">
              <c16:uniqueId val="{00000008-782A-480B-83AA-A99692797311}"/>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Resultados de Procesos Ejecutados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Resultados de Procesos Ejecutados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Adjudicados</c:v>
                </c:pt>
                <c:pt idx="1">
                  <c:v>En proceso</c:v>
                </c:pt>
                <c:pt idx="2">
                  <c:v>Cancelado</c:v>
                </c:pt>
              </c:strCache>
            </c:strRef>
          </c:cat>
          <c:val>
            <c:numRef>
              <c:f>Hoja1!$B$2:$B$4</c:f>
              <c:numCache>
                <c:formatCode>General</c:formatCode>
                <c:ptCount val="3"/>
                <c:pt idx="0">
                  <c:v>7</c:v>
                </c:pt>
                <c:pt idx="1">
                  <c:v>2</c:v>
                </c:pt>
                <c:pt idx="2">
                  <c:v>1</c:v>
                </c:pt>
              </c:numCache>
            </c:numRef>
          </c:val>
          <c:extLst>
            <c:ext xmlns:c16="http://schemas.microsoft.com/office/drawing/2014/chart" uri="{C3380CC4-5D6E-409C-BE32-E72D297353CC}">
              <c16:uniqueId val="{00000000-998B-4355-A97E-5BEE6334987B}"/>
            </c:ext>
          </c:extLst>
        </c:ser>
        <c:dLbls>
          <c:dLblPos val="outEnd"/>
          <c:showLegendKey val="0"/>
          <c:showVal val="1"/>
          <c:showCatName val="0"/>
          <c:showSerName val="0"/>
          <c:showPercent val="0"/>
          <c:showBubbleSize val="0"/>
        </c:dLbls>
        <c:gapWidth val="219"/>
        <c:overlap val="-27"/>
        <c:axId val="139931600"/>
        <c:axId val="340980176"/>
      </c:barChart>
      <c:catAx>
        <c:axId val="13993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0980176"/>
        <c:crosses val="autoZero"/>
        <c:auto val="1"/>
        <c:lblAlgn val="ctr"/>
        <c:lblOffset val="100"/>
        <c:noMultiLvlLbl val="0"/>
      </c:catAx>
      <c:valAx>
        <c:axId val="34098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931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QRS_Provincias_2025!$G$5:$G$36</cx:f>
        <cx:nf>QRS_Provincias_2025!$G$4</cx:nf>
        <cx:lvl ptCount="32" name="Provincia">
          <cx:pt idx="0">Santo Domingo</cx:pt>
          <cx:pt idx="1">Distrito Nacional</cx:pt>
          <cx:pt idx="2">Santiago</cx:pt>
          <cx:pt idx="3">San Cristóbal</cx:pt>
          <cx:pt idx="4">La Vega</cx:pt>
          <cx:pt idx="5">La Altagracia</cx:pt>
          <cx:pt idx="6">San Pedro de Macorís</cx:pt>
          <cx:pt idx="7">La Romana</cx:pt>
          <cx:pt idx="8">Puerto Plata</cx:pt>
          <cx:pt idx="9">San Juan</cx:pt>
          <cx:pt idx="10">Barahona</cx:pt>
          <cx:pt idx="11">Monte Plata</cx:pt>
          <cx:pt idx="12">Azua</cx:pt>
          <cx:pt idx="13">Duarte</cx:pt>
          <cx:pt idx="14">Espaillat</cx:pt>
          <cx:pt idx="15">Peravia</cx:pt>
          <cx:pt idx="16">Monseñor Nouel</cx:pt>
          <cx:pt idx="17">Valverde</cx:pt>
          <cx:pt idx="18">Sánchez Ramírez</cx:pt>
          <cx:pt idx="19">María Trinidad Sánchez</cx:pt>
          <cx:pt idx="20">Bahoruco</cx:pt>
          <cx:pt idx="21">San José de Ocoa</cx:pt>
          <cx:pt idx="22">Samaná</cx:pt>
          <cx:pt idx="23">El Seibo</cx:pt>
          <cx:pt idx="24">Hato Mayor</cx:pt>
          <cx:pt idx="25">Monte Cristi</cx:pt>
          <cx:pt idx="26">Hermanas Mirabal</cx:pt>
          <cx:pt idx="27">Elías Piña</cx:pt>
          <cx:pt idx="28">Santiago Rodríguez</cx:pt>
          <cx:pt idx="29">Independencia</cx:pt>
          <cx:pt idx="30">Pedernales</cx:pt>
          <cx:pt idx="31">Dajabón</cx:pt>
        </cx:lvl>
      </cx:strDim>
      <cx:numDim type="colorVal">
        <cx:f>QRS_Provincias_2025!$H$5:$H$36</cx:f>
        <cx:nf>QRS_Provincias_2025!$H$4</cx:nf>
        <cx:lvl ptCount="32" formatCode="_(* #,##0_);_(* \(#,##0\);_(* &quot;-&quot;??_);_(@_)" name=" Casos ">
          <cx:pt idx="0">3166</cx:pt>
          <cx:pt idx="1">1170</cx:pt>
          <cx:pt idx="2">669</cx:pt>
          <cx:pt idx="3">368</cx:pt>
          <cx:pt idx="4">367</cx:pt>
          <cx:pt idx="5">319</cx:pt>
          <cx:pt idx="6">167</cx:pt>
          <cx:pt idx="7">162</cx:pt>
          <cx:pt idx="8">155</cx:pt>
          <cx:pt idx="9">135</cx:pt>
          <cx:pt idx="10">130</cx:pt>
          <cx:pt idx="11">103</cx:pt>
          <cx:pt idx="12">94</cx:pt>
          <cx:pt idx="13">90</cx:pt>
          <cx:pt idx="14">71</cx:pt>
          <cx:pt idx="15">71</cx:pt>
          <cx:pt idx="16">63</cx:pt>
          <cx:pt idx="17">58</cx:pt>
          <cx:pt idx="18">53</cx:pt>
          <cx:pt idx="19">53</cx:pt>
          <cx:pt idx="20">48</cx:pt>
          <cx:pt idx="21">47</cx:pt>
          <cx:pt idx="22">45</cx:pt>
          <cx:pt idx="23">44</cx:pt>
          <cx:pt idx="24">40</cx:pt>
          <cx:pt idx="25">33</cx:pt>
          <cx:pt idx="26">30</cx:pt>
          <cx:pt idx="27">28</cx:pt>
          <cx:pt idx="28">24</cx:pt>
          <cx:pt idx="29">22</cx:pt>
          <cx:pt idx="30">12</cx:pt>
          <cx:pt idx="31">5</cx:pt>
        </cx:lvl>
      </cx:numDim>
    </cx:data>
  </cx:chartData>
  <cx:chart>
    <cx:plotArea>
      <cx:plotAreaRegion>
        <cx:series layoutId="regionMap" uniqueId="{5185E5E3-B0EE-492A-BBA7-6DDA995F0B87}">
          <cx:tx>
            <cx:txData>
              <cx:f>QRS_Provincias_2025!$H$4</cx:f>
              <cx:v> Casos </cx:v>
            </cx:txData>
          </cx:tx>
          <cx:dataLabels>
            <cx:visibility seriesName="0" categoryName="0" value="1"/>
            <cx:separator>, </cx:separator>
          </cx:dataLabels>
          <cx:dataId val="0"/>
          <cx:layoutPr>
            <cx:geography cultureLanguage="es-ES" cultureRegion="DO" attribution="Con tecnología de Bing">
              <cx:geoCache provider="{E9337A44-BEBE-4D9F-B70C-5C5E7DAFC167}">
                <cx:binary>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</cx:binary>
              </cx:geoCache>
            </cx:geography>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c55b3a8-885d-4065-8e90-80480d93f5f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EACA4B66A4194CAC558C2D527A1D76" ma:contentTypeVersion="16" ma:contentTypeDescription="Create a new document." ma:contentTypeScope="" ma:versionID="1e0aad278da6d469cf044dee23d2b95b">
  <xsd:schema xmlns:xsd="http://www.w3.org/2001/XMLSchema" xmlns:xs="http://www.w3.org/2001/XMLSchema" xmlns:p="http://schemas.microsoft.com/office/2006/metadata/properties" xmlns:ns3="0c55b3a8-885d-4065-8e90-80480d93f5fc" xmlns:ns4="03ad46b5-653d-49f3-9682-3a74e4d18eb7" targetNamespace="http://schemas.microsoft.com/office/2006/metadata/properties" ma:root="true" ma:fieldsID="eb1f39f6d87f3b67b215a3a5fd0c44a5" ns3:_="" ns4:_="">
    <xsd:import namespace="0c55b3a8-885d-4065-8e90-80480d93f5fc"/>
    <xsd:import namespace="03ad46b5-653d-49f3-9682-3a74e4d18eb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5b3a8-885d-4065-8e90-80480d93f5f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d46b5-653d-49f3-9682-3a74e4d18eb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670EC-7DF8-48C7-99E1-25559078F8F0}">
  <ds:schemaRefs>
    <ds:schemaRef ds:uri="http://schemas.microsoft.com/sharepoint/v3/contenttype/forms"/>
  </ds:schemaRefs>
</ds:datastoreItem>
</file>

<file path=customXml/itemProps2.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customXml/itemProps3.xml><?xml version="1.0" encoding="utf-8"?>
<ds:datastoreItem xmlns:ds="http://schemas.openxmlformats.org/officeDocument/2006/customXml" ds:itemID="{450707EF-5496-49DF-B6E7-B887ABAB20AC}">
  <ds:schemaRefs>
    <ds:schemaRef ds:uri="http://schemas.microsoft.com/office/2006/metadata/properties"/>
    <ds:schemaRef ds:uri="http://schemas.microsoft.com/office/infopath/2007/PartnerControls"/>
    <ds:schemaRef ds:uri="0c55b3a8-885d-4065-8e90-80480d93f5fc"/>
  </ds:schemaRefs>
</ds:datastoreItem>
</file>

<file path=customXml/itemProps4.xml><?xml version="1.0" encoding="utf-8"?>
<ds:datastoreItem xmlns:ds="http://schemas.openxmlformats.org/officeDocument/2006/customXml" ds:itemID="{264F048B-63C9-4F74-8A44-742DC5939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5b3a8-885d-4065-8e90-80480d93f5fc"/>
    <ds:schemaRef ds:uri="03ad46b5-653d-49f3-9682-3a74e4d18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284</Pages>
  <Words>53976</Words>
  <Characters>307665</Characters>
  <Application>Microsoft Office Word</Application>
  <DocSecurity>0</DocSecurity>
  <Lines>2563</Lines>
  <Paragraphs>721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Maria Benitez</cp:lastModifiedBy>
  <cp:revision>11</cp:revision>
  <cp:lastPrinted>2021-11-04T17:14:00Z</cp:lastPrinted>
  <dcterms:created xsi:type="dcterms:W3CDTF">2025-12-23T15:10:00Z</dcterms:created>
  <dcterms:modified xsi:type="dcterms:W3CDTF">2025-12-23T16:24:00Z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0x0101001EEACA4B66A4194CAC558C2D527A1D76</vt:lpwstr>
  </property>
</Properties>
</file>