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xml" ContentType="application/vnd.openxmlformats-officedocument.themeOverride+xml"/>
  <Override PartName="/word/charts/chart14.xml" ContentType="application/vnd.openxmlformats-officedocument.drawingml.chart+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2.xml" ContentType="application/vnd.openxmlformats-officedocument.themeOverrid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2EFB2805" w:rsidR="008D7F4E" w:rsidRPr="00AB1A1D" w:rsidRDefault="008D7F4E" w:rsidP="008D7F4E">
      <w:pPr>
        <w:rPr>
          <w:color w:val="D5B788"/>
          <w:lang w:val="es-DO"/>
        </w:rPr>
      </w:pPr>
    </w:p>
    <w:p w14:paraId="24A9A258" w14:textId="743B0541" w:rsidR="008D7F4E" w:rsidRPr="00AB1A1D" w:rsidRDefault="006A76E5" w:rsidP="008D7F4E">
      <w:pPr>
        <w:rPr>
          <w:color w:val="D5B788"/>
          <w:lang w:val="es-DO"/>
        </w:rPr>
      </w:pPr>
      <w:bookmarkStart w:id="0" w:name="_Hlk184219218"/>
      <w:bookmarkEnd w:id="0"/>
      <w:r w:rsidRPr="002B4451">
        <w:rPr>
          <w:noProof/>
        </w:rPr>
        <w:drawing>
          <wp:anchor distT="0" distB="0" distL="114300" distR="114300" simplePos="0" relativeHeight="251737088" behindDoc="0" locked="0" layoutInCell="1" allowOverlap="1" wp14:anchorId="35709400" wp14:editId="11F02B0D">
            <wp:simplePos x="0" y="0"/>
            <wp:positionH relativeFrom="column">
              <wp:posOffset>2360457</wp:posOffset>
            </wp:positionH>
            <wp:positionV relativeFrom="paragraph">
              <wp:posOffset>70485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1AC5E2C3" w14:textId="77777777" w:rsidR="008D7F4E" w:rsidRPr="00AB1A1D" w:rsidRDefault="008D7F4E" w:rsidP="008D7F4E">
      <w:pPr>
        <w:rPr>
          <w:color w:val="D5B788"/>
          <w:lang w:val="es-DO"/>
        </w:rPr>
      </w:pPr>
    </w:p>
    <w:p w14:paraId="34990FAF" w14:textId="52B5DA41" w:rsidR="008D7F4E" w:rsidRPr="00AB1A1D" w:rsidRDefault="008D7F4E" w:rsidP="008D7F4E">
      <w:pPr>
        <w:rPr>
          <w:color w:val="D5B788"/>
          <w:lang w:val="es-DO"/>
        </w:rPr>
      </w:pPr>
      <w:bookmarkStart w:id="1" w:name="_Hlk86404256"/>
      <w:bookmarkEnd w:id="1"/>
    </w:p>
    <w:p w14:paraId="6EFB72EE" w14:textId="272B2AD6" w:rsidR="008D7F4E" w:rsidRPr="00AB1A1D" w:rsidRDefault="008D7F4E" w:rsidP="008D7F4E">
      <w:pPr>
        <w:rPr>
          <w:color w:val="D5B788"/>
          <w:lang w:val="es-DO"/>
        </w:rPr>
      </w:pPr>
    </w:p>
    <w:p w14:paraId="3F7503CE" w14:textId="172B5CFE" w:rsidR="008D7F4E" w:rsidRPr="00AB1A1D" w:rsidRDefault="008D7F4E" w:rsidP="008D7F4E">
      <w:pPr>
        <w:rPr>
          <w:color w:val="D5B788"/>
          <w:lang w:val="es-DO"/>
        </w:rPr>
      </w:pPr>
    </w:p>
    <w:p w14:paraId="071FCCAE" w14:textId="759B330B" w:rsidR="008D7F4E" w:rsidRPr="00AB1A1D" w:rsidRDefault="00A63A00" w:rsidP="008D7F4E">
      <w:pPr>
        <w:rPr>
          <w:color w:val="D5B788"/>
          <w:lang w:val="es-DO"/>
        </w:rPr>
      </w:pPr>
      <w:r w:rsidRPr="00AB1A1D">
        <w:rPr>
          <w:noProof/>
          <w:color w:val="D5B788"/>
          <w:lang w:val="es-DO" w:eastAsia="es-DO"/>
        </w:rPr>
        <mc:AlternateContent>
          <mc:Choice Requires="wps">
            <w:drawing>
              <wp:anchor distT="0" distB="0" distL="114300" distR="114300" simplePos="0" relativeHeight="251654144" behindDoc="0" locked="0" layoutInCell="1" allowOverlap="1" wp14:anchorId="49B1C421" wp14:editId="3954BC11">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CF6646" w:rsidRDefault="008D7F4E" w:rsidP="008D7F4E">
                            <w:pPr>
                              <w:spacing w:before="20"/>
                              <w:ind w:left="14"/>
                              <w:rPr>
                                <w:b/>
                                <w:bCs/>
                                <w:color w:val="D5B788"/>
                                <w:spacing w:val="9"/>
                                <w:kern w:val="24"/>
                                <w:sz w:val="20"/>
                                <w:szCs w:val="20"/>
                              </w:rPr>
                            </w:pPr>
                            <w:r w:rsidRPr="00CF6646">
                              <w:rPr>
                                <w:b/>
                                <w:bCs/>
                                <w:color w:val="D5B788"/>
                                <w:spacing w:val="9"/>
                                <w:kern w:val="24"/>
                                <w:sz w:val="20"/>
                                <w:szCs w:val="20"/>
                              </w:rPr>
                              <w:t>REPÚBLICA</w:t>
                            </w:r>
                            <w:r w:rsidRPr="00CF6646">
                              <w:rPr>
                                <w:b/>
                                <w:bCs/>
                                <w:color w:val="D5B788"/>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CF6646" w:rsidRDefault="008D7F4E" w:rsidP="008D7F4E">
                      <w:pPr>
                        <w:spacing w:before="20"/>
                        <w:ind w:left="14"/>
                        <w:rPr>
                          <w:b/>
                          <w:bCs/>
                          <w:color w:val="D5B788"/>
                          <w:spacing w:val="9"/>
                          <w:kern w:val="24"/>
                          <w:sz w:val="20"/>
                          <w:szCs w:val="20"/>
                        </w:rPr>
                      </w:pPr>
                      <w:r w:rsidRPr="00CF6646">
                        <w:rPr>
                          <w:b/>
                          <w:bCs/>
                          <w:color w:val="D5B788"/>
                          <w:spacing w:val="9"/>
                          <w:kern w:val="24"/>
                          <w:sz w:val="20"/>
                          <w:szCs w:val="20"/>
                        </w:rPr>
                        <w:t>REPÚBLICA</w:t>
                      </w:r>
                      <w:r w:rsidRPr="00CF6646">
                        <w:rPr>
                          <w:b/>
                          <w:bCs/>
                          <w:color w:val="D5B788"/>
                          <w:spacing w:val="11"/>
                          <w:kern w:val="24"/>
                          <w:sz w:val="20"/>
                          <w:szCs w:val="20"/>
                        </w:rPr>
                        <w:t xml:space="preserve"> DOMINICANA</w:t>
                      </w:r>
                    </w:p>
                  </w:txbxContent>
                </v:textbox>
              </v:shape>
            </w:pict>
          </mc:Fallback>
        </mc:AlternateContent>
      </w:r>
    </w:p>
    <w:p w14:paraId="69FBF6B1" w14:textId="7ADAC71B" w:rsidR="008D7F4E" w:rsidRPr="00AB1A1D" w:rsidRDefault="008D7F4E" w:rsidP="008D7F4E">
      <w:pPr>
        <w:rPr>
          <w:color w:val="D5B788"/>
          <w:lang w:val="es-DO"/>
        </w:rPr>
      </w:pPr>
    </w:p>
    <w:p w14:paraId="0233C915" w14:textId="77777777" w:rsidR="008D7F4E" w:rsidRPr="00AB1A1D" w:rsidRDefault="008D7F4E" w:rsidP="008D7F4E">
      <w:pPr>
        <w:rPr>
          <w:color w:val="D5B788"/>
          <w:lang w:val="es-DO"/>
        </w:rPr>
      </w:pPr>
    </w:p>
    <w:p w14:paraId="274DCED8" w14:textId="437D501A" w:rsidR="004F2DD5" w:rsidRPr="00AB1A1D" w:rsidRDefault="006A76E5" w:rsidP="004F2DD5">
      <w:pPr>
        <w:rPr>
          <w:color w:val="D5B788"/>
        </w:rPr>
      </w:pPr>
      <w:r>
        <w:rPr>
          <w:noProof/>
        </w:rPr>
        <mc:AlternateContent>
          <mc:Choice Requires="wpg">
            <w:drawing>
              <wp:anchor distT="0" distB="0" distL="114300" distR="114300" simplePos="0" relativeHeight="251739136" behindDoc="0" locked="0" layoutInCell="1" allowOverlap="1" wp14:anchorId="76ADEDF3" wp14:editId="4C26185E">
                <wp:simplePos x="0" y="0"/>
                <wp:positionH relativeFrom="column">
                  <wp:posOffset>1991995</wp:posOffset>
                </wp:positionH>
                <wp:positionV relativeFrom="paragraph">
                  <wp:posOffset>4214657</wp:posOffset>
                </wp:positionV>
                <wp:extent cx="2059940" cy="749935"/>
                <wp:effectExtent l="0" t="0" r="0" b="0"/>
                <wp:wrapNone/>
                <wp:docPr id="682202520"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12887293"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95899114"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3B184056" id="Group 13" o:spid="_x0000_s1026" style="position:absolute;margin-left:156.85pt;margin-top:331.85pt;width:162.2pt;height:59.05pt;z-index:251739136;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">
                  <v:imagedata r:id="rId12" o:title=""/>
                </v:shape>
              </v:group>
            </w:pict>
          </mc:Fallback>
        </mc:AlternateContent>
      </w:r>
      <w:r w:rsidR="00C64CEF" w:rsidRPr="00AB1A1D">
        <w:rPr>
          <w:noProof/>
          <w:color w:val="D5B788"/>
          <w:lang w:val="es-DO" w:eastAsia="es-DO"/>
        </w:rPr>
        <mc:AlternateContent>
          <mc:Choice Requires="wps">
            <w:drawing>
              <wp:anchor distT="0" distB="0" distL="114300" distR="114300" simplePos="0" relativeHeight="251652096" behindDoc="0" locked="0" layoutInCell="1" allowOverlap="1" wp14:anchorId="0C109D41" wp14:editId="5CC383D3">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CF6646" w:rsidRDefault="00654164" w:rsidP="00654164">
                            <w:pPr>
                              <w:spacing w:after="0"/>
                              <w:jc w:val="center"/>
                              <w:rPr>
                                <w:b/>
                                <w:bCs/>
                                <w:color w:val="D5B788"/>
                                <w:spacing w:val="60"/>
                                <w:kern w:val="24"/>
                                <w:sz w:val="56"/>
                                <w:szCs w:val="56"/>
                                <w:lang w:val="es-DO"/>
                              </w:rPr>
                            </w:pPr>
                            <w:r w:rsidRPr="00CF6646">
                              <w:rPr>
                                <w:b/>
                                <w:bCs/>
                                <w:color w:val="D5B788"/>
                                <w:spacing w:val="60"/>
                                <w:kern w:val="24"/>
                                <w:sz w:val="56"/>
                                <w:szCs w:val="56"/>
                                <w:lang w:val="es-DO"/>
                              </w:rPr>
                              <w:t xml:space="preserve">MEMORIA </w:t>
                            </w:r>
                          </w:p>
                          <w:p w14:paraId="79797032" w14:textId="77777777" w:rsidR="00654164" w:rsidRPr="00CF6646" w:rsidRDefault="00654164" w:rsidP="00654164">
                            <w:pPr>
                              <w:spacing w:after="0"/>
                              <w:jc w:val="center"/>
                              <w:rPr>
                                <w:b/>
                                <w:bCs/>
                                <w:color w:val="D5B788"/>
                                <w:spacing w:val="60"/>
                                <w:kern w:val="24"/>
                                <w:sz w:val="56"/>
                                <w:szCs w:val="56"/>
                                <w:lang w:val="es-DO"/>
                              </w:rPr>
                            </w:pPr>
                            <w:r w:rsidRPr="00CF6646">
                              <w:rPr>
                                <w:b/>
                                <w:bCs/>
                                <w:color w:val="D5B788"/>
                                <w:spacing w:val="60"/>
                                <w:kern w:val="24"/>
                                <w:sz w:val="56"/>
                                <w:szCs w:val="56"/>
                                <w:lang w:val="es-DO"/>
                              </w:rPr>
                              <w:t>INSTITUCIONAL</w:t>
                            </w:r>
                          </w:p>
                          <w:p w14:paraId="0C3AA7DD" w14:textId="4D898DC8" w:rsidR="008D7F4E" w:rsidRPr="00CF6646"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C109D41" id="_x0000_t202" coordsize="21600,21600" o:spt="202" path="m,l,21600r21600,l21600,xe">
                <v:stroke joinstyle="miter"/>
                <v:path gradientshapeok="t" o:connecttype="rect"/>
              </v:shapetype>
              <v:shape id="object 4" o:spid="_x0000_s1027" type="#_x0000_t202" style="position:absolute;margin-left:24.3pt;margin-top:103.3pt;width:453.45pt;height:77.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" filled="f" stroked="f">
                <v:textbox inset="0,1.35pt,0,0">
                  <w:txbxContent>
                    <w:p w14:paraId="31112306" w14:textId="77777777" w:rsidR="00654164" w:rsidRPr="00CF6646" w:rsidRDefault="00654164" w:rsidP="00654164">
                      <w:pPr>
                        <w:spacing w:after="0"/>
                        <w:jc w:val="center"/>
                        <w:rPr>
                          <w:b/>
                          <w:bCs/>
                          <w:color w:val="D5B788"/>
                          <w:spacing w:val="60"/>
                          <w:kern w:val="24"/>
                          <w:sz w:val="56"/>
                          <w:szCs w:val="56"/>
                          <w:lang w:val="es-DO"/>
                        </w:rPr>
                      </w:pPr>
                      <w:r w:rsidRPr="00CF6646">
                        <w:rPr>
                          <w:b/>
                          <w:bCs/>
                          <w:color w:val="D5B788"/>
                          <w:spacing w:val="60"/>
                          <w:kern w:val="24"/>
                          <w:sz w:val="56"/>
                          <w:szCs w:val="56"/>
                          <w:lang w:val="es-DO"/>
                        </w:rPr>
                        <w:t xml:space="preserve">MEMORIA </w:t>
                      </w:r>
                    </w:p>
                    <w:p w14:paraId="79797032" w14:textId="77777777" w:rsidR="00654164" w:rsidRPr="00CF6646" w:rsidRDefault="00654164" w:rsidP="00654164">
                      <w:pPr>
                        <w:spacing w:after="0"/>
                        <w:jc w:val="center"/>
                        <w:rPr>
                          <w:b/>
                          <w:bCs/>
                          <w:color w:val="D5B788"/>
                          <w:spacing w:val="60"/>
                          <w:kern w:val="24"/>
                          <w:sz w:val="56"/>
                          <w:szCs w:val="56"/>
                          <w:lang w:val="es-DO"/>
                        </w:rPr>
                      </w:pPr>
                      <w:r w:rsidRPr="00CF6646">
                        <w:rPr>
                          <w:b/>
                          <w:bCs/>
                          <w:color w:val="D5B788"/>
                          <w:spacing w:val="60"/>
                          <w:kern w:val="24"/>
                          <w:sz w:val="56"/>
                          <w:szCs w:val="56"/>
                          <w:lang w:val="es-DO"/>
                        </w:rPr>
                        <w:t>INSTITUCIONAL</w:t>
                      </w:r>
                    </w:p>
                    <w:p w14:paraId="0C3AA7DD" w14:textId="4D898DC8" w:rsidR="008D7F4E" w:rsidRPr="00CF6646" w:rsidRDefault="008D7F4E" w:rsidP="008D7F4E">
                      <w:pPr>
                        <w:spacing w:after="0"/>
                        <w:jc w:val="center"/>
                        <w:rPr>
                          <w:b/>
                          <w:bCs/>
                          <w:color w:val="D5B788"/>
                          <w:spacing w:val="60"/>
                          <w:kern w:val="24"/>
                          <w:sz w:val="56"/>
                          <w:szCs w:val="56"/>
                          <w:lang w:val="es-DO"/>
                        </w:rPr>
                      </w:pPr>
                    </w:p>
                  </w:txbxContent>
                </v:textbox>
              </v:shape>
            </w:pict>
          </mc:Fallback>
        </mc:AlternateContent>
      </w:r>
      <w:r w:rsidR="0089273D" w:rsidRPr="00AB1A1D">
        <w:rPr>
          <w:noProof/>
          <w:color w:val="D5B788"/>
          <w:lang w:val="es-DO" w:eastAsia="es-DO"/>
        </w:rPr>
        <mc:AlternateContent>
          <mc:Choice Requires="wps">
            <w:drawing>
              <wp:anchor distT="4294967295" distB="4294967295" distL="114300" distR="114300" simplePos="0" relativeHeight="251697152" behindDoc="0" locked="0" layoutInCell="1" allowOverlap="1" wp14:anchorId="209AF3DE" wp14:editId="3E4ADD26">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E267E6A" id="Straight Connector 9" o:spid="_x0000_s1026" style="position:absolute;z-index:2516971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sidR="006160B6" w:rsidRPr="00AB1A1D">
        <w:rPr>
          <w:noProof/>
          <w:color w:val="D5B788"/>
          <w:lang w:val="es-DO" w:eastAsia="es-DO"/>
        </w:rPr>
        <mc:AlternateContent>
          <mc:Choice Requires="wps">
            <w:drawing>
              <wp:anchor distT="0" distB="0" distL="114300" distR="114300" simplePos="0" relativeHeight="251679744" behindDoc="0" locked="0" layoutInCell="1" allowOverlap="1" wp14:anchorId="4B9C2ACC" wp14:editId="1B704D1C">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90F49F0" id="Freeform: Shape 44" o:spid="_x0000_s1026" style="position:absolute;margin-left:371.65pt;margin-top:699.75pt;width:42.75pt;height:4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AB1A1D">
        <w:rPr>
          <w:noProof/>
          <w:color w:val="D5B788"/>
          <w:lang w:val="es-DO" w:eastAsia="es-DO"/>
        </w:rPr>
        <mc:AlternateContent>
          <mc:Choice Requires="wps">
            <w:drawing>
              <wp:anchor distT="0" distB="0" distL="114300" distR="114300" simplePos="0" relativeHeight="251653120" behindDoc="0" locked="0" layoutInCell="1" allowOverlap="1" wp14:anchorId="6B2EB822" wp14:editId="453264E0">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AEEEEB0" w:rsidR="008D7F4E" w:rsidRPr="00CF6646" w:rsidRDefault="008D7F4E" w:rsidP="008D7F4E">
                            <w:pPr>
                              <w:spacing w:before="20"/>
                              <w:ind w:left="14"/>
                              <w:rPr>
                                <w:b/>
                                <w:bCs/>
                                <w:color w:val="D5B788"/>
                                <w:spacing w:val="74"/>
                                <w:kern w:val="24"/>
                                <w:sz w:val="28"/>
                                <w:szCs w:val="28"/>
                              </w:rPr>
                            </w:pPr>
                            <w:r w:rsidRPr="00CF6646">
                              <w:rPr>
                                <w:b/>
                                <w:bCs/>
                                <w:color w:val="D5B788"/>
                                <w:spacing w:val="74"/>
                                <w:kern w:val="24"/>
                                <w:sz w:val="28"/>
                                <w:szCs w:val="28"/>
                              </w:rPr>
                              <w:t>AÑ</w:t>
                            </w:r>
                            <w:r w:rsidRPr="00CF6646">
                              <w:rPr>
                                <w:b/>
                                <w:bCs/>
                                <w:color w:val="D5B788"/>
                                <w:spacing w:val="37"/>
                                <w:kern w:val="24"/>
                                <w:sz w:val="28"/>
                                <w:szCs w:val="28"/>
                              </w:rPr>
                              <w:t>O</w:t>
                            </w:r>
                            <w:r w:rsidRPr="00CF6646">
                              <w:rPr>
                                <w:b/>
                                <w:bCs/>
                                <w:color w:val="D5B788"/>
                                <w:spacing w:val="74"/>
                                <w:kern w:val="24"/>
                                <w:sz w:val="28"/>
                                <w:szCs w:val="28"/>
                              </w:rPr>
                              <w:t xml:space="preserve"> </w:t>
                            </w:r>
                            <w:r w:rsidRPr="00CF6646">
                              <w:rPr>
                                <w:b/>
                                <w:bCs/>
                                <w:color w:val="D5B788"/>
                                <w:spacing w:val="68"/>
                                <w:kern w:val="24"/>
                                <w:sz w:val="28"/>
                                <w:szCs w:val="28"/>
                              </w:rPr>
                              <w:t>2</w:t>
                            </w:r>
                            <w:r w:rsidRPr="00CF6646">
                              <w:rPr>
                                <w:b/>
                                <w:bCs/>
                                <w:color w:val="D5B788"/>
                                <w:spacing w:val="28"/>
                                <w:kern w:val="24"/>
                                <w:sz w:val="28"/>
                                <w:szCs w:val="28"/>
                              </w:rPr>
                              <w:t>0</w:t>
                            </w:r>
                            <w:r w:rsidRPr="00CF6646">
                              <w:rPr>
                                <w:b/>
                                <w:bCs/>
                                <w:color w:val="D5B788"/>
                                <w:spacing w:val="-23"/>
                                <w:kern w:val="24"/>
                                <w:sz w:val="28"/>
                                <w:szCs w:val="28"/>
                              </w:rPr>
                              <w:t xml:space="preserve"> </w:t>
                            </w:r>
                            <w:r w:rsidRPr="00CF6646">
                              <w:rPr>
                                <w:b/>
                                <w:bCs/>
                                <w:color w:val="D5B788"/>
                                <w:spacing w:val="68"/>
                                <w:kern w:val="24"/>
                                <w:sz w:val="28"/>
                                <w:szCs w:val="28"/>
                              </w:rPr>
                              <w:t>2</w:t>
                            </w:r>
                            <w:r w:rsidR="00A5647B" w:rsidRPr="00CF6646">
                              <w:rPr>
                                <w:b/>
                                <w:bCs/>
                                <w:color w:val="D5B788"/>
                                <w:spacing w:val="68"/>
                                <w:kern w:val="24"/>
                                <w:sz w:val="28"/>
                                <w:szCs w:val="28"/>
                              </w:rPr>
                              <w:t>5</w:t>
                            </w:r>
                            <w:r w:rsidRPr="00CF6646">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1AEEEEB0" w:rsidR="008D7F4E" w:rsidRPr="00CF6646" w:rsidRDefault="008D7F4E" w:rsidP="008D7F4E">
                      <w:pPr>
                        <w:spacing w:before="20"/>
                        <w:ind w:left="14"/>
                        <w:rPr>
                          <w:b/>
                          <w:bCs/>
                          <w:color w:val="D5B788"/>
                          <w:spacing w:val="74"/>
                          <w:kern w:val="24"/>
                          <w:sz w:val="28"/>
                          <w:szCs w:val="28"/>
                        </w:rPr>
                      </w:pPr>
                      <w:r w:rsidRPr="00CF6646">
                        <w:rPr>
                          <w:b/>
                          <w:bCs/>
                          <w:color w:val="D5B788"/>
                          <w:spacing w:val="74"/>
                          <w:kern w:val="24"/>
                          <w:sz w:val="28"/>
                          <w:szCs w:val="28"/>
                        </w:rPr>
                        <w:t>AÑ</w:t>
                      </w:r>
                      <w:r w:rsidRPr="00CF6646">
                        <w:rPr>
                          <w:b/>
                          <w:bCs/>
                          <w:color w:val="D5B788"/>
                          <w:spacing w:val="37"/>
                          <w:kern w:val="24"/>
                          <w:sz w:val="28"/>
                          <w:szCs w:val="28"/>
                        </w:rPr>
                        <w:t>O</w:t>
                      </w:r>
                      <w:r w:rsidRPr="00CF6646">
                        <w:rPr>
                          <w:b/>
                          <w:bCs/>
                          <w:color w:val="D5B788"/>
                          <w:spacing w:val="74"/>
                          <w:kern w:val="24"/>
                          <w:sz w:val="28"/>
                          <w:szCs w:val="28"/>
                        </w:rPr>
                        <w:t xml:space="preserve"> </w:t>
                      </w:r>
                      <w:r w:rsidRPr="00CF6646">
                        <w:rPr>
                          <w:b/>
                          <w:bCs/>
                          <w:color w:val="D5B788"/>
                          <w:spacing w:val="68"/>
                          <w:kern w:val="24"/>
                          <w:sz w:val="28"/>
                          <w:szCs w:val="28"/>
                        </w:rPr>
                        <w:t>2</w:t>
                      </w:r>
                      <w:r w:rsidRPr="00CF6646">
                        <w:rPr>
                          <w:b/>
                          <w:bCs/>
                          <w:color w:val="D5B788"/>
                          <w:spacing w:val="28"/>
                          <w:kern w:val="24"/>
                          <w:sz w:val="28"/>
                          <w:szCs w:val="28"/>
                        </w:rPr>
                        <w:t>0</w:t>
                      </w:r>
                      <w:r w:rsidRPr="00CF6646">
                        <w:rPr>
                          <w:b/>
                          <w:bCs/>
                          <w:color w:val="D5B788"/>
                          <w:spacing w:val="-23"/>
                          <w:kern w:val="24"/>
                          <w:sz w:val="28"/>
                          <w:szCs w:val="28"/>
                        </w:rPr>
                        <w:t xml:space="preserve"> </w:t>
                      </w:r>
                      <w:r w:rsidRPr="00CF6646">
                        <w:rPr>
                          <w:b/>
                          <w:bCs/>
                          <w:color w:val="D5B788"/>
                          <w:spacing w:val="68"/>
                          <w:kern w:val="24"/>
                          <w:sz w:val="28"/>
                          <w:szCs w:val="28"/>
                        </w:rPr>
                        <w:t>2</w:t>
                      </w:r>
                      <w:r w:rsidR="00A5647B" w:rsidRPr="00CF6646">
                        <w:rPr>
                          <w:b/>
                          <w:bCs/>
                          <w:color w:val="D5B788"/>
                          <w:spacing w:val="68"/>
                          <w:kern w:val="24"/>
                          <w:sz w:val="28"/>
                          <w:szCs w:val="28"/>
                        </w:rPr>
                        <w:t>5</w:t>
                      </w:r>
                      <w:r w:rsidRPr="00CF6646">
                        <w:rPr>
                          <w:b/>
                          <w:bCs/>
                          <w:color w:val="D5B788"/>
                          <w:spacing w:val="-21"/>
                          <w:kern w:val="24"/>
                          <w:sz w:val="28"/>
                          <w:szCs w:val="28"/>
                        </w:rPr>
                        <w:t xml:space="preserve"> </w:t>
                      </w:r>
                    </w:p>
                  </w:txbxContent>
                </v:textbox>
              </v:shape>
            </w:pict>
          </mc:Fallback>
        </mc:AlternateContent>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4F2DD5" w:rsidRPr="00AB1A1D">
        <w:rPr>
          <w:color w:val="D5B788"/>
        </w:rPr>
        <w:tab/>
      </w:r>
      <w:r w:rsidR="004F2DD5" w:rsidRPr="00AB1A1D">
        <w:rPr>
          <w:color w:val="D5B788"/>
        </w:rPr>
        <w:tab/>
      </w:r>
      <w:r w:rsidR="004F2DD5" w:rsidRPr="00AB1A1D">
        <w:rPr>
          <w:color w:val="D5B788"/>
        </w:rPr>
        <w:tab/>
      </w:r>
      <w:r w:rsidR="004F2DD5" w:rsidRPr="00AB1A1D">
        <w:rPr>
          <w:color w:val="D5B788"/>
        </w:rPr>
        <w:tab/>
      </w:r>
      <w:r w:rsidR="004F2DD5" w:rsidRPr="00AB1A1D">
        <w:rPr>
          <w:color w:val="D5B788"/>
        </w:rPr>
        <w:tab/>
      </w:r>
      <w:r w:rsidR="004F2DD5" w:rsidRPr="00AB1A1D">
        <w:rPr>
          <w:color w:val="D5B788"/>
        </w:rPr>
        <w:tab/>
      </w:r>
      <w:r w:rsidR="004F2DD5" w:rsidRPr="00AB1A1D">
        <w:rPr>
          <w:color w:val="D5B788"/>
        </w:rPr>
        <w:tab/>
      </w:r>
      <w:r w:rsidR="004F2DD5" w:rsidRPr="00AB1A1D">
        <w:rPr>
          <w:color w:val="D5B788"/>
        </w:rPr>
        <w:tab/>
      </w:r>
      <w:r w:rsidR="004F2DD5" w:rsidRPr="00AB1A1D">
        <w:rPr>
          <w:color w:val="D5B788"/>
        </w:rPr>
        <w:tab/>
      </w:r>
      <w:r w:rsidR="004F2DD5" w:rsidRPr="00AB1A1D">
        <w:rPr>
          <w:color w:val="D5B788"/>
        </w:rPr>
        <w:tab/>
      </w:r>
      <w:r w:rsidR="004F2DD5" w:rsidRPr="00AB1A1D">
        <w:rPr>
          <w:color w:val="D5B788"/>
        </w:rPr>
        <w:tab/>
      </w:r>
      <w:r w:rsidR="004F2DD5" w:rsidRPr="00AB1A1D">
        <w:rPr>
          <w:color w:val="D5B788"/>
        </w:rPr>
        <w:tab/>
      </w:r>
      <w:r w:rsidR="004F2DD5" w:rsidRPr="00AB1A1D">
        <w:rPr>
          <w:color w:val="D5B788"/>
        </w:rPr>
        <w:tab/>
      </w:r>
      <w:r w:rsidR="004F2DD5" w:rsidRPr="00AB1A1D">
        <w:rPr>
          <w:color w:val="D5B788"/>
        </w:rPr>
        <w:tab/>
      </w:r>
      <w:r w:rsidR="004F2DD5" w:rsidRPr="00AB1A1D">
        <w:rPr>
          <w:color w:val="D5B788"/>
        </w:rPr>
        <w:tab/>
      </w:r>
      <w:r w:rsidR="004F2DD5" w:rsidRPr="00AB1A1D">
        <w:rPr>
          <w:color w:val="D5B788"/>
        </w:rPr>
        <w:tab/>
      </w:r>
      <w:r w:rsidR="004F2DD5" w:rsidRPr="00AB1A1D">
        <w:rPr>
          <w:color w:val="D5B788"/>
        </w:rPr>
        <w:tab/>
      </w:r>
      <w:r w:rsidR="004F2DD5" w:rsidRPr="00AB1A1D">
        <w:rPr>
          <w:color w:val="D5B788"/>
        </w:rPr>
        <w:tab/>
      </w:r>
      <w:r w:rsidR="004F2DD5" w:rsidRPr="00AB1A1D">
        <w:rPr>
          <w:color w:val="D5B788"/>
        </w:rPr>
        <w:tab/>
      </w:r>
      <w:r w:rsidR="004F2DD5" w:rsidRPr="00AB1A1D">
        <w:rPr>
          <w:color w:val="D5B788"/>
        </w:rPr>
        <w:tab/>
      </w:r>
      <w:r w:rsidR="004F2DD5" w:rsidRPr="00AB1A1D">
        <w:rPr>
          <w:color w:val="D5B788"/>
        </w:rPr>
        <w:tab/>
      </w:r>
      <w:r w:rsidR="004F2DD5" w:rsidRPr="00AB1A1D">
        <w:rPr>
          <w:color w:val="D5B788"/>
        </w:rPr>
        <w:tab/>
      </w:r>
      <w:r w:rsidR="004F2DD5" w:rsidRPr="00AB1A1D">
        <w:rPr>
          <w:color w:val="D5B788"/>
        </w:rPr>
        <w:tab/>
      </w:r>
      <w:r w:rsidR="004F2DD5" w:rsidRPr="00AB1A1D">
        <w:rPr>
          <w:color w:val="D5B788"/>
        </w:rPr>
        <w:tab/>
      </w:r>
      <w:r w:rsidR="004F2DD5" w:rsidRPr="00AB1A1D">
        <w:rPr>
          <w:color w:val="D5B788"/>
        </w:rPr>
        <w:tab/>
      </w:r>
      <w:r w:rsidR="004F2DD5" w:rsidRPr="00AB1A1D">
        <w:rPr>
          <w:color w:val="D5B788"/>
        </w:rPr>
        <w:tab/>
      </w:r>
      <w:r w:rsidR="004F2DD5" w:rsidRPr="00AB1A1D">
        <w:rPr>
          <w:color w:val="D5B788"/>
        </w:rPr>
        <w:tab/>
      </w:r>
      <w:r w:rsidR="004F2DD5" w:rsidRPr="00AB1A1D">
        <w:rPr>
          <w:color w:val="D5B788"/>
        </w:rPr>
        <w:tab/>
      </w:r>
      <w:r w:rsidR="004F2DD5" w:rsidRPr="00AB1A1D">
        <w:rPr>
          <w:color w:val="D5B788"/>
        </w:rPr>
        <w:tab/>
      </w:r>
    </w:p>
    <w:p w14:paraId="6F050B88" w14:textId="0454C7B0" w:rsidR="004F2DD5" w:rsidRPr="00AB1A1D" w:rsidRDefault="004F2DD5" w:rsidP="004F2DD5">
      <w:pPr>
        <w:rPr>
          <w:color w:val="D5B788"/>
        </w:rPr>
      </w:pPr>
    </w:p>
    <w:p w14:paraId="17B5E9DF" w14:textId="2D3C0F54" w:rsidR="008D7F4E" w:rsidRPr="00AB1A1D" w:rsidRDefault="000D143C" w:rsidP="008D7F4E">
      <w:pPr>
        <w:rPr>
          <w:color w:val="D5B788"/>
          <w:lang w:val="es-DO"/>
        </w:rPr>
      </w:pPr>
      <w:r w:rsidRPr="00AB1A1D">
        <w:rPr>
          <w:noProof/>
          <w:color w:val="D5B788"/>
          <w:lang w:val="es-DO" w:eastAsia="es-DO"/>
        </w:rPr>
        <mc:AlternateContent>
          <mc:Choice Requires="wpg">
            <w:drawing>
              <wp:anchor distT="0" distB="0" distL="114300" distR="114300" simplePos="0" relativeHeight="251717632" behindDoc="0" locked="0" layoutInCell="1" allowOverlap="1" wp14:anchorId="7424DA49" wp14:editId="50861CFA">
                <wp:simplePos x="0" y="0"/>
                <wp:positionH relativeFrom="column">
                  <wp:posOffset>1669774</wp:posOffset>
                </wp:positionH>
                <wp:positionV relativeFrom="paragraph">
                  <wp:posOffset>292376</wp:posOffset>
                </wp:positionV>
                <wp:extent cx="2714625" cy="381635"/>
                <wp:effectExtent l="0" t="0" r="9525" b="0"/>
                <wp:wrapNone/>
                <wp:docPr id="25" name="Group 25"/>
                <wp:cNvGraphicFramePr/>
                <a:graphic xmlns:a="http://schemas.openxmlformats.org/drawingml/2006/main">
                  <a:graphicData uri="http://schemas.microsoft.com/office/word/2010/wordprocessingGroup">
                    <wpg:wgp>
                      <wpg:cNvGrpSpPr/>
                      <wpg:grpSpPr>
                        <a:xfrm>
                          <a:off x="0" y="0"/>
                          <a:ext cx="2714625" cy="381635"/>
                          <a:chOff x="-47706" y="0"/>
                          <a:chExt cx="2714625" cy="381635"/>
                        </a:xfrm>
                      </wpg:grpSpPr>
                      <wps:wsp>
                        <wps:cNvPr id="1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47706" y="123825"/>
                            <a:ext cx="2714625" cy="257810"/>
                          </a:xfrm>
                          <a:prstGeom prst="rect">
                            <a:avLst/>
                          </a:prstGeom>
                          <a:solidFill>
                            <a:srgbClr val="FFFFFF"/>
                          </a:solidFill>
                          <a:ln w="9525">
                            <a:noFill/>
                            <a:miter lim="800000"/>
                            <a:headEnd/>
                            <a:tailEnd/>
                          </a:ln>
                        </wps:spPr>
                        <wps:txbx>
                          <w:txbxContent>
                            <w:p w14:paraId="217E4C9E" w14:textId="381BECB8" w:rsidR="000D143C" w:rsidRPr="00CF6646" w:rsidRDefault="005E28BD" w:rsidP="000D143C">
                              <w:pPr>
                                <w:jc w:val="center"/>
                                <w:rPr>
                                  <w:b/>
                                  <w:bCs/>
                                  <w:color w:val="D5B788"/>
                                  <w:lang w:val="es-ES"/>
                                </w:rPr>
                              </w:pPr>
                              <w:r w:rsidRPr="00CF6646">
                                <w:rPr>
                                  <w:b/>
                                  <w:bCs/>
                                  <w:color w:val="D5B788"/>
                                  <w:lang w:val="es-ES"/>
                                </w:rPr>
                                <w:t>Tesorería Nacional</w:t>
                              </w:r>
                            </w:p>
                          </w:txbxContent>
                        </wps:txbx>
                        <wps:bodyPr rot="0" vert="horz" wrap="square" lIns="91440" tIns="45720" rIns="91440" bIns="45720" anchor="t" anchorCtr="0">
                          <a:noAutofit/>
                        </wps:bodyPr>
                      </wps:wsp>
                    </wpg:wgp>
                  </a:graphicData>
                </a:graphic>
              </wp:anchor>
            </w:drawing>
          </mc:Choice>
          <mc:Fallback>
            <w:pict>
              <v:group w14:anchorId="7424DA49" id="Group 25" o:spid="_x0000_s1029" style="position:absolute;margin-left:131.5pt;margin-top:23pt;width:213.75pt;height:30.05pt;z-index:251717632" coordorigin="-477"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" path="m472439,l,,,22364r472439,l472439,xe" fillcolor="#d5b788" stroked="f">
                  <v:path arrowok="t"/>
                </v:shape>
                <v:shape id="Text Box 2" o:spid="_x0000_s1031" type="#_x0000_t202" style="position:absolute;left:-477;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17E4C9E" w14:textId="381BECB8" w:rsidR="000D143C" w:rsidRPr="00CF6646" w:rsidRDefault="005E28BD" w:rsidP="000D143C">
                        <w:pPr>
                          <w:jc w:val="center"/>
                          <w:rPr>
                            <w:b/>
                            <w:bCs/>
                            <w:color w:val="D5B788"/>
                            <w:lang w:val="es-ES"/>
                          </w:rPr>
                        </w:pPr>
                        <w:r w:rsidRPr="00CF6646">
                          <w:rPr>
                            <w:b/>
                            <w:bCs/>
                            <w:color w:val="D5B788"/>
                            <w:lang w:val="es-ES"/>
                          </w:rPr>
                          <w:t>Tesorería Nacional</w:t>
                        </w:r>
                      </w:p>
                    </w:txbxContent>
                  </v:textbox>
                </v:shape>
              </v:group>
            </w:pict>
          </mc:Fallback>
        </mc:AlternateContent>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r w:rsidR="008D7F4E" w:rsidRPr="00AB1A1D">
        <w:rPr>
          <w:color w:val="D5B788"/>
          <w:lang w:val="es-DO"/>
        </w:rPr>
        <w:tab/>
      </w:r>
    </w:p>
    <w:p w14:paraId="38D9CF2E" w14:textId="118B01A5" w:rsidR="008D7F4E" w:rsidRPr="00AB1A1D" w:rsidRDefault="008D7F4E" w:rsidP="008D7F4E">
      <w:pPr>
        <w:rPr>
          <w:color w:val="D5B788"/>
          <w:lang w:val="es-DO"/>
        </w:rPr>
      </w:pPr>
    </w:p>
    <w:p w14:paraId="16EDE6EA" w14:textId="51136D97" w:rsidR="008D7F4E" w:rsidRPr="00AB1A1D" w:rsidRDefault="008D7F4E" w:rsidP="008D7F4E">
      <w:pPr>
        <w:rPr>
          <w:b/>
          <w:bCs/>
          <w:color w:val="D5B788"/>
          <w:lang w:val="es-DO"/>
        </w:rPr>
      </w:pPr>
    </w:p>
    <w:p w14:paraId="3FC05242" w14:textId="77777777" w:rsidR="008D7F4E" w:rsidRPr="00AB1A1D" w:rsidRDefault="008D7F4E" w:rsidP="008D7F4E">
      <w:pPr>
        <w:rPr>
          <w:color w:val="D5B788"/>
          <w:lang w:val="es-DO"/>
        </w:rPr>
      </w:pPr>
    </w:p>
    <w:p w14:paraId="52109915" w14:textId="77777777" w:rsidR="008D7F4E" w:rsidRPr="00AB1A1D" w:rsidRDefault="008D7F4E" w:rsidP="008D7F4E">
      <w:pPr>
        <w:rPr>
          <w:color w:val="D5B788"/>
          <w:lang w:val="es-DO"/>
        </w:rPr>
      </w:pPr>
    </w:p>
    <w:p w14:paraId="61CD95E4" w14:textId="75608CA4" w:rsidR="008D7F4E" w:rsidRPr="00AB1A1D" w:rsidRDefault="008D7F4E" w:rsidP="008D7F4E">
      <w:pPr>
        <w:rPr>
          <w:color w:val="D5B788"/>
          <w:lang w:val="es-DO"/>
        </w:rPr>
      </w:pPr>
    </w:p>
    <w:p w14:paraId="26FC2ECF" w14:textId="1304E68D" w:rsidR="008D7F4E" w:rsidRPr="00AB1A1D" w:rsidRDefault="008D7F4E" w:rsidP="008D7F4E">
      <w:pPr>
        <w:rPr>
          <w:color w:val="D5B788"/>
          <w:lang w:val="es-DO"/>
        </w:rPr>
      </w:pPr>
    </w:p>
    <w:p w14:paraId="339C9304" w14:textId="532ECEA5" w:rsidR="008D7F4E" w:rsidRPr="00AB1A1D" w:rsidRDefault="008D7F4E" w:rsidP="008D7F4E">
      <w:pPr>
        <w:rPr>
          <w:color w:val="D5B788"/>
          <w:lang w:val="es-DO"/>
        </w:rPr>
      </w:pPr>
    </w:p>
    <w:p w14:paraId="45BA7FA9" w14:textId="77777777" w:rsidR="0087772C" w:rsidRPr="00AB1A1D" w:rsidRDefault="0087772C" w:rsidP="008D7F4E">
      <w:pPr>
        <w:rPr>
          <w:color w:val="D5B788"/>
          <w:lang w:val="es-DO"/>
        </w:rPr>
      </w:pPr>
    </w:p>
    <w:p w14:paraId="18C0D5CD" w14:textId="6B0129B8" w:rsidR="008D7F4E" w:rsidRPr="00AB1A1D" w:rsidRDefault="008D7F4E" w:rsidP="008D7F4E">
      <w:pPr>
        <w:rPr>
          <w:color w:val="D5B788"/>
          <w:lang w:val="es-DO"/>
        </w:rPr>
      </w:pPr>
    </w:p>
    <w:p w14:paraId="38D6C8AE" w14:textId="626E8B34" w:rsidR="008D7F4E" w:rsidRPr="00AB1A1D" w:rsidRDefault="008D7F4E" w:rsidP="008D7F4E">
      <w:pPr>
        <w:rPr>
          <w:color w:val="D5B788"/>
          <w:lang w:val="es-DO"/>
        </w:rPr>
      </w:pPr>
    </w:p>
    <w:p w14:paraId="22DD7F53" w14:textId="11B7CA22" w:rsidR="008D7F4E" w:rsidRPr="00AB1A1D" w:rsidRDefault="008D7F4E" w:rsidP="008D7F4E">
      <w:pPr>
        <w:rPr>
          <w:color w:val="D5B788"/>
          <w:lang w:val="es-DO"/>
        </w:rPr>
      </w:pPr>
    </w:p>
    <w:p w14:paraId="266A4AE7" w14:textId="5784A2EE" w:rsidR="008D7F4E" w:rsidRPr="00AB1A1D" w:rsidRDefault="008D7F4E" w:rsidP="008D7F4E">
      <w:pPr>
        <w:rPr>
          <w:color w:val="D5B788"/>
          <w:lang w:val="es-DO"/>
        </w:rPr>
      </w:pPr>
    </w:p>
    <w:p w14:paraId="56C838CA" w14:textId="59180D27" w:rsidR="008D7F4E" w:rsidRPr="00AB1A1D" w:rsidRDefault="008D7F4E" w:rsidP="008D7F4E">
      <w:pPr>
        <w:rPr>
          <w:color w:val="D5B788"/>
          <w:lang w:val="es-DO"/>
        </w:rPr>
      </w:pPr>
    </w:p>
    <w:p w14:paraId="5A37720D" w14:textId="305BC668" w:rsidR="008D7F4E" w:rsidRPr="00AB1A1D" w:rsidRDefault="008D7F4E" w:rsidP="008D7F4E">
      <w:pPr>
        <w:rPr>
          <w:color w:val="D5B788"/>
          <w:lang w:val="es-DO"/>
        </w:rPr>
      </w:pPr>
    </w:p>
    <w:p w14:paraId="1C1F404E" w14:textId="6EBA6B68" w:rsidR="008D7F4E" w:rsidRPr="00AB1A1D" w:rsidRDefault="00654164" w:rsidP="008D7F4E">
      <w:pPr>
        <w:rPr>
          <w:color w:val="D5B788"/>
          <w:lang w:val="es-DO"/>
        </w:rPr>
      </w:pPr>
      <w:r w:rsidRPr="00AB1A1D">
        <w:rPr>
          <w:noProof/>
          <w:color w:val="D5B788"/>
          <w:lang w:val="es-DO" w:eastAsia="es-DO"/>
        </w:rPr>
        <mc:AlternateContent>
          <mc:Choice Requires="wps">
            <w:drawing>
              <wp:anchor distT="0" distB="0" distL="114300" distR="114300" simplePos="0" relativeHeight="251649536" behindDoc="0" locked="0" layoutInCell="1" allowOverlap="1" wp14:anchorId="611EEDAC" wp14:editId="5E9B6278">
                <wp:simplePos x="0" y="0"/>
                <wp:positionH relativeFrom="column">
                  <wp:posOffset>189428</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2" type="#_x0000_t202" style="position:absolute;margin-left:14.9pt;margin-top:15.9pt;width:453.45pt;height:77.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AB1A1D" w:rsidRDefault="00C64CEF" w:rsidP="008D7F4E">
      <w:pPr>
        <w:rPr>
          <w:b/>
          <w:bCs/>
          <w:color w:val="D5B788"/>
          <w:lang w:val="es-DO"/>
        </w:rPr>
      </w:pPr>
      <w:r w:rsidRPr="00AB1A1D">
        <w:rPr>
          <w:noProof/>
          <w:color w:val="D5B788"/>
          <w:lang w:val="es-DO" w:eastAsia="es-DO"/>
        </w:rPr>
        <mc:AlternateContent>
          <mc:Choice Requires="wps">
            <w:drawing>
              <wp:anchor distT="0" distB="0" distL="114300" distR="114300" simplePos="0" relativeHeight="251701248" behindDoc="0" locked="0" layoutInCell="1" allowOverlap="1" wp14:anchorId="4D0BD95E" wp14:editId="4357A566">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3" type="#_x0000_t202" style="position:absolute;margin-left:6.8pt;margin-top:19.55pt;width:453.45pt;height:42.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AB1A1D" w:rsidRDefault="008D7F4E" w:rsidP="008D7F4E">
      <w:pPr>
        <w:rPr>
          <w:color w:val="D5B788"/>
          <w:lang w:val="es-DO"/>
        </w:rPr>
      </w:pPr>
    </w:p>
    <w:p w14:paraId="2ADA86D9" w14:textId="7BFC7FAB" w:rsidR="008D7F4E" w:rsidRPr="00AB1A1D" w:rsidRDefault="008D7F4E" w:rsidP="008D7F4E">
      <w:pPr>
        <w:rPr>
          <w:b/>
          <w:bCs/>
          <w:color w:val="D5B788"/>
          <w:lang w:val="es-DO"/>
        </w:rPr>
      </w:pPr>
    </w:p>
    <w:p w14:paraId="163CEF29" w14:textId="2E82E86B" w:rsidR="00E739F8" w:rsidRPr="00AB1A1D" w:rsidRDefault="001E07B9" w:rsidP="008D7F4E">
      <w:pPr>
        <w:rPr>
          <w:b/>
          <w:bCs/>
          <w:color w:val="D5B788"/>
          <w:lang w:val="es-DO"/>
        </w:rPr>
      </w:pPr>
      <w:r w:rsidRPr="00AB1A1D">
        <w:rPr>
          <w:noProof/>
          <w:color w:val="D5B788"/>
          <w:lang w:val="es-DO" w:eastAsia="es-DO"/>
        </w:rPr>
        <mc:AlternateContent>
          <mc:Choice Requires="wps">
            <w:drawing>
              <wp:anchor distT="4294967295" distB="4294967295" distL="114300" distR="114300" simplePos="0" relativeHeight="251699200" behindDoc="0" locked="0" layoutInCell="1" allowOverlap="1" wp14:anchorId="4E0C23B7" wp14:editId="5912DA90">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7AAB8D6" id="Straight Connector 22" o:spid="_x0000_s1026" style="position:absolute;z-index:2516992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AB1A1D" w:rsidRDefault="001E07B9" w:rsidP="008D7F4E">
      <w:pPr>
        <w:rPr>
          <w:b/>
          <w:bCs/>
          <w:color w:val="D5B788"/>
          <w:lang w:val="es-DO"/>
        </w:rPr>
      </w:pPr>
      <w:r w:rsidRPr="00AB1A1D">
        <w:rPr>
          <w:noProof/>
          <w:color w:val="D5B788"/>
          <w:lang w:val="es-DO" w:eastAsia="es-DO"/>
        </w:rPr>
        <mc:AlternateContent>
          <mc:Choice Requires="wps">
            <w:drawing>
              <wp:anchor distT="0" distB="0" distL="114300" distR="114300" simplePos="0" relativeHeight="251664384" behindDoc="0" locked="0" layoutInCell="1" allowOverlap="1" wp14:anchorId="65361376" wp14:editId="1005EAA7">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04BBC47" w:rsidR="008D7F4E" w:rsidRPr="00CF6646" w:rsidRDefault="008D7F4E" w:rsidP="008D7F4E">
                            <w:pPr>
                              <w:spacing w:before="20"/>
                              <w:ind w:left="14"/>
                              <w:rPr>
                                <w:b/>
                                <w:bCs/>
                                <w:color w:val="D5B788"/>
                                <w:spacing w:val="74"/>
                                <w:kern w:val="24"/>
                                <w:sz w:val="28"/>
                                <w:szCs w:val="28"/>
                              </w:rPr>
                            </w:pPr>
                            <w:r w:rsidRPr="00CF6646">
                              <w:rPr>
                                <w:b/>
                                <w:bCs/>
                                <w:color w:val="D5B788"/>
                                <w:spacing w:val="74"/>
                                <w:kern w:val="24"/>
                                <w:sz w:val="28"/>
                                <w:szCs w:val="28"/>
                              </w:rPr>
                              <w:t>AÑ</w:t>
                            </w:r>
                            <w:r w:rsidRPr="00CF6646">
                              <w:rPr>
                                <w:b/>
                                <w:bCs/>
                                <w:color w:val="D5B788"/>
                                <w:spacing w:val="37"/>
                                <w:kern w:val="24"/>
                                <w:sz w:val="28"/>
                                <w:szCs w:val="28"/>
                              </w:rPr>
                              <w:t>O</w:t>
                            </w:r>
                            <w:r w:rsidRPr="00CF6646">
                              <w:rPr>
                                <w:b/>
                                <w:bCs/>
                                <w:color w:val="D5B788"/>
                                <w:spacing w:val="74"/>
                                <w:kern w:val="24"/>
                                <w:sz w:val="28"/>
                                <w:szCs w:val="28"/>
                              </w:rPr>
                              <w:t xml:space="preserve"> </w:t>
                            </w:r>
                            <w:r w:rsidRPr="00CF6646">
                              <w:rPr>
                                <w:b/>
                                <w:bCs/>
                                <w:color w:val="D5B788"/>
                                <w:spacing w:val="68"/>
                                <w:kern w:val="24"/>
                                <w:sz w:val="28"/>
                                <w:szCs w:val="28"/>
                              </w:rPr>
                              <w:t>2</w:t>
                            </w:r>
                            <w:r w:rsidRPr="00CF6646">
                              <w:rPr>
                                <w:b/>
                                <w:bCs/>
                                <w:color w:val="D5B788"/>
                                <w:spacing w:val="28"/>
                                <w:kern w:val="24"/>
                                <w:sz w:val="28"/>
                                <w:szCs w:val="28"/>
                              </w:rPr>
                              <w:t>0</w:t>
                            </w:r>
                            <w:r w:rsidRPr="00CF6646">
                              <w:rPr>
                                <w:b/>
                                <w:bCs/>
                                <w:color w:val="D5B788"/>
                                <w:spacing w:val="-23"/>
                                <w:kern w:val="24"/>
                                <w:sz w:val="28"/>
                                <w:szCs w:val="28"/>
                              </w:rPr>
                              <w:t xml:space="preserve"> </w:t>
                            </w:r>
                            <w:r w:rsidRPr="00CF6646">
                              <w:rPr>
                                <w:b/>
                                <w:bCs/>
                                <w:color w:val="D5B788"/>
                                <w:spacing w:val="68"/>
                                <w:kern w:val="24"/>
                                <w:sz w:val="28"/>
                                <w:szCs w:val="28"/>
                              </w:rPr>
                              <w:t>2</w:t>
                            </w:r>
                            <w:r w:rsidR="00A5647B" w:rsidRPr="00CF6646">
                              <w:rPr>
                                <w:b/>
                                <w:bCs/>
                                <w:color w:val="D5B788"/>
                                <w:spacing w:val="68"/>
                                <w:kern w:val="24"/>
                                <w:sz w:val="28"/>
                                <w:szCs w:val="28"/>
                              </w:rPr>
                              <w:t>5</w:t>
                            </w:r>
                            <w:r w:rsidRPr="00CF6646">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4" type="#_x0000_t202" style="position:absolute;margin-left:202pt;margin-top:8.95pt;width:95.65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YcDJc5kBAAAZ&#10;AwAADgAAAAAAAAAAAAAAAAAuAgAAZHJzL2Uyb0RvYy54bWxQSwECLQAUAAYACAAAACEAmmIG3N4A&#10;AAAJAQAADwAAAAAAAAAAAAAAAADzAwAAZHJzL2Rvd25yZXYueG1sUEsFBgAAAAAEAAQA8wAAAP4E&#10;AAAAAA==&#10;" filled="f" stroked="f">
                <v:textbox inset="0,1pt,0,0">
                  <w:txbxContent>
                    <w:p w14:paraId="6B362718" w14:textId="504BBC47" w:rsidR="008D7F4E" w:rsidRPr="00CF6646" w:rsidRDefault="008D7F4E" w:rsidP="008D7F4E">
                      <w:pPr>
                        <w:spacing w:before="20"/>
                        <w:ind w:left="14"/>
                        <w:rPr>
                          <w:b/>
                          <w:bCs/>
                          <w:color w:val="D5B788"/>
                          <w:spacing w:val="74"/>
                          <w:kern w:val="24"/>
                          <w:sz w:val="28"/>
                          <w:szCs w:val="28"/>
                        </w:rPr>
                      </w:pPr>
                      <w:r w:rsidRPr="00CF6646">
                        <w:rPr>
                          <w:b/>
                          <w:bCs/>
                          <w:color w:val="D5B788"/>
                          <w:spacing w:val="74"/>
                          <w:kern w:val="24"/>
                          <w:sz w:val="28"/>
                          <w:szCs w:val="28"/>
                        </w:rPr>
                        <w:t>AÑ</w:t>
                      </w:r>
                      <w:r w:rsidRPr="00CF6646">
                        <w:rPr>
                          <w:b/>
                          <w:bCs/>
                          <w:color w:val="D5B788"/>
                          <w:spacing w:val="37"/>
                          <w:kern w:val="24"/>
                          <w:sz w:val="28"/>
                          <w:szCs w:val="28"/>
                        </w:rPr>
                        <w:t>O</w:t>
                      </w:r>
                      <w:r w:rsidRPr="00CF6646">
                        <w:rPr>
                          <w:b/>
                          <w:bCs/>
                          <w:color w:val="D5B788"/>
                          <w:spacing w:val="74"/>
                          <w:kern w:val="24"/>
                          <w:sz w:val="28"/>
                          <w:szCs w:val="28"/>
                        </w:rPr>
                        <w:t xml:space="preserve"> </w:t>
                      </w:r>
                      <w:r w:rsidRPr="00CF6646">
                        <w:rPr>
                          <w:b/>
                          <w:bCs/>
                          <w:color w:val="D5B788"/>
                          <w:spacing w:val="68"/>
                          <w:kern w:val="24"/>
                          <w:sz w:val="28"/>
                          <w:szCs w:val="28"/>
                        </w:rPr>
                        <w:t>2</w:t>
                      </w:r>
                      <w:r w:rsidRPr="00CF6646">
                        <w:rPr>
                          <w:b/>
                          <w:bCs/>
                          <w:color w:val="D5B788"/>
                          <w:spacing w:val="28"/>
                          <w:kern w:val="24"/>
                          <w:sz w:val="28"/>
                          <w:szCs w:val="28"/>
                        </w:rPr>
                        <w:t>0</w:t>
                      </w:r>
                      <w:r w:rsidRPr="00CF6646">
                        <w:rPr>
                          <w:b/>
                          <w:bCs/>
                          <w:color w:val="D5B788"/>
                          <w:spacing w:val="-23"/>
                          <w:kern w:val="24"/>
                          <w:sz w:val="28"/>
                          <w:szCs w:val="28"/>
                        </w:rPr>
                        <w:t xml:space="preserve"> </w:t>
                      </w:r>
                      <w:r w:rsidRPr="00CF6646">
                        <w:rPr>
                          <w:b/>
                          <w:bCs/>
                          <w:color w:val="D5B788"/>
                          <w:spacing w:val="68"/>
                          <w:kern w:val="24"/>
                          <w:sz w:val="28"/>
                          <w:szCs w:val="28"/>
                        </w:rPr>
                        <w:t>2</w:t>
                      </w:r>
                      <w:r w:rsidR="00A5647B" w:rsidRPr="00CF6646">
                        <w:rPr>
                          <w:b/>
                          <w:bCs/>
                          <w:color w:val="D5B788"/>
                          <w:spacing w:val="68"/>
                          <w:kern w:val="24"/>
                          <w:sz w:val="28"/>
                          <w:szCs w:val="28"/>
                        </w:rPr>
                        <w:t>5</w:t>
                      </w:r>
                      <w:r w:rsidRPr="00CF6646">
                        <w:rPr>
                          <w:b/>
                          <w:bCs/>
                          <w:color w:val="D5B788"/>
                          <w:spacing w:val="-21"/>
                          <w:kern w:val="24"/>
                          <w:sz w:val="28"/>
                          <w:szCs w:val="28"/>
                        </w:rPr>
                        <w:t xml:space="preserve"> </w:t>
                      </w:r>
                    </w:p>
                  </w:txbxContent>
                </v:textbox>
              </v:shape>
            </w:pict>
          </mc:Fallback>
        </mc:AlternateContent>
      </w:r>
    </w:p>
    <w:p w14:paraId="1C74082E" w14:textId="28C0782E" w:rsidR="008D7F4E" w:rsidRPr="00AB1A1D" w:rsidRDefault="008D7F4E" w:rsidP="008D7F4E">
      <w:pPr>
        <w:tabs>
          <w:tab w:val="left" w:pos="5229"/>
        </w:tabs>
        <w:rPr>
          <w:color w:val="D5B788"/>
          <w:lang w:val="es-DO"/>
        </w:rPr>
      </w:pPr>
      <w:r w:rsidRPr="00AB1A1D">
        <w:rPr>
          <w:color w:val="D5B788"/>
          <w:lang w:val="es-DO"/>
        </w:rPr>
        <w:tab/>
      </w:r>
      <w:r w:rsidRPr="00AB1A1D">
        <w:rPr>
          <w:color w:val="D5B788"/>
          <w:lang w:val="es-DO"/>
        </w:rPr>
        <w:tab/>
      </w:r>
      <w:r w:rsidRPr="00AB1A1D">
        <w:rPr>
          <w:color w:val="D5B788"/>
          <w:lang w:val="es-DO"/>
        </w:rPr>
        <w:tab/>
      </w:r>
    </w:p>
    <w:p w14:paraId="2A6A7BEB" w14:textId="35E3FF32" w:rsidR="008D7F4E" w:rsidRPr="00AB1A1D" w:rsidRDefault="008D7F4E" w:rsidP="008D7F4E">
      <w:pPr>
        <w:tabs>
          <w:tab w:val="left" w:pos="5229"/>
        </w:tabs>
        <w:rPr>
          <w:color w:val="D5B788"/>
          <w:lang w:val="es-DO"/>
        </w:rPr>
      </w:pPr>
    </w:p>
    <w:p w14:paraId="5220AA7B" w14:textId="5E2F7DD2" w:rsidR="008D7F4E" w:rsidRPr="00AB1A1D" w:rsidRDefault="008D7F4E" w:rsidP="008D7F4E">
      <w:pPr>
        <w:tabs>
          <w:tab w:val="left" w:pos="5229"/>
        </w:tabs>
        <w:rPr>
          <w:color w:val="D5B788"/>
          <w:lang w:val="es-DO"/>
        </w:rPr>
      </w:pPr>
    </w:p>
    <w:p w14:paraId="04CE79E8" w14:textId="339FA333" w:rsidR="00B45B38" w:rsidRPr="00AB1A1D" w:rsidRDefault="00B45B38" w:rsidP="008D7F4E">
      <w:pPr>
        <w:tabs>
          <w:tab w:val="left" w:pos="5229"/>
        </w:tabs>
        <w:rPr>
          <w:color w:val="D5B788"/>
          <w:lang w:val="es-DO"/>
        </w:rPr>
      </w:pPr>
    </w:p>
    <w:p w14:paraId="59F2CBAA" w14:textId="1AE154EE" w:rsidR="00B45B38" w:rsidRPr="00AB1A1D" w:rsidRDefault="006A76E5" w:rsidP="00B45B38">
      <w:pPr>
        <w:tabs>
          <w:tab w:val="left" w:pos="5229"/>
        </w:tabs>
        <w:jc w:val="center"/>
        <w:rPr>
          <w:color w:val="D5B788"/>
          <w:lang w:val="es-DO"/>
        </w:rPr>
      </w:pPr>
      <w:r>
        <w:rPr>
          <w:noProof/>
        </w:rPr>
        <mc:AlternateContent>
          <mc:Choice Requires="wpg">
            <w:drawing>
              <wp:anchor distT="0" distB="0" distL="114300" distR="114300" simplePos="0" relativeHeight="251741184" behindDoc="0" locked="0" layoutInCell="1" allowOverlap="1" wp14:anchorId="32B7325B" wp14:editId="6186A903">
                <wp:simplePos x="0" y="0"/>
                <wp:positionH relativeFrom="column">
                  <wp:posOffset>2057873</wp:posOffset>
                </wp:positionH>
                <wp:positionV relativeFrom="paragraph">
                  <wp:posOffset>290195</wp:posOffset>
                </wp:positionV>
                <wp:extent cx="2059940" cy="749935"/>
                <wp:effectExtent l="0" t="0" r="0" b="0"/>
                <wp:wrapNone/>
                <wp:docPr id="1261566088"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501020009"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1179445547"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2014E228" id="Group 13" o:spid="_x0000_s1026" style="position:absolute;margin-left:162.05pt;margin-top:22.85pt;width:162.2pt;height:59.05pt;z-index:251741184;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">
                  <v:imagedata r:id="rId12" o:title=""/>
                </v:shape>
              </v:group>
            </w:pict>
          </mc:Fallback>
        </mc:AlternateContent>
      </w:r>
    </w:p>
    <w:p w14:paraId="6B439D31" w14:textId="74206C22" w:rsidR="00B45B38" w:rsidRPr="00AB1A1D" w:rsidRDefault="00B45B38" w:rsidP="008D7F4E">
      <w:pPr>
        <w:tabs>
          <w:tab w:val="left" w:pos="5229"/>
        </w:tabs>
        <w:rPr>
          <w:color w:val="D5B788"/>
          <w:lang w:val="es-DO"/>
        </w:rPr>
      </w:pPr>
    </w:p>
    <w:p w14:paraId="4A390ECB" w14:textId="1AB63A93" w:rsidR="008D7F4E" w:rsidRPr="00AB1A1D" w:rsidRDefault="008D7F4E" w:rsidP="008D7F4E">
      <w:pPr>
        <w:tabs>
          <w:tab w:val="left" w:pos="5229"/>
        </w:tabs>
        <w:rPr>
          <w:color w:val="D5B788"/>
          <w:lang w:val="es-DO"/>
        </w:rPr>
      </w:pPr>
    </w:p>
    <w:p w14:paraId="09F960FC" w14:textId="6340AF6F" w:rsidR="008D7F4E" w:rsidRPr="00AB1A1D" w:rsidRDefault="008D7F4E" w:rsidP="008D7F4E">
      <w:pPr>
        <w:tabs>
          <w:tab w:val="left" w:pos="5229"/>
        </w:tabs>
        <w:rPr>
          <w:color w:val="D5B788"/>
          <w:lang w:val="es-DO"/>
        </w:rPr>
      </w:pPr>
    </w:p>
    <w:p w14:paraId="70955679" w14:textId="1B05415B" w:rsidR="00E80BF2" w:rsidRPr="00AB1A1D" w:rsidRDefault="000D143C" w:rsidP="0034224F">
      <w:pPr>
        <w:tabs>
          <w:tab w:val="left" w:pos="5913"/>
        </w:tabs>
        <w:rPr>
          <w:color w:val="D5B788"/>
          <w:lang w:val="es-DO"/>
        </w:rPr>
      </w:pPr>
      <w:r w:rsidRPr="00AB1A1D">
        <w:rPr>
          <w:noProof/>
          <w:color w:val="D5B788"/>
          <w:lang w:val="es-DO" w:eastAsia="es-DO"/>
        </w:rPr>
        <mc:AlternateContent>
          <mc:Choice Requires="wpg">
            <w:drawing>
              <wp:anchor distT="0" distB="0" distL="114300" distR="114300" simplePos="0" relativeHeight="251720704" behindDoc="0" locked="0" layoutInCell="1" allowOverlap="1" wp14:anchorId="304B06EC" wp14:editId="463C3E86">
                <wp:simplePos x="0" y="0"/>
                <wp:positionH relativeFrom="column">
                  <wp:posOffset>1741336</wp:posOffset>
                </wp:positionH>
                <wp:positionV relativeFrom="paragraph">
                  <wp:posOffset>117972</wp:posOffset>
                </wp:positionV>
                <wp:extent cx="2714625" cy="381635"/>
                <wp:effectExtent l="0" t="0" r="9525" b="0"/>
                <wp:wrapNone/>
                <wp:docPr id="33" name="Group 33"/>
                <wp:cNvGraphicFramePr/>
                <a:graphic xmlns:a="http://schemas.openxmlformats.org/drawingml/2006/main">
                  <a:graphicData uri="http://schemas.microsoft.com/office/word/2010/wordprocessingGroup">
                    <wpg:wgp>
                      <wpg:cNvGrpSpPr/>
                      <wpg:grpSpPr>
                        <a:xfrm>
                          <a:off x="0" y="0"/>
                          <a:ext cx="2714625" cy="381635"/>
                          <a:chOff x="-55657" y="0"/>
                          <a:chExt cx="2714625" cy="381635"/>
                        </a:xfrm>
                      </wpg:grpSpPr>
                      <wps:wsp>
                        <wps:cNvPr id="3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55657" y="123825"/>
                            <a:ext cx="2714625" cy="257810"/>
                          </a:xfrm>
                          <a:prstGeom prst="rect">
                            <a:avLst/>
                          </a:prstGeom>
                          <a:solidFill>
                            <a:srgbClr val="FFFFFF"/>
                          </a:solidFill>
                          <a:ln w="9525">
                            <a:noFill/>
                            <a:miter lim="800000"/>
                            <a:headEnd/>
                            <a:tailEnd/>
                          </a:ln>
                        </wps:spPr>
                        <wps:txbx>
                          <w:txbxContent>
                            <w:p w14:paraId="2927CC02" w14:textId="77F4BD81" w:rsidR="000D143C" w:rsidRPr="00CF6646" w:rsidRDefault="005E28BD" w:rsidP="000D143C">
                              <w:pPr>
                                <w:jc w:val="center"/>
                                <w:rPr>
                                  <w:b/>
                                  <w:bCs/>
                                  <w:color w:val="D5B788"/>
                                  <w:lang w:val="es-ES"/>
                                </w:rPr>
                              </w:pPr>
                              <w:r w:rsidRPr="00CF6646">
                                <w:rPr>
                                  <w:b/>
                                  <w:bCs/>
                                  <w:color w:val="D5B788"/>
                                  <w:lang w:val="es-ES"/>
                                </w:rPr>
                                <w:t>Tesorería Nacional</w:t>
                              </w:r>
                            </w:p>
                          </w:txbxContent>
                        </wps:txbx>
                        <wps:bodyPr rot="0" vert="horz" wrap="square" lIns="91440" tIns="45720" rIns="91440" bIns="45720" anchor="t" anchorCtr="0">
                          <a:noAutofit/>
                        </wps:bodyPr>
                      </wps:wsp>
                    </wpg:wgp>
                  </a:graphicData>
                </a:graphic>
              </wp:anchor>
            </w:drawing>
          </mc:Choice>
          <mc:Fallback>
            <w:pict>
              <v:group w14:anchorId="304B06EC" id="Group 33" o:spid="_x0000_s1035" style="position:absolute;margin-left:137.1pt;margin-top:9.3pt;width:213.75pt;height:30.05pt;z-index:251720704" coordorigin="-556"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">
                <v:shape id="object 10" o:spid="_x0000_s1036"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shape id="Text Box 2" o:spid="_x0000_s1037" type="#_x0000_t202" style="position:absolute;left:-556;top:1238;width:27145;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2927CC02" w14:textId="77F4BD81" w:rsidR="000D143C" w:rsidRPr="00CF6646" w:rsidRDefault="005E28BD" w:rsidP="000D143C">
                        <w:pPr>
                          <w:jc w:val="center"/>
                          <w:rPr>
                            <w:b/>
                            <w:bCs/>
                            <w:color w:val="D5B788"/>
                            <w:lang w:val="es-ES"/>
                          </w:rPr>
                        </w:pPr>
                        <w:r w:rsidRPr="00CF6646">
                          <w:rPr>
                            <w:b/>
                            <w:bCs/>
                            <w:color w:val="D5B788"/>
                            <w:lang w:val="es-ES"/>
                          </w:rPr>
                          <w:t>Tesorería Nacional</w:t>
                        </w:r>
                      </w:p>
                    </w:txbxContent>
                  </v:textbox>
                </v:shape>
              </v:group>
            </w:pict>
          </mc:Fallback>
        </mc:AlternateContent>
      </w:r>
    </w:p>
    <w:p w14:paraId="64AE30BF" w14:textId="515A7E4D" w:rsidR="00E80BF2" w:rsidRPr="000C3458" w:rsidRDefault="00E80BF2">
      <w:pPr>
        <w:rPr>
          <w:sz w:val="22"/>
          <w:szCs w:val="22"/>
          <w:lang w:val="es-DO"/>
        </w:rPr>
      </w:pPr>
    </w:p>
    <w:p w14:paraId="31E2FE32" w14:textId="2317FF3C" w:rsidR="00545797" w:rsidRPr="000C3458" w:rsidRDefault="00545797" w:rsidP="00545797">
      <w:pPr>
        <w:jc w:val="center"/>
        <w:rPr>
          <w:b/>
          <w:bCs/>
          <w:sz w:val="28"/>
          <w:lang w:val="es-DO"/>
        </w:rPr>
      </w:pPr>
      <w:r w:rsidRPr="000C3458">
        <w:rPr>
          <w:b/>
          <w:bCs/>
          <w:sz w:val="28"/>
          <w:lang w:val="es-DO"/>
        </w:rPr>
        <w:t>TABLA DE CONTENIDOS</w:t>
      </w:r>
    </w:p>
    <w:p w14:paraId="6C3E8713" w14:textId="043AA35F" w:rsidR="00545797" w:rsidRPr="000C3458" w:rsidRDefault="00545797" w:rsidP="00545797">
      <w:pPr>
        <w:rPr>
          <w:lang w:val="es-DO"/>
        </w:rPr>
      </w:pPr>
      <w:r w:rsidRPr="000C3458">
        <w:rPr>
          <w:noProof/>
          <w:lang w:val="es-DO" w:eastAsia="es-DO"/>
        </w:rPr>
        <mc:AlternateContent>
          <mc:Choice Requires="wps">
            <w:drawing>
              <wp:anchor distT="0" distB="0" distL="114300" distR="114300" simplePos="0" relativeHeight="251669504" behindDoc="0" locked="0" layoutInCell="1" allowOverlap="1" wp14:anchorId="1E07F231" wp14:editId="4E07C729">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F7C39" id="Straight Connector 18"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139C2BAF" w:rsidR="00545797" w:rsidRPr="000C3458" w:rsidRDefault="00654164" w:rsidP="00545797">
      <w:pPr>
        <w:jc w:val="center"/>
        <w:rPr>
          <w:lang w:val="es-DO"/>
        </w:rPr>
      </w:pPr>
      <w:r w:rsidRPr="000C3458">
        <w:rPr>
          <w:lang w:val="es-DO"/>
        </w:rPr>
        <w:t xml:space="preserve">Memoria </w:t>
      </w:r>
      <w:r w:rsidR="00D837AC" w:rsidRPr="000C3458">
        <w:rPr>
          <w:lang w:val="es-DO"/>
        </w:rPr>
        <w:t>I</w:t>
      </w:r>
      <w:r w:rsidRPr="000C3458">
        <w:rPr>
          <w:lang w:val="es-DO"/>
        </w:rPr>
        <w:t>nstitucional</w:t>
      </w:r>
      <w:r w:rsidR="00545797" w:rsidRPr="000C3458">
        <w:rPr>
          <w:lang w:val="es-DO"/>
        </w:rPr>
        <w:t xml:space="preserve"> </w:t>
      </w:r>
      <w:r w:rsidR="000025D4" w:rsidRPr="000C3458">
        <w:rPr>
          <w:lang w:val="es-DO"/>
        </w:rPr>
        <w:t>202</w:t>
      </w:r>
      <w:r w:rsidR="00A5647B" w:rsidRPr="000C3458">
        <w:rPr>
          <w:lang w:val="es-DO"/>
        </w:rPr>
        <w:t>5</w:t>
      </w:r>
    </w:p>
    <w:p w14:paraId="2539C61E" w14:textId="77777777" w:rsidR="00545797" w:rsidRPr="000C3458" w:rsidRDefault="00545797" w:rsidP="00545797">
      <w:pPr>
        <w:rPr>
          <w:lang w:val="es-DO"/>
        </w:rPr>
      </w:pPr>
    </w:p>
    <w:p w14:paraId="34723B93" w14:textId="77777777" w:rsidR="00545797" w:rsidRPr="000C3458" w:rsidRDefault="00545797" w:rsidP="00545797">
      <w:pPr>
        <w:rPr>
          <w:lang w:val="es-DO"/>
        </w:rPr>
      </w:pP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13CA098D" w14:textId="2CC93254" w:rsidR="00A630BC" w:rsidRPr="000C3458" w:rsidRDefault="00A630BC">
          <w:pPr>
            <w:pStyle w:val="TtuloTDC"/>
            <w:rPr>
              <w:color w:val="767171"/>
            </w:rPr>
          </w:pPr>
        </w:p>
        <w:p w14:paraId="1F4A7AFB" w14:textId="3D8BFDB6" w:rsidR="00D61780" w:rsidRPr="000C3458" w:rsidRDefault="00A630BC">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r w:rsidRPr="000C3458">
            <w:fldChar w:fldCharType="begin"/>
          </w:r>
          <w:r w:rsidRPr="000C3458">
            <w:instrText xml:space="preserve"> TOC \o "1-3" \h \z \u </w:instrText>
          </w:r>
          <w:r w:rsidRPr="000C3458">
            <w:fldChar w:fldCharType="separate"/>
          </w:r>
          <w:hyperlink w:anchor="_Toc215652628" w:history="1">
            <w:r w:rsidR="00D61780" w:rsidRPr="000C3458">
              <w:rPr>
                <w:rStyle w:val="Hipervnculo"/>
                <w:noProof/>
                <w:color w:val="767171"/>
                <w:lang w:val="es-DO"/>
              </w:rPr>
              <w:t>RESUMEN EJECUTIVO</w:t>
            </w:r>
            <w:r w:rsidR="00D61780" w:rsidRPr="000C3458">
              <w:rPr>
                <w:noProof/>
                <w:webHidden/>
              </w:rPr>
              <w:tab/>
            </w:r>
            <w:r w:rsidR="00D61780" w:rsidRPr="000C3458">
              <w:rPr>
                <w:noProof/>
                <w:webHidden/>
              </w:rPr>
              <w:fldChar w:fldCharType="begin"/>
            </w:r>
            <w:r w:rsidR="00D61780" w:rsidRPr="000C3458">
              <w:rPr>
                <w:noProof/>
                <w:webHidden/>
              </w:rPr>
              <w:instrText xml:space="preserve"> PAGEREF _Toc215652628 \h </w:instrText>
            </w:r>
            <w:r w:rsidR="00D61780" w:rsidRPr="000C3458">
              <w:rPr>
                <w:noProof/>
                <w:webHidden/>
              </w:rPr>
            </w:r>
            <w:r w:rsidR="00D61780" w:rsidRPr="000C3458">
              <w:rPr>
                <w:noProof/>
                <w:webHidden/>
              </w:rPr>
              <w:fldChar w:fldCharType="separate"/>
            </w:r>
            <w:r w:rsidR="00204D76" w:rsidRPr="000C3458">
              <w:rPr>
                <w:noProof/>
                <w:webHidden/>
              </w:rPr>
              <w:t>1</w:t>
            </w:r>
            <w:r w:rsidR="00D61780" w:rsidRPr="000C3458">
              <w:rPr>
                <w:noProof/>
                <w:webHidden/>
              </w:rPr>
              <w:fldChar w:fldCharType="end"/>
            </w:r>
          </w:hyperlink>
        </w:p>
        <w:p w14:paraId="075CB937" w14:textId="4F8803AC" w:rsidR="00D61780" w:rsidRPr="000C3458" w:rsidRDefault="00D61780">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215652629" w:history="1">
            <w:r w:rsidRPr="000C3458">
              <w:rPr>
                <w:rStyle w:val="Hipervnculo"/>
                <w:noProof/>
                <w:color w:val="767171"/>
                <w:lang w:val="es-DO"/>
              </w:rPr>
              <w:t>INFORMACIÓN INSTITUCIONAL</w:t>
            </w:r>
            <w:r w:rsidRPr="000C3458">
              <w:rPr>
                <w:noProof/>
                <w:webHidden/>
              </w:rPr>
              <w:tab/>
            </w:r>
            <w:r w:rsidRPr="000C3458">
              <w:rPr>
                <w:noProof/>
                <w:webHidden/>
              </w:rPr>
              <w:fldChar w:fldCharType="begin"/>
            </w:r>
            <w:r w:rsidRPr="000C3458">
              <w:rPr>
                <w:noProof/>
                <w:webHidden/>
              </w:rPr>
              <w:instrText xml:space="preserve"> PAGEREF _Toc215652629 \h </w:instrText>
            </w:r>
            <w:r w:rsidRPr="000C3458">
              <w:rPr>
                <w:noProof/>
                <w:webHidden/>
              </w:rPr>
            </w:r>
            <w:r w:rsidRPr="000C3458">
              <w:rPr>
                <w:noProof/>
                <w:webHidden/>
              </w:rPr>
              <w:fldChar w:fldCharType="separate"/>
            </w:r>
            <w:r w:rsidR="00204D76" w:rsidRPr="000C3458">
              <w:rPr>
                <w:noProof/>
                <w:webHidden/>
              </w:rPr>
              <w:t>4</w:t>
            </w:r>
            <w:r w:rsidRPr="000C3458">
              <w:rPr>
                <w:noProof/>
                <w:webHidden/>
              </w:rPr>
              <w:fldChar w:fldCharType="end"/>
            </w:r>
          </w:hyperlink>
        </w:p>
        <w:p w14:paraId="0B3A3825" w14:textId="4FCE1B33" w:rsidR="00D61780" w:rsidRPr="000C3458" w:rsidRDefault="00D61780">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215652630" w:history="1">
            <w:r w:rsidRPr="000C3458">
              <w:rPr>
                <w:rStyle w:val="Hipervnculo"/>
                <w:noProof/>
                <w:color w:val="767171"/>
                <w:lang w:val="es-DO"/>
              </w:rPr>
              <w:t>RESULTADOS MISIONALES</w:t>
            </w:r>
            <w:r w:rsidRPr="000C3458">
              <w:rPr>
                <w:noProof/>
                <w:webHidden/>
              </w:rPr>
              <w:tab/>
            </w:r>
            <w:r w:rsidRPr="000C3458">
              <w:rPr>
                <w:noProof/>
                <w:webHidden/>
              </w:rPr>
              <w:fldChar w:fldCharType="begin"/>
            </w:r>
            <w:r w:rsidRPr="000C3458">
              <w:rPr>
                <w:noProof/>
                <w:webHidden/>
              </w:rPr>
              <w:instrText xml:space="preserve"> PAGEREF _Toc215652630 \h </w:instrText>
            </w:r>
            <w:r w:rsidRPr="000C3458">
              <w:rPr>
                <w:noProof/>
                <w:webHidden/>
              </w:rPr>
            </w:r>
            <w:r w:rsidRPr="000C3458">
              <w:rPr>
                <w:noProof/>
                <w:webHidden/>
              </w:rPr>
              <w:fldChar w:fldCharType="separate"/>
            </w:r>
            <w:r w:rsidR="00204D76" w:rsidRPr="000C3458">
              <w:rPr>
                <w:noProof/>
                <w:webHidden/>
              </w:rPr>
              <w:t>8</w:t>
            </w:r>
            <w:r w:rsidRPr="000C3458">
              <w:rPr>
                <w:noProof/>
                <w:webHidden/>
              </w:rPr>
              <w:fldChar w:fldCharType="end"/>
            </w:r>
          </w:hyperlink>
        </w:p>
        <w:p w14:paraId="538889A7" w14:textId="74591CF0" w:rsidR="00D61780" w:rsidRPr="000C3458" w:rsidRDefault="00D61780">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215652631" w:history="1">
            <w:r w:rsidRPr="000C3458">
              <w:rPr>
                <w:rStyle w:val="Hipervnculo"/>
                <w:noProof/>
                <w:color w:val="767171"/>
                <w:lang w:val="es-DO"/>
              </w:rPr>
              <w:t>RESULTADOS DE LAS ÁREAS TRANSVERSALES Y DE APOYO</w:t>
            </w:r>
            <w:r w:rsidRPr="000C3458">
              <w:rPr>
                <w:noProof/>
                <w:webHidden/>
              </w:rPr>
              <w:tab/>
            </w:r>
            <w:r w:rsidRPr="000C3458">
              <w:rPr>
                <w:noProof/>
                <w:webHidden/>
              </w:rPr>
              <w:fldChar w:fldCharType="begin"/>
            </w:r>
            <w:r w:rsidRPr="000C3458">
              <w:rPr>
                <w:noProof/>
                <w:webHidden/>
              </w:rPr>
              <w:instrText xml:space="preserve"> PAGEREF _Toc215652631 \h </w:instrText>
            </w:r>
            <w:r w:rsidRPr="000C3458">
              <w:rPr>
                <w:noProof/>
                <w:webHidden/>
              </w:rPr>
            </w:r>
            <w:r w:rsidRPr="000C3458">
              <w:rPr>
                <w:noProof/>
                <w:webHidden/>
              </w:rPr>
              <w:fldChar w:fldCharType="separate"/>
            </w:r>
            <w:r w:rsidR="00204D76" w:rsidRPr="000C3458">
              <w:rPr>
                <w:noProof/>
                <w:webHidden/>
              </w:rPr>
              <w:t>42</w:t>
            </w:r>
            <w:r w:rsidRPr="000C3458">
              <w:rPr>
                <w:noProof/>
                <w:webHidden/>
              </w:rPr>
              <w:fldChar w:fldCharType="end"/>
            </w:r>
          </w:hyperlink>
        </w:p>
        <w:p w14:paraId="3815BDEF" w14:textId="46D99498" w:rsidR="00D61780" w:rsidRPr="000C3458" w:rsidRDefault="00D61780">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215652632" w:history="1">
            <w:r w:rsidRPr="000C3458">
              <w:rPr>
                <w:rStyle w:val="Hipervnculo"/>
                <w:noProof/>
                <w:color w:val="767171"/>
                <w:lang w:val="es-DO"/>
              </w:rPr>
              <w:t>SERVICIO AL CIUDADANO Y TRANSPARENCIA INSTITUCIONAL</w:t>
            </w:r>
            <w:r w:rsidRPr="000C3458">
              <w:rPr>
                <w:noProof/>
                <w:webHidden/>
              </w:rPr>
              <w:tab/>
            </w:r>
            <w:r w:rsidRPr="000C3458">
              <w:rPr>
                <w:noProof/>
                <w:webHidden/>
              </w:rPr>
              <w:fldChar w:fldCharType="begin"/>
            </w:r>
            <w:r w:rsidRPr="000C3458">
              <w:rPr>
                <w:noProof/>
                <w:webHidden/>
              </w:rPr>
              <w:instrText xml:space="preserve"> PAGEREF _Toc215652632 \h </w:instrText>
            </w:r>
            <w:r w:rsidRPr="000C3458">
              <w:rPr>
                <w:noProof/>
                <w:webHidden/>
              </w:rPr>
            </w:r>
            <w:r w:rsidRPr="000C3458">
              <w:rPr>
                <w:noProof/>
                <w:webHidden/>
              </w:rPr>
              <w:fldChar w:fldCharType="separate"/>
            </w:r>
            <w:r w:rsidR="00204D76" w:rsidRPr="000C3458">
              <w:rPr>
                <w:noProof/>
                <w:webHidden/>
              </w:rPr>
              <w:t>84</w:t>
            </w:r>
            <w:r w:rsidRPr="000C3458">
              <w:rPr>
                <w:noProof/>
                <w:webHidden/>
              </w:rPr>
              <w:fldChar w:fldCharType="end"/>
            </w:r>
          </w:hyperlink>
        </w:p>
        <w:p w14:paraId="352453BD" w14:textId="7058DE1C" w:rsidR="00D61780" w:rsidRPr="000C3458" w:rsidRDefault="00D61780">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215652633" w:history="1">
            <w:r w:rsidRPr="000C3458">
              <w:rPr>
                <w:rStyle w:val="Hipervnculo"/>
                <w:noProof/>
                <w:color w:val="767171"/>
                <w:lang w:val="es-DO"/>
              </w:rPr>
              <w:t>PROYECCIONES AL PRÓXIMO AÑO</w:t>
            </w:r>
            <w:r w:rsidRPr="000C3458">
              <w:rPr>
                <w:noProof/>
                <w:webHidden/>
              </w:rPr>
              <w:tab/>
            </w:r>
            <w:r w:rsidRPr="000C3458">
              <w:rPr>
                <w:noProof/>
                <w:webHidden/>
              </w:rPr>
              <w:fldChar w:fldCharType="begin"/>
            </w:r>
            <w:r w:rsidRPr="000C3458">
              <w:rPr>
                <w:noProof/>
                <w:webHidden/>
              </w:rPr>
              <w:instrText xml:space="preserve"> PAGEREF _Toc215652633 \h </w:instrText>
            </w:r>
            <w:r w:rsidRPr="000C3458">
              <w:rPr>
                <w:noProof/>
                <w:webHidden/>
              </w:rPr>
            </w:r>
            <w:r w:rsidRPr="000C3458">
              <w:rPr>
                <w:noProof/>
                <w:webHidden/>
              </w:rPr>
              <w:fldChar w:fldCharType="separate"/>
            </w:r>
            <w:r w:rsidR="00204D76" w:rsidRPr="000C3458">
              <w:rPr>
                <w:noProof/>
                <w:webHidden/>
              </w:rPr>
              <w:t>87</w:t>
            </w:r>
            <w:r w:rsidRPr="000C3458">
              <w:rPr>
                <w:noProof/>
                <w:webHidden/>
              </w:rPr>
              <w:fldChar w:fldCharType="end"/>
            </w:r>
          </w:hyperlink>
        </w:p>
        <w:p w14:paraId="4DAD524D" w14:textId="6F7BA32D" w:rsidR="00D61780" w:rsidRPr="000C3458" w:rsidRDefault="00D61780">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215652634" w:history="1">
            <w:r w:rsidRPr="000C3458">
              <w:rPr>
                <w:rStyle w:val="Hipervnculo"/>
                <w:noProof/>
                <w:color w:val="767171"/>
                <w:lang w:val="es-DO"/>
              </w:rPr>
              <w:t>ANEXOS</w:t>
            </w:r>
            <w:r w:rsidRPr="000C3458">
              <w:rPr>
                <w:noProof/>
                <w:webHidden/>
              </w:rPr>
              <w:tab/>
            </w:r>
            <w:r w:rsidRPr="000C3458">
              <w:rPr>
                <w:noProof/>
                <w:webHidden/>
              </w:rPr>
              <w:fldChar w:fldCharType="begin"/>
            </w:r>
            <w:r w:rsidRPr="000C3458">
              <w:rPr>
                <w:noProof/>
                <w:webHidden/>
              </w:rPr>
              <w:instrText xml:space="preserve"> PAGEREF _Toc215652634 \h </w:instrText>
            </w:r>
            <w:r w:rsidRPr="000C3458">
              <w:rPr>
                <w:noProof/>
                <w:webHidden/>
              </w:rPr>
            </w:r>
            <w:r w:rsidRPr="000C3458">
              <w:rPr>
                <w:noProof/>
                <w:webHidden/>
              </w:rPr>
              <w:fldChar w:fldCharType="separate"/>
            </w:r>
            <w:r w:rsidR="00204D76" w:rsidRPr="000C3458">
              <w:rPr>
                <w:noProof/>
                <w:webHidden/>
              </w:rPr>
              <w:t>87</w:t>
            </w:r>
            <w:r w:rsidRPr="000C3458">
              <w:rPr>
                <w:noProof/>
                <w:webHidden/>
              </w:rPr>
              <w:fldChar w:fldCharType="end"/>
            </w:r>
          </w:hyperlink>
        </w:p>
        <w:p w14:paraId="48DD30ED" w14:textId="0D3B293F" w:rsidR="00A630BC" w:rsidRPr="000C3458" w:rsidRDefault="00A630BC">
          <w:r w:rsidRPr="000C3458">
            <w:rPr>
              <w:b/>
              <w:bCs/>
              <w:noProof/>
            </w:rPr>
            <w:fldChar w:fldCharType="end"/>
          </w:r>
        </w:p>
      </w:sdtContent>
    </w:sdt>
    <w:p w14:paraId="4394B0A8" w14:textId="77777777" w:rsidR="001240D0" w:rsidRPr="000C3458" w:rsidRDefault="001240D0" w:rsidP="00B45B38">
      <w:pPr>
        <w:ind w:left="567"/>
        <w:rPr>
          <w:b/>
          <w:bCs/>
          <w:noProof/>
          <w:lang w:val="es-DO"/>
        </w:rPr>
      </w:pPr>
    </w:p>
    <w:p w14:paraId="4242FE2D" w14:textId="77777777" w:rsidR="001240D0" w:rsidRPr="000C3458" w:rsidRDefault="001240D0" w:rsidP="00B45B38">
      <w:pPr>
        <w:ind w:left="567"/>
        <w:rPr>
          <w:b/>
          <w:bCs/>
          <w:noProof/>
          <w:lang w:val="es-DO"/>
        </w:rPr>
      </w:pPr>
    </w:p>
    <w:p w14:paraId="573DD07B" w14:textId="77777777" w:rsidR="001240D0" w:rsidRPr="000C3458" w:rsidRDefault="001240D0" w:rsidP="00B45B38">
      <w:pPr>
        <w:ind w:left="567"/>
        <w:rPr>
          <w:b/>
          <w:bCs/>
          <w:noProof/>
          <w:lang w:val="es-DO"/>
        </w:rPr>
      </w:pPr>
    </w:p>
    <w:p w14:paraId="6CEA36FA" w14:textId="77777777" w:rsidR="001240D0" w:rsidRPr="000C3458" w:rsidRDefault="001240D0" w:rsidP="00B45B38">
      <w:pPr>
        <w:ind w:left="567"/>
        <w:rPr>
          <w:b/>
          <w:bCs/>
          <w:noProof/>
          <w:lang w:val="es-DO"/>
        </w:rPr>
      </w:pPr>
    </w:p>
    <w:p w14:paraId="310BE1B9" w14:textId="77777777" w:rsidR="001240D0" w:rsidRPr="000C3458" w:rsidRDefault="001240D0" w:rsidP="00B45B38">
      <w:pPr>
        <w:ind w:left="567"/>
        <w:rPr>
          <w:b/>
          <w:bCs/>
          <w:noProof/>
          <w:lang w:val="es-DO"/>
        </w:rPr>
      </w:pPr>
    </w:p>
    <w:p w14:paraId="4D9BE3A9" w14:textId="77777777" w:rsidR="00920A80" w:rsidRPr="000C3458" w:rsidRDefault="00920A80" w:rsidP="00B45B38">
      <w:pPr>
        <w:ind w:left="567"/>
        <w:rPr>
          <w:b/>
          <w:bCs/>
          <w:noProof/>
          <w:lang w:val="es-DO"/>
        </w:rPr>
      </w:pPr>
    </w:p>
    <w:p w14:paraId="06171E0A" w14:textId="77777777" w:rsidR="00920A80" w:rsidRPr="000C3458" w:rsidRDefault="00920A80" w:rsidP="00B45B38">
      <w:pPr>
        <w:ind w:left="567"/>
        <w:rPr>
          <w:b/>
          <w:bCs/>
          <w:noProof/>
          <w:lang w:val="es-DO"/>
        </w:rPr>
      </w:pPr>
    </w:p>
    <w:p w14:paraId="48D5794A" w14:textId="77777777" w:rsidR="00920A80" w:rsidRPr="000C3458" w:rsidRDefault="00920A80" w:rsidP="00B45B38">
      <w:pPr>
        <w:ind w:left="567"/>
        <w:rPr>
          <w:b/>
          <w:bCs/>
          <w:noProof/>
          <w:lang w:val="es-DO"/>
        </w:rPr>
      </w:pPr>
    </w:p>
    <w:p w14:paraId="040E1B5A" w14:textId="77777777" w:rsidR="00920A80" w:rsidRPr="000C3458" w:rsidRDefault="00920A80" w:rsidP="00DD7615">
      <w:pPr>
        <w:rPr>
          <w:b/>
          <w:bCs/>
          <w:noProof/>
          <w:lang w:val="es-DO"/>
        </w:rPr>
      </w:pPr>
    </w:p>
    <w:p w14:paraId="14F849D0" w14:textId="77777777" w:rsidR="00920A80" w:rsidRPr="000C3458" w:rsidRDefault="00920A80" w:rsidP="00B45B38">
      <w:pPr>
        <w:ind w:left="567"/>
        <w:rPr>
          <w:b/>
          <w:bCs/>
          <w:noProof/>
          <w:lang w:val="es-DO"/>
        </w:rPr>
      </w:pPr>
    </w:p>
    <w:p w14:paraId="3C867BEC" w14:textId="77777777" w:rsidR="00920A80" w:rsidRPr="000C3458" w:rsidRDefault="00920A80" w:rsidP="00B45B38">
      <w:pPr>
        <w:ind w:left="567"/>
        <w:rPr>
          <w:b/>
          <w:bCs/>
          <w:noProof/>
          <w:lang w:val="es-DO"/>
        </w:rPr>
      </w:pPr>
    </w:p>
    <w:p w14:paraId="34FD40AF" w14:textId="7F25FC58" w:rsidR="00920A80" w:rsidRPr="000C3458" w:rsidRDefault="00920A80" w:rsidP="00B45B38">
      <w:pPr>
        <w:ind w:left="567"/>
        <w:rPr>
          <w:i/>
          <w:iCs/>
          <w:noProof/>
          <w:sz w:val="20"/>
          <w:szCs w:val="20"/>
          <w:lang w:val="es-DO"/>
        </w:rPr>
      </w:pPr>
    </w:p>
    <w:p w14:paraId="13F38C54" w14:textId="77777777" w:rsidR="00920A80" w:rsidRPr="000C3458" w:rsidRDefault="00920A80" w:rsidP="00B45B38">
      <w:pPr>
        <w:ind w:left="567"/>
        <w:rPr>
          <w:b/>
          <w:bCs/>
          <w:noProof/>
          <w:lang w:val="es-DO"/>
        </w:rPr>
      </w:pPr>
    </w:p>
    <w:p w14:paraId="220C50B1" w14:textId="77777777" w:rsidR="001240D0" w:rsidRPr="000C3458" w:rsidRDefault="001240D0" w:rsidP="00B45B38">
      <w:pPr>
        <w:ind w:left="567"/>
        <w:rPr>
          <w:b/>
          <w:bCs/>
          <w:noProof/>
          <w:lang w:val="es-DO"/>
        </w:rPr>
      </w:pPr>
    </w:p>
    <w:p w14:paraId="1DBDA006" w14:textId="4D806799" w:rsidR="001240D0" w:rsidRPr="000C3458" w:rsidRDefault="001240D0">
      <w:pPr>
        <w:rPr>
          <w:lang w:val="es-DO"/>
        </w:rPr>
        <w:sectPr w:rsidR="001240D0" w:rsidRPr="000C3458" w:rsidSect="009904DB">
          <w:footerReference w:type="first" r:id="rId13"/>
          <w:pgSz w:w="12240" w:h="15840"/>
          <w:pgMar w:top="1440" w:right="1440" w:bottom="1440" w:left="1440" w:header="720" w:footer="720" w:gutter="0"/>
          <w:cols w:space="720"/>
          <w:docGrid w:linePitch="360"/>
        </w:sectPr>
      </w:pPr>
    </w:p>
    <w:p w14:paraId="649D29AD" w14:textId="5849EA87" w:rsidR="001240D0" w:rsidRPr="000C3458" w:rsidRDefault="001240D0" w:rsidP="00654164">
      <w:pPr>
        <w:pStyle w:val="Ttulo1"/>
        <w:rPr>
          <w:color w:val="767171"/>
          <w:lang w:val="es-DO"/>
        </w:rPr>
      </w:pPr>
      <w:bookmarkStart w:id="2" w:name="_Toc215652628"/>
      <w:bookmarkStart w:id="3" w:name="_Hlk86403204"/>
      <w:r w:rsidRPr="000C3458">
        <w:rPr>
          <w:color w:val="767171"/>
          <w:lang w:val="es-DO"/>
        </w:rPr>
        <w:lastRenderedPageBreak/>
        <w:t>RESUMEN EJECUTIVO</w:t>
      </w:r>
      <w:bookmarkEnd w:id="2"/>
    </w:p>
    <w:p w14:paraId="7C54AF21" w14:textId="26B7214D" w:rsidR="001240D0" w:rsidRPr="00E55841" w:rsidRDefault="00125D46" w:rsidP="001240D0">
      <w:pPr>
        <w:jc w:val="both"/>
        <w:rPr>
          <w:rFonts w:eastAsia="Calibri"/>
          <w:sz w:val="18"/>
          <w:lang w:val="es-DO"/>
        </w:rPr>
      </w:pPr>
      <w:r w:rsidRPr="000C3458">
        <w:rPr>
          <w:rFonts w:eastAsia="Calibri"/>
          <w:noProof/>
          <w:sz w:val="18"/>
          <w:lang w:val="es-DO" w:eastAsia="es-DO"/>
        </w:rPr>
        <mc:AlternateContent>
          <mc:Choice Requires="wps">
            <w:drawing>
              <wp:anchor distT="0" distB="0" distL="114300" distR="114300" simplePos="0" relativeHeight="251646464" behindDoc="0" locked="0" layoutInCell="1" allowOverlap="1" wp14:anchorId="5383067F" wp14:editId="51EC53BD">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DC3B9" id="Straight Connector 21" o:spid="_x0000_s1026" style="position:absolute;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6328F7DD" w:rsidR="001240D0" w:rsidRPr="00E55841" w:rsidRDefault="00654164" w:rsidP="001240D0">
      <w:pPr>
        <w:jc w:val="center"/>
        <w:rPr>
          <w:rFonts w:eastAsia="Calibri"/>
          <w:szCs w:val="36"/>
          <w:lang w:val="es-DO"/>
        </w:rPr>
      </w:pPr>
      <w:r w:rsidRPr="00E55841">
        <w:rPr>
          <w:rFonts w:eastAsia="Calibri"/>
          <w:szCs w:val="36"/>
          <w:lang w:val="es-DO"/>
        </w:rPr>
        <w:t xml:space="preserve">Memoria </w:t>
      </w:r>
      <w:r w:rsidR="00D837AC" w:rsidRPr="00E55841">
        <w:rPr>
          <w:rFonts w:eastAsia="Calibri"/>
          <w:szCs w:val="36"/>
          <w:lang w:val="es-DO"/>
        </w:rPr>
        <w:t>I</w:t>
      </w:r>
      <w:r w:rsidRPr="00E55841">
        <w:rPr>
          <w:rFonts w:eastAsia="Calibri"/>
          <w:szCs w:val="36"/>
          <w:lang w:val="es-DO"/>
        </w:rPr>
        <w:t>nstitucional</w:t>
      </w:r>
      <w:r w:rsidR="001240D0" w:rsidRPr="00E55841">
        <w:rPr>
          <w:rFonts w:eastAsia="Calibri"/>
          <w:szCs w:val="36"/>
          <w:lang w:val="es-DO"/>
        </w:rPr>
        <w:t xml:space="preserve"> </w:t>
      </w:r>
      <w:r w:rsidR="000025D4" w:rsidRPr="00E55841">
        <w:rPr>
          <w:rFonts w:eastAsia="Calibri"/>
          <w:szCs w:val="36"/>
          <w:lang w:val="es-DO"/>
        </w:rPr>
        <w:t>202</w:t>
      </w:r>
      <w:r w:rsidR="00A5647B" w:rsidRPr="00E55841">
        <w:rPr>
          <w:rFonts w:eastAsia="Calibri"/>
          <w:szCs w:val="36"/>
          <w:lang w:val="es-DO"/>
        </w:rPr>
        <w:t>5</w:t>
      </w:r>
    </w:p>
    <w:bookmarkEnd w:id="3"/>
    <w:p w14:paraId="1D37AA0C" w14:textId="77777777" w:rsidR="00753EC5" w:rsidRPr="008E3FEA" w:rsidRDefault="00753EC5" w:rsidP="00753EC5">
      <w:pPr>
        <w:spacing w:line="360" w:lineRule="auto"/>
        <w:jc w:val="both"/>
        <w:rPr>
          <w:rFonts w:eastAsia="Calibri"/>
          <w:noProof/>
          <w:lang w:val="es-DO"/>
        </w:rPr>
      </w:pPr>
      <w:r w:rsidRPr="008E3FEA">
        <w:rPr>
          <w:rFonts w:eastAsia="Calibri"/>
          <w:noProof/>
          <w:lang w:val="es-DO"/>
        </w:rPr>
        <w:t>La Tesorería Nacional de la República Dominicana fue elegida para presidir el Foro de Tesorerías Gubernamentales de América Latina (FOTEGAL) durante el período 2024-2025 reafirmó el liderazgo del país en la modernización de la gestión financiera pública mediante la creación de una agenda estratégica sustentada en tres ejes: resiliencia digital, sostenibilidad fiscal e innovación tecnológica. Se desarrollaron seminarios virtuales especializados que promovieron la cooperación técnica y el aprendizaje continuo entre países miembros, logrando un alcance de más de 600 conexiones institucionales y duplicando la comunidad digital del foro en redes sociales.</w:t>
      </w:r>
    </w:p>
    <w:p w14:paraId="7B835563" w14:textId="77777777" w:rsidR="00753EC5" w:rsidRPr="008E3FEA" w:rsidRDefault="00753EC5" w:rsidP="00753EC5">
      <w:pPr>
        <w:spacing w:line="360" w:lineRule="auto"/>
        <w:jc w:val="both"/>
        <w:rPr>
          <w:rFonts w:eastAsia="Calibri"/>
          <w:noProof/>
          <w:lang w:val="es-DO"/>
        </w:rPr>
      </w:pPr>
      <w:r w:rsidRPr="008E3FEA">
        <w:rPr>
          <w:rFonts w:eastAsia="Calibri"/>
          <w:noProof/>
          <w:lang w:val="es-DO"/>
        </w:rPr>
        <w:t xml:space="preserve">El XV Seminario Anual FOTEGAL, celebrado en Punta Cana del 28 al 30 de octubre, marcó el cierre de esta agenda estratégica con la participación de más de 130 delegados de 14 países, respaldados por organismos internacionales como el BID, FMI y CAPTAC-DR. </w:t>
      </w:r>
    </w:p>
    <w:p w14:paraId="786FBEA8" w14:textId="77777777" w:rsidR="00753EC5" w:rsidRPr="008E3FEA" w:rsidRDefault="00753EC5" w:rsidP="00753EC5">
      <w:pPr>
        <w:spacing w:line="360" w:lineRule="auto"/>
        <w:jc w:val="both"/>
        <w:rPr>
          <w:rFonts w:eastAsia="Calibri"/>
          <w:noProof/>
          <w:lang w:val="es-DO"/>
        </w:rPr>
      </w:pPr>
      <w:r>
        <w:rPr>
          <w:rFonts w:eastAsia="Calibri"/>
          <w:noProof/>
          <w:lang w:val="es-DO"/>
        </w:rPr>
        <w:t>L</w:t>
      </w:r>
      <w:r w:rsidRPr="008E3FEA">
        <w:rPr>
          <w:rFonts w:eastAsia="Calibri"/>
          <w:noProof/>
          <w:lang w:val="es-DO"/>
        </w:rPr>
        <w:t>os recursos administrados por la Tesorería Nacional ascendieron a RD$1,62 billones, con un 56.4%; de la de Dirección General de Impuestos Internos (DGII), un  16.59% por la Dirección General de Aduanas (DGA)y un 3.67% de la Tesorería Nacional y un 0.82% de recursos de Capatación Directa-CUT.</w:t>
      </w:r>
    </w:p>
    <w:p w14:paraId="71F2316F" w14:textId="77777777" w:rsidR="00753EC5" w:rsidRDefault="00753EC5" w:rsidP="00753EC5">
      <w:pPr>
        <w:spacing w:line="360" w:lineRule="auto"/>
        <w:jc w:val="both"/>
        <w:rPr>
          <w:rFonts w:eastAsia="Calibri"/>
          <w:noProof/>
          <w:lang w:val="es-DO"/>
        </w:rPr>
      </w:pPr>
      <w:r w:rsidRPr="008E3FEA">
        <w:rPr>
          <w:rFonts w:eastAsia="Calibri"/>
          <w:noProof/>
          <w:lang w:val="es-DO"/>
        </w:rPr>
        <w:t xml:space="preserve">La Tesorería Nacional aumentó la cantidad de servicios a disposicion de la Ciudadanía mediante el Sistema de Recaudación de Ingresos del Tesoro (SIRITE), que en 2025 alcanzó una recaudación de RD$2,343.1 millones a través de 1,012,009 transacciones procesadas en 64 centros habilitados, con una oferta de 1,109 servicios disponibles para la ciudadanía. Entre estos se destacan las ventanillas únicas educativa y de construcción, desarrolladas en coordinación </w:t>
      </w:r>
      <w:r w:rsidRPr="008E3FEA">
        <w:rPr>
          <w:rFonts w:eastAsia="Calibri"/>
          <w:noProof/>
          <w:lang w:val="es-DO"/>
        </w:rPr>
        <w:lastRenderedPageBreak/>
        <w:t xml:space="preserve">con el Ministerio de Educación Superior, Ciencia y Tecnología (MESCyT) y el Ministerio de Vivienda, Hábitat y Edificaciones (MIVHED). </w:t>
      </w:r>
    </w:p>
    <w:p w14:paraId="735F59A5" w14:textId="70203EA5" w:rsidR="00753EC5" w:rsidRDefault="00753EC5" w:rsidP="00753EC5">
      <w:pPr>
        <w:spacing w:line="360" w:lineRule="auto"/>
        <w:jc w:val="both"/>
        <w:rPr>
          <w:rFonts w:eastAsia="Calibri"/>
          <w:noProof/>
          <w:lang w:val="es-DO"/>
        </w:rPr>
      </w:pPr>
      <w:r w:rsidRPr="008E3FEA">
        <w:rPr>
          <w:rFonts w:eastAsia="Calibri"/>
          <w:noProof/>
          <w:lang w:val="es-DO"/>
        </w:rPr>
        <w:t xml:space="preserve">En paralelo, la gestión activa de caja </w:t>
      </w:r>
      <w:r w:rsidR="004C2709">
        <w:rPr>
          <w:rFonts w:eastAsia="Calibri"/>
          <w:noProof/>
          <w:lang w:val="es-DO"/>
        </w:rPr>
        <w:t>ejecutó</w:t>
      </w:r>
      <w:r w:rsidRPr="008E3FEA">
        <w:rPr>
          <w:rFonts w:eastAsia="Calibri"/>
          <w:noProof/>
          <w:lang w:val="es-DO"/>
        </w:rPr>
        <w:t xml:space="preserve"> recursos, realizando inversiones estratégicas en certificados en dólares por un total de US$600 millones y negociando remuneraciones de saldos con el Banco de Reservas, el Banco Central y el Banco Agrícola. Estas operaciones generaron rendimientos consolidados por RD$606 millones. </w:t>
      </w:r>
    </w:p>
    <w:p w14:paraId="2BFF058E" w14:textId="77777777" w:rsidR="00753EC5" w:rsidRPr="00E50801" w:rsidRDefault="00753EC5" w:rsidP="00753EC5">
      <w:pPr>
        <w:spacing w:line="360" w:lineRule="auto"/>
        <w:jc w:val="both"/>
        <w:rPr>
          <w:rFonts w:eastAsia="Calibri"/>
          <w:noProof/>
          <w:lang w:val="es-DO"/>
        </w:rPr>
      </w:pPr>
      <w:r w:rsidRPr="00E50801">
        <w:rPr>
          <w:rFonts w:eastAsia="Calibri"/>
          <w:noProof/>
          <w:lang w:val="es-DO"/>
        </w:rPr>
        <w:t xml:space="preserve">La Tesorería Nacional fortaleció su rectoría mediante la elaboración de la version preliminar de una norma sobre “Cheques del Tesoro No Conciliados” y un procedimiento para la devolución de depósitos incorrectos, incorporó una nueva Tesorería para alcanzar 229 instituciones en la Cuenta Única del Tesoro (CUT), integró 24 proyectos UEPEX y tramitó 122 roles operativos, además de actualizar 139 registros en SATI y gestionar 24,130 asistencias técnicas. </w:t>
      </w:r>
    </w:p>
    <w:p w14:paraId="7184E0BD" w14:textId="77777777" w:rsidR="00753EC5" w:rsidRPr="008E3FEA" w:rsidRDefault="00753EC5" w:rsidP="00753EC5">
      <w:pPr>
        <w:spacing w:line="360" w:lineRule="auto"/>
        <w:jc w:val="both"/>
        <w:rPr>
          <w:rFonts w:eastAsia="Calibri"/>
          <w:noProof/>
          <w:lang w:val="es-DO"/>
        </w:rPr>
      </w:pPr>
      <w:r w:rsidRPr="008E3FEA">
        <w:rPr>
          <w:rFonts w:eastAsia="Calibri"/>
          <w:noProof/>
          <w:lang w:val="es-DO"/>
        </w:rPr>
        <w:t>Durante el año se habilitaron 331 subcuentas, de las cuales 214 correspondieron a proyectos incorporados a la CUT y 117 a instituciones, lo que permitió ampliar la cobertura del sistema con 2,047 gestiones de cuentas, que incluyeron aperturas, sustituciones de firma, cierres y cambios. Este esfuerzo se complementó con la administración de 3,481 cuentas activas, distribuidas en 966 bajo gestión directa de la Tesorería Nacional, 125 pertenecientes a proyectos UEPEX y 2,390 de gobiernos locales.</w:t>
      </w:r>
    </w:p>
    <w:p w14:paraId="11AEAFCB" w14:textId="77777777" w:rsidR="00753EC5" w:rsidRPr="008E3FEA" w:rsidRDefault="00753EC5" w:rsidP="00753EC5">
      <w:pPr>
        <w:spacing w:line="360" w:lineRule="auto"/>
        <w:jc w:val="both"/>
        <w:rPr>
          <w:rFonts w:eastAsia="Calibri"/>
          <w:noProof/>
          <w:lang w:val="es-DO"/>
        </w:rPr>
      </w:pPr>
      <w:r w:rsidRPr="008E3FEA">
        <w:rPr>
          <w:rFonts w:eastAsia="Calibri"/>
          <w:noProof/>
          <w:lang w:val="es-DO"/>
        </w:rPr>
        <w:t>En la interoperabilidad institucional, se logró la integración de proyectos UEPEX bajo el esquema de libramientos electrónicos en el Sistema Integrado de Gestión Financiera (SIGEF).</w:t>
      </w:r>
    </w:p>
    <w:p w14:paraId="759ABF68" w14:textId="77777777" w:rsidR="00753EC5" w:rsidRPr="008E3FEA" w:rsidRDefault="00753EC5" w:rsidP="00753EC5">
      <w:pPr>
        <w:spacing w:line="360" w:lineRule="auto"/>
        <w:jc w:val="both"/>
        <w:rPr>
          <w:rFonts w:eastAsia="Calibri"/>
          <w:noProof/>
          <w:lang w:val="es-DO"/>
        </w:rPr>
      </w:pPr>
      <w:r w:rsidRPr="008E3FEA">
        <w:rPr>
          <w:rFonts w:eastAsia="Calibri"/>
          <w:noProof/>
          <w:lang w:val="es-DO"/>
        </w:rPr>
        <w:lastRenderedPageBreak/>
        <w:t xml:space="preserve">Además, se realizaron 21,934 envíos de estados y movimientos, tanto diarios como a solicitud, acompañados de 2,308 asistencias técnicas. Se atendieron 1,053 solicitudes de priorización de pagos. </w:t>
      </w:r>
    </w:p>
    <w:p w14:paraId="4CADEF9E" w14:textId="77777777" w:rsidR="00753EC5" w:rsidRPr="008E3FEA" w:rsidRDefault="00753EC5" w:rsidP="00753EC5">
      <w:pPr>
        <w:spacing w:line="360" w:lineRule="auto"/>
        <w:jc w:val="both"/>
        <w:rPr>
          <w:rFonts w:eastAsia="Calibri"/>
          <w:noProof/>
          <w:lang w:val="es-DO"/>
        </w:rPr>
      </w:pPr>
      <w:r w:rsidRPr="008E3FEA">
        <w:rPr>
          <w:rFonts w:eastAsia="Calibri"/>
          <w:noProof/>
          <w:lang w:val="es-DO"/>
        </w:rPr>
        <w:t>Para garantizar la trazabilidad y la actualización permanente de saldos, se cargaron 2,261 archivos bancarios en el SIGEF, provenientes del Banco de Reservas y del Banco Central.</w:t>
      </w:r>
    </w:p>
    <w:p w14:paraId="47CE5D89" w14:textId="77777777" w:rsidR="00753EC5" w:rsidRPr="00264BBB" w:rsidRDefault="00753EC5" w:rsidP="00384591">
      <w:pPr>
        <w:spacing w:line="360" w:lineRule="auto"/>
        <w:jc w:val="both"/>
        <w:rPr>
          <w:rFonts w:eastAsia="Calibri"/>
          <w:noProof/>
          <w:lang w:val="es-DO"/>
        </w:rPr>
      </w:pPr>
      <w:r w:rsidRPr="00264BBB">
        <w:rPr>
          <w:rFonts w:eastAsia="Calibri"/>
          <w:noProof/>
          <w:lang w:val="es-DO"/>
        </w:rPr>
        <w:t>Durante el año se procesaron más de 17.2 millones de transacciones, con un 98.5% correspondiente a transferencias electrónicas. Se gestionaron 3,497 lotes de cuotas de pago, por un monto consolidado de RD$1.22 billones, distribuidos en diferentes monedas: RD$1.12 billones en pesos dominicanos, US$1.4 millones (equivalentes a RD$87,865.41 millones), EUR 47.05 millones (RD$3,349.08 millones) y DEG 121.59 millones (RD$9,740.48 millones).</w:t>
      </w:r>
    </w:p>
    <w:p w14:paraId="52E72224" w14:textId="77777777" w:rsidR="00753EC5" w:rsidRPr="008E3FEA" w:rsidRDefault="00753EC5" w:rsidP="00753EC5">
      <w:pPr>
        <w:spacing w:line="360" w:lineRule="auto"/>
        <w:jc w:val="both"/>
        <w:rPr>
          <w:rFonts w:eastAsia="Calibri"/>
          <w:noProof/>
          <w:lang w:val="es-DO"/>
        </w:rPr>
      </w:pPr>
      <w:r w:rsidRPr="008E3FEA">
        <w:rPr>
          <w:rFonts w:eastAsia="Calibri"/>
          <w:noProof/>
          <w:lang w:val="es-DO"/>
        </w:rPr>
        <w:t xml:space="preserve">Se implementó el sistema TRANSDOC, que digitalizó la gestión documental con 6,591 documentos recibidos y 6,384 enviados. Se expidieron 2,897 certificaciones del Instituto de Auxilios y Viviendas (INAVI). </w:t>
      </w:r>
    </w:p>
    <w:p w14:paraId="0815A2F6" w14:textId="77777777" w:rsidR="00753EC5" w:rsidRPr="008E3FEA" w:rsidRDefault="00753EC5" w:rsidP="00753EC5">
      <w:pPr>
        <w:spacing w:line="360" w:lineRule="auto"/>
        <w:jc w:val="both"/>
        <w:rPr>
          <w:rFonts w:eastAsia="Calibri"/>
          <w:noProof/>
          <w:lang w:val="es-DO"/>
        </w:rPr>
      </w:pPr>
      <w:r w:rsidRPr="008E3FEA">
        <w:rPr>
          <w:rFonts w:eastAsia="Calibri"/>
          <w:noProof/>
          <w:lang w:val="es-DO"/>
        </w:rPr>
        <w:t xml:space="preserve">La Tesorería Nacional alcanzó un 98.40% en el cumplimiento de las Normas Básicas de Control Interno (NOBACI) y 96.49% en el el Índice de Control Interno (ICI). En el Indice de Gestión Presupuestaria (IGP) obtuvo 84.33% y en el Sistema SISCOMPRAS 95.65%. El Sistema de Monitoreo de la Administración Pública (SISMAP) registró </w:t>
      </w:r>
      <w:r>
        <w:rPr>
          <w:rFonts w:eastAsia="Calibri"/>
          <w:noProof/>
          <w:lang w:val="es-DO"/>
        </w:rPr>
        <w:t>87</w:t>
      </w:r>
      <w:r w:rsidRPr="008E3FEA">
        <w:rPr>
          <w:rFonts w:eastAsia="Calibri"/>
          <w:noProof/>
          <w:lang w:val="es-DO"/>
        </w:rPr>
        <w:t>.</w:t>
      </w:r>
      <w:r>
        <w:rPr>
          <w:rFonts w:eastAsia="Calibri"/>
          <w:noProof/>
          <w:lang w:val="es-DO"/>
        </w:rPr>
        <w:t>15</w:t>
      </w:r>
      <w:r w:rsidRPr="008E3FEA">
        <w:rPr>
          <w:rFonts w:eastAsia="Calibri"/>
          <w:noProof/>
          <w:lang w:val="es-DO"/>
        </w:rPr>
        <w:t>%, mientras que el índice SISTICGE se situó en 77.13%.</w:t>
      </w:r>
    </w:p>
    <w:p w14:paraId="41196FB7" w14:textId="77777777" w:rsidR="00753EC5" w:rsidRPr="008E3FEA" w:rsidRDefault="00753EC5" w:rsidP="00753EC5">
      <w:pPr>
        <w:spacing w:line="360" w:lineRule="auto"/>
        <w:jc w:val="both"/>
        <w:rPr>
          <w:rFonts w:eastAsia="Calibri"/>
          <w:noProof/>
          <w:lang w:val="es-DO"/>
        </w:rPr>
      </w:pPr>
      <w:r w:rsidRPr="008E3FEA">
        <w:rPr>
          <w:rFonts w:eastAsia="Calibri"/>
          <w:noProof/>
          <w:lang w:val="es-DO"/>
        </w:rPr>
        <w:t xml:space="preserve">La Tesorería Nacional diseñó y publicó su plan Estratégico Institucional (PEI 2025–2028), el cual se articula en cuatro ejes: 1) rectoría del Sistema de Tesorería; 2) programación y gestión de caja activa; 3) excelencia operativa integral; y 4) fortalecimiento institucional e innovación. </w:t>
      </w:r>
    </w:p>
    <w:p w14:paraId="6384D0D4" w14:textId="2D7E952E" w:rsidR="00654164" w:rsidRPr="000C3458" w:rsidRDefault="00654164" w:rsidP="00654164">
      <w:pPr>
        <w:pStyle w:val="Ttulo1"/>
        <w:rPr>
          <w:color w:val="767171"/>
          <w:lang w:val="es-DO"/>
        </w:rPr>
      </w:pPr>
      <w:bookmarkStart w:id="4" w:name="_Toc215652629"/>
      <w:r w:rsidRPr="000C3458">
        <w:rPr>
          <w:color w:val="767171"/>
          <w:lang w:val="es-DO"/>
        </w:rPr>
        <w:lastRenderedPageBreak/>
        <w:t>INFORMACIÓN INSTITUCIONAL</w:t>
      </w:r>
      <w:bookmarkEnd w:id="4"/>
    </w:p>
    <w:p w14:paraId="794C2FD3" w14:textId="73C7B9AC" w:rsidR="00654164" w:rsidRPr="000C3458" w:rsidRDefault="00654164" w:rsidP="00654164">
      <w:pPr>
        <w:jc w:val="both"/>
        <w:rPr>
          <w:rFonts w:eastAsia="Calibri"/>
          <w:sz w:val="18"/>
          <w:lang w:val="es-DO"/>
        </w:rPr>
      </w:pPr>
      <w:r w:rsidRPr="000C3458">
        <w:rPr>
          <w:rFonts w:eastAsia="Calibri"/>
          <w:noProof/>
          <w:sz w:val="18"/>
          <w:lang w:val="es-DO" w:eastAsia="es-DO"/>
        </w:rPr>
        <mc:AlternateContent>
          <mc:Choice Requires="wps">
            <w:drawing>
              <wp:anchor distT="0" distB="0" distL="114300" distR="114300" simplePos="0" relativeHeight="251652608" behindDoc="0" locked="0" layoutInCell="1" allowOverlap="1" wp14:anchorId="2735667A" wp14:editId="6DADF239">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60E7A" id="Straight Connector 8" o:spid="_x0000_s1026"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06EAE96D" w:rsidR="00654164" w:rsidRPr="000C3458" w:rsidRDefault="00654164" w:rsidP="00654164">
      <w:pPr>
        <w:jc w:val="center"/>
        <w:rPr>
          <w:rFonts w:eastAsia="Calibri"/>
          <w:szCs w:val="36"/>
        </w:rPr>
      </w:pPr>
      <w:r w:rsidRPr="000C3458">
        <w:rPr>
          <w:rFonts w:eastAsia="Calibri"/>
          <w:szCs w:val="36"/>
        </w:rPr>
        <w:t xml:space="preserve">Memoria </w:t>
      </w:r>
      <w:r w:rsidR="00D837AC" w:rsidRPr="000C3458">
        <w:rPr>
          <w:rFonts w:eastAsia="Calibri"/>
          <w:szCs w:val="36"/>
          <w:lang w:val="es-DO"/>
        </w:rPr>
        <w:t>I</w:t>
      </w:r>
      <w:r w:rsidRPr="000C3458">
        <w:rPr>
          <w:rFonts w:eastAsia="Calibri"/>
          <w:szCs w:val="36"/>
          <w:lang w:val="es-DO"/>
        </w:rPr>
        <w:t>nstitucional</w:t>
      </w:r>
      <w:r w:rsidRPr="000C3458">
        <w:rPr>
          <w:rFonts w:eastAsia="Calibri"/>
          <w:szCs w:val="36"/>
        </w:rPr>
        <w:t xml:space="preserve"> </w:t>
      </w:r>
      <w:r w:rsidR="000025D4" w:rsidRPr="000C3458">
        <w:rPr>
          <w:rFonts w:eastAsia="Calibri"/>
          <w:szCs w:val="36"/>
        </w:rPr>
        <w:t>20</w:t>
      </w:r>
      <w:r w:rsidR="00A5647B" w:rsidRPr="000C3458">
        <w:rPr>
          <w:rFonts w:eastAsia="Calibri"/>
          <w:szCs w:val="36"/>
        </w:rPr>
        <w:t>25</w:t>
      </w:r>
    </w:p>
    <w:p w14:paraId="220BAFF1" w14:textId="77777777" w:rsidR="008209E2" w:rsidRPr="000C3458" w:rsidRDefault="008209E2" w:rsidP="00654164">
      <w:pPr>
        <w:jc w:val="center"/>
        <w:rPr>
          <w:rFonts w:eastAsia="Calibri"/>
          <w:szCs w:val="36"/>
        </w:rPr>
      </w:pPr>
    </w:p>
    <w:p w14:paraId="3CF9EBBE" w14:textId="77777777" w:rsidR="008209E2" w:rsidRPr="000C3458" w:rsidRDefault="008209E2" w:rsidP="008209E2">
      <w:pPr>
        <w:pStyle w:val="Prrafodelista"/>
        <w:numPr>
          <w:ilvl w:val="1"/>
          <w:numId w:val="1"/>
        </w:numPr>
        <w:spacing w:line="360" w:lineRule="auto"/>
        <w:jc w:val="left"/>
        <w:rPr>
          <w:rFonts w:ascii="Times New Roman" w:hAnsi="Times New Roman"/>
          <w:b/>
          <w:bCs/>
          <w:noProof/>
          <w:color w:val="767171"/>
          <w:sz w:val="24"/>
          <w:szCs w:val="32"/>
        </w:rPr>
      </w:pPr>
      <w:r w:rsidRPr="000C3458">
        <w:rPr>
          <w:rFonts w:ascii="Times New Roman" w:hAnsi="Times New Roman"/>
          <w:b/>
          <w:bCs/>
          <w:noProof/>
          <w:color w:val="767171"/>
          <w:sz w:val="24"/>
          <w:szCs w:val="32"/>
        </w:rPr>
        <w:t xml:space="preserve">Marco Filosófico Institucional </w:t>
      </w:r>
    </w:p>
    <w:p w14:paraId="5AD5BA41" w14:textId="77777777" w:rsidR="008209E2" w:rsidRPr="000C3458" w:rsidRDefault="008209E2" w:rsidP="008209E2">
      <w:pPr>
        <w:spacing w:line="360" w:lineRule="auto"/>
        <w:ind w:left="360"/>
        <w:rPr>
          <w:b/>
          <w:bCs/>
          <w:noProof/>
        </w:rPr>
      </w:pPr>
      <w:r w:rsidRPr="000C3458">
        <w:rPr>
          <w:b/>
          <w:bCs/>
          <w:noProof/>
        </w:rPr>
        <w:t xml:space="preserve">MISIÓN </w:t>
      </w:r>
    </w:p>
    <w:p w14:paraId="7A948C9C" w14:textId="66660205" w:rsidR="008209E2" w:rsidRPr="000C3458" w:rsidRDefault="008209E2" w:rsidP="008209E2">
      <w:pPr>
        <w:spacing w:line="360" w:lineRule="auto"/>
        <w:ind w:left="360"/>
        <w:jc w:val="both"/>
        <w:rPr>
          <w:noProof/>
          <w:lang w:val="es-ES"/>
        </w:rPr>
      </w:pPr>
      <w:r w:rsidRPr="000C3458">
        <w:rPr>
          <w:noProof/>
          <w:lang w:val="es-ES"/>
        </w:rPr>
        <w:t>Administrar los recursos financieros públicos y ejercer la Rectoría del Sistema de Tesorería para contribuir con la sostenibilidad económica</w:t>
      </w:r>
    </w:p>
    <w:p w14:paraId="2F9EB026" w14:textId="61259A12" w:rsidR="008209E2" w:rsidRPr="000C3458" w:rsidRDefault="008209E2" w:rsidP="008209E2">
      <w:pPr>
        <w:spacing w:line="360" w:lineRule="auto"/>
        <w:ind w:left="360"/>
        <w:jc w:val="both"/>
        <w:rPr>
          <w:b/>
          <w:bCs/>
          <w:noProof/>
          <w:lang w:val="es-ES"/>
        </w:rPr>
      </w:pPr>
      <w:r w:rsidRPr="000C3458">
        <w:rPr>
          <w:b/>
          <w:bCs/>
          <w:noProof/>
          <w:lang w:val="es-ES"/>
        </w:rPr>
        <w:t xml:space="preserve">VISIÓN </w:t>
      </w:r>
    </w:p>
    <w:p w14:paraId="29865012" w14:textId="20BA938A" w:rsidR="008209E2" w:rsidRPr="000C3458" w:rsidRDefault="008209E2" w:rsidP="008209E2">
      <w:pPr>
        <w:spacing w:line="360" w:lineRule="auto"/>
        <w:ind w:left="360"/>
        <w:jc w:val="both"/>
        <w:rPr>
          <w:noProof/>
          <w:lang w:val="es-ES"/>
        </w:rPr>
      </w:pPr>
      <w:r w:rsidRPr="000C3458">
        <w:rPr>
          <w:noProof/>
          <w:lang w:val="es-ES"/>
        </w:rPr>
        <w:t>Ser referente en la gestión de finanzas públicas por la excelencia, innovación y buenas prácticas de Tesorería.</w:t>
      </w:r>
    </w:p>
    <w:p w14:paraId="0BD8A874" w14:textId="03B09D11" w:rsidR="008209E2" w:rsidRPr="000C3458" w:rsidRDefault="008209E2" w:rsidP="008209E2">
      <w:pPr>
        <w:spacing w:line="360" w:lineRule="auto"/>
        <w:ind w:left="360"/>
        <w:jc w:val="both"/>
        <w:rPr>
          <w:b/>
          <w:bCs/>
          <w:noProof/>
          <w:lang w:val="es-ES"/>
        </w:rPr>
      </w:pPr>
      <w:r w:rsidRPr="000C3458">
        <w:rPr>
          <w:b/>
          <w:bCs/>
          <w:noProof/>
          <w:lang w:val="es-ES"/>
        </w:rPr>
        <w:t xml:space="preserve">VALORES </w:t>
      </w:r>
    </w:p>
    <w:p w14:paraId="0AB722F0" w14:textId="1A7044C5" w:rsidR="008209E2" w:rsidRPr="000C3458" w:rsidRDefault="008209E2" w:rsidP="008209E2">
      <w:pPr>
        <w:pStyle w:val="Prrafodelista"/>
        <w:numPr>
          <w:ilvl w:val="0"/>
          <w:numId w:val="2"/>
        </w:numPr>
        <w:spacing w:line="360" w:lineRule="auto"/>
        <w:rPr>
          <w:rFonts w:ascii="Times New Roman" w:eastAsiaTheme="minorHAnsi" w:hAnsi="Times New Roman"/>
          <w:noProof/>
          <w:color w:val="767171"/>
          <w:spacing w:val="20"/>
          <w:sz w:val="24"/>
          <w:szCs w:val="24"/>
          <w:lang w:val="es-ES"/>
        </w:rPr>
      </w:pPr>
      <w:r w:rsidRPr="000C3458">
        <w:rPr>
          <w:rFonts w:ascii="Times New Roman" w:eastAsiaTheme="minorHAnsi" w:hAnsi="Times New Roman"/>
          <w:noProof/>
          <w:color w:val="767171"/>
          <w:spacing w:val="20"/>
          <w:sz w:val="24"/>
          <w:szCs w:val="24"/>
          <w:lang w:val="es-ES"/>
        </w:rPr>
        <w:t>Excelencia</w:t>
      </w:r>
    </w:p>
    <w:p w14:paraId="11C33034" w14:textId="30BAD62C" w:rsidR="008209E2" w:rsidRPr="000C3458" w:rsidRDefault="008209E2" w:rsidP="008209E2">
      <w:pPr>
        <w:pStyle w:val="Prrafodelista"/>
        <w:numPr>
          <w:ilvl w:val="0"/>
          <w:numId w:val="2"/>
        </w:numPr>
        <w:spacing w:line="360" w:lineRule="auto"/>
        <w:rPr>
          <w:rFonts w:ascii="Times New Roman" w:eastAsiaTheme="minorHAnsi" w:hAnsi="Times New Roman"/>
          <w:noProof/>
          <w:color w:val="767171"/>
          <w:spacing w:val="20"/>
          <w:sz w:val="24"/>
          <w:szCs w:val="24"/>
          <w:lang w:val="es-ES"/>
        </w:rPr>
      </w:pPr>
      <w:r w:rsidRPr="000C3458">
        <w:rPr>
          <w:rFonts w:ascii="Times New Roman" w:eastAsiaTheme="minorHAnsi" w:hAnsi="Times New Roman"/>
          <w:noProof/>
          <w:color w:val="767171"/>
          <w:spacing w:val="20"/>
          <w:sz w:val="24"/>
          <w:szCs w:val="24"/>
          <w:lang w:val="es-ES"/>
        </w:rPr>
        <w:t xml:space="preserve">Trasnparencia </w:t>
      </w:r>
    </w:p>
    <w:p w14:paraId="081CE800" w14:textId="77777777" w:rsidR="008209E2" w:rsidRPr="000C3458" w:rsidRDefault="008209E2" w:rsidP="008209E2">
      <w:pPr>
        <w:pStyle w:val="Prrafodelista"/>
        <w:numPr>
          <w:ilvl w:val="0"/>
          <w:numId w:val="2"/>
        </w:numPr>
        <w:spacing w:line="360" w:lineRule="auto"/>
        <w:rPr>
          <w:rFonts w:ascii="Times New Roman" w:eastAsiaTheme="minorHAnsi" w:hAnsi="Times New Roman"/>
          <w:noProof/>
          <w:color w:val="767171"/>
          <w:spacing w:val="20"/>
          <w:sz w:val="24"/>
          <w:szCs w:val="24"/>
          <w:lang w:val="es-ES"/>
        </w:rPr>
      </w:pPr>
      <w:r w:rsidRPr="000C3458">
        <w:rPr>
          <w:rFonts w:ascii="Times New Roman" w:eastAsiaTheme="minorHAnsi" w:hAnsi="Times New Roman"/>
          <w:noProof/>
          <w:color w:val="767171"/>
          <w:spacing w:val="20"/>
          <w:sz w:val="24"/>
          <w:szCs w:val="24"/>
          <w:lang w:val="es-ES"/>
        </w:rPr>
        <w:t xml:space="preserve">Integridad </w:t>
      </w:r>
    </w:p>
    <w:p w14:paraId="57FD08D0" w14:textId="77777777" w:rsidR="008209E2" w:rsidRPr="000C3458" w:rsidRDefault="008209E2" w:rsidP="008209E2">
      <w:pPr>
        <w:pStyle w:val="Prrafodelista"/>
        <w:numPr>
          <w:ilvl w:val="0"/>
          <w:numId w:val="2"/>
        </w:numPr>
        <w:spacing w:line="360" w:lineRule="auto"/>
        <w:rPr>
          <w:rFonts w:ascii="Times New Roman" w:eastAsiaTheme="minorHAnsi" w:hAnsi="Times New Roman"/>
          <w:noProof/>
          <w:color w:val="767171"/>
          <w:spacing w:val="20"/>
          <w:sz w:val="24"/>
          <w:szCs w:val="24"/>
          <w:lang w:val="es-ES"/>
        </w:rPr>
      </w:pPr>
      <w:r w:rsidRPr="000C3458">
        <w:rPr>
          <w:rFonts w:ascii="Times New Roman" w:eastAsiaTheme="minorHAnsi" w:hAnsi="Times New Roman"/>
          <w:noProof/>
          <w:color w:val="767171"/>
          <w:spacing w:val="20"/>
          <w:sz w:val="24"/>
          <w:szCs w:val="24"/>
          <w:lang w:val="es-ES"/>
        </w:rPr>
        <w:t xml:space="preserve">Compromiso </w:t>
      </w:r>
    </w:p>
    <w:p w14:paraId="2147F1F9" w14:textId="77777777" w:rsidR="008209E2" w:rsidRPr="000C3458" w:rsidRDefault="008209E2" w:rsidP="008209E2">
      <w:pPr>
        <w:pStyle w:val="Prrafodelista"/>
        <w:numPr>
          <w:ilvl w:val="0"/>
          <w:numId w:val="2"/>
        </w:numPr>
        <w:spacing w:line="360" w:lineRule="auto"/>
        <w:rPr>
          <w:rFonts w:ascii="Times New Roman" w:eastAsiaTheme="minorHAnsi" w:hAnsi="Times New Roman"/>
          <w:noProof/>
          <w:color w:val="767171"/>
          <w:spacing w:val="20"/>
          <w:sz w:val="24"/>
          <w:szCs w:val="24"/>
          <w:lang w:val="es-ES"/>
        </w:rPr>
      </w:pPr>
      <w:r w:rsidRPr="000C3458">
        <w:rPr>
          <w:rFonts w:ascii="Times New Roman" w:eastAsiaTheme="minorHAnsi" w:hAnsi="Times New Roman"/>
          <w:noProof/>
          <w:color w:val="767171"/>
          <w:spacing w:val="20"/>
          <w:sz w:val="24"/>
          <w:szCs w:val="24"/>
          <w:lang w:val="es-ES"/>
        </w:rPr>
        <w:t xml:space="preserve">Excelencia </w:t>
      </w:r>
    </w:p>
    <w:p w14:paraId="601AB233" w14:textId="77777777" w:rsidR="008209E2" w:rsidRPr="000C3458" w:rsidRDefault="008209E2" w:rsidP="008209E2">
      <w:pPr>
        <w:pStyle w:val="Prrafodelista"/>
        <w:spacing w:line="360" w:lineRule="auto"/>
        <w:ind w:left="1080"/>
        <w:rPr>
          <w:noProof/>
          <w:color w:val="767171"/>
          <w:lang w:val="es-ES"/>
        </w:rPr>
      </w:pPr>
    </w:p>
    <w:p w14:paraId="7B333912" w14:textId="77777777" w:rsidR="008209E2" w:rsidRPr="000C3458" w:rsidRDefault="008209E2" w:rsidP="008209E2">
      <w:pPr>
        <w:pStyle w:val="Prrafodelista"/>
        <w:numPr>
          <w:ilvl w:val="1"/>
          <w:numId w:val="1"/>
        </w:numPr>
        <w:spacing w:line="360" w:lineRule="auto"/>
        <w:jc w:val="left"/>
        <w:rPr>
          <w:rFonts w:ascii="Times New Roman" w:hAnsi="Times New Roman"/>
          <w:b/>
          <w:bCs/>
          <w:noProof/>
          <w:color w:val="767171"/>
          <w:sz w:val="24"/>
          <w:szCs w:val="32"/>
        </w:rPr>
      </w:pPr>
      <w:r w:rsidRPr="000C3458">
        <w:rPr>
          <w:rFonts w:ascii="Times New Roman" w:hAnsi="Times New Roman"/>
          <w:b/>
          <w:bCs/>
          <w:noProof/>
          <w:color w:val="767171"/>
          <w:sz w:val="24"/>
          <w:szCs w:val="32"/>
        </w:rPr>
        <w:t xml:space="preserve"> Base Legal </w:t>
      </w:r>
    </w:p>
    <w:p w14:paraId="772172FA" w14:textId="77777777" w:rsidR="008209E2" w:rsidRPr="000C3458" w:rsidRDefault="008209E2" w:rsidP="008209E2">
      <w:pPr>
        <w:spacing w:line="360" w:lineRule="auto"/>
        <w:jc w:val="both"/>
        <w:rPr>
          <w:b/>
          <w:bCs/>
          <w:noProof/>
          <w:lang w:val="es-ES"/>
        </w:rPr>
      </w:pPr>
      <w:r w:rsidRPr="000C3458">
        <w:rPr>
          <w:b/>
          <w:bCs/>
          <w:noProof/>
          <w:lang w:val="es-ES"/>
        </w:rPr>
        <w:t>La legislación en que se sustentan las funciones de la Tesorería Nacional:</w:t>
      </w:r>
    </w:p>
    <w:p w14:paraId="5944E25F" w14:textId="77777777" w:rsidR="008209E2" w:rsidRPr="000C3458" w:rsidRDefault="008209E2" w:rsidP="008209E2">
      <w:pPr>
        <w:spacing w:line="360" w:lineRule="auto"/>
        <w:jc w:val="both"/>
        <w:rPr>
          <w:noProof/>
          <w:lang w:val="es-ES"/>
        </w:rPr>
      </w:pPr>
      <w:r w:rsidRPr="000C3458">
        <w:rPr>
          <w:noProof/>
          <w:lang w:val="es-ES"/>
        </w:rPr>
        <w:t>La Ley No. 567-05 y su Reglamento de Aplicación Decreto No. 441-06 norman las funciones y actividades de la Tesorería Nacional. La ley citada crea el Sistema de Tesorería y le confiere la categoría de Órgano Rector del mismo.</w:t>
      </w:r>
    </w:p>
    <w:p w14:paraId="42AD3299" w14:textId="68DA0A7C" w:rsidR="008209E2" w:rsidRPr="000C3458" w:rsidRDefault="008209E2" w:rsidP="008209E2">
      <w:pPr>
        <w:spacing w:line="360" w:lineRule="auto"/>
        <w:jc w:val="both"/>
        <w:rPr>
          <w:noProof/>
          <w:lang w:val="es-ES"/>
        </w:rPr>
      </w:pPr>
      <w:r w:rsidRPr="000C3458">
        <w:rPr>
          <w:noProof/>
          <w:lang w:val="es-ES"/>
        </w:rPr>
        <w:lastRenderedPageBreak/>
        <w:t>La evolución más reciente de las leyes que establecen el marco regulatorio de la Tesorería Nacional se remonta al año 1929 con la promulgación de la Ley No. 1113 que crea la oficina y el puesto de Tesorero, que anteriormente se denominaba Tesorero y Auditor; posteriormente, en el año 1954 la Ley No. 3893 designa a la institución como Tesorería Nacional. En el año 1966 es promulgada la Ley No. 295, la cual deroga los Artículos No. 11 y 12 de esta última ley, que le otorgaba al Tesorero Nacional la facultad de realizar las compras de materiales, artículos y efectos requeridos por las instituciones públicas.</w:t>
      </w:r>
    </w:p>
    <w:p w14:paraId="097AFA7E" w14:textId="77777777" w:rsidR="008209E2" w:rsidRPr="000C3458" w:rsidRDefault="008209E2" w:rsidP="008209E2">
      <w:pPr>
        <w:spacing w:line="360" w:lineRule="auto"/>
        <w:jc w:val="both"/>
        <w:rPr>
          <w:noProof/>
          <w:lang w:val="es-ES"/>
        </w:rPr>
      </w:pPr>
      <w:r w:rsidRPr="000C3458">
        <w:rPr>
          <w:noProof/>
          <w:lang w:val="es-ES"/>
        </w:rPr>
        <w:t>Asimismo, la Ley No. 2461 del año 1950, establece la responsabilidad de la emisión de las Especies Timbradas, es decir, estampillas para el pago de impuestos, derechos, tasas o contribuciones a la Tesorería Nacional. Otras leyes relacionadas con la Tesorería Nacional son: La Ley No. 176 del año 2007 sobre el Ayuntamiento del Distrito Nacional y los Municipios y la Ley No. 200 del año 2004 sobre el Libre Acceso a la Información Pública.</w:t>
      </w:r>
    </w:p>
    <w:p w14:paraId="4DE85E42" w14:textId="77777777" w:rsidR="008209E2" w:rsidRPr="000C3458" w:rsidRDefault="008209E2" w:rsidP="008209E2">
      <w:pPr>
        <w:spacing w:line="360" w:lineRule="auto"/>
        <w:jc w:val="both"/>
        <w:rPr>
          <w:noProof/>
          <w:lang w:val="es-ES"/>
        </w:rPr>
      </w:pPr>
    </w:p>
    <w:p w14:paraId="6674E370" w14:textId="77777777" w:rsidR="008209E2" w:rsidRPr="000C3458" w:rsidRDefault="008209E2" w:rsidP="008209E2">
      <w:pPr>
        <w:spacing w:line="360" w:lineRule="auto"/>
        <w:jc w:val="both"/>
        <w:rPr>
          <w:noProof/>
          <w:lang w:val="es-ES"/>
        </w:rPr>
      </w:pPr>
    </w:p>
    <w:p w14:paraId="2D463B3F" w14:textId="77777777" w:rsidR="008209E2" w:rsidRPr="000C3458" w:rsidRDefault="008209E2" w:rsidP="008209E2">
      <w:pPr>
        <w:spacing w:line="360" w:lineRule="auto"/>
        <w:jc w:val="both"/>
        <w:rPr>
          <w:noProof/>
          <w:lang w:val="es-ES"/>
        </w:rPr>
      </w:pPr>
    </w:p>
    <w:p w14:paraId="7D4E6867" w14:textId="77777777" w:rsidR="008209E2" w:rsidRPr="000C3458" w:rsidRDefault="008209E2" w:rsidP="008209E2">
      <w:pPr>
        <w:spacing w:line="360" w:lineRule="auto"/>
        <w:jc w:val="both"/>
        <w:rPr>
          <w:noProof/>
          <w:lang w:val="es-ES"/>
        </w:rPr>
      </w:pPr>
    </w:p>
    <w:p w14:paraId="30C4D299" w14:textId="77777777" w:rsidR="00B046C6" w:rsidRPr="000C3458" w:rsidRDefault="00B046C6" w:rsidP="008209E2">
      <w:pPr>
        <w:spacing w:line="360" w:lineRule="auto"/>
        <w:jc w:val="both"/>
        <w:rPr>
          <w:noProof/>
          <w:lang w:val="es-ES"/>
        </w:rPr>
      </w:pPr>
    </w:p>
    <w:p w14:paraId="358B9257" w14:textId="77777777" w:rsidR="00B046C6" w:rsidRPr="000C3458" w:rsidRDefault="00B046C6" w:rsidP="008209E2">
      <w:pPr>
        <w:spacing w:line="360" w:lineRule="auto"/>
        <w:jc w:val="both"/>
        <w:rPr>
          <w:noProof/>
          <w:lang w:val="es-ES"/>
        </w:rPr>
      </w:pPr>
    </w:p>
    <w:p w14:paraId="4EDEDCDA" w14:textId="77777777" w:rsidR="00B046C6" w:rsidRPr="000C3458" w:rsidRDefault="00B046C6" w:rsidP="008209E2">
      <w:pPr>
        <w:spacing w:line="360" w:lineRule="auto"/>
        <w:jc w:val="both"/>
        <w:rPr>
          <w:noProof/>
          <w:lang w:val="es-ES"/>
        </w:rPr>
      </w:pPr>
    </w:p>
    <w:p w14:paraId="5779C3E5" w14:textId="77777777" w:rsidR="00B046C6" w:rsidRPr="000C3458" w:rsidRDefault="00B046C6" w:rsidP="008209E2">
      <w:pPr>
        <w:spacing w:line="360" w:lineRule="auto"/>
        <w:jc w:val="both"/>
        <w:rPr>
          <w:noProof/>
          <w:lang w:val="es-ES"/>
        </w:rPr>
      </w:pPr>
    </w:p>
    <w:p w14:paraId="614BEE41" w14:textId="77777777" w:rsidR="008209E2" w:rsidRPr="000C3458" w:rsidRDefault="008209E2" w:rsidP="008209E2">
      <w:pPr>
        <w:spacing w:line="360" w:lineRule="auto"/>
        <w:jc w:val="both"/>
        <w:rPr>
          <w:noProof/>
          <w:lang w:val="es-ES"/>
        </w:rPr>
      </w:pPr>
    </w:p>
    <w:p w14:paraId="6D91E54B" w14:textId="77777777" w:rsidR="00D64261" w:rsidRPr="000C3458" w:rsidRDefault="00D64261" w:rsidP="008209E2">
      <w:pPr>
        <w:spacing w:line="360" w:lineRule="auto"/>
        <w:jc w:val="both"/>
        <w:rPr>
          <w:noProof/>
          <w:lang w:val="es-ES"/>
        </w:rPr>
      </w:pPr>
    </w:p>
    <w:p w14:paraId="390021AF" w14:textId="77777777" w:rsidR="008209E2" w:rsidRPr="000C3458" w:rsidRDefault="008209E2" w:rsidP="008209E2">
      <w:pPr>
        <w:pStyle w:val="Prrafodelista"/>
        <w:numPr>
          <w:ilvl w:val="1"/>
          <w:numId w:val="1"/>
        </w:numPr>
        <w:spacing w:line="360" w:lineRule="auto"/>
        <w:jc w:val="left"/>
        <w:rPr>
          <w:rFonts w:ascii="Times New Roman" w:hAnsi="Times New Roman"/>
          <w:b/>
          <w:bCs/>
          <w:noProof/>
          <w:color w:val="767171"/>
          <w:sz w:val="24"/>
          <w:szCs w:val="32"/>
        </w:rPr>
      </w:pPr>
      <w:r w:rsidRPr="000C3458">
        <w:rPr>
          <w:rFonts w:ascii="Times New Roman" w:hAnsi="Times New Roman"/>
          <w:b/>
          <w:bCs/>
          <w:noProof/>
          <w:color w:val="767171"/>
          <w:sz w:val="24"/>
          <w:szCs w:val="32"/>
        </w:rPr>
        <w:lastRenderedPageBreak/>
        <w:t xml:space="preserve"> Estructura Organizativa </w:t>
      </w:r>
    </w:p>
    <w:p w14:paraId="551909E5" w14:textId="77777777" w:rsidR="008209E2" w:rsidRPr="001A0202" w:rsidRDefault="008209E2" w:rsidP="008209E2">
      <w:pPr>
        <w:spacing w:line="360" w:lineRule="auto"/>
        <w:jc w:val="center"/>
        <w:rPr>
          <w:rFonts w:eastAsia="Calibri"/>
          <w:noProof/>
        </w:rPr>
      </w:pPr>
      <w:r w:rsidRPr="00635DA9">
        <w:rPr>
          <w:rFonts w:eastAsia="Calibri"/>
          <w:noProof/>
        </w:rPr>
        <w:drawing>
          <wp:inline distT="0" distB="0" distL="0" distR="0" wp14:anchorId="5A7FC538" wp14:editId="72BDD1BA">
            <wp:extent cx="5510550" cy="7616825"/>
            <wp:effectExtent l="0" t="0" r="0" b="3175"/>
            <wp:docPr id="1609524467" name="Imagen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524467" name="Imagen 1" descr="A diagram of a company&#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30104" cy="7643853"/>
                    </a:xfrm>
                    <a:prstGeom prst="rect">
                      <a:avLst/>
                    </a:prstGeom>
                    <a:noFill/>
                  </pic:spPr>
                </pic:pic>
              </a:graphicData>
            </a:graphic>
          </wp:inline>
        </w:drawing>
      </w:r>
    </w:p>
    <w:p w14:paraId="3C9D6F6E" w14:textId="77777777" w:rsidR="008209E2" w:rsidRPr="000C3458" w:rsidRDefault="008209E2" w:rsidP="008209E2">
      <w:pPr>
        <w:pStyle w:val="Prrafodelista"/>
        <w:numPr>
          <w:ilvl w:val="1"/>
          <w:numId w:val="1"/>
        </w:numPr>
        <w:spacing w:line="360" w:lineRule="auto"/>
        <w:jc w:val="left"/>
        <w:rPr>
          <w:rFonts w:ascii="Times New Roman" w:hAnsi="Times New Roman"/>
          <w:b/>
          <w:bCs/>
          <w:noProof/>
          <w:color w:val="767171"/>
          <w:sz w:val="24"/>
          <w:szCs w:val="32"/>
        </w:rPr>
      </w:pPr>
      <w:r w:rsidRPr="0062061B">
        <w:rPr>
          <w:rFonts w:ascii="Times New Roman" w:hAnsi="Times New Roman"/>
          <w:b/>
          <w:bCs/>
          <w:noProof/>
          <w:color w:val="767171"/>
          <w:sz w:val="24"/>
          <w:szCs w:val="32"/>
        </w:rPr>
        <w:lastRenderedPageBreak/>
        <w:t xml:space="preserve"> </w:t>
      </w:r>
      <w:r w:rsidRPr="000C3458">
        <w:rPr>
          <w:rFonts w:ascii="Times New Roman" w:hAnsi="Times New Roman"/>
          <w:b/>
          <w:bCs/>
          <w:noProof/>
          <w:color w:val="767171"/>
          <w:sz w:val="24"/>
          <w:szCs w:val="32"/>
        </w:rPr>
        <w:t xml:space="preserve">Planificación Estrategica Institucional </w:t>
      </w:r>
    </w:p>
    <w:p w14:paraId="7EC8B59C" w14:textId="77777777" w:rsidR="008209E2" w:rsidRPr="000C3458" w:rsidRDefault="008209E2" w:rsidP="008209E2">
      <w:pPr>
        <w:spacing w:line="360" w:lineRule="auto"/>
        <w:jc w:val="both"/>
        <w:rPr>
          <w:rFonts w:eastAsia="Calibri"/>
          <w:noProof/>
          <w:lang w:val="es-ES"/>
        </w:rPr>
      </w:pPr>
      <w:r w:rsidRPr="000C3458">
        <w:rPr>
          <w:rFonts w:eastAsia="Calibri"/>
          <w:noProof/>
          <w:lang w:val="es-ES"/>
        </w:rPr>
        <w:t xml:space="preserve">La Planificación Estratégica de la Tesorería Nacional, ha sido producto de esfuerzos colectivos y participativos que establecieron las directrices para el logro de la transformación y modernización de la institución. </w:t>
      </w:r>
    </w:p>
    <w:p w14:paraId="3805F212" w14:textId="77777777" w:rsidR="00000DEE" w:rsidRPr="000C3458" w:rsidRDefault="00000DEE" w:rsidP="00000DEE">
      <w:pPr>
        <w:pBdr>
          <w:top w:val="nil"/>
          <w:left w:val="nil"/>
          <w:bottom w:val="nil"/>
          <w:right w:val="nil"/>
          <w:between w:val="nil"/>
        </w:pBdr>
        <w:tabs>
          <w:tab w:val="left" w:pos="284"/>
        </w:tabs>
        <w:spacing w:line="360" w:lineRule="auto"/>
        <w:ind w:right="108"/>
        <w:jc w:val="both"/>
        <w:rPr>
          <w:rFonts w:eastAsia="Times New Roman"/>
          <w:lang w:val="es-DO" w:eastAsia="es-DO"/>
        </w:rPr>
      </w:pPr>
      <w:r w:rsidRPr="000C3458">
        <w:rPr>
          <w:rFonts w:eastAsia="Times New Roman"/>
          <w:lang w:val="es-DO" w:eastAsia="es-DO"/>
        </w:rPr>
        <w:t xml:space="preserve">La </w:t>
      </w:r>
      <w:r w:rsidRPr="000C3458">
        <w:rPr>
          <w:lang w:val="es-DO"/>
        </w:rPr>
        <w:t>Tesorería Nacional formuló el</w:t>
      </w:r>
      <w:r w:rsidRPr="000C3458">
        <w:rPr>
          <w:rFonts w:eastAsia="Times New Roman"/>
          <w:lang w:val="es-DO" w:eastAsia="es-DO"/>
        </w:rPr>
        <w:t xml:space="preserve"> Plan Estratégico Institucional (PEI) 2025-2028 en cumplimiento de los lineamientos del Ministerio de Economía, Planificación y Desarrollo (MEPyD), actualmente Ministerio de Hacienda y Economía. En el mismo aseguró la coherencia con la Estrategia Nacional de Desarrollo 2030, el Plan Nacional Plurianual del Sector Público y los Objetivos de Desarrollo Sostenibles. Este instrumento incorporó nuevos lineamientos, metas y políticas transversales priorizadas: género, cohesión territorial, sostenibilidad ambiental, gestión integral de riesgos, derechos humanos, participación ciudadana y tecnologías de la información y comunicación.</w:t>
      </w:r>
    </w:p>
    <w:p w14:paraId="20FC2A36" w14:textId="77777777" w:rsidR="008209E2" w:rsidRPr="000C3458" w:rsidRDefault="008209E2" w:rsidP="008209E2">
      <w:pPr>
        <w:spacing w:line="360" w:lineRule="auto"/>
        <w:jc w:val="both"/>
        <w:rPr>
          <w:rFonts w:eastAsia="Calibri"/>
          <w:noProof/>
          <w:lang w:val="es-ES"/>
        </w:rPr>
      </w:pPr>
      <w:r w:rsidRPr="000C3458">
        <w:rPr>
          <w:rFonts w:eastAsia="Calibri"/>
          <w:noProof/>
          <w:lang w:val="es-ES"/>
        </w:rPr>
        <w:t>Para el logro y cumplimiento del propósito, visión y compromisos de la Institución, se definieron en el PEI, cuatro ejes estratégicos, bajo los cuales se orientan todas las acciones de la Tesorería:</w:t>
      </w:r>
    </w:p>
    <w:p w14:paraId="04EC223A" w14:textId="7D08E3FE" w:rsidR="008209E2" w:rsidRPr="000C3458" w:rsidRDefault="008209E2" w:rsidP="008209E2">
      <w:pPr>
        <w:spacing w:line="360" w:lineRule="auto"/>
        <w:jc w:val="both"/>
        <w:rPr>
          <w:rFonts w:eastAsia="Calibri"/>
          <w:noProof/>
          <w:lang w:val="es-ES"/>
        </w:rPr>
      </w:pPr>
      <w:r w:rsidRPr="000C3458">
        <w:rPr>
          <w:rFonts w:eastAsia="Calibri"/>
          <w:b/>
          <w:bCs/>
          <w:noProof/>
          <w:lang w:val="es-ES"/>
        </w:rPr>
        <w:t xml:space="preserve">Eje 1. </w:t>
      </w:r>
      <w:r w:rsidR="005972B3" w:rsidRPr="000C3458">
        <w:rPr>
          <w:rFonts w:eastAsia="Calibri"/>
          <w:noProof/>
          <w:lang w:val="es-ES"/>
        </w:rPr>
        <w:t>Fortalecimiento de la Rectoría del Sistema de Tesorería</w:t>
      </w:r>
    </w:p>
    <w:p w14:paraId="71E9BEEB" w14:textId="7BB736EA" w:rsidR="008209E2" w:rsidRPr="000C3458" w:rsidRDefault="008209E2" w:rsidP="008209E2">
      <w:pPr>
        <w:spacing w:line="360" w:lineRule="auto"/>
        <w:jc w:val="both"/>
        <w:rPr>
          <w:rFonts w:eastAsia="Calibri"/>
          <w:noProof/>
          <w:lang w:val="es-ES"/>
        </w:rPr>
      </w:pPr>
      <w:r w:rsidRPr="000C3458">
        <w:rPr>
          <w:rFonts w:eastAsia="Calibri"/>
          <w:b/>
          <w:bCs/>
          <w:noProof/>
          <w:lang w:val="es-ES"/>
        </w:rPr>
        <w:t>Eje 2.</w:t>
      </w:r>
      <w:r w:rsidRPr="000C3458">
        <w:rPr>
          <w:rFonts w:eastAsia="Calibri"/>
          <w:noProof/>
          <w:lang w:val="es-ES"/>
        </w:rPr>
        <w:t xml:space="preserve"> </w:t>
      </w:r>
      <w:r w:rsidR="005972B3" w:rsidRPr="000C3458">
        <w:rPr>
          <w:rFonts w:eastAsia="Calibri"/>
          <w:noProof/>
          <w:lang w:val="es-ES"/>
        </w:rPr>
        <w:t>Programación y Gestión de Caja Activa</w:t>
      </w:r>
      <w:r w:rsidRPr="000C3458">
        <w:rPr>
          <w:rFonts w:eastAsia="Calibri"/>
          <w:noProof/>
          <w:lang w:val="es-ES"/>
        </w:rPr>
        <w:t>.</w:t>
      </w:r>
    </w:p>
    <w:p w14:paraId="2F4E31E3" w14:textId="555F26E2" w:rsidR="008209E2" w:rsidRPr="000C3458" w:rsidRDefault="008209E2" w:rsidP="008209E2">
      <w:pPr>
        <w:spacing w:line="360" w:lineRule="auto"/>
        <w:jc w:val="both"/>
        <w:rPr>
          <w:rFonts w:eastAsia="Calibri"/>
          <w:noProof/>
          <w:lang w:val="es-ES"/>
        </w:rPr>
      </w:pPr>
      <w:r w:rsidRPr="000C3458">
        <w:rPr>
          <w:rFonts w:eastAsia="Calibri"/>
          <w:b/>
          <w:bCs/>
          <w:noProof/>
          <w:lang w:val="es-ES"/>
        </w:rPr>
        <w:t>Eje 3.</w:t>
      </w:r>
      <w:r w:rsidRPr="000C3458">
        <w:rPr>
          <w:rFonts w:eastAsia="Calibri"/>
          <w:noProof/>
          <w:lang w:val="es-ES"/>
        </w:rPr>
        <w:t xml:space="preserve"> </w:t>
      </w:r>
      <w:r w:rsidR="005972B3" w:rsidRPr="000C3458">
        <w:rPr>
          <w:rFonts w:eastAsia="Calibri"/>
          <w:noProof/>
          <w:lang w:val="es-ES"/>
        </w:rPr>
        <w:t>Excelencia Operativa Integral</w:t>
      </w:r>
      <w:r w:rsidRPr="000C3458">
        <w:rPr>
          <w:rFonts w:eastAsia="Calibri"/>
          <w:noProof/>
          <w:lang w:val="es-ES"/>
        </w:rPr>
        <w:t>.</w:t>
      </w:r>
    </w:p>
    <w:p w14:paraId="65DC9652" w14:textId="1529889A" w:rsidR="008209E2" w:rsidRPr="000C3458" w:rsidRDefault="008209E2" w:rsidP="008209E2">
      <w:pPr>
        <w:spacing w:line="360" w:lineRule="auto"/>
        <w:jc w:val="both"/>
        <w:rPr>
          <w:rFonts w:eastAsia="Calibri"/>
          <w:noProof/>
          <w:lang w:val="es-ES"/>
        </w:rPr>
      </w:pPr>
      <w:r w:rsidRPr="000C3458">
        <w:rPr>
          <w:rFonts w:eastAsia="Calibri"/>
          <w:b/>
          <w:bCs/>
          <w:noProof/>
          <w:lang w:val="es-ES"/>
        </w:rPr>
        <w:t>Eje 4.</w:t>
      </w:r>
      <w:r w:rsidRPr="000C3458">
        <w:rPr>
          <w:rFonts w:eastAsia="Calibri"/>
          <w:noProof/>
          <w:lang w:val="es-ES"/>
        </w:rPr>
        <w:t xml:space="preserve"> </w:t>
      </w:r>
      <w:r w:rsidR="005972B3" w:rsidRPr="000C3458">
        <w:rPr>
          <w:rFonts w:eastAsia="Calibri"/>
          <w:noProof/>
          <w:lang w:val="es-ES"/>
        </w:rPr>
        <w:t>Fortalecimiento Institucional e Innovación</w:t>
      </w:r>
      <w:r w:rsidRPr="000C3458">
        <w:rPr>
          <w:rFonts w:eastAsia="Calibri"/>
          <w:noProof/>
          <w:lang w:val="es-ES"/>
        </w:rPr>
        <w:t xml:space="preserve">. </w:t>
      </w:r>
    </w:p>
    <w:p w14:paraId="0D668D41" w14:textId="3245BD7F" w:rsidR="00654164" w:rsidRPr="000C3458" w:rsidRDefault="00654164" w:rsidP="00C64CEF">
      <w:pPr>
        <w:jc w:val="center"/>
        <w:rPr>
          <w:noProof/>
          <w:lang w:val="es-ES"/>
        </w:rPr>
      </w:pPr>
    </w:p>
    <w:p w14:paraId="730A1F9C" w14:textId="77777777" w:rsidR="00D93BC5" w:rsidRPr="000C3458" w:rsidRDefault="00D93BC5" w:rsidP="00C64CEF">
      <w:pPr>
        <w:jc w:val="center"/>
        <w:rPr>
          <w:noProof/>
          <w:lang w:val="es-DO"/>
        </w:rPr>
      </w:pPr>
    </w:p>
    <w:p w14:paraId="405403BA" w14:textId="77777777" w:rsidR="00D93BC5" w:rsidRPr="000C3458" w:rsidRDefault="00D93BC5" w:rsidP="00C64CEF">
      <w:pPr>
        <w:jc w:val="center"/>
        <w:rPr>
          <w:noProof/>
          <w:lang w:val="es-DO"/>
        </w:rPr>
      </w:pPr>
    </w:p>
    <w:p w14:paraId="5E396B73" w14:textId="77777777" w:rsidR="00654164" w:rsidRPr="000C3458" w:rsidRDefault="00654164" w:rsidP="00654164">
      <w:pPr>
        <w:pStyle w:val="Ttulo1"/>
        <w:rPr>
          <w:color w:val="767171"/>
          <w:lang w:val="es-DO"/>
        </w:rPr>
      </w:pPr>
      <w:bookmarkStart w:id="5" w:name="_Toc215652630"/>
      <w:r w:rsidRPr="000C3458">
        <w:rPr>
          <w:color w:val="767171"/>
          <w:lang w:val="es-DO"/>
        </w:rPr>
        <w:lastRenderedPageBreak/>
        <w:t>RESULTADOS MISIONALES</w:t>
      </w:r>
      <w:bookmarkEnd w:id="5"/>
    </w:p>
    <w:p w14:paraId="5BDBF66A" w14:textId="77777777" w:rsidR="00654164" w:rsidRPr="000C3458" w:rsidRDefault="00654164" w:rsidP="00654164">
      <w:pPr>
        <w:jc w:val="both"/>
        <w:rPr>
          <w:rFonts w:eastAsia="Calibri"/>
          <w:sz w:val="18"/>
          <w:lang w:val="es-DO"/>
        </w:rPr>
      </w:pPr>
      <w:r w:rsidRPr="000C3458">
        <w:rPr>
          <w:rFonts w:eastAsia="Calibri"/>
          <w:noProof/>
          <w:sz w:val="18"/>
          <w:lang w:val="es-DO" w:eastAsia="es-DO"/>
        </w:rPr>
        <mc:AlternateContent>
          <mc:Choice Requires="wps">
            <w:drawing>
              <wp:anchor distT="0" distB="0" distL="114300" distR="114300" simplePos="0" relativeHeight="251656704" behindDoc="0" locked="0" layoutInCell="1" allowOverlap="1" wp14:anchorId="4DF5F78D" wp14:editId="02BFB817">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A331F" id="Straight Connector 14"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2C0A1D85" w:rsidR="00654164" w:rsidRPr="000C3458" w:rsidRDefault="00654164" w:rsidP="00D64261">
      <w:pPr>
        <w:spacing w:line="360" w:lineRule="auto"/>
        <w:jc w:val="center"/>
        <w:rPr>
          <w:rFonts w:eastAsia="Calibri"/>
          <w:szCs w:val="36"/>
          <w:lang w:val="es-DO"/>
        </w:rPr>
      </w:pPr>
      <w:r w:rsidRPr="000C3458">
        <w:rPr>
          <w:rFonts w:eastAsia="Calibri"/>
          <w:szCs w:val="36"/>
          <w:lang w:val="es-DO"/>
        </w:rPr>
        <w:t xml:space="preserve">Memoria </w:t>
      </w:r>
      <w:r w:rsidR="00D837AC" w:rsidRPr="000C3458">
        <w:rPr>
          <w:rFonts w:eastAsia="Calibri"/>
          <w:szCs w:val="36"/>
          <w:lang w:val="es-DO"/>
        </w:rPr>
        <w:t>I</w:t>
      </w:r>
      <w:r w:rsidRPr="000C3458">
        <w:rPr>
          <w:rFonts w:eastAsia="Calibri"/>
          <w:szCs w:val="36"/>
          <w:lang w:val="es-DO"/>
        </w:rPr>
        <w:t xml:space="preserve">nstitucional </w:t>
      </w:r>
      <w:r w:rsidR="000025D4" w:rsidRPr="000C3458">
        <w:rPr>
          <w:rFonts w:eastAsia="Calibri"/>
          <w:szCs w:val="36"/>
          <w:lang w:val="es-DO"/>
        </w:rPr>
        <w:t>20</w:t>
      </w:r>
      <w:r w:rsidR="00A5647B" w:rsidRPr="000C3458">
        <w:rPr>
          <w:rFonts w:eastAsia="Calibri"/>
          <w:szCs w:val="36"/>
          <w:lang w:val="es-DO"/>
        </w:rPr>
        <w:t>25</w:t>
      </w:r>
    </w:p>
    <w:p w14:paraId="0DF9B4B4"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La Tesorería Nacional de la República Dominicana fue electa para ostentar la Presidencia de FOTEGAL durante el período 2024-2025, reafirmando el objetivo del foro de fortalecer la cooperación regional y el intercambio de buenas prácticas para modernizar la gestión financiera pública.</w:t>
      </w:r>
    </w:p>
    <w:p w14:paraId="3F962625"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Para cumplir este propósito, la Presidencia definió una estrategia sustentada en tres ejes fundamentales que orientan todas sus acciones:</w:t>
      </w:r>
    </w:p>
    <w:p w14:paraId="7E424197" w14:textId="77777777" w:rsidR="00D951F2" w:rsidRPr="000C3458" w:rsidRDefault="00D951F2" w:rsidP="00D64261">
      <w:pPr>
        <w:numPr>
          <w:ilvl w:val="0"/>
          <w:numId w:val="8"/>
        </w:numPr>
        <w:spacing w:line="360" w:lineRule="auto"/>
        <w:jc w:val="both"/>
        <w:rPr>
          <w:rFonts w:eastAsia="Calibri"/>
          <w:noProof/>
          <w:lang w:val="es-DO"/>
        </w:rPr>
      </w:pPr>
      <w:r w:rsidRPr="000C3458">
        <w:rPr>
          <w:rFonts w:eastAsia="Calibri"/>
          <w:noProof/>
          <w:lang w:val="es-DO"/>
        </w:rPr>
        <w:t xml:space="preserve">Resiliencia Digital: Fortalecer la capacidad de las Tesorerías Gubernamentales para operar en entornos digitales seguros y eficientes. </w:t>
      </w:r>
    </w:p>
    <w:p w14:paraId="4EDB2A20" w14:textId="77777777" w:rsidR="00D951F2" w:rsidRPr="000C3458" w:rsidRDefault="00D951F2" w:rsidP="00D64261">
      <w:pPr>
        <w:numPr>
          <w:ilvl w:val="0"/>
          <w:numId w:val="8"/>
        </w:numPr>
        <w:spacing w:line="360" w:lineRule="auto"/>
        <w:jc w:val="both"/>
        <w:rPr>
          <w:rFonts w:eastAsia="Calibri"/>
          <w:noProof/>
          <w:lang w:val="es-DO"/>
        </w:rPr>
      </w:pPr>
      <w:r w:rsidRPr="000C3458">
        <w:rPr>
          <w:rFonts w:eastAsia="Calibri"/>
          <w:noProof/>
          <w:lang w:val="es-DO"/>
        </w:rPr>
        <w:t>Sostenibilidad:  fomenta la integración de políticas que optimicen el uso de los recursos y fortalezcan la gobernanza financiera en la región.</w:t>
      </w:r>
    </w:p>
    <w:p w14:paraId="48EBF999" w14:textId="77777777" w:rsidR="00D951F2" w:rsidRPr="000C3458" w:rsidRDefault="00D951F2" w:rsidP="00D64261">
      <w:pPr>
        <w:numPr>
          <w:ilvl w:val="0"/>
          <w:numId w:val="8"/>
        </w:numPr>
        <w:spacing w:line="360" w:lineRule="auto"/>
        <w:jc w:val="both"/>
        <w:rPr>
          <w:rFonts w:eastAsia="Calibri"/>
          <w:noProof/>
          <w:lang w:val="es-DO"/>
        </w:rPr>
      </w:pPr>
      <w:r w:rsidRPr="000C3458">
        <w:rPr>
          <w:rFonts w:eastAsia="Calibri"/>
          <w:noProof/>
          <w:lang w:val="es-DO"/>
        </w:rPr>
        <w:t>Innovación: posicionar a las Tesorerías Gubernamentales como actores estratégicos en la modernización del Estado.</w:t>
      </w:r>
    </w:p>
    <w:p w14:paraId="1FD3329C"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Iniciamos con la propuesta para crear una plataforma educativa en línea llamada la Academia FOTEGAL, que apoya la profesionalización continua de tesoreros y sus equipos, mediante recursos interactivos, tales como: videos, documentos y presentaciones digitales. Como parte de este plan personal de la Tesorería Nacional participó en el Seminario Regional “Gestión Moderna de Tesorería Gubernamental”, con el auspicio del Centro Regional de Asistencia Técnica del FMI para Centroamérica, Panamá y República Dominicana (CAPTAC-DR). El evento abordó la </w:t>
      </w:r>
      <w:r w:rsidRPr="000C3458">
        <w:rPr>
          <w:rFonts w:eastAsia="Calibri"/>
          <w:noProof/>
          <w:lang w:val="es-DO"/>
        </w:rPr>
        <w:lastRenderedPageBreak/>
        <w:t>modernización de la gestión financiera pública, la administración eficiente y transparente.</w:t>
      </w:r>
    </w:p>
    <w:p w14:paraId="04493DDA"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Se realizaron seminarios virtuales especializados, alineados a los ejes estratégicos, que permitieron compartir experiencias y buenas prácticas entre las Tesorerías Nacionales de América Latina para promover el aprendizaje continuo. </w:t>
      </w:r>
    </w:p>
    <w:p w14:paraId="08D689FF"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Logrando durante estos encuentros virtuales, más de 200 conexiones institucionales por seminario, involucrando equipos de Tesorerías Nacionales de países latinoamericanos.</w:t>
      </w:r>
    </w:p>
    <w:p w14:paraId="2978BF26"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Este esfuerzo incrementó, en más de un 100%, la cantidad de seguidores en las redes sociales de FOTEGAL, ampliando la comunidad digital.</w:t>
      </w:r>
    </w:p>
    <w:p w14:paraId="1849E189" w14:textId="77777777" w:rsidR="00D951F2" w:rsidRPr="000C3458" w:rsidRDefault="00D951F2" w:rsidP="00D64261">
      <w:pPr>
        <w:spacing w:line="360" w:lineRule="auto"/>
        <w:jc w:val="both"/>
        <w:rPr>
          <w:rFonts w:eastAsia="Calibri"/>
          <w:b/>
          <w:bCs/>
          <w:noProof/>
          <w:lang w:val="es-DO"/>
        </w:rPr>
      </w:pPr>
      <w:r w:rsidRPr="000C3458">
        <w:rPr>
          <w:rFonts w:eastAsia="Calibri"/>
          <w:b/>
          <w:bCs/>
          <w:noProof/>
          <w:lang w:val="es-DO"/>
        </w:rPr>
        <w:t>Lográndose la realización de los siguientes seminarios virtuales:</w:t>
      </w:r>
    </w:p>
    <w:p w14:paraId="655DF83E" w14:textId="77777777" w:rsidR="00D951F2" w:rsidRPr="000C3458" w:rsidRDefault="00D951F2" w:rsidP="00D64261">
      <w:pPr>
        <w:numPr>
          <w:ilvl w:val="0"/>
          <w:numId w:val="3"/>
        </w:numPr>
        <w:spacing w:line="360" w:lineRule="auto"/>
        <w:jc w:val="both"/>
        <w:rPr>
          <w:rFonts w:eastAsia="Calibri"/>
          <w:b/>
          <w:bCs/>
          <w:noProof/>
          <w:lang w:val="es-DO"/>
        </w:rPr>
      </w:pPr>
      <w:r w:rsidRPr="000C3458">
        <w:rPr>
          <w:rFonts w:eastAsia="Calibri"/>
          <w:b/>
          <w:bCs/>
          <w:noProof/>
          <w:lang w:val="es-DO"/>
        </w:rPr>
        <w:t>“Interacción entre Caja-Deuda y Sostenibilidad Fiscal”.</w:t>
      </w:r>
    </w:p>
    <w:p w14:paraId="61095A8F"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Perú presentó su modelo integrado de gestión de activos y pasivos, Brasil expuso sobre previsión diaria de flujo de caja y uso de herramientas analíticas (SID, SUAFI), y Chile compartió estrategias de estabilidad macroeconómica. Celebrado en mayo del 2025, este seminario destacó la importancia de coordinar tesorería y deuda para optimizar el gasto público y garantizar la sostenibilidad fiscal. </w:t>
      </w:r>
    </w:p>
    <w:p w14:paraId="3EE3F957" w14:textId="77777777" w:rsidR="00D951F2" w:rsidRPr="000C3458" w:rsidRDefault="00D951F2" w:rsidP="00D64261">
      <w:pPr>
        <w:spacing w:line="360" w:lineRule="auto"/>
        <w:jc w:val="both"/>
        <w:rPr>
          <w:rFonts w:eastAsia="Calibri"/>
          <w:noProof/>
          <w:lang w:val="es-DO"/>
        </w:rPr>
      </w:pPr>
    </w:p>
    <w:p w14:paraId="4AE14CD5" w14:textId="77777777" w:rsidR="00D951F2" w:rsidRPr="000C3458" w:rsidRDefault="00D951F2" w:rsidP="00D64261">
      <w:pPr>
        <w:numPr>
          <w:ilvl w:val="0"/>
          <w:numId w:val="3"/>
        </w:numPr>
        <w:spacing w:line="360" w:lineRule="auto"/>
        <w:jc w:val="both"/>
        <w:rPr>
          <w:rFonts w:eastAsia="Calibri"/>
          <w:b/>
          <w:bCs/>
          <w:noProof/>
          <w:lang w:val="es-DO"/>
        </w:rPr>
      </w:pPr>
      <w:r w:rsidRPr="000C3458">
        <w:rPr>
          <w:rFonts w:eastAsia="Calibri"/>
          <w:b/>
          <w:bCs/>
          <w:noProof/>
          <w:lang w:val="es-DO"/>
        </w:rPr>
        <w:t>“Resiliencia Digital”</w:t>
      </w:r>
    </w:p>
    <w:p w14:paraId="404D5322"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La Tesorería del Banco Mundial, explicó sobre las innovaciones como inteligencia artificial para optimizar liquidez, tokenización y blockchain para seguridad y eficiencia. Desarrollado en agosto del 2025, estas tecnologías fueron presentadas como pilares para la transformación digital en la gestión financiera pública. </w:t>
      </w:r>
    </w:p>
    <w:p w14:paraId="717B0B53" w14:textId="77777777" w:rsidR="00D951F2" w:rsidRPr="000C3458" w:rsidRDefault="00D951F2" w:rsidP="00D64261">
      <w:pPr>
        <w:numPr>
          <w:ilvl w:val="0"/>
          <w:numId w:val="3"/>
        </w:numPr>
        <w:spacing w:line="360" w:lineRule="auto"/>
        <w:jc w:val="both"/>
        <w:rPr>
          <w:rFonts w:eastAsia="Calibri"/>
          <w:b/>
          <w:bCs/>
          <w:noProof/>
          <w:lang w:val="es-DO"/>
        </w:rPr>
      </w:pPr>
      <w:r w:rsidRPr="000C3458">
        <w:rPr>
          <w:rFonts w:eastAsia="Calibri"/>
          <w:b/>
          <w:bCs/>
          <w:noProof/>
          <w:lang w:val="es-DO"/>
        </w:rPr>
        <w:lastRenderedPageBreak/>
        <w:t>“Innovación y Eficiencia Operativa”</w:t>
      </w:r>
    </w:p>
    <w:p w14:paraId="186E7667"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El Citibank, analizó las tendencias digitales que redefinen modelos de negocio y modernización de infraestructura financiera. Celebrado en septiembre del 2025, enfatizó la adopción de soluciones transaccionales ágiles y sostenibles, así como la ciberseguridad en ecosistemas digitales. </w:t>
      </w:r>
    </w:p>
    <w:p w14:paraId="60C0FBA6" w14:textId="69BA09CD" w:rsidR="00D951F2" w:rsidRPr="000C3458" w:rsidRDefault="00D951F2" w:rsidP="00D64261">
      <w:pPr>
        <w:spacing w:line="360" w:lineRule="auto"/>
        <w:jc w:val="both"/>
        <w:rPr>
          <w:rFonts w:eastAsia="Calibri"/>
          <w:b/>
          <w:bCs/>
          <w:noProof/>
          <w:lang w:val="es-DO"/>
        </w:rPr>
      </w:pPr>
      <w:r w:rsidRPr="000C3458">
        <w:rPr>
          <w:rFonts w:eastAsia="Calibri"/>
          <w:b/>
          <w:bCs/>
          <w:noProof/>
          <w:lang w:val="es-DO"/>
        </w:rPr>
        <w:t xml:space="preserve">Actividades previas al Seminario Anual FOTEGAL 2025 </w:t>
      </w:r>
      <w:r w:rsidR="00D64261" w:rsidRPr="000C3458">
        <w:rPr>
          <w:rFonts w:eastAsia="Calibri"/>
          <w:b/>
          <w:bCs/>
          <w:noProof/>
          <w:lang w:val="es-DO"/>
        </w:rPr>
        <w:t>-</w:t>
      </w:r>
      <w:r w:rsidRPr="000C3458">
        <w:rPr>
          <w:rFonts w:eastAsia="Calibri"/>
          <w:b/>
          <w:bCs/>
          <w:noProof/>
          <w:lang w:val="es-DO"/>
        </w:rPr>
        <w:t xml:space="preserve"> Resiliencia Digital, Sostenibilidad e Innovación en servicios y procesos.</w:t>
      </w:r>
    </w:p>
    <w:p w14:paraId="6682EBEA"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La Tesoreria Nacional constituyó una comisión técnica para la organización del XV Seminario Anual realizando reuniones en las cuales se analizaron situaciones específicas que requerían decisiones favorables y oportunas. </w:t>
      </w:r>
    </w:p>
    <w:p w14:paraId="148639E2" w14:textId="111651D4" w:rsidR="00D951F2" w:rsidRPr="000C3458" w:rsidRDefault="00D951F2" w:rsidP="00D64261">
      <w:pPr>
        <w:spacing w:line="360" w:lineRule="auto"/>
        <w:jc w:val="both"/>
        <w:rPr>
          <w:rFonts w:eastAsia="Calibri"/>
          <w:noProof/>
          <w:lang w:val="es-DO"/>
        </w:rPr>
      </w:pPr>
      <w:r w:rsidRPr="000C3458">
        <w:rPr>
          <w:rFonts w:eastAsia="Calibri"/>
          <w:noProof/>
          <w:lang w:val="es-DO"/>
        </w:rPr>
        <w:t>Lográndose actualizar perfiles, y recopilar propuestas de temas de interés a ser expuestos y la estructuración de la agenda que constituiría las tres jornadas del evento.</w:t>
      </w:r>
    </w:p>
    <w:p w14:paraId="7C6748D2"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La agenda contempló espacios fortalecieron la proyección cultural del país y promovieron el networking entre delegaciones, organismos multilaterales y empresas privadas. La planificación minuciosa de transporte, protocolo y atención a invitados evidenció el compromiso de la Comisión Técnica con la excelencia organizativa.</w:t>
      </w:r>
    </w:p>
    <w:p w14:paraId="3AB2A3CC" w14:textId="2116F848" w:rsidR="00D951F2" w:rsidRPr="000C3458" w:rsidRDefault="00D951F2" w:rsidP="00D64261">
      <w:pPr>
        <w:spacing w:line="360" w:lineRule="auto"/>
        <w:jc w:val="both"/>
        <w:rPr>
          <w:rFonts w:eastAsia="Calibri"/>
          <w:noProof/>
          <w:lang w:val="es-DO"/>
        </w:rPr>
      </w:pPr>
      <w:r w:rsidRPr="000C3458">
        <w:rPr>
          <w:rFonts w:eastAsia="Calibri"/>
          <w:noProof/>
          <w:lang w:val="es-DO"/>
        </w:rPr>
        <w:t>Se elaboraron comunicaciones tanto de invitación como informaciones generales del evento para los tesoreros generales de los países miembros de FOTEGAL, así como a los representantes de organismos internacionales y otros invitados especiales.</w:t>
      </w:r>
    </w:p>
    <w:p w14:paraId="7242A292"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Durante el año, se promovió la interacción directa con los Tesoreros Generales de cada país, invitándolos a compartir mensajes de </w:t>
      </w:r>
      <w:r w:rsidRPr="000C3458">
        <w:rPr>
          <w:rFonts w:eastAsia="Calibri"/>
          <w:noProof/>
          <w:lang w:val="es-DO"/>
        </w:rPr>
        <w:lastRenderedPageBreak/>
        <w:t>bienvenida al Congreso Anual y a difundir sus logros e iniciativas más relevantes a través de nuestras redes institucionales.</w:t>
      </w:r>
    </w:p>
    <w:p w14:paraId="0163B69A"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Este esfuerzo visibilizó el trabajo de cada Tesorería Nacional, fomentó la cooperación regional y generó un impacto significativo: incrementamos en más de un 100 % la cantidad de seguidores en las redes sociales de FOTEGAL, ampliando nuestra comunidad digital.</w:t>
      </w:r>
    </w:p>
    <w:p w14:paraId="6960D349"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Asimismo, se actualizó el portal web oficial del Foro, incorporando información actualizada de cada Tesorería, habilitando espacios interactivos y creando repositorios técnicos para el intercambio ágil de buenas prácticas.</w:t>
      </w:r>
    </w:p>
    <w:p w14:paraId="42969134"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Dentro de las actividades para la planificación del Seminario Anual, la Tesoreria Nacional negoció condiciones favorables con suplidores como descuentos en la adquisición de equipos tecnológicos y la integración de donaciones, lo que redujo costos y elevó la calidad del evento. Esto facilitó la compra de dispositivos electrónicos necesarios para las sesiones técnicas, asegurando la conectividad y eficiencia operativa durante el congreso. Además, contó con el respaldo de aliados estratégicos como la empresa CardNET, que aportó obsequios corporativos para los participantes, contribuyendo a la experiencia integral del evento y reforzando la imagen de hospitalidad y excelencia. </w:t>
      </w:r>
    </w:p>
    <w:p w14:paraId="254D5C99"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La optimización del presupuesto, que ascendió a RD$10.8 millones, se complementó con una gestión orientada a la eficiencia y al aprovechamiento de recursos, elevando la calidad del evento y reduciendo costos mediante aportes estratégicos de patrocinadores y organismos internacionales.</w:t>
      </w:r>
    </w:p>
    <w:p w14:paraId="23E611DB"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Finalmente, el BID, aportó traducción simultánea y financió la participación de expertos internacionales como la representación de las tesorerías de Costa Rica, Ecuador y Perú en el Seminario Anual. </w:t>
      </w:r>
    </w:p>
    <w:p w14:paraId="4C47C1D8"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lastRenderedPageBreak/>
        <w:t>Para la transmisión del XV Seminario Anual sobre Tesorerías Gubernamentales, se elaboró una estrategia de trabajo orientada a garantizar la visibilidad institucional del evento y asegurar una cobertura integral antes, durante y después de su desarrollo. Esta planificación incluyó la definición de los objetivos comunicacionales, la estructuración de un cronograma de tareas, la coordinación con los equipos internos y externos involucrados en la logística y la supervisión de todos los elementos técnicos necesarios para el montaje, la transmisión y la documentación del seminario.</w:t>
      </w:r>
    </w:p>
    <w:p w14:paraId="77E459A7"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Desde un inicio, en materia de identidad visual, creó el concepto gráfico oficial del evento, desarrollando una línea gráfica coherente con la imagen institucional y con la temática del seminario. Esta identidad se aplicó en los materiales impresos, digitales y audiovisuales, incluidos los banners, backdrops, señalética, artes promocionales, credenciales, presentaciones y piezas para redes sociales, asegurando uniformidad y profesionalismo en todos los elementos visibles del seminario.</w:t>
      </w:r>
    </w:p>
    <w:p w14:paraId="0E5041E0"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La producción del evento abarcó las fases de preproducción, producción y postproducción. En la etapa de preproducción definió los recursos técnicos y humanos, las responsabilidades del personal involucrado, y estableció el plan de cobertura audiovisual. Durante la producción, el equipo llevó a cabo el registro fotográfico y de video de todas las actividades, brindó soporte técnico para la transmisión en vivo y aseguró que cada momento del seminario fuera documentado con alta calidad. Posteriormente, en la postproducción, editó videos resumen, cápsulas informativas y materiales audiovisuales destinados a redes sociales, medios de comunicación y archivo institucional. Asimismo, realizó la selección y edición de fotografías para conformar el registro visual oficial del evento.</w:t>
      </w:r>
    </w:p>
    <w:p w14:paraId="37FBD88F"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lastRenderedPageBreak/>
        <w:t xml:space="preserve">En cuanto a la difusión en los medios de comunicación, implementó una estrategia integral antes y después del seminario. En la fase previa elaboró y distribuyó notas de prensa, publicó artes promocionales en redes sociales y coordinó la divulgación del evento con diversos medios nacionales e internacionales. </w:t>
      </w:r>
    </w:p>
    <w:p w14:paraId="53AFC9E7"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Tras la realización del seminario, difundió notas informativas sobre los resultados y conclusiones, compartió fotografías y videos en las plataformas institucionales y gestionó la publicación de cobertura en medios impresos, digitales y televisivos. Además, llevó a cabo un monitoreo de los impactos mediáticos para evaluar el alcance de la comunicación pública.</w:t>
      </w:r>
    </w:p>
    <w:p w14:paraId="19E18899"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Finalmente, realizamos acercamientos estratégicos con Tesorerías de países no miembros, invitándolas a conocer el Foro, sus beneficios y las oportunidades de cooperación técnica que ofrecemos.</w:t>
      </w:r>
    </w:p>
    <w:p w14:paraId="7C421BB6"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La sede para la celebración del Foro de Tesorerías Gubernamentales de América Latina (FOTEGAL), presidida por el Tesorero Nacional, el Sr. Luis Rafael Delgado Sánchez, celebrada en los días 28, 29 y 30 de octubre del año 2025, en el Centro de Convenciones de Punta Cana, donde participaron 130 las tesorerías nacionales de países miembros, representantes de Organismos de Cooperación y del tesoreros institucionales del país, con el objetivo de fomentar la cooperación y el intercambio de experiencias en la gestión de las finanzas públicas. </w:t>
      </w:r>
    </w:p>
    <w:p w14:paraId="0F2E15EC"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Asimismo, la coordinación logística incluyó actividades emblemáticas como la Cena de Gala en Altos de Chavón, patrocinada por Banreservas que reunió a más de 130 representantes nacionales e internacionales. Esta gestión incluyó la organización de transporte, protocolo y atención a invitados, contribuyendo a la proyección cultural del país y al fortalecimiento de relaciones estratégicas entre </w:t>
      </w:r>
      <w:r w:rsidRPr="000C3458">
        <w:rPr>
          <w:rFonts w:eastAsia="Calibri"/>
          <w:noProof/>
          <w:lang w:val="es-DO"/>
        </w:rPr>
        <w:lastRenderedPageBreak/>
        <w:t xml:space="preserve">actores gubernamentales, organismos multilaterales y empresas privadas. </w:t>
      </w:r>
    </w:p>
    <w:p w14:paraId="760BBB80" w14:textId="77777777" w:rsidR="00D951F2" w:rsidRPr="000C3458" w:rsidRDefault="00D951F2" w:rsidP="00D64261">
      <w:pPr>
        <w:spacing w:line="360" w:lineRule="auto"/>
        <w:jc w:val="both"/>
        <w:rPr>
          <w:rFonts w:eastAsia="Calibri"/>
          <w:b/>
          <w:bCs/>
          <w:noProof/>
          <w:lang w:val="es-DO"/>
        </w:rPr>
      </w:pPr>
      <w:r w:rsidRPr="000C3458">
        <w:rPr>
          <w:rFonts w:eastAsia="Calibri"/>
          <w:b/>
          <w:bCs/>
          <w:noProof/>
          <w:lang w:val="es-DO"/>
        </w:rPr>
        <w:t>A continuación, se presentan las ponencias de países y representantes de Tesorerías Nacionales de América Latina expuestas durante el Seminario Anual:</w:t>
      </w:r>
    </w:p>
    <w:p w14:paraId="15FAA1DE" w14:textId="699EB811" w:rsidR="00D951F2" w:rsidRPr="000C3458" w:rsidRDefault="00D951F2" w:rsidP="00D64261">
      <w:pPr>
        <w:spacing w:line="360" w:lineRule="auto"/>
        <w:jc w:val="both"/>
        <w:rPr>
          <w:rFonts w:eastAsia="Calibri"/>
          <w:i/>
          <w:iCs/>
          <w:noProof/>
          <w:lang w:val="es-DO"/>
        </w:rPr>
      </w:pPr>
      <w:r w:rsidRPr="000C3458">
        <w:rPr>
          <w:rFonts w:eastAsia="Calibri"/>
          <w:b/>
          <w:bCs/>
          <w:noProof/>
          <w:lang w:val="es-DO"/>
        </w:rPr>
        <w:t>República Dominicana:</w:t>
      </w:r>
      <w:r w:rsidRPr="000C3458">
        <w:rPr>
          <w:rFonts w:eastAsia="Calibri"/>
          <w:noProof/>
          <w:lang w:val="es-DO"/>
        </w:rPr>
        <w:t xml:space="preserve"> </w:t>
      </w:r>
      <w:r w:rsidRPr="000C3458">
        <w:rPr>
          <w:rFonts w:eastAsia="Calibri"/>
          <w:i/>
          <w:iCs/>
          <w:noProof/>
          <w:lang w:val="es-DO"/>
        </w:rPr>
        <w:t>“La Innovación Financiera, Gobernanza y Resiliencia Digital en la Tesorería Nacional”</w:t>
      </w:r>
    </w:p>
    <w:p w14:paraId="4B207F8A"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Destacó la implementación de la Cuenta Única del Tesoro (CUT) como base para la gestión centralizada de los recursos públicos, la adopción de mecanismos electrónicos para pagos y cobros, y el desarrollo de la plataforma SIRITE, que permite el seguimiento en línea de las órdenes de pago por parte de suplidores y contratistas. Con estos avances, la Tesorería Nacional impulsa la sostenibilidad mediante procesos más eficientes y seguros, contribuyendo a la resiliencia digital y a la modernización de la gestión pública.</w:t>
      </w:r>
    </w:p>
    <w:p w14:paraId="38C9AC52" w14:textId="77777777" w:rsidR="00D951F2" w:rsidRPr="000C3458" w:rsidRDefault="00D951F2" w:rsidP="00D64261">
      <w:pPr>
        <w:spacing w:line="360" w:lineRule="auto"/>
        <w:jc w:val="both"/>
        <w:rPr>
          <w:rFonts w:eastAsia="Calibri"/>
          <w:noProof/>
        </w:rPr>
      </w:pPr>
      <w:r w:rsidRPr="000C3458">
        <w:rPr>
          <w:rFonts w:eastAsia="Calibri"/>
          <w:noProof/>
        </w:rPr>
        <w:t>Banco Mundial: “Project Promissa: Digitizing Development Promises”</w:t>
      </w:r>
    </w:p>
    <w:p w14:paraId="2BE4A1CD"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Destacó el enfoque en la digitalización de procesos financieros mediante tecnologías de registro distribuido (DLT) y tokenización. Explicó cómo la gestión de notas promisorias (tradicionalmente basada en documentos físicos) se transforma con el uso del protocolo Cantón y contratos inteligentes, creando un sistema seguro, interoperable y con una única fuente de verdad. El proyecto busca reducir tiempos de conciliación de meses a segundos, mejorar la transparencia y garantizar la integridad de datos en operaciones multilaterales. </w:t>
      </w:r>
    </w:p>
    <w:p w14:paraId="7D201168"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Guatemala: “Entrenamiento del modelo de aprendizaje automático para la previsión de flujos de caja”</w:t>
      </w:r>
    </w:p>
    <w:p w14:paraId="5248BE1D"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lastRenderedPageBreak/>
        <w:t xml:space="preserve">Resaltó la importancia de contar con proyecciones precisas para garantizar liquidez y cubrir obligaciones críticas del Estado. La propuesta incorpora machine learning para identificar patrones complejos en ingresos y gastos, anticipar déficits o excedentes y generar alertas tempranas. Planteó la creación de una unidad especializada en Inteligencia Artificial y analítica dentro del Middle Office, con perfiles técnicos en ciencia de datos y programación.                                                                                                                                                                                                                                                                                                                                                                                                                                                                                                                                                                                                                                                                                                                                                                                                                                                                                                                                                                                                                                                                                                                                                                                                                                                                                                                                                                                                                                                                                                                                                                                                                                                                                                                                                                                                                                                                                                 </w:t>
      </w:r>
    </w:p>
    <w:p w14:paraId="4BB237C6"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Perú: “Tránsito a la Modernización Tecnológica del Tesoro”</w:t>
      </w:r>
    </w:p>
    <w:p w14:paraId="0F128D96"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Destacó la necesidad de transformar los procesos financieros mediante la integración tecnológica y la optimización de la gestión de ingresos y pagos. Se abordó el marco legal que sustenta la administración de fondos públicos y el rol de la Cuenta Única del Tesoro (CUT) como instrumento central para la gestión de liquidez y reducción de costos financieros. Explicó el soporte actual basado en el sistema SIAF-SP y sus módulos, así como las debilidades del modelo vigente, caracterizado por la fragmentación de sistemas, falta de trazabilidad y sobrecarga operativa. </w:t>
      </w:r>
    </w:p>
    <w:p w14:paraId="55CE611F"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Argentina: “Aplicaciones que fortalecen servicios y procesos relevantes de Tesorería”</w:t>
      </w:r>
    </w:p>
    <w:p w14:paraId="6970D3DA"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Destacó tres iniciativas tecnológicas clave: </w:t>
      </w:r>
    </w:p>
    <w:p w14:paraId="40CE8EA1" w14:textId="6513F441" w:rsidR="00D951F2" w:rsidRPr="000C3458" w:rsidRDefault="00D951F2" w:rsidP="00D64261">
      <w:pPr>
        <w:numPr>
          <w:ilvl w:val="0"/>
          <w:numId w:val="4"/>
        </w:numPr>
        <w:spacing w:line="360" w:lineRule="auto"/>
        <w:jc w:val="both"/>
        <w:rPr>
          <w:rFonts w:eastAsia="Calibri"/>
          <w:noProof/>
          <w:lang w:val="es-DO"/>
        </w:rPr>
      </w:pPr>
      <w:r w:rsidRPr="000C3458">
        <w:rPr>
          <w:rFonts w:eastAsia="Calibri"/>
          <w:noProof/>
          <w:lang w:val="es-DO"/>
        </w:rPr>
        <w:t>Portal eRecauda para la recaudación no tributaria: permite la interoperabilidad con el sistema e-SIDIF, la generación automática de registros y la trazabilidad de pagos electrónicos, incluyendo modalidades como QR y Volante Electrónico de Pago (VEP).</w:t>
      </w:r>
    </w:p>
    <w:p w14:paraId="467705E5" w14:textId="5A6ECD8B" w:rsidR="00D951F2" w:rsidRPr="000C3458" w:rsidRDefault="00D951F2" w:rsidP="00D64261">
      <w:pPr>
        <w:numPr>
          <w:ilvl w:val="0"/>
          <w:numId w:val="4"/>
        </w:numPr>
        <w:spacing w:line="360" w:lineRule="auto"/>
        <w:jc w:val="both"/>
        <w:rPr>
          <w:rFonts w:eastAsia="Calibri"/>
          <w:noProof/>
          <w:lang w:val="es-DO"/>
        </w:rPr>
      </w:pPr>
      <w:r w:rsidRPr="000C3458">
        <w:rPr>
          <w:rFonts w:eastAsia="Calibri"/>
          <w:noProof/>
          <w:lang w:val="es-DO"/>
        </w:rPr>
        <w:t>Aplicación SIRECO Web para el registro de cuentas oficiales: centraliza la administración de más de 8,300 cuentas oficiales, incorporando validaciones automatizadas y reportes configurables.</w:t>
      </w:r>
    </w:p>
    <w:p w14:paraId="6ADE77BF" w14:textId="05238581" w:rsidR="00D951F2" w:rsidRPr="000C3458" w:rsidRDefault="00D951F2" w:rsidP="00D64261">
      <w:pPr>
        <w:numPr>
          <w:ilvl w:val="0"/>
          <w:numId w:val="4"/>
        </w:numPr>
        <w:spacing w:line="360" w:lineRule="auto"/>
        <w:jc w:val="both"/>
        <w:rPr>
          <w:rFonts w:eastAsia="Calibri"/>
          <w:noProof/>
          <w:lang w:val="es-DO"/>
        </w:rPr>
      </w:pPr>
      <w:r w:rsidRPr="000C3458">
        <w:rPr>
          <w:rFonts w:eastAsia="Calibri"/>
          <w:noProof/>
          <w:lang w:val="es-DO"/>
        </w:rPr>
        <w:lastRenderedPageBreak/>
        <w:t xml:space="preserve">Proyecto Datamart de Ejecución Base Caja del Tesoro Nacional: optimiza la explotación de datos financieros mediante un esquema automatizado de ahorro, inversión y financiamiento, reduciendo tiempos de procesamiento y mejorando la toma de decisiones. </w:t>
      </w:r>
    </w:p>
    <w:p w14:paraId="35CA3BB7" w14:textId="77777777" w:rsidR="00D64261" w:rsidRPr="000C3458" w:rsidRDefault="00D64261" w:rsidP="00D64261">
      <w:pPr>
        <w:spacing w:line="360" w:lineRule="auto"/>
        <w:ind w:left="360"/>
        <w:jc w:val="both"/>
        <w:rPr>
          <w:rFonts w:eastAsia="Calibri"/>
          <w:noProof/>
          <w:lang w:val="es-DO"/>
        </w:rPr>
      </w:pPr>
    </w:p>
    <w:p w14:paraId="73A4C229"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Chile: “Sostenibilidad Fiscal y Bonos Temáticos”</w:t>
      </w:r>
    </w:p>
    <w:p w14:paraId="12B98EC4"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Resaltó la evolución de su política fiscal, desde la creación de la regla fiscal en el año 2000 hasta la reciente incorporación de una regla dual en 2024, que establece un ancla de deuda y cláusulas de escape para crisis. Se destacó la emisión de bonos temáticos como instrumento para financiar proyectos con impacto social y ambiental. </w:t>
      </w:r>
    </w:p>
    <w:p w14:paraId="73A6B005"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Colombia: “Operaciones de Cobertura y Manejo de Liquidez”</w:t>
      </w:r>
    </w:p>
    <w:p w14:paraId="5CBBA035"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Identificó vulnerabilidades críticas que afectan la ejecución presupuestaria: </w:t>
      </w:r>
    </w:p>
    <w:p w14:paraId="24FDFCC7" w14:textId="77777777" w:rsidR="00D951F2" w:rsidRPr="000C3458" w:rsidRDefault="00D951F2" w:rsidP="00D64261">
      <w:pPr>
        <w:numPr>
          <w:ilvl w:val="0"/>
          <w:numId w:val="6"/>
        </w:numPr>
        <w:spacing w:line="360" w:lineRule="auto"/>
        <w:jc w:val="both"/>
        <w:rPr>
          <w:rFonts w:eastAsia="Calibri"/>
          <w:noProof/>
          <w:lang w:val="es-DO"/>
        </w:rPr>
      </w:pPr>
      <w:r w:rsidRPr="000C3458">
        <w:rPr>
          <w:rFonts w:eastAsia="Calibri"/>
          <w:noProof/>
          <w:lang w:val="es-DO"/>
        </w:rPr>
        <w:t>Riesgo cambiario, derivado de la alta exposición al dólar por ingresos y servicio de deuda externa;</w:t>
      </w:r>
    </w:p>
    <w:p w14:paraId="3ED72ADF" w14:textId="77777777" w:rsidR="00D951F2" w:rsidRPr="000C3458" w:rsidRDefault="00D951F2" w:rsidP="00D64261">
      <w:pPr>
        <w:numPr>
          <w:ilvl w:val="0"/>
          <w:numId w:val="6"/>
        </w:numPr>
        <w:spacing w:line="360" w:lineRule="auto"/>
        <w:jc w:val="both"/>
        <w:rPr>
          <w:rFonts w:eastAsia="Calibri"/>
          <w:noProof/>
          <w:lang w:val="es-DO"/>
        </w:rPr>
      </w:pPr>
      <w:r w:rsidRPr="000C3458">
        <w:rPr>
          <w:rFonts w:eastAsia="Calibri"/>
          <w:noProof/>
          <w:lang w:val="es-DO"/>
        </w:rPr>
        <w:t xml:space="preserve">Riesgo de tasa de interés, asociado a deuda indexada a tasas variables. </w:t>
      </w:r>
    </w:p>
    <w:p w14:paraId="5F9478EA"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Para mitigar estos riesgos, propuso una estrategia integral que combina tres niveles de gestión: mantener un colchón de liquidez para choques de corto plazo, aplicar cobertura natural alineando monedas de ingresos y gastos, y adoptar derivados financieros (swaps y forwards) para lograr predictibilidad presupuestal. Finalmente, se enfatizó la importancia de automatizar la gestión de liquidez en tiempo real y fortalecer la gobernanza para garantizar transparencia. </w:t>
      </w:r>
    </w:p>
    <w:p w14:paraId="5DEF82EC"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lastRenderedPageBreak/>
        <w:t>Panamá: “Estrategias innovadoras para incrementar ingresos de la Tesorería”</w:t>
      </w:r>
    </w:p>
    <w:p w14:paraId="487E7060" w14:textId="14629776"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Destacó la importancia de reintegrar saldos no devengados y sincerar estimaciones de ingresos no tributarios para evitar afectaciones al gasto y la deuda. Además, se analizó el servicio de descuento directo, que aplica un cargo del 3% sobre préstamos otorgados a funcionarios, reduciendo riesgos para entidades financieras y facilitando mejores condiciones crediticias. </w:t>
      </w:r>
    </w:p>
    <w:p w14:paraId="35A9E825"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México: “Optimización de la Tesorería” </w:t>
      </w:r>
    </w:p>
    <w:p w14:paraId="523BA20A"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Destacó el modelo que calcula saldos disponibles a partir del flujo neto operativo y de deuda, considerando ingresos, gastos, amortizaciones y costos financieros. incorporó factores de contingencia para garantizar liquidez y minimizar riesgos, definiendo saldos mínimos y máximos para inversión en periodos superiores o inferiores a dos meses. El objetivo es maximizar rendimientos mediante portafolios diversificados y monitoreo diario de flujos financieros. </w:t>
      </w:r>
    </w:p>
    <w:p w14:paraId="54C4483A"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Paraguay: “Transformación digital del proceso de pagos a nómina”</w:t>
      </w:r>
    </w:p>
    <w:p w14:paraId="0913B6CF"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Describió la transición de trámites manuales a un sistema integrado y seguro mediante la red bancaria. El marco normativo incluye leyes de transparencia, publicación de remuneraciones y prevención de corrupción, fortaleciendo el control institucional y la rendición de cuentas. Además, destacó la importancia de la digitalización para reducir errores, agilizar habilitación de cuentas y garantizar la seguridad en la transferencia de fondos. La integración del SIARE (Sistema Integrado de Administración Financiera), que articula subsistemas de presupuesto, tesorería, contabilidad y recursos humanos, asegurando eficiencia y control en el flujo financiero. </w:t>
      </w:r>
    </w:p>
    <w:p w14:paraId="5458DF97"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lastRenderedPageBreak/>
        <w:t>Fondo Monetario Internacional (FMI): “Desafíos de la digitalización en la gestión de tesorería”</w:t>
      </w:r>
    </w:p>
    <w:p w14:paraId="70868D21"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Destacó tres pilares: </w:t>
      </w:r>
    </w:p>
    <w:p w14:paraId="74E10CB1" w14:textId="77777777" w:rsidR="00D951F2" w:rsidRPr="000C3458" w:rsidRDefault="00D951F2" w:rsidP="00D64261">
      <w:pPr>
        <w:numPr>
          <w:ilvl w:val="0"/>
          <w:numId w:val="7"/>
        </w:numPr>
        <w:spacing w:line="360" w:lineRule="auto"/>
        <w:jc w:val="both"/>
        <w:rPr>
          <w:rFonts w:eastAsia="Calibri"/>
          <w:noProof/>
          <w:lang w:val="es-DO"/>
        </w:rPr>
      </w:pPr>
      <w:r w:rsidRPr="000C3458">
        <w:rPr>
          <w:rFonts w:eastAsia="Calibri"/>
          <w:noProof/>
          <w:lang w:val="es-DO"/>
        </w:rPr>
        <w:t xml:space="preserve">Centralización de fondos; </w:t>
      </w:r>
    </w:p>
    <w:p w14:paraId="78B0DD1B" w14:textId="77777777" w:rsidR="00D951F2" w:rsidRPr="000C3458" w:rsidRDefault="00D951F2" w:rsidP="00D64261">
      <w:pPr>
        <w:numPr>
          <w:ilvl w:val="0"/>
          <w:numId w:val="7"/>
        </w:numPr>
        <w:spacing w:line="360" w:lineRule="auto"/>
        <w:jc w:val="both"/>
        <w:rPr>
          <w:rFonts w:eastAsia="Calibri"/>
          <w:noProof/>
          <w:lang w:val="es-DO"/>
        </w:rPr>
      </w:pPr>
      <w:r w:rsidRPr="000C3458">
        <w:rPr>
          <w:rFonts w:eastAsia="Calibri"/>
          <w:noProof/>
          <w:lang w:val="es-DO"/>
        </w:rPr>
        <w:t xml:space="preserve">Proyección de flujo de caja; </w:t>
      </w:r>
    </w:p>
    <w:p w14:paraId="341F49EC" w14:textId="77777777" w:rsidR="00D951F2" w:rsidRPr="000C3458" w:rsidRDefault="00D951F2" w:rsidP="00D64261">
      <w:pPr>
        <w:numPr>
          <w:ilvl w:val="0"/>
          <w:numId w:val="7"/>
        </w:numPr>
        <w:spacing w:line="360" w:lineRule="auto"/>
        <w:jc w:val="both"/>
        <w:rPr>
          <w:rFonts w:eastAsia="Calibri"/>
          <w:noProof/>
          <w:lang w:val="es-DO"/>
        </w:rPr>
      </w:pPr>
      <w:r w:rsidRPr="000C3458">
        <w:rPr>
          <w:rFonts w:eastAsia="Calibri"/>
          <w:noProof/>
          <w:lang w:val="es-DO"/>
        </w:rPr>
        <w:t xml:space="preserve">Uso de instrumentos para suavizar fluctuaciones. </w:t>
      </w:r>
    </w:p>
    <w:p w14:paraId="2F63B8FA"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El reto principal radica en que proyectar el futuro es más complejo que sistematizar el pasado, lo que abre espacio para la Inteligencia Artificial. El FMI ofreció dos enfoques: uno básico, mediante una herramienta en Excel que utiliza datos históricos para estimar volatilidad, y otro avanzado, en fase piloto, que compara modelos estadísticos y de Inteligencia Artificial. </w:t>
      </w:r>
    </w:p>
    <w:p w14:paraId="1FBC2B49"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Costa Rica: “Administración de la liquidez”</w:t>
      </w:r>
    </w:p>
    <w:p w14:paraId="3F7F9173" w14:textId="09085BD7" w:rsidR="00763CE1" w:rsidRPr="000C3458" w:rsidRDefault="00D951F2" w:rsidP="00D64261">
      <w:pPr>
        <w:spacing w:line="360" w:lineRule="auto"/>
        <w:jc w:val="both"/>
        <w:rPr>
          <w:rFonts w:eastAsia="Calibri"/>
          <w:noProof/>
          <w:lang w:val="es-DO"/>
        </w:rPr>
      </w:pPr>
      <w:r w:rsidRPr="000C3458">
        <w:rPr>
          <w:rFonts w:eastAsia="Calibri"/>
          <w:noProof/>
          <w:lang w:val="es-DO"/>
        </w:rPr>
        <w:t>Destacó un marco legal que abarca todos los ingresos de origen público, incluyendo entes estatales, fideicomisos y fondos especiales, con excepciones específicas. El proceso se articula en tres etapas: captación de ingresos, administración de liquidez y gestión de pagos, apoyado por plataformas tecnológicas como el Sistema de Cuentas del Sector Público (SCSP) y el Sistema Centralizado de Pagos (SCP). Además, se regulan las inversiones admisibles, la gobernanza institucional y la obligación de registro y fiscalización, prohibiendo operaciones fuera del marco normativo salvo excepciones controladas. La innovación más relevante es la introducción de pagos tokenizados, que promete reducir costos, agilizar cancelaciones a proveedores y simplificar trámites, favoreciendo la participación de PYMEs.</w:t>
      </w:r>
    </w:p>
    <w:p w14:paraId="4D8AD27F" w14:textId="77777777" w:rsidR="00B15A8A" w:rsidRPr="000C3458" w:rsidRDefault="00B15A8A" w:rsidP="00D64261">
      <w:pPr>
        <w:spacing w:line="360" w:lineRule="auto"/>
        <w:jc w:val="both"/>
        <w:rPr>
          <w:rFonts w:eastAsia="Calibri"/>
          <w:noProof/>
          <w:lang w:val="es-DO"/>
        </w:rPr>
      </w:pPr>
    </w:p>
    <w:p w14:paraId="575805FF" w14:textId="77777777" w:rsidR="00D951F2" w:rsidRPr="000C3458" w:rsidRDefault="00D951F2" w:rsidP="00D64261">
      <w:pPr>
        <w:spacing w:line="360" w:lineRule="auto"/>
        <w:jc w:val="both"/>
        <w:rPr>
          <w:rFonts w:eastAsia="Calibri"/>
          <w:b/>
          <w:bCs/>
          <w:noProof/>
          <w:lang w:val="es-DO"/>
        </w:rPr>
      </w:pPr>
      <w:r w:rsidRPr="000C3458">
        <w:rPr>
          <w:rFonts w:eastAsia="Calibri"/>
          <w:b/>
          <w:bCs/>
          <w:noProof/>
          <w:lang w:val="es-DO"/>
        </w:rPr>
        <w:lastRenderedPageBreak/>
        <w:t>Durante el Seminario se realizaron los siguientes Paneles:</w:t>
      </w:r>
    </w:p>
    <w:p w14:paraId="66EAF195" w14:textId="77777777" w:rsidR="00D951F2" w:rsidRPr="000C3458" w:rsidRDefault="00D951F2" w:rsidP="00D64261">
      <w:pPr>
        <w:numPr>
          <w:ilvl w:val="0"/>
          <w:numId w:val="5"/>
        </w:numPr>
        <w:spacing w:line="360" w:lineRule="auto"/>
        <w:jc w:val="both"/>
        <w:rPr>
          <w:rFonts w:eastAsia="Calibri"/>
          <w:b/>
          <w:bCs/>
          <w:noProof/>
          <w:lang w:val="es-DO"/>
        </w:rPr>
      </w:pPr>
      <w:r w:rsidRPr="000C3458">
        <w:rPr>
          <w:rFonts w:eastAsia="Calibri"/>
          <w:b/>
          <w:bCs/>
          <w:noProof/>
          <w:lang w:val="es-DO"/>
        </w:rPr>
        <w:t>Aplicaciones Estratégicas de la Inteligencia Artificial en la Gestión Pública</w:t>
      </w:r>
    </w:p>
    <w:p w14:paraId="5E42DB30"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El panel reunió experiencias clave de la región. CAPTAC-RD presentó la propuesta “Repensando el Flujo de Caja”, destacando la incorporación de herramientas econométricas y el uso de IA para mejorar la precisión de las proyecciones, integrando variables macroeconómicas y tributarias, y simulando escenarios diversos mediante algoritmos avanzados como redes neuronales y modelos de series temporales. Panamá expuso sobre la inserción de la IA en los procesos de tesorería, resaltando su impacto en la automatización de tareas rutinarias, conciliación bancaria en tiempo real y detección de anomalías, así como el potencial de tecnologías como blockchain para garantizar transacciones seguras y reducir costos. También abordó los retos asociados, como la inversión en infraestructura tecnológica, la capacitación del personal y la resistencia al cambio cultural. Por su parte, Brasil compartió su experiencia en la prevención de anomalías en pagos gubernamentales, explicando el desarrollo del módulo Siafi IA, diseñado para analizar patrones en registros y generar alertas tempranas mediante machine learning, como respuesta a incidentes recientes de ciberataques. </w:t>
      </w:r>
    </w:p>
    <w:p w14:paraId="45DF9628"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El panel concluyó que la adopción de IA debe ser gradual y orientada a resolver problemas reales, identificando como principal desafío la dificultad del sector público para atraer científicos de datos frente a la competencia del sector privado.</w:t>
      </w:r>
    </w:p>
    <w:p w14:paraId="2D904E94" w14:textId="77777777" w:rsidR="00D951F2" w:rsidRPr="000C3458" w:rsidRDefault="00D951F2" w:rsidP="00D64261">
      <w:pPr>
        <w:numPr>
          <w:ilvl w:val="0"/>
          <w:numId w:val="5"/>
        </w:numPr>
        <w:spacing w:line="360" w:lineRule="auto"/>
        <w:jc w:val="both"/>
        <w:rPr>
          <w:rFonts w:eastAsia="Calibri"/>
          <w:b/>
          <w:bCs/>
          <w:noProof/>
          <w:lang w:val="es-DO"/>
        </w:rPr>
      </w:pPr>
      <w:r w:rsidRPr="000C3458">
        <w:rPr>
          <w:rFonts w:eastAsia="Calibri"/>
          <w:b/>
          <w:bCs/>
          <w:noProof/>
          <w:lang w:val="es-DO"/>
        </w:rPr>
        <w:t xml:space="preserve">Banco Interamericano de Desarrollo (BID), Chile, Perú y República Dominicana:  </w:t>
      </w:r>
    </w:p>
    <w:p w14:paraId="142359A3"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Abordó las metodologías y estrategias para la emisión de bonos verdes, sociales y sostenibles (ESG), con el objetivo de fortalecer las </w:t>
      </w:r>
      <w:r w:rsidRPr="000C3458">
        <w:rPr>
          <w:rFonts w:eastAsia="Calibri"/>
          <w:noProof/>
          <w:lang w:val="es-DO"/>
        </w:rPr>
        <w:lastRenderedPageBreak/>
        <w:t xml:space="preserve">capacidades de las tesorerías en la gestión de deuda temática y alinear las estrategias de financiamiento con los compromisos de desarrollo sostenible y la Agenda 2030. Los panelistas analizaron la evolución del mercado de deuda sostenible, que alcanzó un volumen acumulado de USD 6,2 billones, y presentaron las etapas críticas para una emisión exitosa: creación del marco de referencia, definición del portafolio elegible, obtención de segundas opiniones independientes y mecanismos de reporte. </w:t>
      </w:r>
    </w:p>
    <w:p w14:paraId="2B327BD6" w14:textId="77777777" w:rsidR="00D951F2" w:rsidRPr="000C3458" w:rsidRDefault="00D951F2" w:rsidP="00D64261">
      <w:pPr>
        <w:numPr>
          <w:ilvl w:val="0"/>
          <w:numId w:val="5"/>
        </w:numPr>
        <w:spacing w:line="360" w:lineRule="auto"/>
        <w:jc w:val="both"/>
        <w:rPr>
          <w:rFonts w:eastAsia="Calibri"/>
          <w:b/>
          <w:bCs/>
          <w:noProof/>
          <w:lang w:val="es-DO"/>
        </w:rPr>
      </w:pPr>
      <w:r w:rsidRPr="000C3458">
        <w:rPr>
          <w:rFonts w:eastAsia="Calibri"/>
          <w:b/>
          <w:bCs/>
          <w:noProof/>
          <w:lang w:val="es-DO"/>
        </w:rPr>
        <w:t>“De lo Presencial a lo Digital, la Transformación de los Pagos en la R.D.”</w:t>
      </w:r>
    </w:p>
    <w:p w14:paraId="4AC58E5E"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Destacó el cambio estructural en la gestión de pagos del sector público dominicano, pasando de procesos presenciales y manuales a un ecosistema digital más seguro, eficiente y transparente. Subrayó la importancia de la interoperabilidad entre plataformas gubernamentales y bancarias, la adopción de la Cuenta Única del Tesoro y la integración de sistemas para garantizar trazabilidad y control. Este avance busca reducir tiempos de procesamiento, minimizar riesgos de errores y fortalecer la rendición de cuentas, alineándose con los principios de gobierno abierto y modernización financiera.</w:t>
      </w:r>
    </w:p>
    <w:p w14:paraId="17F38CE2"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El panel concluyó que la transformación digital es un proceso gradual que requiere gobernanza sólida y colaboración interinstitucional, proyectando un futuro donde los pagos electrónicos sean la norma y contribuyan a la eficiencia fiscal y la confianza ciudadana.</w:t>
      </w:r>
    </w:p>
    <w:p w14:paraId="757080AE" w14:textId="77777777" w:rsidR="00D951F2" w:rsidRPr="000C3458" w:rsidRDefault="00D951F2" w:rsidP="00D64261">
      <w:pPr>
        <w:spacing w:line="360" w:lineRule="auto"/>
        <w:jc w:val="both"/>
        <w:rPr>
          <w:rFonts w:eastAsia="Calibri"/>
          <w:b/>
          <w:bCs/>
          <w:noProof/>
          <w:lang w:val="es-DO"/>
        </w:rPr>
      </w:pPr>
      <w:r w:rsidRPr="000C3458">
        <w:rPr>
          <w:rFonts w:eastAsia="Calibri"/>
          <w:b/>
          <w:bCs/>
          <w:noProof/>
          <w:lang w:val="es-DO"/>
        </w:rPr>
        <w:t>Cierre del Seminario Anual FOTEGAL 2025 — Resiliencia Digital, Sostenibilidad e Innovación en servicios y procesos</w:t>
      </w:r>
    </w:p>
    <w:p w14:paraId="78059775"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Finalmente, el XV Seminario Anual concluyó con la elección de Chile como próximo país que asumirá la Presidencia de FOTEGAL. Con estas acciones, la Tesorería Nacional reafirmó su compromiso y </w:t>
      </w:r>
      <w:r w:rsidRPr="000C3458">
        <w:rPr>
          <w:rFonts w:eastAsia="Calibri"/>
          <w:noProof/>
          <w:lang w:val="es-DO"/>
        </w:rPr>
        <w:lastRenderedPageBreak/>
        <w:t>contribución al éxito del evento, garantizando una ejecución profesional, una cobertura integral y la participación de más de 130 delegados internacionales, acompañada de una difusión efectiva que fortaleció la imagen institucional y la proyección del foro.</w:t>
      </w:r>
    </w:p>
    <w:p w14:paraId="09905446"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Este encuentro consolidó a FOTEGAL como un espacio de cooperación técnica y aprendizaje, y dejó claro que la gobernanza de datos y el capital humano son pilares esenciales para la adopción de tecnologías disruptivas. La región avanza hacia tesorerías que no solo cumplen funciones operativas de pago y cobro, sino que generan valor estratégico mediante innovación, sostenibilidad y resiliencia digital, contribuyendo a la modernización del Estado y al fortalecimiento de la gestión financiera pública.</w:t>
      </w:r>
    </w:p>
    <w:p w14:paraId="5693D590" w14:textId="00FDC325" w:rsidR="00FD5077" w:rsidRPr="000C3458" w:rsidRDefault="00D951F2" w:rsidP="00D64261">
      <w:pPr>
        <w:spacing w:line="360" w:lineRule="auto"/>
        <w:rPr>
          <w:rFonts w:eastAsia="Calibri"/>
          <w:noProof/>
          <w:lang w:val="es-DO"/>
        </w:rPr>
      </w:pPr>
      <w:r w:rsidRPr="000C3458">
        <w:rPr>
          <w:rFonts w:eastAsia="Calibri"/>
          <w:noProof/>
          <w:lang w:val="es-DO"/>
        </w:rPr>
        <w:tab/>
      </w:r>
    </w:p>
    <w:p w14:paraId="13D1761C" w14:textId="61BA4261" w:rsidR="00D951F2" w:rsidRPr="000C3458" w:rsidRDefault="00D951F2" w:rsidP="00D64261">
      <w:pPr>
        <w:spacing w:line="360" w:lineRule="auto"/>
        <w:jc w:val="both"/>
        <w:rPr>
          <w:rFonts w:eastAsia="Calibri"/>
          <w:b/>
          <w:noProof/>
          <w:lang w:val="es-DO"/>
        </w:rPr>
      </w:pPr>
      <w:bookmarkStart w:id="6" w:name="_Toc170469609"/>
      <w:bookmarkStart w:id="7" w:name="_Toc108712551"/>
      <w:r w:rsidRPr="000C3458">
        <w:rPr>
          <w:rFonts w:eastAsia="Calibri"/>
          <w:b/>
          <w:noProof/>
          <w:lang w:val="es-DO"/>
        </w:rPr>
        <w:t>Normativas:</w:t>
      </w:r>
      <w:bookmarkEnd w:id="6"/>
    </w:p>
    <w:p w14:paraId="65ACBB07"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Un equipo multidisciplinario integrado por la Dirección de Normas y Atención a las Tesorerías Institucionales, la Dirección de Administración de Desembolsos, la Dirección de Administración de Cuentas y Registro Financiero fue el responsable de desarrollar las directrices generales para regular la Gestión de los Cheques Emitidos por el Tesoro Nacional con cargo a la Cuenta Única del Tesoro, como parte de los esfuerzos para formalizar el protocolo operativo aplicable a los cheques emitidos y no cobrados.</w:t>
      </w:r>
    </w:p>
    <w:p w14:paraId="013C537A" w14:textId="77777777" w:rsidR="00B15A8A" w:rsidRPr="000C3458" w:rsidRDefault="00B15A8A" w:rsidP="00D64261">
      <w:pPr>
        <w:spacing w:line="360" w:lineRule="auto"/>
        <w:jc w:val="both"/>
        <w:rPr>
          <w:rFonts w:eastAsia="Calibri"/>
          <w:noProof/>
          <w:lang w:val="es-DO"/>
        </w:rPr>
      </w:pPr>
    </w:p>
    <w:p w14:paraId="21CDA8F2" w14:textId="77777777" w:rsidR="00B26AAB" w:rsidRPr="000C3458" w:rsidRDefault="00B26AAB" w:rsidP="00D64261">
      <w:pPr>
        <w:spacing w:line="360" w:lineRule="auto"/>
        <w:jc w:val="both"/>
        <w:rPr>
          <w:rFonts w:eastAsia="Calibri"/>
          <w:noProof/>
          <w:lang w:val="es-DO"/>
        </w:rPr>
      </w:pPr>
    </w:p>
    <w:p w14:paraId="796F2138" w14:textId="77777777" w:rsidR="00B26AAB" w:rsidRPr="000C3458" w:rsidRDefault="00B26AAB" w:rsidP="00D64261">
      <w:pPr>
        <w:spacing w:line="360" w:lineRule="auto"/>
        <w:jc w:val="both"/>
        <w:rPr>
          <w:rFonts w:eastAsia="Calibri"/>
          <w:noProof/>
          <w:lang w:val="es-DO"/>
        </w:rPr>
      </w:pPr>
    </w:p>
    <w:p w14:paraId="20B0915E" w14:textId="77777777" w:rsidR="00B26AAB" w:rsidRPr="000C3458" w:rsidRDefault="00B26AAB" w:rsidP="00D64261">
      <w:pPr>
        <w:spacing w:line="360" w:lineRule="auto"/>
        <w:jc w:val="both"/>
        <w:rPr>
          <w:rFonts w:eastAsia="Calibri"/>
          <w:noProof/>
          <w:lang w:val="es-DO"/>
        </w:rPr>
      </w:pPr>
    </w:p>
    <w:p w14:paraId="70825167" w14:textId="77777777" w:rsidR="00B26AAB" w:rsidRPr="000C3458" w:rsidRDefault="00B26AAB" w:rsidP="00D64261">
      <w:pPr>
        <w:spacing w:line="360" w:lineRule="auto"/>
        <w:jc w:val="both"/>
        <w:rPr>
          <w:rFonts w:eastAsia="Calibri"/>
          <w:noProof/>
          <w:lang w:val="es-DO"/>
        </w:rPr>
      </w:pPr>
    </w:p>
    <w:p w14:paraId="2E8FF7DA" w14:textId="77777777" w:rsidR="00D951F2" w:rsidRPr="000C3458" w:rsidRDefault="00D951F2" w:rsidP="00D64261">
      <w:pPr>
        <w:spacing w:after="0" w:line="360" w:lineRule="auto"/>
        <w:jc w:val="center"/>
        <w:rPr>
          <w:rFonts w:eastAsia="Calibri"/>
          <w:b/>
          <w:noProof/>
          <w:lang w:val="es-DO"/>
        </w:rPr>
      </w:pPr>
      <w:r w:rsidRPr="000C3458">
        <w:rPr>
          <w:rFonts w:eastAsia="Calibri"/>
          <w:b/>
          <w:noProof/>
          <w:lang w:val="es-DO"/>
        </w:rPr>
        <w:lastRenderedPageBreak/>
        <w:t>Cuadro No. 01</w:t>
      </w:r>
    </w:p>
    <w:p w14:paraId="642426C8" w14:textId="77777777" w:rsidR="00D951F2" w:rsidRPr="000C3458" w:rsidRDefault="00D951F2" w:rsidP="00D64261">
      <w:pPr>
        <w:spacing w:after="0" w:line="360" w:lineRule="auto"/>
        <w:jc w:val="center"/>
        <w:rPr>
          <w:rFonts w:eastAsia="Calibri"/>
          <w:b/>
          <w:noProof/>
          <w:lang w:val="es-DO"/>
        </w:rPr>
      </w:pPr>
      <w:r w:rsidRPr="000C3458">
        <w:rPr>
          <w:rFonts w:eastAsia="Calibri"/>
          <w:b/>
          <w:noProof/>
          <w:lang w:val="es-DO"/>
        </w:rPr>
        <w:t>Tesorería Nacional</w:t>
      </w:r>
    </w:p>
    <w:tbl>
      <w:tblPr>
        <w:tblW w:w="5000" w:type="pct"/>
        <w:jc w:val="center"/>
        <w:tblLayout w:type="fixed"/>
        <w:tblCellMar>
          <w:left w:w="70" w:type="dxa"/>
          <w:right w:w="70" w:type="dxa"/>
        </w:tblCellMar>
        <w:tblLook w:val="04A0" w:firstRow="1" w:lastRow="0" w:firstColumn="1" w:lastColumn="0" w:noHBand="0" w:noVBand="1"/>
      </w:tblPr>
      <w:tblGrid>
        <w:gridCol w:w="1131"/>
        <w:gridCol w:w="1841"/>
        <w:gridCol w:w="1701"/>
        <w:gridCol w:w="1277"/>
        <w:gridCol w:w="1960"/>
      </w:tblGrid>
      <w:tr w:rsidR="00D951F2" w:rsidRPr="00D951F2" w14:paraId="5535FD3D" w14:textId="77777777" w:rsidTr="00B26AAB">
        <w:trPr>
          <w:trHeight w:val="70"/>
          <w:tblHeader/>
          <w:jc w:val="center"/>
        </w:trPr>
        <w:tc>
          <w:tcPr>
            <w:tcW w:w="715" w:type="pct"/>
            <w:tcBorders>
              <w:top w:val="single" w:sz="4" w:space="0" w:color="auto"/>
              <w:left w:val="single" w:sz="4" w:space="0" w:color="auto"/>
              <w:bottom w:val="single" w:sz="4" w:space="0" w:color="auto"/>
              <w:right w:val="single" w:sz="4" w:space="0" w:color="auto"/>
            </w:tcBorders>
            <w:shd w:val="clear" w:color="auto" w:fill="011C50"/>
            <w:noWrap/>
            <w:vAlign w:val="center"/>
          </w:tcPr>
          <w:p w14:paraId="59F0B686" w14:textId="77777777" w:rsidR="00D951F2" w:rsidRPr="00D951F2" w:rsidRDefault="00D951F2" w:rsidP="00D64261">
            <w:pPr>
              <w:spacing w:line="360" w:lineRule="auto"/>
              <w:jc w:val="both"/>
              <w:rPr>
                <w:rFonts w:eastAsia="Calibri"/>
                <w:noProof/>
                <w:color w:val="FFFFFF" w:themeColor="background1"/>
                <w:lang w:val="es-DO"/>
              </w:rPr>
            </w:pPr>
            <w:r w:rsidRPr="00D951F2">
              <w:rPr>
                <w:rFonts w:eastAsia="Calibri"/>
                <w:b/>
                <w:bCs/>
                <w:noProof/>
                <w:color w:val="FFFFFF" w:themeColor="background1"/>
                <w:lang w:val="es-DO"/>
              </w:rPr>
              <w:t>Código</w:t>
            </w:r>
          </w:p>
        </w:tc>
        <w:tc>
          <w:tcPr>
            <w:tcW w:w="1164" w:type="pct"/>
            <w:tcBorders>
              <w:top w:val="single" w:sz="4" w:space="0" w:color="auto"/>
              <w:left w:val="nil"/>
              <w:bottom w:val="single" w:sz="4" w:space="0" w:color="auto"/>
              <w:right w:val="single" w:sz="4" w:space="0" w:color="000000"/>
            </w:tcBorders>
            <w:shd w:val="clear" w:color="auto" w:fill="011C50"/>
            <w:vAlign w:val="center"/>
          </w:tcPr>
          <w:p w14:paraId="029713CA" w14:textId="77777777" w:rsidR="00D951F2" w:rsidRPr="00D951F2" w:rsidRDefault="00D951F2" w:rsidP="00D64261">
            <w:pPr>
              <w:spacing w:line="360" w:lineRule="auto"/>
              <w:jc w:val="both"/>
              <w:rPr>
                <w:rFonts w:eastAsia="Calibri"/>
                <w:noProof/>
                <w:color w:val="FFFFFF" w:themeColor="background1"/>
                <w:lang w:val="es-DO"/>
              </w:rPr>
            </w:pPr>
            <w:r w:rsidRPr="00D951F2">
              <w:rPr>
                <w:rFonts w:eastAsia="Calibri"/>
                <w:b/>
                <w:bCs/>
                <w:noProof/>
                <w:color w:val="FFFFFF" w:themeColor="background1"/>
                <w:lang w:val="es-DO"/>
              </w:rPr>
              <w:t>Nombre de la Normativa</w:t>
            </w:r>
          </w:p>
        </w:tc>
        <w:tc>
          <w:tcPr>
            <w:tcW w:w="1075" w:type="pct"/>
            <w:tcBorders>
              <w:top w:val="single" w:sz="4" w:space="0" w:color="auto"/>
              <w:left w:val="nil"/>
              <w:bottom w:val="single" w:sz="4" w:space="0" w:color="auto"/>
              <w:right w:val="single" w:sz="4" w:space="0" w:color="000000"/>
            </w:tcBorders>
            <w:shd w:val="clear" w:color="auto" w:fill="011C50"/>
            <w:vAlign w:val="center"/>
          </w:tcPr>
          <w:p w14:paraId="78DEEF71" w14:textId="77777777" w:rsidR="00D951F2" w:rsidRPr="00D951F2" w:rsidRDefault="00D951F2" w:rsidP="00D64261">
            <w:pPr>
              <w:spacing w:line="360" w:lineRule="auto"/>
              <w:jc w:val="both"/>
              <w:rPr>
                <w:rFonts w:eastAsia="Calibri"/>
                <w:noProof/>
                <w:color w:val="FFFFFF" w:themeColor="background1"/>
                <w:lang w:val="es-DO"/>
              </w:rPr>
            </w:pPr>
            <w:r w:rsidRPr="00D951F2">
              <w:rPr>
                <w:rFonts w:eastAsia="Calibri"/>
                <w:b/>
                <w:bCs/>
                <w:noProof/>
                <w:color w:val="FFFFFF" w:themeColor="background1"/>
                <w:lang w:val="es-DO"/>
              </w:rPr>
              <w:t>Descripción de la Normativa</w:t>
            </w:r>
          </w:p>
        </w:tc>
        <w:tc>
          <w:tcPr>
            <w:tcW w:w="807" w:type="pct"/>
            <w:tcBorders>
              <w:top w:val="single" w:sz="4" w:space="0" w:color="auto"/>
              <w:left w:val="nil"/>
              <w:bottom w:val="single" w:sz="4" w:space="0" w:color="auto"/>
              <w:right w:val="single" w:sz="4" w:space="0" w:color="auto"/>
            </w:tcBorders>
            <w:shd w:val="clear" w:color="auto" w:fill="011C50"/>
            <w:vAlign w:val="center"/>
          </w:tcPr>
          <w:p w14:paraId="1B94B1B3"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Temario</w:t>
            </w:r>
          </w:p>
        </w:tc>
        <w:tc>
          <w:tcPr>
            <w:tcW w:w="1240" w:type="pct"/>
            <w:tcBorders>
              <w:top w:val="single" w:sz="4" w:space="0" w:color="auto"/>
              <w:left w:val="nil"/>
              <w:bottom w:val="single" w:sz="4" w:space="0" w:color="auto"/>
              <w:right w:val="single" w:sz="4" w:space="0" w:color="auto"/>
            </w:tcBorders>
            <w:shd w:val="clear" w:color="auto" w:fill="011C50"/>
            <w:vAlign w:val="center"/>
          </w:tcPr>
          <w:p w14:paraId="3271DCF2"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Usuario</w:t>
            </w:r>
          </w:p>
        </w:tc>
      </w:tr>
      <w:tr w:rsidR="00D951F2" w:rsidRPr="00B47076" w14:paraId="78C2724C" w14:textId="77777777" w:rsidTr="00B26AAB">
        <w:trPr>
          <w:trHeight w:val="1924"/>
          <w:jc w:val="center"/>
        </w:trPr>
        <w:tc>
          <w:tcPr>
            <w:tcW w:w="715" w:type="pct"/>
            <w:tcBorders>
              <w:top w:val="single" w:sz="4" w:space="0" w:color="auto"/>
              <w:left w:val="single" w:sz="4" w:space="0" w:color="auto"/>
              <w:bottom w:val="single" w:sz="4" w:space="0" w:color="auto"/>
              <w:right w:val="single" w:sz="4" w:space="0" w:color="auto"/>
            </w:tcBorders>
            <w:noWrap/>
            <w:vAlign w:val="center"/>
            <w:hideMark/>
          </w:tcPr>
          <w:p w14:paraId="1340F863"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En Proceso</w:t>
            </w:r>
          </w:p>
        </w:tc>
        <w:tc>
          <w:tcPr>
            <w:tcW w:w="1164" w:type="pct"/>
            <w:tcBorders>
              <w:top w:val="single" w:sz="4" w:space="0" w:color="auto"/>
              <w:left w:val="single" w:sz="4" w:space="0" w:color="auto"/>
              <w:bottom w:val="single" w:sz="4" w:space="0" w:color="auto"/>
              <w:right w:val="single" w:sz="4" w:space="0" w:color="auto"/>
            </w:tcBorders>
            <w:vAlign w:val="center"/>
            <w:hideMark/>
          </w:tcPr>
          <w:p w14:paraId="3E859EAB"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Norma para Gestionar Cheques del Tesoro No Conciliados  </w:t>
            </w:r>
          </w:p>
        </w:tc>
        <w:tc>
          <w:tcPr>
            <w:tcW w:w="1075" w:type="pct"/>
            <w:tcBorders>
              <w:top w:val="single" w:sz="4" w:space="0" w:color="auto"/>
              <w:left w:val="single" w:sz="4" w:space="0" w:color="auto"/>
              <w:bottom w:val="single" w:sz="4" w:space="0" w:color="auto"/>
              <w:right w:val="single" w:sz="4" w:space="0" w:color="auto"/>
            </w:tcBorders>
            <w:vAlign w:val="center"/>
            <w:hideMark/>
          </w:tcPr>
          <w:p w14:paraId="2724E282"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Documento que regula el proceso para la gestion de cheques emitidos y no cobrados.</w:t>
            </w:r>
          </w:p>
        </w:tc>
        <w:tc>
          <w:tcPr>
            <w:tcW w:w="80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D126DA4"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Cuenta Única</w:t>
            </w:r>
          </w:p>
        </w:tc>
        <w:tc>
          <w:tcPr>
            <w:tcW w:w="1240" w:type="pct"/>
            <w:tcBorders>
              <w:top w:val="single" w:sz="4" w:space="0" w:color="auto"/>
              <w:left w:val="single" w:sz="4" w:space="0" w:color="auto"/>
              <w:bottom w:val="single" w:sz="4" w:space="0" w:color="auto"/>
              <w:right w:val="single" w:sz="4" w:space="0" w:color="auto"/>
            </w:tcBorders>
            <w:vAlign w:val="center"/>
            <w:hideMark/>
          </w:tcPr>
          <w:p w14:paraId="5705134E"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Instituciones del Gobierno Central, Descentralizadas y Autónomas no Financieras, de la Seguridad Social y Empresas Públicas no financieras</w:t>
            </w:r>
          </w:p>
        </w:tc>
      </w:tr>
    </w:tbl>
    <w:p w14:paraId="56A7BB14" w14:textId="77777777" w:rsidR="00D951F2" w:rsidRPr="00D951F2" w:rsidRDefault="00D951F2" w:rsidP="00D64261">
      <w:pPr>
        <w:spacing w:line="360" w:lineRule="auto"/>
        <w:jc w:val="both"/>
        <w:rPr>
          <w:rFonts w:eastAsia="Calibri"/>
          <w:b/>
          <w:noProof/>
          <w:color w:val="4C4747"/>
          <w:lang w:val="es-DO"/>
        </w:rPr>
      </w:pPr>
      <w:bookmarkStart w:id="8" w:name="_Toc170469610"/>
    </w:p>
    <w:p w14:paraId="7BC0D6A3" w14:textId="77777777" w:rsidR="00D951F2" w:rsidRPr="000C3458" w:rsidRDefault="00D951F2" w:rsidP="00D64261">
      <w:pPr>
        <w:spacing w:line="360" w:lineRule="auto"/>
        <w:jc w:val="both"/>
        <w:rPr>
          <w:rFonts w:eastAsia="Calibri"/>
          <w:b/>
          <w:noProof/>
          <w:lang w:val="es-DO"/>
        </w:rPr>
      </w:pPr>
      <w:r w:rsidRPr="000C3458">
        <w:rPr>
          <w:rFonts w:eastAsia="Calibri"/>
          <w:b/>
          <w:noProof/>
          <w:lang w:val="es-DO"/>
        </w:rPr>
        <w:t>Procedimienos Elaborados:</w:t>
      </w:r>
    </w:p>
    <w:p w14:paraId="2FF72C64" w14:textId="77777777" w:rsidR="00D951F2" w:rsidRPr="000C3458" w:rsidRDefault="00D951F2" w:rsidP="00D64261">
      <w:pPr>
        <w:spacing w:line="360" w:lineRule="auto"/>
        <w:jc w:val="both"/>
        <w:rPr>
          <w:rFonts w:eastAsia="Calibri"/>
          <w:bCs/>
          <w:noProof/>
          <w:lang w:val="es-DO"/>
        </w:rPr>
      </w:pPr>
      <w:r w:rsidRPr="000C3458">
        <w:rPr>
          <w:rFonts w:eastAsia="Calibri"/>
          <w:bCs/>
          <w:noProof/>
          <w:lang w:val="es-DO"/>
        </w:rPr>
        <w:t>Con la finalidad de Gestionar solicitudes de las Tesorerías Institucionales para la rectificación de errores en depósitos bancarios en cuentas colectoras, ya sea por errores en el número indicado como cuenta de destino, montos incorrectos o depósitos indebidos por concepto de impuestos o tasas, que debieron ser dirigidos a otra Colectora, fue documentado el procedimiento para la “Devolución por depósitos Incorrectos Realizados en Cuentas Colectora”.</w:t>
      </w:r>
    </w:p>
    <w:p w14:paraId="0E150835" w14:textId="77777777" w:rsidR="00B046C6" w:rsidRPr="000C3458" w:rsidRDefault="00B046C6" w:rsidP="00D64261">
      <w:pPr>
        <w:spacing w:after="0" w:line="360" w:lineRule="auto"/>
        <w:jc w:val="center"/>
        <w:rPr>
          <w:rFonts w:eastAsia="Calibri"/>
          <w:b/>
          <w:noProof/>
          <w:lang w:val="es-DO"/>
        </w:rPr>
      </w:pPr>
    </w:p>
    <w:p w14:paraId="11C198B5" w14:textId="77777777" w:rsidR="00B046C6" w:rsidRPr="000C3458" w:rsidRDefault="00B046C6" w:rsidP="00D64261">
      <w:pPr>
        <w:spacing w:after="0" w:line="360" w:lineRule="auto"/>
        <w:jc w:val="center"/>
        <w:rPr>
          <w:rFonts w:eastAsia="Calibri"/>
          <w:b/>
          <w:noProof/>
          <w:lang w:val="es-DO"/>
        </w:rPr>
      </w:pPr>
    </w:p>
    <w:p w14:paraId="2BCC3D6E" w14:textId="77777777" w:rsidR="00B046C6" w:rsidRPr="000C3458" w:rsidRDefault="00B046C6" w:rsidP="00D64261">
      <w:pPr>
        <w:spacing w:after="0" w:line="360" w:lineRule="auto"/>
        <w:jc w:val="center"/>
        <w:rPr>
          <w:rFonts w:eastAsia="Calibri"/>
          <w:b/>
          <w:noProof/>
          <w:lang w:val="es-DO"/>
        </w:rPr>
      </w:pPr>
    </w:p>
    <w:p w14:paraId="4E940706" w14:textId="77777777" w:rsidR="00B15A8A" w:rsidRPr="000C3458" w:rsidRDefault="00B15A8A" w:rsidP="00B26AAB">
      <w:pPr>
        <w:spacing w:after="0" w:line="360" w:lineRule="auto"/>
        <w:rPr>
          <w:rFonts w:eastAsia="Calibri"/>
          <w:b/>
          <w:noProof/>
          <w:lang w:val="es-DO"/>
        </w:rPr>
      </w:pPr>
    </w:p>
    <w:p w14:paraId="386ED7DD" w14:textId="55E3D6A2" w:rsidR="00D951F2" w:rsidRPr="000C3458" w:rsidRDefault="00D951F2" w:rsidP="00D64261">
      <w:pPr>
        <w:spacing w:after="0" w:line="360" w:lineRule="auto"/>
        <w:jc w:val="center"/>
        <w:rPr>
          <w:rFonts w:eastAsia="Calibri"/>
          <w:b/>
          <w:noProof/>
          <w:lang w:val="es-DO"/>
        </w:rPr>
      </w:pPr>
      <w:r w:rsidRPr="000C3458">
        <w:rPr>
          <w:rFonts w:eastAsia="Calibri"/>
          <w:b/>
          <w:noProof/>
          <w:lang w:val="es-DO"/>
        </w:rPr>
        <w:lastRenderedPageBreak/>
        <w:t>Cuadro No. 02</w:t>
      </w:r>
    </w:p>
    <w:p w14:paraId="0F5C0378" w14:textId="77777777" w:rsidR="00D951F2" w:rsidRPr="000C3458" w:rsidRDefault="00D951F2" w:rsidP="00D64261">
      <w:pPr>
        <w:spacing w:after="0" w:line="360" w:lineRule="auto"/>
        <w:jc w:val="center"/>
        <w:rPr>
          <w:rFonts w:eastAsia="Calibri"/>
          <w:b/>
          <w:noProof/>
          <w:lang w:val="es-DO"/>
        </w:rPr>
      </w:pPr>
      <w:r w:rsidRPr="000C3458">
        <w:rPr>
          <w:rFonts w:eastAsia="Calibri"/>
          <w:b/>
          <w:noProof/>
          <w:lang w:val="es-DO"/>
        </w:rPr>
        <w:t>Tesorería Nacional</w:t>
      </w:r>
    </w:p>
    <w:tbl>
      <w:tblPr>
        <w:tblpPr w:leftFromText="141" w:rightFromText="141" w:vertAnchor="text" w:horzAnchor="margin" w:tblpY="-56"/>
        <w:tblW w:w="5000" w:type="pct"/>
        <w:tblLayout w:type="fixed"/>
        <w:tblCellMar>
          <w:left w:w="70" w:type="dxa"/>
          <w:right w:w="70" w:type="dxa"/>
        </w:tblCellMar>
        <w:tblLook w:val="04A0" w:firstRow="1" w:lastRow="0" w:firstColumn="1" w:lastColumn="0" w:noHBand="0" w:noVBand="1"/>
      </w:tblPr>
      <w:tblGrid>
        <w:gridCol w:w="1133"/>
        <w:gridCol w:w="1982"/>
        <w:gridCol w:w="1690"/>
        <w:gridCol w:w="1286"/>
        <w:gridCol w:w="1819"/>
      </w:tblGrid>
      <w:tr w:rsidR="00876ABC" w:rsidRPr="00D951F2" w14:paraId="6F0A0616" w14:textId="77777777" w:rsidTr="00876ABC">
        <w:trPr>
          <w:trHeight w:val="280"/>
          <w:tblHeader/>
        </w:trPr>
        <w:tc>
          <w:tcPr>
            <w:tcW w:w="716" w:type="pct"/>
            <w:tcBorders>
              <w:top w:val="single" w:sz="4" w:space="0" w:color="auto"/>
              <w:left w:val="single" w:sz="4" w:space="0" w:color="auto"/>
              <w:bottom w:val="single" w:sz="4" w:space="0" w:color="auto"/>
              <w:right w:val="single" w:sz="4" w:space="0" w:color="auto"/>
            </w:tcBorders>
            <w:shd w:val="clear" w:color="auto" w:fill="011C50"/>
            <w:noWrap/>
            <w:vAlign w:val="center"/>
          </w:tcPr>
          <w:p w14:paraId="57FDBF53" w14:textId="77777777" w:rsidR="00D951F2" w:rsidRPr="00D951F2" w:rsidRDefault="00D951F2" w:rsidP="00D64261">
            <w:pPr>
              <w:spacing w:line="360" w:lineRule="auto"/>
              <w:jc w:val="both"/>
              <w:rPr>
                <w:rFonts w:eastAsia="Calibri"/>
                <w:noProof/>
                <w:color w:val="FFFFFF" w:themeColor="background1"/>
                <w:lang w:val="es-DO"/>
              </w:rPr>
            </w:pPr>
            <w:r w:rsidRPr="00D951F2">
              <w:rPr>
                <w:rFonts w:eastAsia="Calibri"/>
                <w:b/>
                <w:bCs/>
                <w:noProof/>
                <w:color w:val="FFFFFF" w:themeColor="background1"/>
                <w:lang w:val="es-DO"/>
              </w:rPr>
              <w:t>Código</w:t>
            </w:r>
          </w:p>
        </w:tc>
        <w:tc>
          <w:tcPr>
            <w:tcW w:w="1253" w:type="pct"/>
            <w:tcBorders>
              <w:top w:val="single" w:sz="4" w:space="0" w:color="auto"/>
              <w:left w:val="nil"/>
              <w:bottom w:val="single" w:sz="4" w:space="0" w:color="auto"/>
              <w:right w:val="single" w:sz="4" w:space="0" w:color="000000"/>
            </w:tcBorders>
            <w:shd w:val="clear" w:color="auto" w:fill="011C50"/>
            <w:vAlign w:val="center"/>
          </w:tcPr>
          <w:p w14:paraId="3CA1BDDA" w14:textId="77777777" w:rsidR="00D951F2" w:rsidRPr="00D951F2" w:rsidRDefault="00D951F2" w:rsidP="00D64261">
            <w:pPr>
              <w:spacing w:line="360" w:lineRule="auto"/>
              <w:jc w:val="center"/>
              <w:rPr>
                <w:rFonts w:eastAsia="Calibri"/>
                <w:noProof/>
                <w:color w:val="FFFFFF" w:themeColor="background1"/>
                <w:lang w:val="es-DO"/>
              </w:rPr>
            </w:pPr>
            <w:r w:rsidRPr="00D951F2">
              <w:rPr>
                <w:rFonts w:eastAsia="Calibri"/>
                <w:b/>
                <w:bCs/>
                <w:noProof/>
                <w:color w:val="FFFFFF" w:themeColor="background1"/>
                <w:lang w:val="es-DO"/>
              </w:rPr>
              <w:t>Nombre del Procedimiento</w:t>
            </w:r>
          </w:p>
        </w:tc>
        <w:tc>
          <w:tcPr>
            <w:tcW w:w="1068" w:type="pct"/>
            <w:tcBorders>
              <w:top w:val="single" w:sz="4" w:space="0" w:color="auto"/>
              <w:left w:val="nil"/>
              <w:bottom w:val="single" w:sz="4" w:space="0" w:color="auto"/>
              <w:right w:val="single" w:sz="4" w:space="0" w:color="000000"/>
            </w:tcBorders>
            <w:shd w:val="clear" w:color="auto" w:fill="011C50"/>
            <w:vAlign w:val="center"/>
          </w:tcPr>
          <w:p w14:paraId="23FD20D9" w14:textId="77777777" w:rsidR="00D951F2" w:rsidRPr="00D951F2" w:rsidRDefault="00D951F2" w:rsidP="00D64261">
            <w:pPr>
              <w:spacing w:line="360" w:lineRule="auto"/>
              <w:jc w:val="center"/>
              <w:rPr>
                <w:rFonts w:eastAsia="Calibri"/>
                <w:noProof/>
                <w:color w:val="FFFFFF" w:themeColor="background1"/>
                <w:lang w:val="es-DO"/>
              </w:rPr>
            </w:pPr>
            <w:r w:rsidRPr="00D951F2">
              <w:rPr>
                <w:rFonts w:eastAsia="Calibri"/>
                <w:b/>
                <w:bCs/>
                <w:noProof/>
                <w:color w:val="FFFFFF" w:themeColor="background1"/>
                <w:lang w:val="es-DO"/>
              </w:rPr>
              <w:t>Descripción de la Normativa</w:t>
            </w:r>
          </w:p>
        </w:tc>
        <w:tc>
          <w:tcPr>
            <w:tcW w:w="813" w:type="pct"/>
            <w:tcBorders>
              <w:top w:val="single" w:sz="4" w:space="0" w:color="auto"/>
              <w:left w:val="nil"/>
              <w:bottom w:val="single" w:sz="4" w:space="0" w:color="auto"/>
              <w:right w:val="single" w:sz="4" w:space="0" w:color="auto"/>
            </w:tcBorders>
            <w:shd w:val="clear" w:color="auto" w:fill="011C50"/>
            <w:vAlign w:val="center"/>
          </w:tcPr>
          <w:p w14:paraId="40E1F7B4"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Temario</w:t>
            </w:r>
          </w:p>
        </w:tc>
        <w:tc>
          <w:tcPr>
            <w:tcW w:w="1150" w:type="pct"/>
            <w:tcBorders>
              <w:top w:val="single" w:sz="4" w:space="0" w:color="auto"/>
              <w:left w:val="nil"/>
              <w:bottom w:val="single" w:sz="4" w:space="0" w:color="auto"/>
              <w:right w:val="single" w:sz="4" w:space="0" w:color="auto"/>
            </w:tcBorders>
            <w:shd w:val="clear" w:color="auto" w:fill="011C50"/>
            <w:vAlign w:val="center"/>
          </w:tcPr>
          <w:p w14:paraId="37E88A2F"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Usuario</w:t>
            </w:r>
          </w:p>
        </w:tc>
      </w:tr>
      <w:tr w:rsidR="00876ABC" w:rsidRPr="00B47076" w14:paraId="7906BAF7" w14:textId="77777777" w:rsidTr="00876ABC">
        <w:trPr>
          <w:trHeight w:val="1924"/>
        </w:trPr>
        <w:tc>
          <w:tcPr>
            <w:tcW w:w="716" w:type="pct"/>
            <w:tcBorders>
              <w:top w:val="single" w:sz="4" w:space="0" w:color="auto"/>
              <w:left w:val="single" w:sz="4" w:space="0" w:color="auto"/>
              <w:bottom w:val="single" w:sz="4" w:space="0" w:color="auto"/>
              <w:right w:val="single" w:sz="4" w:space="0" w:color="auto"/>
            </w:tcBorders>
            <w:noWrap/>
            <w:vAlign w:val="center"/>
            <w:hideMark/>
          </w:tcPr>
          <w:p w14:paraId="6E98721A"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PR-TN-DIATI-08 </w:t>
            </w:r>
          </w:p>
        </w:tc>
        <w:tc>
          <w:tcPr>
            <w:tcW w:w="1253" w:type="pct"/>
            <w:tcBorders>
              <w:top w:val="single" w:sz="4" w:space="0" w:color="auto"/>
              <w:left w:val="single" w:sz="4" w:space="0" w:color="auto"/>
              <w:bottom w:val="single" w:sz="4" w:space="0" w:color="auto"/>
              <w:right w:val="single" w:sz="4" w:space="0" w:color="auto"/>
            </w:tcBorders>
            <w:vAlign w:val="center"/>
            <w:hideMark/>
          </w:tcPr>
          <w:p w14:paraId="695E2FE0"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Procedimiento para la Devolución por depósitos Incorrectos Realizados en Cuentas Colectora</w:t>
            </w:r>
          </w:p>
        </w:tc>
        <w:tc>
          <w:tcPr>
            <w:tcW w:w="1068" w:type="pct"/>
            <w:tcBorders>
              <w:top w:val="single" w:sz="4" w:space="0" w:color="auto"/>
              <w:left w:val="single" w:sz="4" w:space="0" w:color="auto"/>
              <w:bottom w:val="single" w:sz="4" w:space="0" w:color="auto"/>
              <w:right w:val="single" w:sz="4" w:space="0" w:color="auto"/>
            </w:tcBorders>
            <w:vAlign w:val="center"/>
            <w:hideMark/>
          </w:tcPr>
          <w:p w14:paraId="5D5F9BE2"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Documento que establece los pasos y responsables respectoa la rectificación de errores en depósitos bancarios en cuentas colectoras</w:t>
            </w:r>
          </w:p>
        </w:tc>
        <w:tc>
          <w:tcPr>
            <w:tcW w:w="8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7EC2271"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Cuenta Única</w:t>
            </w:r>
          </w:p>
        </w:tc>
        <w:tc>
          <w:tcPr>
            <w:tcW w:w="1150" w:type="pct"/>
            <w:tcBorders>
              <w:top w:val="single" w:sz="4" w:space="0" w:color="auto"/>
              <w:left w:val="single" w:sz="4" w:space="0" w:color="auto"/>
              <w:bottom w:val="single" w:sz="4" w:space="0" w:color="auto"/>
              <w:right w:val="single" w:sz="4" w:space="0" w:color="auto"/>
            </w:tcBorders>
            <w:vAlign w:val="center"/>
            <w:hideMark/>
          </w:tcPr>
          <w:p w14:paraId="78F20DC2"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Instituciones del Gobierno Central, Descentralizadas y Autónomas no Financieras, de la Seguridad Social y Empresas Públicas no financieras</w:t>
            </w:r>
          </w:p>
        </w:tc>
      </w:tr>
    </w:tbl>
    <w:p w14:paraId="123FA0BA" w14:textId="77777777" w:rsidR="00D951F2" w:rsidRPr="00D951F2" w:rsidRDefault="00D951F2" w:rsidP="00D64261">
      <w:pPr>
        <w:spacing w:line="360" w:lineRule="auto"/>
        <w:jc w:val="both"/>
        <w:rPr>
          <w:rFonts w:eastAsia="Calibri"/>
          <w:b/>
          <w:noProof/>
          <w:color w:val="4C4747"/>
          <w:lang w:val="es-DO"/>
        </w:rPr>
      </w:pPr>
    </w:p>
    <w:p w14:paraId="2E05B0F3" w14:textId="77777777" w:rsidR="00D951F2" w:rsidRPr="000C3458" w:rsidRDefault="00D951F2" w:rsidP="00D64261">
      <w:pPr>
        <w:spacing w:line="360" w:lineRule="auto"/>
        <w:jc w:val="both"/>
        <w:rPr>
          <w:rFonts w:eastAsia="Calibri"/>
          <w:b/>
          <w:noProof/>
          <w:lang w:val="es-DO"/>
        </w:rPr>
      </w:pPr>
      <w:bookmarkStart w:id="9" w:name="_Toc43811055"/>
      <w:bookmarkStart w:id="10" w:name="_Hlk214611241"/>
      <w:r w:rsidRPr="000C3458">
        <w:rPr>
          <w:rFonts w:eastAsia="Calibri"/>
          <w:b/>
          <w:noProof/>
          <w:lang w:val="es-DO"/>
        </w:rPr>
        <w:t>Encuestas Evaluación Cumplimiento Normativa y sobre la Satisfacción de los Servicios Brindados por la Tesorería Nacional</w:t>
      </w:r>
    </w:p>
    <w:bookmarkEnd w:id="9"/>
    <w:p w14:paraId="2B6228A7" w14:textId="77777777" w:rsidR="00D951F2" w:rsidRPr="000C3458" w:rsidRDefault="00D951F2" w:rsidP="00D64261">
      <w:pPr>
        <w:spacing w:line="360" w:lineRule="auto"/>
        <w:jc w:val="both"/>
        <w:rPr>
          <w:rFonts w:eastAsia="Calibri"/>
          <w:b/>
          <w:noProof/>
          <w:lang w:val="es-DO"/>
        </w:rPr>
      </w:pPr>
    </w:p>
    <w:p w14:paraId="6FBE685B"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La “Evaluación sobre el cumplimiento Normativo” tiene como finalidad analizar el grado de dominio de las Tesorerías Institucionales con relación a los estándares y criterios establecidos en las Normas emitidas por la Tesorería Nacional; por otro lado, respecto a la Evaluación del Nivel de Satisfacción de las Tesorerías Institucionales sobre los servicios brindados”, se conoció su nivel de </w:t>
      </w:r>
      <w:r w:rsidRPr="000C3458">
        <w:rPr>
          <w:rFonts w:eastAsia="Calibri"/>
          <w:noProof/>
          <w:lang w:val="es-DO"/>
        </w:rPr>
        <w:lastRenderedPageBreak/>
        <w:t>conformidad y al mismo tiempo se identificaron las oportunidades de mejora.</w:t>
      </w:r>
    </w:p>
    <w:p w14:paraId="76B65527"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Se aplicaron encuestas como parte del monitoreo del cumplimiento de su marco normativo y sobre el Nivel de satisfacción de los usuarios, </w:t>
      </w:r>
      <w:bookmarkStart w:id="11" w:name="_Hlk215143610"/>
      <w:r w:rsidRPr="000C3458">
        <w:rPr>
          <w:rFonts w:eastAsia="Calibri"/>
          <w:noProof/>
          <w:lang w:val="es-DO"/>
        </w:rPr>
        <w:t xml:space="preserve">dando como resultado un </w:t>
      </w:r>
      <w:bookmarkEnd w:id="11"/>
      <w:r w:rsidRPr="000C3458">
        <w:rPr>
          <w:rFonts w:eastAsia="Calibri"/>
          <w:noProof/>
          <w:lang w:val="es-DO"/>
        </w:rPr>
        <w:t>88% y un 93% respectivamente; lo que ofreció información para la toma de decisiones orientadas a la oferta de Capacitaciones y Entrenamientos para promover el desarrollo integral del colaborador de las Tesorerías Institucionales.</w:t>
      </w:r>
    </w:p>
    <w:p w14:paraId="4BEDC12A" w14:textId="77777777" w:rsidR="00D951F2" w:rsidRPr="000C3458" w:rsidRDefault="00D951F2" w:rsidP="00D64261">
      <w:pPr>
        <w:spacing w:line="360" w:lineRule="auto"/>
        <w:jc w:val="both"/>
        <w:rPr>
          <w:rFonts w:eastAsia="Calibri"/>
          <w:b/>
          <w:noProof/>
          <w:lang w:val="es-DO"/>
        </w:rPr>
      </w:pPr>
      <w:bookmarkStart w:id="12" w:name="_Toc170469611"/>
      <w:bookmarkEnd w:id="8"/>
      <w:bookmarkEnd w:id="10"/>
      <w:r w:rsidRPr="000C3458">
        <w:rPr>
          <w:rFonts w:eastAsia="Calibri"/>
          <w:b/>
          <w:noProof/>
          <w:lang w:val="es-DO"/>
        </w:rPr>
        <w:t>Capacitaciones y Entrenamientos:</w:t>
      </w:r>
      <w:bookmarkEnd w:id="12"/>
      <w:r w:rsidRPr="000C3458">
        <w:rPr>
          <w:rFonts w:eastAsia="Calibri"/>
          <w:b/>
          <w:noProof/>
          <w:lang w:val="es-DO"/>
        </w:rPr>
        <w:t xml:space="preserve"> </w:t>
      </w:r>
    </w:p>
    <w:p w14:paraId="7B1835CE"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La Tesorería Nacional desarrolló la estrategia de trabajo para el establecimiento de la Cuenta Única del Tesoro (CUT), en todas las entidades contempladas en el ámbito de la Ley. La Ley 567-05 y sus Reglamentos de Aplicación, establecen la implementación del Sistema de Cuenta Única del Tesoro como una facultad de la Tesorería Nacional. En consonancia con ese mandato, definió la base normativa y los procedimientos para su operación.    </w:t>
      </w:r>
    </w:p>
    <w:p w14:paraId="6AD51FF6"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La implementación del Sistema de Tesorería trae consigo la necesidad de fortalecimiento de las competencias del personal que lo administra, por lo que en lo referente a la preparación tanto de las instituciones incorporadas en la CUT como de las de nuevo ingreso, la Tesorería Nacional desarrolla una dinámica continua que implica la interacción entre TN y las TI a través de Entrenamientos.</w:t>
      </w:r>
    </w:p>
    <w:p w14:paraId="0D381196"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A lo largo del Período enero-diciembre 2025, impartió entrenamientos de corta duración y visitas técnicas, los </w:t>
      </w:r>
      <w:bookmarkStart w:id="13" w:name="_Toc170469612"/>
      <w:r w:rsidRPr="000C3458">
        <w:rPr>
          <w:rFonts w:eastAsia="Calibri"/>
          <w:noProof/>
          <w:lang w:val="es-DO"/>
        </w:rPr>
        <w:t>temas tratados fueron:</w:t>
      </w:r>
      <w:bookmarkEnd w:id="13"/>
    </w:p>
    <w:p w14:paraId="3B076CA7" w14:textId="77777777" w:rsidR="00D951F2" w:rsidRPr="000C3458" w:rsidRDefault="00D951F2" w:rsidP="004C2709">
      <w:pPr>
        <w:numPr>
          <w:ilvl w:val="0"/>
          <w:numId w:val="10"/>
        </w:numPr>
        <w:spacing w:line="360" w:lineRule="auto"/>
        <w:jc w:val="both"/>
        <w:rPr>
          <w:rFonts w:eastAsia="Calibri"/>
          <w:noProof/>
          <w:lang w:val="es-DO"/>
        </w:rPr>
      </w:pPr>
      <w:r w:rsidRPr="000C3458">
        <w:rPr>
          <w:rFonts w:eastAsia="Calibri"/>
          <w:noProof/>
          <w:lang w:val="es-DO"/>
        </w:rPr>
        <w:t>Ordenamiento de los Libramientos en el SIGEF</w:t>
      </w:r>
    </w:p>
    <w:p w14:paraId="26E00F3F" w14:textId="77777777" w:rsidR="00D951F2" w:rsidRPr="000C3458" w:rsidRDefault="00D951F2" w:rsidP="004C2709">
      <w:pPr>
        <w:numPr>
          <w:ilvl w:val="0"/>
          <w:numId w:val="10"/>
        </w:numPr>
        <w:spacing w:line="360" w:lineRule="auto"/>
        <w:jc w:val="both"/>
        <w:rPr>
          <w:rFonts w:eastAsia="Calibri"/>
          <w:noProof/>
          <w:lang w:val="es-DO"/>
        </w:rPr>
      </w:pPr>
      <w:r w:rsidRPr="000C3458">
        <w:rPr>
          <w:rFonts w:eastAsia="Calibri"/>
          <w:noProof/>
          <w:lang w:val="es-DO"/>
        </w:rPr>
        <w:t xml:space="preserve">Incorporación de los recursos a la CUT para ser ejecutados en línea </w:t>
      </w:r>
    </w:p>
    <w:p w14:paraId="7CB5AFC9" w14:textId="77777777" w:rsidR="00D951F2" w:rsidRPr="000C3458" w:rsidRDefault="00D951F2" w:rsidP="004C2709">
      <w:pPr>
        <w:numPr>
          <w:ilvl w:val="0"/>
          <w:numId w:val="10"/>
        </w:numPr>
        <w:spacing w:line="360" w:lineRule="auto"/>
        <w:jc w:val="both"/>
        <w:rPr>
          <w:rFonts w:eastAsia="Calibri"/>
          <w:noProof/>
          <w:lang w:val="es-DO"/>
        </w:rPr>
      </w:pPr>
      <w:r w:rsidRPr="000C3458">
        <w:rPr>
          <w:rFonts w:eastAsia="Calibri"/>
          <w:noProof/>
          <w:lang w:val="es-DO"/>
        </w:rPr>
        <w:lastRenderedPageBreak/>
        <w:t>Método para la incorporación de las donaciones y la cooperación que recibe la institución</w:t>
      </w:r>
    </w:p>
    <w:p w14:paraId="6125B24C" w14:textId="77777777" w:rsidR="00D951F2" w:rsidRPr="000C3458" w:rsidRDefault="00D951F2" w:rsidP="00D64261">
      <w:pPr>
        <w:spacing w:line="360" w:lineRule="auto"/>
        <w:jc w:val="both"/>
        <w:rPr>
          <w:rFonts w:eastAsia="Calibri"/>
          <w:b/>
          <w:noProof/>
          <w:lang w:val="es-DO"/>
        </w:rPr>
      </w:pPr>
    </w:p>
    <w:p w14:paraId="7E35E63F" w14:textId="77777777" w:rsidR="00D951F2" w:rsidRPr="000C3458" w:rsidRDefault="00D951F2" w:rsidP="00D64261">
      <w:pPr>
        <w:spacing w:after="0" w:line="360" w:lineRule="auto"/>
        <w:jc w:val="center"/>
        <w:rPr>
          <w:rFonts w:eastAsia="Calibri"/>
          <w:b/>
          <w:noProof/>
          <w:lang w:val="es-DO"/>
        </w:rPr>
      </w:pPr>
      <w:r w:rsidRPr="000C3458">
        <w:rPr>
          <w:rFonts w:eastAsia="Calibri"/>
          <w:b/>
          <w:noProof/>
          <w:lang w:val="es-DO"/>
        </w:rPr>
        <w:t>Cuadro No. 03</w:t>
      </w:r>
    </w:p>
    <w:p w14:paraId="74CEFA84" w14:textId="77777777" w:rsidR="00D951F2" w:rsidRPr="000C3458" w:rsidRDefault="00D951F2" w:rsidP="00D64261">
      <w:pPr>
        <w:spacing w:after="0" w:line="360" w:lineRule="auto"/>
        <w:jc w:val="center"/>
        <w:rPr>
          <w:rFonts w:eastAsia="Calibri"/>
          <w:b/>
          <w:noProof/>
          <w:lang w:val="es-DO"/>
        </w:rPr>
      </w:pPr>
      <w:r w:rsidRPr="000C3458">
        <w:rPr>
          <w:rFonts w:eastAsia="Calibri"/>
          <w:b/>
          <w:noProof/>
          <w:lang w:val="es-DO"/>
        </w:rPr>
        <w:t>Tesorería Nacional</w:t>
      </w:r>
    </w:p>
    <w:p w14:paraId="436D8F11" w14:textId="77777777" w:rsidR="00D951F2" w:rsidRPr="000C3458" w:rsidRDefault="00D951F2" w:rsidP="00D64261">
      <w:pPr>
        <w:spacing w:after="0" w:line="360" w:lineRule="auto"/>
        <w:jc w:val="center"/>
        <w:rPr>
          <w:rFonts w:eastAsia="Calibri"/>
          <w:b/>
          <w:noProof/>
          <w:lang w:val="es-DO"/>
        </w:rPr>
      </w:pPr>
      <w:r w:rsidRPr="000C3458">
        <w:rPr>
          <w:rFonts w:eastAsia="Calibri"/>
          <w:b/>
          <w:noProof/>
          <w:lang w:val="es-DO"/>
        </w:rPr>
        <w:t xml:space="preserve">Entrenamientos a Tesorerías Institucionales </w:t>
      </w:r>
    </w:p>
    <w:tbl>
      <w:tblPr>
        <w:tblW w:w="5000" w:type="pct"/>
        <w:tblCellMar>
          <w:left w:w="70" w:type="dxa"/>
          <w:right w:w="70" w:type="dxa"/>
        </w:tblCellMar>
        <w:tblLook w:val="04A0" w:firstRow="1" w:lastRow="0" w:firstColumn="1" w:lastColumn="0" w:noHBand="0" w:noVBand="1"/>
      </w:tblPr>
      <w:tblGrid>
        <w:gridCol w:w="662"/>
        <w:gridCol w:w="818"/>
        <w:gridCol w:w="674"/>
        <w:gridCol w:w="674"/>
        <w:gridCol w:w="671"/>
        <w:gridCol w:w="663"/>
        <w:gridCol w:w="508"/>
        <w:gridCol w:w="694"/>
        <w:gridCol w:w="640"/>
        <w:gridCol w:w="627"/>
        <w:gridCol w:w="694"/>
        <w:gridCol w:w="585"/>
      </w:tblGrid>
      <w:tr w:rsidR="00D951F2" w:rsidRPr="00D951F2" w14:paraId="3CD7C655" w14:textId="77777777" w:rsidTr="006F7E31">
        <w:trPr>
          <w:trHeight w:val="315"/>
        </w:trPr>
        <w:tc>
          <w:tcPr>
            <w:tcW w:w="5000" w:type="pct"/>
            <w:gridSpan w:val="12"/>
            <w:tcBorders>
              <w:top w:val="single" w:sz="4" w:space="0" w:color="auto"/>
              <w:left w:val="single" w:sz="4" w:space="0" w:color="auto"/>
              <w:bottom w:val="single" w:sz="4" w:space="0" w:color="auto"/>
              <w:right w:val="single" w:sz="4" w:space="0" w:color="auto"/>
            </w:tcBorders>
            <w:shd w:val="clear" w:color="auto" w:fill="142F62"/>
            <w:vAlign w:val="center"/>
            <w:hideMark/>
          </w:tcPr>
          <w:p w14:paraId="5D16556B"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Entrenamientos enero-diciembre 2025</w:t>
            </w:r>
          </w:p>
        </w:tc>
      </w:tr>
      <w:tr w:rsidR="00D951F2" w:rsidRPr="00D951F2" w14:paraId="0D250EF3" w14:textId="77777777" w:rsidTr="006F7E31">
        <w:trPr>
          <w:trHeight w:val="330"/>
        </w:trPr>
        <w:tc>
          <w:tcPr>
            <w:tcW w:w="5000" w:type="pct"/>
            <w:gridSpan w:val="12"/>
            <w:tcBorders>
              <w:top w:val="single" w:sz="4" w:space="0" w:color="auto"/>
            </w:tcBorders>
            <w:shd w:val="clear" w:color="auto" w:fill="D9D9D9"/>
            <w:noWrap/>
            <w:vAlign w:val="center"/>
            <w:hideMark/>
          </w:tcPr>
          <w:p w14:paraId="3CE08A43" w14:textId="77777777" w:rsidR="00D951F2" w:rsidRPr="000C3458" w:rsidRDefault="00D951F2" w:rsidP="00D64261">
            <w:pPr>
              <w:spacing w:line="360" w:lineRule="auto"/>
              <w:jc w:val="both"/>
              <w:rPr>
                <w:rFonts w:eastAsia="Calibri"/>
                <w:b/>
                <w:bCs/>
                <w:noProof/>
                <w:lang w:val="es-DO"/>
              </w:rPr>
            </w:pPr>
            <w:r w:rsidRPr="000C3458">
              <w:rPr>
                <w:rFonts w:eastAsia="Calibri"/>
                <w:b/>
                <w:bCs/>
                <w:noProof/>
                <w:lang w:val="es-DO"/>
              </w:rPr>
              <w:t>2025</w:t>
            </w:r>
          </w:p>
        </w:tc>
      </w:tr>
      <w:tr w:rsidR="002C762F" w:rsidRPr="00D951F2" w14:paraId="675B8DCF" w14:textId="77777777" w:rsidTr="006F7E31">
        <w:trPr>
          <w:trHeight w:val="315"/>
        </w:trPr>
        <w:tc>
          <w:tcPr>
            <w:tcW w:w="441" w:type="pct"/>
            <w:tcBorders>
              <w:top w:val="nil"/>
            </w:tcBorders>
            <w:vAlign w:val="center"/>
            <w:hideMark/>
          </w:tcPr>
          <w:p w14:paraId="61BB3540"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Ene.</w:t>
            </w:r>
          </w:p>
        </w:tc>
        <w:tc>
          <w:tcPr>
            <w:tcW w:w="539" w:type="pct"/>
            <w:tcBorders>
              <w:top w:val="nil"/>
            </w:tcBorders>
            <w:vAlign w:val="center"/>
            <w:hideMark/>
          </w:tcPr>
          <w:p w14:paraId="65F6C232"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Feb.</w:t>
            </w:r>
          </w:p>
        </w:tc>
        <w:tc>
          <w:tcPr>
            <w:tcW w:w="448" w:type="pct"/>
            <w:tcBorders>
              <w:top w:val="nil"/>
            </w:tcBorders>
            <w:vAlign w:val="center"/>
            <w:hideMark/>
          </w:tcPr>
          <w:p w14:paraId="4684F239"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Mar</w:t>
            </w:r>
          </w:p>
        </w:tc>
        <w:tc>
          <w:tcPr>
            <w:tcW w:w="448" w:type="pct"/>
            <w:tcBorders>
              <w:top w:val="nil"/>
            </w:tcBorders>
            <w:vAlign w:val="center"/>
            <w:hideMark/>
          </w:tcPr>
          <w:p w14:paraId="754D4A6C"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Abr</w:t>
            </w:r>
          </w:p>
        </w:tc>
        <w:tc>
          <w:tcPr>
            <w:tcW w:w="446" w:type="pct"/>
            <w:tcBorders>
              <w:top w:val="nil"/>
            </w:tcBorders>
            <w:vAlign w:val="center"/>
            <w:hideMark/>
          </w:tcPr>
          <w:p w14:paraId="312D09A5"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May</w:t>
            </w:r>
          </w:p>
        </w:tc>
        <w:tc>
          <w:tcPr>
            <w:tcW w:w="441" w:type="pct"/>
            <w:tcBorders>
              <w:top w:val="nil"/>
            </w:tcBorders>
            <w:vAlign w:val="center"/>
            <w:hideMark/>
          </w:tcPr>
          <w:p w14:paraId="27D7D4E3"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Jun</w:t>
            </w:r>
          </w:p>
        </w:tc>
        <w:tc>
          <w:tcPr>
            <w:tcW w:w="343" w:type="pct"/>
            <w:tcBorders>
              <w:top w:val="nil"/>
            </w:tcBorders>
            <w:vAlign w:val="center"/>
            <w:hideMark/>
          </w:tcPr>
          <w:p w14:paraId="1E0EC90E"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Jul</w:t>
            </w:r>
          </w:p>
        </w:tc>
        <w:tc>
          <w:tcPr>
            <w:tcW w:w="338" w:type="pct"/>
            <w:tcBorders>
              <w:top w:val="nil"/>
            </w:tcBorders>
            <w:vAlign w:val="center"/>
            <w:hideMark/>
          </w:tcPr>
          <w:p w14:paraId="3843E797"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Ago.</w:t>
            </w:r>
          </w:p>
        </w:tc>
        <w:tc>
          <w:tcPr>
            <w:tcW w:w="388" w:type="pct"/>
            <w:tcBorders>
              <w:top w:val="nil"/>
            </w:tcBorders>
            <w:vAlign w:val="center"/>
            <w:hideMark/>
          </w:tcPr>
          <w:p w14:paraId="20186CF7"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Sep.</w:t>
            </w:r>
          </w:p>
        </w:tc>
        <w:tc>
          <w:tcPr>
            <w:tcW w:w="388" w:type="pct"/>
            <w:tcBorders>
              <w:top w:val="nil"/>
            </w:tcBorders>
            <w:vAlign w:val="center"/>
            <w:hideMark/>
          </w:tcPr>
          <w:p w14:paraId="641902CA"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Oct.</w:t>
            </w:r>
          </w:p>
        </w:tc>
        <w:tc>
          <w:tcPr>
            <w:tcW w:w="388" w:type="pct"/>
            <w:tcBorders>
              <w:top w:val="nil"/>
            </w:tcBorders>
            <w:vAlign w:val="center"/>
            <w:hideMark/>
          </w:tcPr>
          <w:p w14:paraId="2E8CEF07"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Nov.</w:t>
            </w:r>
          </w:p>
        </w:tc>
        <w:tc>
          <w:tcPr>
            <w:tcW w:w="392" w:type="pct"/>
            <w:tcBorders>
              <w:top w:val="nil"/>
            </w:tcBorders>
            <w:vAlign w:val="center"/>
            <w:hideMark/>
          </w:tcPr>
          <w:p w14:paraId="6FBAABBE"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Dic</w:t>
            </w:r>
          </w:p>
        </w:tc>
      </w:tr>
      <w:tr w:rsidR="002C762F" w:rsidRPr="00D951F2" w14:paraId="1673F201" w14:textId="77777777" w:rsidTr="006F7E31">
        <w:trPr>
          <w:trHeight w:val="315"/>
        </w:trPr>
        <w:tc>
          <w:tcPr>
            <w:tcW w:w="441" w:type="pct"/>
            <w:tcBorders>
              <w:top w:val="nil"/>
              <w:bottom w:val="single" w:sz="4" w:space="0" w:color="auto"/>
            </w:tcBorders>
            <w:vAlign w:val="center"/>
          </w:tcPr>
          <w:p w14:paraId="3E5C2CB8"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3</w:t>
            </w:r>
          </w:p>
        </w:tc>
        <w:tc>
          <w:tcPr>
            <w:tcW w:w="539" w:type="pct"/>
            <w:tcBorders>
              <w:top w:val="nil"/>
              <w:bottom w:val="single" w:sz="4" w:space="0" w:color="auto"/>
            </w:tcBorders>
            <w:vAlign w:val="center"/>
          </w:tcPr>
          <w:p w14:paraId="712C659C"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4</w:t>
            </w:r>
          </w:p>
        </w:tc>
        <w:tc>
          <w:tcPr>
            <w:tcW w:w="448" w:type="pct"/>
            <w:tcBorders>
              <w:top w:val="nil"/>
              <w:bottom w:val="single" w:sz="4" w:space="0" w:color="auto"/>
            </w:tcBorders>
            <w:vAlign w:val="center"/>
          </w:tcPr>
          <w:p w14:paraId="4F42F88C"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1</w:t>
            </w:r>
          </w:p>
        </w:tc>
        <w:tc>
          <w:tcPr>
            <w:tcW w:w="448" w:type="pct"/>
            <w:tcBorders>
              <w:top w:val="nil"/>
              <w:bottom w:val="single" w:sz="4" w:space="0" w:color="auto"/>
            </w:tcBorders>
            <w:vAlign w:val="center"/>
          </w:tcPr>
          <w:p w14:paraId="5745FBD5"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0</w:t>
            </w:r>
          </w:p>
        </w:tc>
        <w:tc>
          <w:tcPr>
            <w:tcW w:w="446" w:type="pct"/>
            <w:tcBorders>
              <w:top w:val="nil"/>
              <w:bottom w:val="single" w:sz="4" w:space="0" w:color="auto"/>
            </w:tcBorders>
            <w:vAlign w:val="center"/>
          </w:tcPr>
          <w:p w14:paraId="32DB0694"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0</w:t>
            </w:r>
          </w:p>
        </w:tc>
        <w:tc>
          <w:tcPr>
            <w:tcW w:w="441" w:type="pct"/>
            <w:tcBorders>
              <w:top w:val="nil"/>
              <w:bottom w:val="single" w:sz="4" w:space="0" w:color="auto"/>
            </w:tcBorders>
            <w:vAlign w:val="center"/>
          </w:tcPr>
          <w:p w14:paraId="17981A55"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1</w:t>
            </w:r>
          </w:p>
        </w:tc>
        <w:tc>
          <w:tcPr>
            <w:tcW w:w="343" w:type="pct"/>
            <w:tcBorders>
              <w:top w:val="nil"/>
              <w:bottom w:val="single" w:sz="4" w:space="0" w:color="auto"/>
            </w:tcBorders>
            <w:vAlign w:val="center"/>
          </w:tcPr>
          <w:p w14:paraId="4136FC0E"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2</w:t>
            </w:r>
          </w:p>
        </w:tc>
        <w:tc>
          <w:tcPr>
            <w:tcW w:w="338" w:type="pct"/>
            <w:tcBorders>
              <w:top w:val="nil"/>
              <w:bottom w:val="single" w:sz="4" w:space="0" w:color="auto"/>
            </w:tcBorders>
            <w:vAlign w:val="center"/>
          </w:tcPr>
          <w:p w14:paraId="7570825E"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0</w:t>
            </w:r>
          </w:p>
        </w:tc>
        <w:tc>
          <w:tcPr>
            <w:tcW w:w="388" w:type="pct"/>
            <w:tcBorders>
              <w:top w:val="nil"/>
              <w:bottom w:val="single" w:sz="4" w:space="0" w:color="auto"/>
            </w:tcBorders>
            <w:vAlign w:val="center"/>
          </w:tcPr>
          <w:p w14:paraId="784655D1"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0</w:t>
            </w:r>
          </w:p>
        </w:tc>
        <w:tc>
          <w:tcPr>
            <w:tcW w:w="388" w:type="pct"/>
            <w:tcBorders>
              <w:top w:val="nil"/>
              <w:bottom w:val="single" w:sz="4" w:space="0" w:color="auto"/>
            </w:tcBorders>
            <w:vAlign w:val="center"/>
          </w:tcPr>
          <w:p w14:paraId="3D5734ED"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0</w:t>
            </w:r>
          </w:p>
        </w:tc>
        <w:tc>
          <w:tcPr>
            <w:tcW w:w="388" w:type="pct"/>
            <w:tcBorders>
              <w:top w:val="nil"/>
              <w:bottom w:val="single" w:sz="4" w:space="0" w:color="auto"/>
            </w:tcBorders>
            <w:vAlign w:val="center"/>
          </w:tcPr>
          <w:p w14:paraId="559647A1"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0</w:t>
            </w:r>
          </w:p>
        </w:tc>
        <w:tc>
          <w:tcPr>
            <w:tcW w:w="392" w:type="pct"/>
            <w:tcBorders>
              <w:top w:val="nil"/>
              <w:bottom w:val="single" w:sz="4" w:space="0" w:color="auto"/>
            </w:tcBorders>
            <w:vAlign w:val="center"/>
          </w:tcPr>
          <w:p w14:paraId="0146DC09"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0</w:t>
            </w:r>
          </w:p>
        </w:tc>
      </w:tr>
      <w:tr w:rsidR="00D951F2" w:rsidRPr="00D951F2" w14:paraId="2247AF2F" w14:textId="77777777" w:rsidTr="006F7E31">
        <w:trPr>
          <w:trHeight w:val="315"/>
        </w:trPr>
        <w:tc>
          <w:tcPr>
            <w:tcW w:w="5000" w:type="pct"/>
            <w:gridSpan w:val="12"/>
            <w:tcBorders>
              <w:top w:val="single" w:sz="4" w:space="0" w:color="auto"/>
              <w:left w:val="single" w:sz="4" w:space="0" w:color="auto"/>
              <w:bottom w:val="single" w:sz="4" w:space="0" w:color="auto"/>
              <w:right w:val="single" w:sz="4" w:space="0" w:color="auto"/>
            </w:tcBorders>
            <w:shd w:val="clear" w:color="auto" w:fill="142F62"/>
            <w:vAlign w:val="center"/>
          </w:tcPr>
          <w:p w14:paraId="7917D4B2"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Total: 11 Entrenamientos</w:t>
            </w:r>
          </w:p>
        </w:tc>
      </w:tr>
    </w:tbl>
    <w:p w14:paraId="33185958" w14:textId="77777777" w:rsidR="00D951F2" w:rsidRPr="000C3458" w:rsidRDefault="00D951F2" w:rsidP="00D64261">
      <w:pPr>
        <w:spacing w:line="360" w:lineRule="auto"/>
        <w:jc w:val="both"/>
        <w:rPr>
          <w:rFonts w:eastAsia="Calibri"/>
          <w:bCs/>
          <w:i/>
          <w:iCs/>
          <w:noProof/>
          <w:color w:val="4C4747"/>
          <w:sz w:val="18"/>
          <w:szCs w:val="18"/>
          <w:lang w:val="es-DO"/>
        </w:rPr>
      </w:pPr>
      <w:r w:rsidRPr="000C3458">
        <w:rPr>
          <w:rFonts w:eastAsia="Calibri"/>
          <w:bCs/>
          <w:i/>
          <w:iCs/>
          <w:noProof/>
          <w:color w:val="4C4747"/>
          <w:sz w:val="18"/>
          <w:szCs w:val="18"/>
          <w:lang w:val="es-DO"/>
        </w:rPr>
        <w:t>Fuente: Reporte Estadísticas DNyATI 2025.</w:t>
      </w:r>
    </w:p>
    <w:p w14:paraId="48285272" w14:textId="77777777" w:rsidR="00D951F2" w:rsidRPr="000C3458" w:rsidRDefault="00D951F2" w:rsidP="004C2709">
      <w:pPr>
        <w:numPr>
          <w:ilvl w:val="0"/>
          <w:numId w:val="11"/>
        </w:numPr>
        <w:spacing w:line="360" w:lineRule="auto"/>
        <w:jc w:val="both"/>
        <w:rPr>
          <w:rFonts w:eastAsia="Calibri"/>
          <w:b/>
          <w:bCs/>
          <w:noProof/>
          <w:lang w:val="es-DO"/>
        </w:rPr>
      </w:pPr>
      <w:r w:rsidRPr="000C3458">
        <w:rPr>
          <w:rFonts w:eastAsia="Calibri"/>
          <w:b/>
          <w:bCs/>
          <w:noProof/>
          <w:lang w:val="es-DO"/>
        </w:rPr>
        <w:t>Comisión Nacional de Drogas</w:t>
      </w:r>
    </w:p>
    <w:p w14:paraId="4DEFB236" w14:textId="77777777" w:rsidR="00D951F2" w:rsidRPr="000C3458" w:rsidRDefault="00D951F2" w:rsidP="004C2709">
      <w:pPr>
        <w:numPr>
          <w:ilvl w:val="0"/>
          <w:numId w:val="11"/>
        </w:numPr>
        <w:spacing w:line="360" w:lineRule="auto"/>
        <w:jc w:val="both"/>
        <w:rPr>
          <w:rFonts w:eastAsia="Calibri"/>
          <w:b/>
          <w:bCs/>
          <w:noProof/>
          <w:lang w:val="es-DO"/>
        </w:rPr>
      </w:pPr>
      <w:r w:rsidRPr="000C3458">
        <w:rPr>
          <w:rFonts w:eastAsia="Calibri"/>
          <w:b/>
          <w:bCs/>
          <w:noProof/>
          <w:lang w:val="es-DO"/>
        </w:rPr>
        <w:t>Instituto Nacional de Coordinación de Trasplante (INCORT)</w:t>
      </w:r>
    </w:p>
    <w:p w14:paraId="7F949070" w14:textId="77777777" w:rsidR="00D951F2" w:rsidRPr="000C3458" w:rsidRDefault="00D951F2" w:rsidP="004C2709">
      <w:pPr>
        <w:numPr>
          <w:ilvl w:val="0"/>
          <w:numId w:val="11"/>
        </w:numPr>
        <w:spacing w:line="360" w:lineRule="auto"/>
        <w:jc w:val="both"/>
        <w:rPr>
          <w:rFonts w:eastAsia="Calibri"/>
          <w:b/>
          <w:bCs/>
          <w:noProof/>
          <w:lang w:val="es-DO"/>
        </w:rPr>
      </w:pPr>
      <w:r w:rsidRPr="000C3458">
        <w:rPr>
          <w:rFonts w:eastAsia="Calibri"/>
          <w:b/>
          <w:bCs/>
          <w:noProof/>
          <w:lang w:val="es-DO"/>
        </w:rPr>
        <w:t>Guardia Presidencial</w:t>
      </w:r>
    </w:p>
    <w:p w14:paraId="01761C31" w14:textId="77777777" w:rsidR="00D951F2" w:rsidRPr="000C3458" w:rsidRDefault="00D951F2" w:rsidP="004C2709">
      <w:pPr>
        <w:numPr>
          <w:ilvl w:val="0"/>
          <w:numId w:val="11"/>
        </w:numPr>
        <w:spacing w:line="360" w:lineRule="auto"/>
        <w:jc w:val="both"/>
        <w:rPr>
          <w:rFonts w:eastAsia="Calibri"/>
          <w:b/>
          <w:bCs/>
          <w:noProof/>
          <w:lang w:val="es-DO"/>
        </w:rPr>
      </w:pPr>
      <w:r w:rsidRPr="000C3458">
        <w:rPr>
          <w:rFonts w:eastAsia="Calibri"/>
          <w:b/>
          <w:bCs/>
          <w:noProof/>
          <w:lang w:val="es-DO"/>
        </w:rPr>
        <w:t>Cuerpo de Seguridad Presidencial (CUSEP)</w:t>
      </w:r>
    </w:p>
    <w:p w14:paraId="2B242EE3" w14:textId="77777777" w:rsidR="00D951F2" w:rsidRPr="000C3458" w:rsidRDefault="00D951F2" w:rsidP="004C2709">
      <w:pPr>
        <w:numPr>
          <w:ilvl w:val="0"/>
          <w:numId w:val="11"/>
        </w:numPr>
        <w:spacing w:line="360" w:lineRule="auto"/>
        <w:jc w:val="both"/>
        <w:rPr>
          <w:rFonts w:eastAsia="Calibri"/>
          <w:b/>
          <w:bCs/>
          <w:noProof/>
          <w:lang w:val="es-DO"/>
        </w:rPr>
      </w:pPr>
      <w:r w:rsidRPr="000C3458">
        <w:rPr>
          <w:rFonts w:eastAsia="Calibri"/>
          <w:b/>
          <w:bCs/>
          <w:noProof/>
          <w:lang w:val="es-DO"/>
        </w:rPr>
        <w:t>Superintendencia de Electricidad</w:t>
      </w:r>
    </w:p>
    <w:p w14:paraId="26277EF4" w14:textId="77777777" w:rsidR="00D951F2" w:rsidRPr="000C3458" w:rsidRDefault="00D951F2" w:rsidP="004C2709">
      <w:pPr>
        <w:numPr>
          <w:ilvl w:val="0"/>
          <w:numId w:val="11"/>
        </w:numPr>
        <w:spacing w:line="360" w:lineRule="auto"/>
        <w:jc w:val="both"/>
        <w:rPr>
          <w:rFonts w:eastAsia="Calibri"/>
          <w:b/>
          <w:bCs/>
          <w:noProof/>
          <w:lang w:val="es-DO"/>
        </w:rPr>
      </w:pPr>
      <w:r w:rsidRPr="000C3458">
        <w:rPr>
          <w:rFonts w:eastAsia="Calibri"/>
          <w:b/>
          <w:bCs/>
          <w:noProof/>
          <w:lang w:val="es-DO"/>
        </w:rPr>
        <w:t>Corporación Acueducto y Alcantarillado de Santiago (CORASAAN)</w:t>
      </w:r>
    </w:p>
    <w:p w14:paraId="543E165E" w14:textId="77777777" w:rsidR="00D951F2" w:rsidRPr="000C3458" w:rsidRDefault="00D951F2" w:rsidP="004C2709">
      <w:pPr>
        <w:numPr>
          <w:ilvl w:val="0"/>
          <w:numId w:val="11"/>
        </w:numPr>
        <w:spacing w:line="360" w:lineRule="auto"/>
        <w:jc w:val="both"/>
        <w:rPr>
          <w:rFonts w:eastAsia="Calibri"/>
          <w:b/>
          <w:bCs/>
          <w:noProof/>
          <w:lang w:val="es-DO"/>
        </w:rPr>
      </w:pPr>
      <w:r w:rsidRPr="000C3458">
        <w:rPr>
          <w:rFonts w:eastAsia="Calibri"/>
          <w:b/>
          <w:bCs/>
          <w:noProof/>
          <w:lang w:val="es-DO"/>
        </w:rPr>
        <w:t>Ciudad Sanitaria Dr. Luis Eduardo Aybar</w:t>
      </w:r>
    </w:p>
    <w:p w14:paraId="6CECED6C" w14:textId="77777777" w:rsidR="00D951F2" w:rsidRPr="000C3458" w:rsidRDefault="00D951F2" w:rsidP="004C2709">
      <w:pPr>
        <w:numPr>
          <w:ilvl w:val="0"/>
          <w:numId w:val="11"/>
        </w:numPr>
        <w:spacing w:line="360" w:lineRule="auto"/>
        <w:jc w:val="both"/>
        <w:rPr>
          <w:rFonts w:eastAsia="Calibri"/>
          <w:b/>
          <w:bCs/>
          <w:noProof/>
          <w:lang w:val="es-DO"/>
        </w:rPr>
      </w:pPr>
      <w:r w:rsidRPr="000C3458">
        <w:rPr>
          <w:rFonts w:eastAsia="Calibri"/>
          <w:b/>
          <w:bCs/>
          <w:noProof/>
          <w:lang w:val="es-DO"/>
        </w:rPr>
        <w:t>Autoridad Portuaria Dominicana</w:t>
      </w:r>
    </w:p>
    <w:p w14:paraId="585D4583" w14:textId="77777777" w:rsidR="00D951F2" w:rsidRPr="000C3458" w:rsidRDefault="00D951F2" w:rsidP="00D64261">
      <w:pPr>
        <w:spacing w:line="360" w:lineRule="auto"/>
        <w:jc w:val="both"/>
        <w:rPr>
          <w:rFonts w:eastAsia="Calibri"/>
          <w:b/>
          <w:bCs/>
          <w:noProof/>
          <w:lang w:val="es-DO"/>
        </w:rPr>
      </w:pPr>
    </w:p>
    <w:p w14:paraId="7A5FA0C2" w14:textId="77777777" w:rsidR="00B046C6" w:rsidRPr="000C3458" w:rsidRDefault="00B046C6" w:rsidP="00D64261">
      <w:pPr>
        <w:spacing w:line="360" w:lineRule="auto"/>
        <w:jc w:val="both"/>
        <w:rPr>
          <w:rFonts w:eastAsia="Calibri"/>
          <w:b/>
          <w:bCs/>
          <w:noProof/>
          <w:lang w:val="es-DO"/>
        </w:rPr>
      </w:pPr>
    </w:p>
    <w:p w14:paraId="0D40A768" w14:textId="77777777" w:rsidR="00D951F2" w:rsidRPr="000C3458" w:rsidRDefault="00D951F2" w:rsidP="00D64261">
      <w:pPr>
        <w:spacing w:after="0" w:line="360" w:lineRule="auto"/>
        <w:jc w:val="center"/>
        <w:rPr>
          <w:rFonts w:eastAsia="Calibri"/>
          <w:b/>
          <w:noProof/>
          <w:lang w:val="es-DO"/>
        </w:rPr>
      </w:pPr>
      <w:r w:rsidRPr="000C3458">
        <w:rPr>
          <w:rFonts w:eastAsia="Calibri"/>
          <w:b/>
          <w:noProof/>
          <w:lang w:val="es-DO"/>
        </w:rPr>
        <w:lastRenderedPageBreak/>
        <w:t>Gráfico No. 01</w:t>
      </w:r>
    </w:p>
    <w:p w14:paraId="0462FB14" w14:textId="77777777" w:rsidR="00D951F2" w:rsidRPr="000C3458" w:rsidRDefault="00D951F2" w:rsidP="00D64261">
      <w:pPr>
        <w:spacing w:after="0" w:line="360" w:lineRule="auto"/>
        <w:jc w:val="center"/>
        <w:rPr>
          <w:rFonts w:eastAsia="Calibri"/>
          <w:b/>
          <w:noProof/>
          <w:lang w:val="es-DO"/>
        </w:rPr>
      </w:pPr>
      <w:r w:rsidRPr="000C3458">
        <w:rPr>
          <w:rFonts w:eastAsia="Calibri"/>
          <w:b/>
          <w:noProof/>
          <w:lang w:val="es-DO"/>
        </w:rPr>
        <w:t>Tesorería Nacional</w:t>
      </w:r>
    </w:p>
    <w:p w14:paraId="6446EDE1" w14:textId="77777777" w:rsidR="00D951F2" w:rsidRPr="00D951F2" w:rsidRDefault="00D951F2" w:rsidP="00D64261">
      <w:pPr>
        <w:spacing w:line="360" w:lineRule="auto"/>
        <w:jc w:val="both"/>
        <w:rPr>
          <w:rFonts w:eastAsia="Calibri"/>
          <w:noProof/>
          <w:color w:val="4C4747"/>
          <w:lang w:val="es-DO"/>
        </w:rPr>
      </w:pPr>
      <w:r w:rsidRPr="00D951F2">
        <w:rPr>
          <w:rFonts w:eastAsia="Calibri"/>
          <w:noProof/>
          <w:color w:val="4C4747"/>
        </w:rPr>
        <w:drawing>
          <wp:inline distT="0" distB="0" distL="0" distR="0" wp14:anchorId="18012532" wp14:editId="7EFCB2BF">
            <wp:extent cx="5029200" cy="1695450"/>
            <wp:effectExtent l="0" t="0" r="0" b="0"/>
            <wp:docPr id="1513871143" name="Gráfico 1">
              <a:extLst xmlns:a="http://schemas.openxmlformats.org/drawingml/2006/main">
                <a:ext uri="{FF2B5EF4-FFF2-40B4-BE49-F238E27FC236}">
                  <a16:creationId xmlns:a16="http://schemas.microsoft.com/office/drawing/2014/main" id="{A2CDCE0A-73BF-4B26-84E3-87A3416FF8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020B2BF" w14:textId="77777777" w:rsidR="00D951F2" w:rsidRPr="000C3458" w:rsidRDefault="00D951F2" w:rsidP="00D64261">
      <w:pPr>
        <w:spacing w:line="360" w:lineRule="auto"/>
        <w:jc w:val="both"/>
        <w:rPr>
          <w:rFonts w:eastAsia="Calibri"/>
          <w:b/>
          <w:bCs/>
          <w:i/>
          <w:iCs/>
          <w:noProof/>
          <w:sz w:val="18"/>
          <w:szCs w:val="18"/>
          <w:lang w:val="es-DO"/>
        </w:rPr>
      </w:pPr>
      <w:r w:rsidRPr="000C3458">
        <w:rPr>
          <w:rFonts w:eastAsia="Calibri"/>
          <w:i/>
          <w:iCs/>
          <w:noProof/>
          <w:sz w:val="18"/>
          <w:szCs w:val="18"/>
          <w:lang w:val="es-DO"/>
        </w:rPr>
        <w:t>Fuente: Reporte Estadísticas DNyATI 2025.</w:t>
      </w:r>
    </w:p>
    <w:p w14:paraId="1B8E5698" w14:textId="77777777" w:rsidR="00D951F2" w:rsidRPr="00D951F2" w:rsidRDefault="00D951F2" w:rsidP="00D64261">
      <w:pPr>
        <w:spacing w:line="360" w:lineRule="auto"/>
        <w:jc w:val="both"/>
        <w:rPr>
          <w:rFonts w:eastAsia="Calibri"/>
          <w:b/>
          <w:bCs/>
          <w:noProof/>
          <w:color w:val="4C4747"/>
          <w:lang w:val="es-DO"/>
        </w:rPr>
      </w:pPr>
    </w:p>
    <w:p w14:paraId="3E9CD0BF" w14:textId="24A71420" w:rsidR="00D951F2" w:rsidRPr="000C3458" w:rsidRDefault="00D951F2" w:rsidP="00D64261">
      <w:pPr>
        <w:spacing w:after="0" w:line="360" w:lineRule="auto"/>
        <w:jc w:val="center"/>
        <w:rPr>
          <w:rFonts w:eastAsia="Calibri"/>
          <w:b/>
          <w:noProof/>
          <w:lang w:val="es-DO"/>
        </w:rPr>
      </w:pPr>
      <w:r w:rsidRPr="000C3458">
        <w:rPr>
          <w:rFonts w:eastAsia="Calibri"/>
          <w:b/>
          <w:noProof/>
          <w:lang w:val="es-DO"/>
        </w:rPr>
        <w:t>Cuadro No. 0</w:t>
      </w:r>
      <w:r w:rsidR="008D7279" w:rsidRPr="000C3458">
        <w:rPr>
          <w:rFonts w:eastAsia="Calibri"/>
          <w:b/>
          <w:noProof/>
          <w:lang w:val="es-DO"/>
        </w:rPr>
        <w:t>5</w:t>
      </w:r>
    </w:p>
    <w:p w14:paraId="21010CD3" w14:textId="77777777" w:rsidR="00D951F2" w:rsidRPr="000C3458" w:rsidRDefault="00D951F2" w:rsidP="00D64261">
      <w:pPr>
        <w:spacing w:after="0" w:line="360" w:lineRule="auto"/>
        <w:jc w:val="center"/>
        <w:rPr>
          <w:rFonts w:eastAsia="Calibri"/>
          <w:b/>
          <w:noProof/>
          <w:lang w:val="es-DO"/>
        </w:rPr>
      </w:pPr>
      <w:r w:rsidRPr="000C3458">
        <w:rPr>
          <w:rFonts w:eastAsia="Calibri"/>
          <w:b/>
          <w:noProof/>
          <w:lang w:val="es-DO"/>
        </w:rPr>
        <w:t>Tesorería Nacional</w:t>
      </w:r>
    </w:p>
    <w:tbl>
      <w:tblPr>
        <w:tblW w:w="7938" w:type="dxa"/>
        <w:tblInd w:w="-10" w:type="dxa"/>
        <w:tblCellMar>
          <w:left w:w="70" w:type="dxa"/>
          <w:right w:w="70" w:type="dxa"/>
        </w:tblCellMar>
        <w:tblLook w:val="04A0" w:firstRow="1" w:lastRow="0" w:firstColumn="1" w:lastColumn="0" w:noHBand="0" w:noVBand="1"/>
      </w:tblPr>
      <w:tblGrid>
        <w:gridCol w:w="2694"/>
        <w:gridCol w:w="2126"/>
        <w:gridCol w:w="3118"/>
      </w:tblGrid>
      <w:tr w:rsidR="00D951F2" w:rsidRPr="00D951F2" w14:paraId="34EE782A" w14:textId="77777777" w:rsidTr="00B26AAB">
        <w:trPr>
          <w:trHeight w:val="417"/>
        </w:trPr>
        <w:tc>
          <w:tcPr>
            <w:tcW w:w="7938" w:type="dxa"/>
            <w:gridSpan w:val="3"/>
            <w:tcBorders>
              <w:top w:val="nil"/>
              <w:left w:val="single" w:sz="8" w:space="0" w:color="000000"/>
              <w:bottom w:val="single" w:sz="8" w:space="0" w:color="000000"/>
              <w:right w:val="single" w:sz="8" w:space="0" w:color="000000"/>
            </w:tcBorders>
            <w:shd w:val="clear" w:color="auto" w:fill="011C50"/>
            <w:vAlign w:val="center"/>
          </w:tcPr>
          <w:p w14:paraId="4055C189" w14:textId="77777777" w:rsidR="00D951F2" w:rsidRPr="00D951F2" w:rsidRDefault="00D951F2" w:rsidP="00D64261">
            <w:pPr>
              <w:spacing w:line="360" w:lineRule="auto"/>
              <w:jc w:val="both"/>
              <w:rPr>
                <w:rFonts w:eastAsia="Calibri"/>
                <w:noProof/>
                <w:color w:val="FFFFFF" w:themeColor="background1"/>
                <w:lang w:val="es-DO"/>
              </w:rPr>
            </w:pPr>
            <w:r w:rsidRPr="00D951F2">
              <w:rPr>
                <w:rFonts w:eastAsia="Calibri"/>
                <w:b/>
                <w:noProof/>
                <w:color w:val="FFFFFF" w:themeColor="background1"/>
                <w:lang w:val="es-DO"/>
              </w:rPr>
              <w:t>Capacitaciones realizadas E</w:t>
            </w:r>
            <w:r w:rsidRPr="00D951F2">
              <w:rPr>
                <w:rFonts w:eastAsia="Calibri"/>
                <w:b/>
                <w:bCs/>
                <w:noProof/>
                <w:color w:val="FFFFFF" w:themeColor="background1"/>
                <w:lang w:val="es-DO"/>
              </w:rPr>
              <w:t>nero-Junio 2025</w:t>
            </w:r>
          </w:p>
        </w:tc>
      </w:tr>
      <w:tr w:rsidR="00D951F2" w:rsidRPr="00D951F2" w14:paraId="53721679" w14:textId="77777777" w:rsidTr="00B26AAB">
        <w:trPr>
          <w:trHeight w:val="645"/>
        </w:trPr>
        <w:tc>
          <w:tcPr>
            <w:tcW w:w="2694" w:type="dxa"/>
            <w:tcBorders>
              <w:top w:val="nil"/>
              <w:left w:val="single" w:sz="8" w:space="0" w:color="000000"/>
              <w:right w:val="single" w:sz="8" w:space="0" w:color="000000"/>
            </w:tcBorders>
            <w:shd w:val="clear" w:color="auto" w:fill="011C50"/>
            <w:vAlign w:val="center"/>
            <w:hideMark/>
          </w:tcPr>
          <w:p w14:paraId="3B84C377" w14:textId="77777777" w:rsidR="00D951F2" w:rsidRPr="00D951F2" w:rsidRDefault="00D951F2" w:rsidP="00D64261">
            <w:pPr>
              <w:spacing w:line="360" w:lineRule="auto"/>
              <w:jc w:val="both"/>
              <w:rPr>
                <w:rFonts w:eastAsia="Calibri"/>
                <w:noProof/>
                <w:color w:val="FFFFFF" w:themeColor="background1"/>
                <w:lang w:val="es-DO"/>
              </w:rPr>
            </w:pPr>
            <w:r w:rsidRPr="00D951F2">
              <w:rPr>
                <w:rFonts w:eastAsia="Calibri"/>
                <w:noProof/>
                <w:color w:val="FFFFFF" w:themeColor="background1"/>
                <w:lang w:val="es-DO"/>
              </w:rPr>
              <w:t>FOT-162-01-2025</w:t>
            </w:r>
          </w:p>
        </w:tc>
        <w:tc>
          <w:tcPr>
            <w:tcW w:w="2126" w:type="dxa"/>
            <w:tcBorders>
              <w:top w:val="nil"/>
              <w:left w:val="nil"/>
              <w:right w:val="single" w:sz="8" w:space="0" w:color="000000"/>
            </w:tcBorders>
            <w:shd w:val="clear" w:color="auto" w:fill="011C50"/>
            <w:vAlign w:val="center"/>
            <w:hideMark/>
          </w:tcPr>
          <w:p w14:paraId="6F4B8EC2" w14:textId="77777777" w:rsidR="00D951F2" w:rsidRPr="00D951F2" w:rsidRDefault="00D951F2" w:rsidP="00D64261">
            <w:pPr>
              <w:spacing w:line="360" w:lineRule="auto"/>
              <w:jc w:val="both"/>
              <w:rPr>
                <w:rFonts w:eastAsia="Calibri"/>
                <w:noProof/>
                <w:color w:val="FFFFFF" w:themeColor="background1"/>
                <w:lang w:val="es-DO"/>
              </w:rPr>
            </w:pPr>
            <w:r w:rsidRPr="00D951F2">
              <w:rPr>
                <w:rFonts w:eastAsia="Calibri"/>
                <w:noProof/>
                <w:color w:val="FFFFFF" w:themeColor="background1"/>
                <w:lang w:val="es-DO"/>
              </w:rPr>
              <w:t>Cant. Instituciones</w:t>
            </w:r>
          </w:p>
        </w:tc>
        <w:tc>
          <w:tcPr>
            <w:tcW w:w="3118" w:type="dxa"/>
            <w:tcBorders>
              <w:top w:val="nil"/>
              <w:left w:val="nil"/>
              <w:right w:val="single" w:sz="8" w:space="0" w:color="000000"/>
            </w:tcBorders>
            <w:shd w:val="clear" w:color="auto" w:fill="011C50"/>
            <w:vAlign w:val="center"/>
            <w:hideMark/>
          </w:tcPr>
          <w:p w14:paraId="40B0A336" w14:textId="77777777" w:rsidR="00D951F2" w:rsidRPr="00D951F2" w:rsidRDefault="00D951F2" w:rsidP="00D64261">
            <w:pPr>
              <w:spacing w:line="360" w:lineRule="auto"/>
              <w:jc w:val="both"/>
              <w:rPr>
                <w:rFonts w:eastAsia="Calibri"/>
                <w:noProof/>
                <w:color w:val="FFFFFF" w:themeColor="background1"/>
                <w:lang w:val="es-DO"/>
              </w:rPr>
            </w:pPr>
            <w:r w:rsidRPr="00D951F2">
              <w:rPr>
                <w:rFonts w:eastAsia="Calibri"/>
                <w:noProof/>
                <w:color w:val="FFFFFF" w:themeColor="background1"/>
                <w:lang w:val="es-DO"/>
              </w:rPr>
              <w:t>Cantidad de Colaboradores Capacitados</w:t>
            </w:r>
          </w:p>
        </w:tc>
      </w:tr>
      <w:tr w:rsidR="00D951F2" w:rsidRPr="00D951F2" w14:paraId="392480A9" w14:textId="77777777" w:rsidTr="006F7E31">
        <w:trPr>
          <w:trHeight w:val="642"/>
        </w:trPr>
        <w:tc>
          <w:tcPr>
            <w:tcW w:w="2694" w:type="dxa"/>
            <w:tcBorders>
              <w:top w:val="nil"/>
            </w:tcBorders>
            <w:vAlign w:val="center"/>
            <w:hideMark/>
          </w:tcPr>
          <w:p w14:paraId="5AD50136"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GRUPO 1 </w:t>
            </w:r>
            <w:r w:rsidRPr="000C3458">
              <w:rPr>
                <w:rFonts w:eastAsia="Calibri"/>
                <w:b/>
                <w:bCs/>
                <w:noProof/>
                <w:lang w:val="es-DO"/>
              </w:rPr>
              <w:t>Virtual</w:t>
            </w:r>
          </w:p>
        </w:tc>
        <w:tc>
          <w:tcPr>
            <w:tcW w:w="2126" w:type="dxa"/>
            <w:tcBorders>
              <w:top w:val="nil"/>
            </w:tcBorders>
            <w:vAlign w:val="center"/>
            <w:hideMark/>
          </w:tcPr>
          <w:p w14:paraId="389C6BFB"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14 Instituciones</w:t>
            </w:r>
          </w:p>
        </w:tc>
        <w:tc>
          <w:tcPr>
            <w:tcW w:w="3118" w:type="dxa"/>
            <w:tcBorders>
              <w:top w:val="nil"/>
            </w:tcBorders>
            <w:vAlign w:val="center"/>
            <w:hideMark/>
          </w:tcPr>
          <w:p w14:paraId="63E73D38"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30 participantes</w:t>
            </w:r>
          </w:p>
        </w:tc>
      </w:tr>
      <w:tr w:rsidR="00D951F2" w:rsidRPr="00D951F2" w14:paraId="1F8E7E88" w14:textId="77777777" w:rsidTr="006F7E31">
        <w:trPr>
          <w:trHeight w:val="718"/>
        </w:trPr>
        <w:tc>
          <w:tcPr>
            <w:tcW w:w="2694" w:type="dxa"/>
            <w:tcBorders>
              <w:top w:val="nil"/>
            </w:tcBorders>
            <w:shd w:val="clear" w:color="auto" w:fill="D9D9D9"/>
            <w:vAlign w:val="center"/>
            <w:hideMark/>
          </w:tcPr>
          <w:p w14:paraId="48689BC6"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GRUPO 2 </w:t>
            </w:r>
            <w:r w:rsidRPr="000C3458">
              <w:rPr>
                <w:rFonts w:eastAsia="Calibri"/>
                <w:b/>
                <w:bCs/>
                <w:noProof/>
                <w:lang w:val="es-DO"/>
              </w:rPr>
              <w:t>Virtual</w:t>
            </w:r>
          </w:p>
        </w:tc>
        <w:tc>
          <w:tcPr>
            <w:tcW w:w="2126" w:type="dxa"/>
            <w:tcBorders>
              <w:top w:val="nil"/>
            </w:tcBorders>
            <w:shd w:val="clear" w:color="auto" w:fill="D9D9D9"/>
            <w:vAlign w:val="center"/>
            <w:hideMark/>
          </w:tcPr>
          <w:p w14:paraId="702CE699"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14 Instituciones</w:t>
            </w:r>
          </w:p>
        </w:tc>
        <w:tc>
          <w:tcPr>
            <w:tcW w:w="3118" w:type="dxa"/>
            <w:tcBorders>
              <w:top w:val="nil"/>
            </w:tcBorders>
            <w:shd w:val="clear" w:color="auto" w:fill="D9D9D9"/>
            <w:vAlign w:val="center"/>
            <w:hideMark/>
          </w:tcPr>
          <w:p w14:paraId="05977C76"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31 participantes</w:t>
            </w:r>
          </w:p>
        </w:tc>
      </w:tr>
      <w:tr w:rsidR="00D951F2" w:rsidRPr="00D951F2" w14:paraId="00B78440" w14:textId="77777777" w:rsidTr="006F7E31">
        <w:trPr>
          <w:trHeight w:val="794"/>
        </w:trPr>
        <w:tc>
          <w:tcPr>
            <w:tcW w:w="2694" w:type="dxa"/>
            <w:tcBorders>
              <w:top w:val="nil"/>
              <w:bottom w:val="nil"/>
            </w:tcBorders>
            <w:vAlign w:val="center"/>
            <w:hideMark/>
          </w:tcPr>
          <w:p w14:paraId="3898DBB5"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GRUPO 1 </w:t>
            </w:r>
            <w:r w:rsidRPr="000C3458">
              <w:rPr>
                <w:rFonts w:eastAsia="Calibri"/>
                <w:b/>
                <w:bCs/>
                <w:noProof/>
                <w:lang w:val="es-DO"/>
              </w:rPr>
              <w:t>Presencial</w:t>
            </w:r>
          </w:p>
        </w:tc>
        <w:tc>
          <w:tcPr>
            <w:tcW w:w="2126" w:type="dxa"/>
            <w:tcBorders>
              <w:top w:val="nil"/>
              <w:bottom w:val="nil"/>
            </w:tcBorders>
            <w:vAlign w:val="center"/>
            <w:hideMark/>
          </w:tcPr>
          <w:p w14:paraId="5B318059"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7 Instituciones</w:t>
            </w:r>
          </w:p>
        </w:tc>
        <w:tc>
          <w:tcPr>
            <w:tcW w:w="3118" w:type="dxa"/>
            <w:tcBorders>
              <w:top w:val="nil"/>
              <w:bottom w:val="nil"/>
            </w:tcBorders>
            <w:vAlign w:val="center"/>
            <w:hideMark/>
          </w:tcPr>
          <w:p w14:paraId="1515CF1F"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20 participantes</w:t>
            </w:r>
          </w:p>
        </w:tc>
      </w:tr>
      <w:tr w:rsidR="00D951F2" w:rsidRPr="00D951F2" w14:paraId="086B8A37" w14:textId="77777777" w:rsidTr="00B26AAB">
        <w:trPr>
          <w:trHeight w:val="415"/>
        </w:trPr>
        <w:tc>
          <w:tcPr>
            <w:tcW w:w="2694"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1B593044" w14:textId="77777777" w:rsidR="00D951F2" w:rsidRPr="00D951F2" w:rsidRDefault="00D951F2" w:rsidP="00D64261">
            <w:pPr>
              <w:spacing w:line="360" w:lineRule="auto"/>
              <w:jc w:val="both"/>
              <w:rPr>
                <w:rFonts w:eastAsia="Calibri"/>
                <w:noProof/>
                <w:color w:val="FFFFFF" w:themeColor="background1"/>
                <w:lang w:val="es-DO"/>
              </w:rPr>
            </w:pPr>
            <w:r w:rsidRPr="00D951F2">
              <w:rPr>
                <w:rFonts w:eastAsia="Calibri"/>
                <w:noProof/>
                <w:color w:val="FFFFFF" w:themeColor="background1"/>
                <w:lang w:val="es-DO"/>
              </w:rPr>
              <w:t> </w:t>
            </w:r>
          </w:p>
        </w:tc>
        <w:tc>
          <w:tcPr>
            <w:tcW w:w="2126" w:type="dxa"/>
            <w:tcBorders>
              <w:top w:val="single" w:sz="4" w:space="0" w:color="auto"/>
              <w:left w:val="nil"/>
              <w:bottom w:val="single" w:sz="4" w:space="0" w:color="auto"/>
              <w:right w:val="single" w:sz="4" w:space="0" w:color="auto"/>
            </w:tcBorders>
            <w:shd w:val="clear" w:color="auto" w:fill="011C50"/>
            <w:vAlign w:val="center"/>
            <w:hideMark/>
          </w:tcPr>
          <w:p w14:paraId="479D7034" w14:textId="77777777" w:rsidR="00D951F2" w:rsidRPr="00D951F2" w:rsidRDefault="00D951F2" w:rsidP="00D64261">
            <w:pPr>
              <w:spacing w:line="360" w:lineRule="auto"/>
              <w:jc w:val="both"/>
              <w:rPr>
                <w:rFonts w:eastAsia="Calibri"/>
                <w:noProof/>
                <w:color w:val="FFFFFF" w:themeColor="background1"/>
                <w:lang w:val="es-DO"/>
              </w:rPr>
            </w:pPr>
            <w:r w:rsidRPr="00D951F2">
              <w:rPr>
                <w:rFonts w:eastAsia="Calibri"/>
                <w:noProof/>
                <w:color w:val="FFFFFF" w:themeColor="background1"/>
                <w:lang w:val="es-DO"/>
              </w:rPr>
              <w:t>35 Instituciones</w:t>
            </w:r>
          </w:p>
        </w:tc>
        <w:tc>
          <w:tcPr>
            <w:tcW w:w="3118" w:type="dxa"/>
            <w:tcBorders>
              <w:top w:val="single" w:sz="4" w:space="0" w:color="auto"/>
              <w:left w:val="nil"/>
              <w:bottom w:val="single" w:sz="4" w:space="0" w:color="auto"/>
              <w:right w:val="single" w:sz="4" w:space="0" w:color="auto"/>
            </w:tcBorders>
            <w:shd w:val="clear" w:color="auto" w:fill="011C50"/>
            <w:vAlign w:val="center"/>
            <w:hideMark/>
          </w:tcPr>
          <w:p w14:paraId="7DE65583" w14:textId="77777777" w:rsidR="00D951F2" w:rsidRPr="00D951F2" w:rsidRDefault="00D951F2" w:rsidP="00D64261">
            <w:pPr>
              <w:spacing w:line="360" w:lineRule="auto"/>
              <w:jc w:val="both"/>
              <w:rPr>
                <w:rFonts w:eastAsia="Calibri"/>
                <w:noProof/>
                <w:color w:val="FFFFFF" w:themeColor="background1"/>
                <w:lang w:val="es-DO"/>
              </w:rPr>
            </w:pPr>
            <w:r w:rsidRPr="00D951F2">
              <w:rPr>
                <w:rFonts w:eastAsia="Calibri"/>
                <w:noProof/>
                <w:color w:val="FFFFFF" w:themeColor="background1"/>
                <w:lang w:val="es-DO"/>
              </w:rPr>
              <w:t>81 participantes</w:t>
            </w:r>
          </w:p>
        </w:tc>
      </w:tr>
    </w:tbl>
    <w:p w14:paraId="20A20AC4" w14:textId="77777777" w:rsidR="00D951F2" w:rsidRPr="00D951F2" w:rsidRDefault="00D951F2" w:rsidP="00D64261">
      <w:pPr>
        <w:spacing w:line="360" w:lineRule="auto"/>
        <w:jc w:val="both"/>
        <w:rPr>
          <w:rFonts w:eastAsia="Calibri"/>
          <w:b/>
          <w:bCs/>
          <w:noProof/>
          <w:color w:val="4C4747"/>
          <w:lang w:val="es-DO"/>
        </w:rPr>
      </w:pPr>
    </w:p>
    <w:p w14:paraId="0383D02E" w14:textId="77777777" w:rsidR="00D951F2" w:rsidRPr="000C3458" w:rsidRDefault="00D951F2" w:rsidP="00D64261">
      <w:pPr>
        <w:spacing w:line="360" w:lineRule="auto"/>
        <w:jc w:val="both"/>
        <w:rPr>
          <w:rFonts w:eastAsia="Calibri"/>
          <w:b/>
          <w:noProof/>
          <w:lang w:val="es-DO"/>
        </w:rPr>
      </w:pPr>
      <w:r w:rsidRPr="000C3458">
        <w:rPr>
          <w:rFonts w:eastAsia="Calibri"/>
          <w:b/>
          <w:noProof/>
          <w:lang w:val="es-DO"/>
        </w:rPr>
        <w:t xml:space="preserve">A continuación se listan las Instituciones y la cantidad de colaboradores que fueron capacitadas en la Especialización Tecnica en Tesoreria: </w:t>
      </w:r>
    </w:p>
    <w:p w14:paraId="446A44E4" w14:textId="77777777" w:rsidR="00B046C6" w:rsidRPr="000C3458" w:rsidRDefault="00B046C6" w:rsidP="00D64261">
      <w:pPr>
        <w:spacing w:line="360" w:lineRule="auto"/>
        <w:jc w:val="both"/>
        <w:rPr>
          <w:rFonts w:eastAsia="Calibri"/>
          <w:b/>
          <w:noProof/>
          <w:lang w:val="es-DO"/>
        </w:rPr>
      </w:pPr>
    </w:p>
    <w:p w14:paraId="72D6396B" w14:textId="18189886" w:rsidR="00D951F2" w:rsidRPr="000C3458" w:rsidRDefault="00D951F2" w:rsidP="00D64261">
      <w:pPr>
        <w:spacing w:after="0" w:line="360" w:lineRule="auto"/>
        <w:jc w:val="center"/>
        <w:rPr>
          <w:rFonts w:eastAsia="Calibri"/>
          <w:b/>
          <w:noProof/>
          <w:lang w:val="es-DO"/>
        </w:rPr>
      </w:pPr>
      <w:r w:rsidRPr="000C3458">
        <w:rPr>
          <w:rFonts w:eastAsia="Calibri"/>
          <w:b/>
          <w:noProof/>
          <w:lang w:val="es-DO"/>
        </w:rPr>
        <w:lastRenderedPageBreak/>
        <w:t>Cuadro No. 0</w:t>
      </w:r>
      <w:r w:rsidR="008D7279" w:rsidRPr="000C3458">
        <w:rPr>
          <w:rFonts w:eastAsia="Calibri"/>
          <w:b/>
          <w:noProof/>
          <w:lang w:val="es-DO"/>
        </w:rPr>
        <w:t>6</w:t>
      </w:r>
    </w:p>
    <w:p w14:paraId="1F65AD5E" w14:textId="77777777" w:rsidR="00D951F2" w:rsidRPr="000C3458" w:rsidRDefault="00D951F2" w:rsidP="00D64261">
      <w:pPr>
        <w:spacing w:after="0" w:line="360" w:lineRule="auto"/>
        <w:jc w:val="center"/>
        <w:rPr>
          <w:rFonts w:eastAsia="Calibri"/>
          <w:b/>
          <w:noProof/>
          <w:lang w:val="es-DO"/>
        </w:rPr>
      </w:pPr>
      <w:r w:rsidRPr="000C3458">
        <w:rPr>
          <w:rFonts w:eastAsia="Calibri"/>
          <w:b/>
          <w:noProof/>
          <w:lang w:val="es-DO"/>
        </w:rPr>
        <w:t xml:space="preserve">Tesorería Nacional </w:t>
      </w:r>
    </w:p>
    <w:tbl>
      <w:tblPr>
        <w:tblW w:w="5000" w:type="pct"/>
        <w:tblLayout w:type="fixed"/>
        <w:tblCellMar>
          <w:left w:w="70" w:type="dxa"/>
          <w:right w:w="70" w:type="dxa"/>
        </w:tblCellMar>
        <w:tblLook w:val="04A0" w:firstRow="1" w:lastRow="0" w:firstColumn="1" w:lastColumn="0" w:noHBand="0" w:noVBand="1"/>
      </w:tblPr>
      <w:tblGrid>
        <w:gridCol w:w="567"/>
        <w:gridCol w:w="6239"/>
        <w:gridCol w:w="1104"/>
      </w:tblGrid>
      <w:tr w:rsidR="00D951F2" w:rsidRPr="00B47076" w14:paraId="39E1932D" w14:textId="77777777" w:rsidTr="00B26AAB">
        <w:trPr>
          <w:trHeight w:val="426"/>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011C50"/>
            <w:noWrap/>
            <w:vAlign w:val="center"/>
          </w:tcPr>
          <w:p w14:paraId="1AB8AD6B" w14:textId="77777777" w:rsidR="00D951F2" w:rsidRPr="00D951F2" w:rsidRDefault="00D951F2" w:rsidP="00D64261">
            <w:pPr>
              <w:spacing w:line="360" w:lineRule="auto"/>
              <w:jc w:val="both"/>
              <w:rPr>
                <w:rFonts w:eastAsia="Calibri"/>
                <w:noProof/>
                <w:color w:val="FFFFFF" w:themeColor="background1"/>
                <w:lang w:val="es-DO"/>
              </w:rPr>
            </w:pPr>
            <w:r w:rsidRPr="00D951F2">
              <w:rPr>
                <w:rFonts w:eastAsia="Calibri"/>
                <w:b/>
                <w:noProof/>
                <w:color w:val="FFFFFF" w:themeColor="background1"/>
                <w:lang w:val="es-DO"/>
              </w:rPr>
              <w:t>GRUPO 1 y 2 VIRTUAL-febrero y marzo-2025</w:t>
            </w:r>
          </w:p>
        </w:tc>
      </w:tr>
      <w:tr w:rsidR="00D951F2" w:rsidRPr="00D951F2" w14:paraId="13FDA5BC" w14:textId="77777777" w:rsidTr="00B26AAB">
        <w:trPr>
          <w:trHeight w:val="426"/>
          <w:tblHeader/>
        </w:trPr>
        <w:tc>
          <w:tcPr>
            <w:tcW w:w="358" w:type="pct"/>
            <w:tcBorders>
              <w:top w:val="single" w:sz="4" w:space="0" w:color="auto"/>
              <w:left w:val="single" w:sz="4" w:space="0" w:color="auto"/>
              <w:bottom w:val="single" w:sz="4" w:space="0" w:color="auto"/>
            </w:tcBorders>
            <w:shd w:val="clear" w:color="auto" w:fill="011C50"/>
            <w:noWrap/>
            <w:vAlign w:val="center"/>
            <w:hideMark/>
          </w:tcPr>
          <w:p w14:paraId="1DD7ECC2" w14:textId="77777777" w:rsidR="00D951F2" w:rsidRPr="00D951F2" w:rsidRDefault="00D951F2" w:rsidP="00D64261">
            <w:pPr>
              <w:spacing w:line="360" w:lineRule="auto"/>
              <w:jc w:val="both"/>
              <w:rPr>
                <w:rFonts w:eastAsia="Calibri"/>
                <w:noProof/>
                <w:color w:val="FFFFFF" w:themeColor="background1"/>
                <w:lang w:val="es-DO"/>
              </w:rPr>
            </w:pPr>
            <w:r w:rsidRPr="00D951F2">
              <w:rPr>
                <w:rFonts w:eastAsia="Calibri"/>
                <w:noProof/>
                <w:color w:val="FFFFFF" w:themeColor="background1"/>
                <w:lang w:val="es-DO"/>
              </w:rPr>
              <w:t>No.</w:t>
            </w:r>
          </w:p>
        </w:tc>
        <w:tc>
          <w:tcPr>
            <w:tcW w:w="3944" w:type="pct"/>
            <w:tcBorders>
              <w:top w:val="single" w:sz="4" w:space="0" w:color="auto"/>
              <w:bottom w:val="single" w:sz="4" w:space="0" w:color="auto"/>
            </w:tcBorders>
            <w:shd w:val="clear" w:color="auto" w:fill="011C50"/>
            <w:noWrap/>
            <w:vAlign w:val="center"/>
            <w:hideMark/>
          </w:tcPr>
          <w:p w14:paraId="7FA285EC" w14:textId="77777777" w:rsidR="00D951F2" w:rsidRPr="00D951F2" w:rsidRDefault="00D951F2" w:rsidP="00D64261">
            <w:pPr>
              <w:spacing w:line="360" w:lineRule="auto"/>
              <w:jc w:val="both"/>
              <w:rPr>
                <w:rFonts w:eastAsia="Calibri"/>
                <w:noProof/>
                <w:color w:val="FFFFFF" w:themeColor="background1"/>
                <w:lang w:val="es-DO"/>
              </w:rPr>
            </w:pPr>
            <w:r w:rsidRPr="00D951F2">
              <w:rPr>
                <w:rFonts w:eastAsia="Calibri"/>
                <w:noProof/>
                <w:color w:val="FFFFFF" w:themeColor="background1"/>
                <w:lang w:val="es-DO"/>
              </w:rPr>
              <w:t xml:space="preserve">Nombre de la Institución </w:t>
            </w:r>
          </w:p>
        </w:tc>
        <w:tc>
          <w:tcPr>
            <w:tcW w:w="698" w:type="pct"/>
            <w:tcBorders>
              <w:top w:val="single" w:sz="4" w:space="0" w:color="auto"/>
              <w:bottom w:val="single" w:sz="4" w:space="0" w:color="auto"/>
              <w:right w:val="single" w:sz="4" w:space="0" w:color="auto"/>
            </w:tcBorders>
            <w:shd w:val="clear" w:color="auto" w:fill="011C50"/>
            <w:vAlign w:val="center"/>
            <w:hideMark/>
          </w:tcPr>
          <w:p w14:paraId="18F89876" w14:textId="77777777" w:rsidR="00D951F2" w:rsidRPr="00D951F2" w:rsidRDefault="00D951F2" w:rsidP="00D64261">
            <w:pPr>
              <w:spacing w:line="360" w:lineRule="auto"/>
              <w:jc w:val="both"/>
              <w:rPr>
                <w:rFonts w:eastAsia="Calibri"/>
                <w:noProof/>
                <w:color w:val="FFFFFF" w:themeColor="background1"/>
                <w:lang w:val="es-DO"/>
              </w:rPr>
            </w:pPr>
            <w:r w:rsidRPr="00D951F2">
              <w:rPr>
                <w:rFonts w:eastAsia="Calibri"/>
                <w:noProof/>
                <w:color w:val="FFFFFF" w:themeColor="background1"/>
                <w:lang w:val="es-DO"/>
              </w:rPr>
              <w:t xml:space="preserve">Cant./ Participantes </w:t>
            </w:r>
          </w:p>
        </w:tc>
      </w:tr>
      <w:tr w:rsidR="00D951F2" w:rsidRPr="00D951F2" w14:paraId="21F898A2" w14:textId="77777777" w:rsidTr="006F7E31">
        <w:trPr>
          <w:trHeight w:val="514"/>
        </w:trPr>
        <w:tc>
          <w:tcPr>
            <w:tcW w:w="358" w:type="pct"/>
            <w:tcBorders>
              <w:top w:val="single" w:sz="4" w:space="0" w:color="auto"/>
              <w:left w:val="nil"/>
            </w:tcBorders>
            <w:noWrap/>
            <w:vAlign w:val="center"/>
            <w:hideMark/>
          </w:tcPr>
          <w:p w14:paraId="04CBDFFD"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1</w:t>
            </w:r>
          </w:p>
        </w:tc>
        <w:tc>
          <w:tcPr>
            <w:tcW w:w="3944" w:type="pct"/>
            <w:tcBorders>
              <w:top w:val="single" w:sz="4" w:space="0" w:color="auto"/>
            </w:tcBorders>
            <w:noWrap/>
            <w:vAlign w:val="center"/>
            <w:hideMark/>
          </w:tcPr>
          <w:p w14:paraId="1C5C935A"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Ministerio Publico</w:t>
            </w:r>
          </w:p>
        </w:tc>
        <w:tc>
          <w:tcPr>
            <w:tcW w:w="698" w:type="pct"/>
            <w:tcBorders>
              <w:top w:val="single" w:sz="4" w:space="0" w:color="auto"/>
            </w:tcBorders>
            <w:noWrap/>
            <w:vAlign w:val="center"/>
            <w:hideMark/>
          </w:tcPr>
          <w:p w14:paraId="268D9E24"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1</w:t>
            </w:r>
          </w:p>
        </w:tc>
      </w:tr>
      <w:tr w:rsidR="00D951F2" w:rsidRPr="00D951F2" w14:paraId="4283870A" w14:textId="77777777" w:rsidTr="006F7E31">
        <w:trPr>
          <w:trHeight w:val="514"/>
        </w:trPr>
        <w:tc>
          <w:tcPr>
            <w:tcW w:w="358" w:type="pct"/>
            <w:tcBorders>
              <w:top w:val="nil"/>
              <w:left w:val="nil"/>
              <w:bottom w:val="nil"/>
            </w:tcBorders>
            <w:shd w:val="clear" w:color="auto" w:fill="D9D9D9"/>
            <w:noWrap/>
            <w:vAlign w:val="center"/>
            <w:hideMark/>
          </w:tcPr>
          <w:p w14:paraId="59043240"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2</w:t>
            </w:r>
          </w:p>
        </w:tc>
        <w:tc>
          <w:tcPr>
            <w:tcW w:w="3944" w:type="pct"/>
            <w:tcBorders>
              <w:top w:val="nil"/>
              <w:bottom w:val="nil"/>
            </w:tcBorders>
            <w:shd w:val="clear" w:color="auto" w:fill="D9D9D9"/>
            <w:vAlign w:val="center"/>
            <w:hideMark/>
          </w:tcPr>
          <w:p w14:paraId="1108B252"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Direccion Gral. De Serv. Penitenciarios Y Correc. </w:t>
            </w:r>
          </w:p>
        </w:tc>
        <w:tc>
          <w:tcPr>
            <w:tcW w:w="698" w:type="pct"/>
            <w:tcBorders>
              <w:top w:val="nil"/>
              <w:bottom w:val="nil"/>
            </w:tcBorders>
            <w:shd w:val="clear" w:color="auto" w:fill="D9D9D9"/>
            <w:vAlign w:val="center"/>
            <w:hideMark/>
          </w:tcPr>
          <w:p w14:paraId="15ADAAF0"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2</w:t>
            </w:r>
          </w:p>
        </w:tc>
      </w:tr>
      <w:tr w:rsidR="00D951F2" w:rsidRPr="00D951F2" w14:paraId="45C08D60" w14:textId="77777777" w:rsidTr="006F7E31">
        <w:trPr>
          <w:trHeight w:val="514"/>
        </w:trPr>
        <w:tc>
          <w:tcPr>
            <w:tcW w:w="358" w:type="pct"/>
            <w:tcBorders>
              <w:left w:val="nil"/>
              <w:bottom w:val="nil"/>
            </w:tcBorders>
            <w:noWrap/>
            <w:vAlign w:val="center"/>
            <w:hideMark/>
          </w:tcPr>
          <w:p w14:paraId="4AE059E8"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3</w:t>
            </w:r>
          </w:p>
        </w:tc>
        <w:tc>
          <w:tcPr>
            <w:tcW w:w="3944" w:type="pct"/>
            <w:tcBorders>
              <w:bottom w:val="nil"/>
            </w:tcBorders>
            <w:vAlign w:val="center"/>
            <w:hideMark/>
          </w:tcPr>
          <w:p w14:paraId="1BE5F9DE"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Instituto De Cancer Rosa Emilia Tavares (INCART)</w:t>
            </w:r>
          </w:p>
        </w:tc>
        <w:tc>
          <w:tcPr>
            <w:tcW w:w="698" w:type="pct"/>
            <w:tcBorders>
              <w:bottom w:val="nil"/>
            </w:tcBorders>
            <w:vAlign w:val="center"/>
            <w:hideMark/>
          </w:tcPr>
          <w:p w14:paraId="60AF724B"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3</w:t>
            </w:r>
          </w:p>
        </w:tc>
      </w:tr>
      <w:tr w:rsidR="00D951F2" w:rsidRPr="00D951F2" w14:paraId="0337842E" w14:textId="77777777" w:rsidTr="006F7E31">
        <w:trPr>
          <w:trHeight w:val="514"/>
        </w:trPr>
        <w:tc>
          <w:tcPr>
            <w:tcW w:w="358" w:type="pct"/>
            <w:tcBorders>
              <w:left w:val="nil"/>
              <w:bottom w:val="nil"/>
            </w:tcBorders>
            <w:shd w:val="clear" w:color="auto" w:fill="D9D9D9"/>
            <w:noWrap/>
            <w:vAlign w:val="center"/>
            <w:hideMark/>
          </w:tcPr>
          <w:p w14:paraId="06FC6575"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4</w:t>
            </w:r>
          </w:p>
        </w:tc>
        <w:tc>
          <w:tcPr>
            <w:tcW w:w="3944" w:type="pct"/>
            <w:tcBorders>
              <w:bottom w:val="nil"/>
            </w:tcBorders>
            <w:shd w:val="clear" w:color="auto" w:fill="D9D9D9"/>
            <w:noWrap/>
            <w:vAlign w:val="center"/>
            <w:hideMark/>
          </w:tcPr>
          <w:p w14:paraId="1BCCFB38"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Instituto Dominicano de Prevención y Protección de Riesgos Laborales (IDOPPRIL)</w:t>
            </w:r>
          </w:p>
        </w:tc>
        <w:tc>
          <w:tcPr>
            <w:tcW w:w="698" w:type="pct"/>
            <w:tcBorders>
              <w:bottom w:val="nil"/>
            </w:tcBorders>
            <w:shd w:val="clear" w:color="auto" w:fill="D9D9D9"/>
            <w:noWrap/>
            <w:vAlign w:val="center"/>
            <w:hideMark/>
          </w:tcPr>
          <w:p w14:paraId="21CE5249"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3</w:t>
            </w:r>
          </w:p>
        </w:tc>
      </w:tr>
      <w:tr w:rsidR="00D951F2" w:rsidRPr="00D951F2" w14:paraId="62A1D663" w14:textId="77777777" w:rsidTr="006F7E31">
        <w:trPr>
          <w:trHeight w:val="514"/>
        </w:trPr>
        <w:tc>
          <w:tcPr>
            <w:tcW w:w="358" w:type="pct"/>
            <w:tcBorders>
              <w:left w:val="nil"/>
            </w:tcBorders>
            <w:noWrap/>
            <w:vAlign w:val="center"/>
            <w:hideMark/>
          </w:tcPr>
          <w:p w14:paraId="03D67B08"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5</w:t>
            </w:r>
          </w:p>
        </w:tc>
        <w:tc>
          <w:tcPr>
            <w:tcW w:w="3944" w:type="pct"/>
            <w:vAlign w:val="center"/>
            <w:hideMark/>
          </w:tcPr>
          <w:p w14:paraId="563A9CBA"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Ayuntamiento Municipal Del Cercado</w:t>
            </w:r>
          </w:p>
        </w:tc>
        <w:tc>
          <w:tcPr>
            <w:tcW w:w="698" w:type="pct"/>
            <w:vAlign w:val="center"/>
            <w:hideMark/>
          </w:tcPr>
          <w:p w14:paraId="219B6C98"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1</w:t>
            </w:r>
          </w:p>
        </w:tc>
      </w:tr>
      <w:tr w:rsidR="00D951F2" w:rsidRPr="00D951F2" w14:paraId="09DFF11B" w14:textId="77777777" w:rsidTr="006F7E31">
        <w:trPr>
          <w:trHeight w:val="514"/>
        </w:trPr>
        <w:tc>
          <w:tcPr>
            <w:tcW w:w="358" w:type="pct"/>
            <w:tcBorders>
              <w:top w:val="nil"/>
              <w:left w:val="nil"/>
              <w:bottom w:val="nil"/>
            </w:tcBorders>
            <w:shd w:val="clear" w:color="auto" w:fill="D9D9D9"/>
            <w:noWrap/>
            <w:vAlign w:val="center"/>
            <w:hideMark/>
          </w:tcPr>
          <w:p w14:paraId="75AA85A1"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6</w:t>
            </w:r>
          </w:p>
        </w:tc>
        <w:tc>
          <w:tcPr>
            <w:tcW w:w="3944" w:type="pct"/>
            <w:tcBorders>
              <w:top w:val="nil"/>
              <w:bottom w:val="nil"/>
            </w:tcBorders>
            <w:shd w:val="clear" w:color="auto" w:fill="D9D9D9"/>
            <w:vAlign w:val="center"/>
            <w:hideMark/>
          </w:tcPr>
          <w:p w14:paraId="29D56062"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 xml:space="preserve">Ministerio de Economia </w:t>
            </w:r>
          </w:p>
        </w:tc>
        <w:tc>
          <w:tcPr>
            <w:tcW w:w="698" w:type="pct"/>
            <w:tcBorders>
              <w:top w:val="nil"/>
              <w:bottom w:val="nil"/>
            </w:tcBorders>
            <w:shd w:val="clear" w:color="auto" w:fill="D9D9D9"/>
            <w:vAlign w:val="center"/>
            <w:hideMark/>
          </w:tcPr>
          <w:p w14:paraId="79DF62D8"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3</w:t>
            </w:r>
          </w:p>
        </w:tc>
      </w:tr>
      <w:tr w:rsidR="00D951F2" w:rsidRPr="00D951F2" w14:paraId="41E4EF00" w14:textId="77777777" w:rsidTr="006F7E31">
        <w:trPr>
          <w:trHeight w:val="514"/>
        </w:trPr>
        <w:tc>
          <w:tcPr>
            <w:tcW w:w="358" w:type="pct"/>
            <w:tcBorders>
              <w:left w:val="nil"/>
              <w:bottom w:val="nil"/>
            </w:tcBorders>
            <w:noWrap/>
            <w:vAlign w:val="center"/>
            <w:hideMark/>
          </w:tcPr>
          <w:p w14:paraId="6F315D5E"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7</w:t>
            </w:r>
          </w:p>
        </w:tc>
        <w:tc>
          <w:tcPr>
            <w:tcW w:w="3944" w:type="pct"/>
            <w:tcBorders>
              <w:bottom w:val="nil"/>
            </w:tcBorders>
            <w:vAlign w:val="center"/>
            <w:hideMark/>
          </w:tcPr>
          <w:p w14:paraId="53D7C0B4"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Ministerio de Industria y Comercio</w:t>
            </w:r>
          </w:p>
        </w:tc>
        <w:tc>
          <w:tcPr>
            <w:tcW w:w="698" w:type="pct"/>
            <w:tcBorders>
              <w:bottom w:val="nil"/>
            </w:tcBorders>
            <w:vAlign w:val="center"/>
            <w:hideMark/>
          </w:tcPr>
          <w:p w14:paraId="1708A66A"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3</w:t>
            </w:r>
          </w:p>
        </w:tc>
      </w:tr>
      <w:tr w:rsidR="00D951F2" w:rsidRPr="00D951F2" w14:paraId="6FC87EAC" w14:textId="77777777" w:rsidTr="006F7E31">
        <w:trPr>
          <w:trHeight w:val="514"/>
        </w:trPr>
        <w:tc>
          <w:tcPr>
            <w:tcW w:w="358" w:type="pct"/>
            <w:tcBorders>
              <w:left w:val="nil"/>
            </w:tcBorders>
            <w:shd w:val="clear" w:color="auto" w:fill="D9D9D9"/>
            <w:noWrap/>
            <w:vAlign w:val="center"/>
            <w:hideMark/>
          </w:tcPr>
          <w:p w14:paraId="06B19936"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8</w:t>
            </w:r>
          </w:p>
        </w:tc>
        <w:tc>
          <w:tcPr>
            <w:tcW w:w="3944" w:type="pct"/>
            <w:shd w:val="clear" w:color="auto" w:fill="D9D9D9"/>
            <w:vAlign w:val="center"/>
            <w:hideMark/>
          </w:tcPr>
          <w:p w14:paraId="664F67A9"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Gobernacion Prov. La Romana</w:t>
            </w:r>
          </w:p>
        </w:tc>
        <w:tc>
          <w:tcPr>
            <w:tcW w:w="698" w:type="pct"/>
            <w:shd w:val="clear" w:color="auto" w:fill="D9D9D9"/>
            <w:vAlign w:val="center"/>
            <w:hideMark/>
          </w:tcPr>
          <w:p w14:paraId="0F489D55"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1</w:t>
            </w:r>
          </w:p>
        </w:tc>
      </w:tr>
      <w:tr w:rsidR="00D951F2" w:rsidRPr="00D951F2" w14:paraId="319803F4" w14:textId="77777777" w:rsidTr="006F7E31">
        <w:trPr>
          <w:trHeight w:val="514"/>
        </w:trPr>
        <w:tc>
          <w:tcPr>
            <w:tcW w:w="358" w:type="pct"/>
            <w:tcBorders>
              <w:top w:val="nil"/>
              <w:left w:val="nil"/>
              <w:bottom w:val="nil"/>
            </w:tcBorders>
            <w:noWrap/>
            <w:vAlign w:val="center"/>
            <w:hideMark/>
          </w:tcPr>
          <w:p w14:paraId="79B0808C"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9</w:t>
            </w:r>
          </w:p>
        </w:tc>
        <w:tc>
          <w:tcPr>
            <w:tcW w:w="3944" w:type="pct"/>
            <w:tcBorders>
              <w:top w:val="nil"/>
              <w:bottom w:val="nil"/>
            </w:tcBorders>
            <w:vAlign w:val="center"/>
            <w:hideMark/>
          </w:tcPr>
          <w:p w14:paraId="034062A4"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Instituto Nac. de Bienestar Magisterial (INABIMA)</w:t>
            </w:r>
          </w:p>
        </w:tc>
        <w:tc>
          <w:tcPr>
            <w:tcW w:w="698" w:type="pct"/>
            <w:tcBorders>
              <w:top w:val="nil"/>
              <w:bottom w:val="nil"/>
            </w:tcBorders>
            <w:vAlign w:val="center"/>
            <w:hideMark/>
          </w:tcPr>
          <w:p w14:paraId="5814D0B8"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2</w:t>
            </w:r>
          </w:p>
        </w:tc>
      </w:tr>
      <w:tr w:rsidR="00D951F2" w:rsidRPr="00D951F2" w14:paraId="10E9CB9D" w14:textId="77777777" w:rsidTr="006F7E31">
        <w:trPr>
          <w:trHeight w:val="514"/>
        </w:trPr>
        <w:tc>
          <w:tcPr>
            <w:tcW w:w="358" w:type="pct"/>
            <w:tcBorders>
              <w:left w:val="nil"/>
            </w:tcBorders>
            <w:shd w:val="clear" w:color="auto" w:fill="D9D9D9"/>
            <w:noWrap/>
            <w:vAlign w:val="center"/>
            <w:hideMark/>
          </w:tcPr>
          <w:p w14:paraId="2FDC81B5"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10</w:t>
            </w:r>
          </w:p>
        </w:tc>
        <w:tc>
          <w:tcPr>
            <w:tcW w:w="3944" w:type="pct"/>
            <w:shd w:val="clear" w:color="auto" w:fill="D9D9D9"/>
            <w:vAlign w:val="center"/>
            <w:hideMark/>
          </w:tcPr>
          <w:p w14:paraId="3968BCF8"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Ayuntamiento Municipal de Vallejuelo</w:t>
            </w:r>
          </w:p>
        </w:tc>
        <w:tc>
          <w:tcPr>
            <w:tcW w:w="698" w:type="pct"/>
            <w:shd w:val="clear" w:color="auto" w:fill="D9D9D9"/>
            <w:vAlign w:val="center"/>
            <w:hideMark/>
          </w:tcPr>
          <w:p w14:paraId="02264320"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1</w:t>
            </w:r>
          </w:p>
        </w:tc>
      </w:tr>
      <w:tr w:rsidR="00D951F2" w:rsidRPr="00D951F2" w14:paraId="631BC4B2" w14:textId="77777777" w:rsidTr="006F7E31">
        <w:trPr>
          <w:trHeight w:val="514"/>
        </w:trPr>
        <w:tc>
          <w:tcPr>
            <w:tcW w:w="358" w:type="pct"/>
            <w:tcBorders>
              <w:top w:val="nil"/>
              <w:left w:val="nil"/>
            </w:tcBorders>
            <w:noWrap/>
            <w:vAlign w:val="center"/>
            <w:hideMark/>
          </w:tcPr>
          <w:p w14:paraId="74350739"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11</w:t>
            </w:r>
          </w:p>
        </w:tc>
        <w:tc>
          <w:tcPr>
            <w:tcW w:w="3944" w:type="pct"/>
            <w:tcBorders>
              <w:top w:val="nil"/>
            </w:tcBorders>
            <w:vAlign w:val="center"/>
            <w:hideMark/>
          </w:tcPr>
          <w:p w14:paraId="31630799"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Direccion Gral. de Pasaportes</w:t>
            </w:r>
          </w:p>
        </w:tc>
        <w:tc>
          <w:tcPr>
            <w:tcW w:w="698" w:type="pct"/>
            <w:tcBorders>
              <w:top w:val="nil"/>
            </w:tcBorders>
            <w:vAlign w:val="center"/>
            <w:hideMark/>
          </w:tcPr>
          <w:p w14:paraId="3F275605"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1</w:t>
            </w:r>
          </w:p>
        </w:tc>
      </w:tr>
      <w:tr w:rsidR="00D951F2" w:rsidRPr="00D951F2" w14:paraId="39DF1E80" w14:textId="77777777" w:rsidTr="006F7E31">
        <w:trPr>
          <w:trHeight w:val="514"/>
        </w:trPr>
        <w:tc>
          <w:tcPr>
            <w:tcW w:w="358" w:type="pct"/>
            <w:tcBorders>
              <w:top w:val="nil"/>
              <w:left w:val="nil"/>
              <w:bottom w:val="nil"/>
            </w:tcBorders>
            <w:shd w:val="clear" w:color="auto" w:fill="D9D9D9"/>
            <w:noWrap/>
            <w:vAlign w:val="center"/>
            <w:hideMark/>
          </w:tcPr>
          <w:p w14:paraId="3B55DA6C"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12</w:t>
            </w:r>
          </w:p>
        </w:tc>
        <w:tc>
          <w:tcPr>
            <w:tcW w:w="3944" w:type="pct"/>
            <w:tcBorders>
              <w:top w:val="nil"/>
              <w:bottom w:val="nil"/>
            </w:tcBorders>
            <w:shd w:val="clear" w:color="auto" w:fill="D9D9D9"/>
            <w:vAlign w:val="center"/>
            <w:hideMark/>
          </w:tcPr>
          <w:p w14:paraId="67A94171"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Oficina Nac. de Defensa Publica</w:t>
            </w:r>
          </w:p>
        </w:tc>
        <w:tc>
          <w:tcPr>
            <w:tcW w:w="698" w:type="pct"/>
            <w:tcBorders>
              <w:top w:val="nil"/>
              <w:bottom w:val="nil"/>
            </w:tcBorders>
            <w:shd w:val="clear" w:color="auto" w:fill="D9D9D9"/>
            <w:vAlign w:val="center"/>
            <w:hideMark/>
          </w:tcPr>
          <w:p w14:paraId="63406E94"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3</w:t>
            </w:r>
          </w:p>
        </w:tc>
      </w:tr>
      <w:tr w:rsidR="00D951F2" w:rsidRPr="00D951F2" w14:paraId="7E1C0A3A" w14:textId="77777777" w:rsidTr="006F7E31">
        <w:trPr>
          <w:trHeight w:val="594"/>
        </w:trPr>
        <w:tc>
          <w:tcPr>
            <w:tcW w:w="358" w:type="pct"/>
            <w:tcBorders>
              <w:left w:val="nil"/>
              <w:bottom w:val="nil"/>
            </w:tcBorders>
            <w:noWrap/>
            <w:vAlign w:val="center"/>
            <w:hideMark/>
          </w:tcPr>
          <w:p w14:paraId="3FA1DC35"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13</w:t>
            </w:r>
          </w:p>
        </w:tc>
        <w:tc>
          <w:tcPr>
            <w:tcW w:w="3944" w:type="pct"/>
            <w:tcBorders>
              <w:bottom w:val="nil"/>
            </w:tcBorders>
            <w:vAlign w:val="center"/>
            <w:hideMark/>
          </w:tcPr>
          <w:p w14:paraId="3F89B093"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Concejo Nac. de Seguridad Social</w:t>
            </w:r>
          </w:p>
        </w:tc>
        <w:tc>
          <w:tcPr>
            <w:tcW w:w="698" w:type="pct"/>
            <w:tcBorders>
              <w:bottom w:val="nil"/>
            </w:tcBorders>
            <w:vAlign w:val="center"/>
            <w:hideMark/>
          </w:tcPr>
          <w:p w14:paraId="2047D0A5"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3</w:t>
            </w:r>
          </w:p>
        </w:tc>
      </w:tr>
      <w:tr w:rsidR="00D951F2" w:rsidRPr="00D951F2" w14:paraId="1EBA860B" w14:textId="77777777" w:rsidTr="006F7E31">
        <w:trPr>
          <w:trHeight w:val="514"/>
        </w:trPr>
        <w:tc>
          <w:tcPr>
            <w:tcW w:w="358" w:type="pct"/>
            <w:tcBorders>
              <w:left w:val="nil"/>
              <w:bottom w:val="nil"/>
            </w:tcBorders>
            <w:shd w:val="clear" w:color="auto" w:fill="D9D9D9"/>
            <w:noWrap/>
            <w:vAlign w:val="center"/>
            <w:hideMark/>
          </w:tcPr>
          <w:p w14:paraId="14C14D6E"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14</w:t>
            </w:r>
          </w:p>
        </w:tc>
        <w:tc>
          <w:tcPr>
            <w:tcW w:w="3944" w:type="pct"/>
            <w:tcBorders>
              <w:bottom w:val="nil"/>
            </w:tcBorders>
            <w:shd w:val="clear" w:color="auto" w:fill="D9D9D9"/>
            <w:vAlign w:val="center"/>
            <w:hideMark/>
          </w:tcPr>
          <w:p w14:paraId="56C44043"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Oficina Para El Reordenamiento del Transporte (OPRET)</w:t>
            </w:r>
          </w:p>
        </w:tc>
        <w:tc>
          <w:tcPr>
            <w:tcW w:w="698" w:type="pct"/>
            <w:tcBorders>
              <w:bottom w:val="nil"/>
            </w:tcBorders>
            <w:shd w:val="clear" w:color="auto" w:fill="D9D9D9"/>
            <w:vAlign w:val="center"/>
            <w:hideMark/>
          </w:tcPr>
          <w:p w14:paraId="41E2393C"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3</w:t>
            </w:r>
          </w:p>
        </w:tc>
      </w:tr>
      <w:tr w:rsidR="00D951F2" w:rsidRPr="00D951F2" w14:paraId="2BCF8C2C" w14:textId="77777777" w:rsidTr="006F7E31">
        <w:trPr>
          <w:trHeight w:val="514"/>
        </w:trPr>
        <w:tc>
          <w:tcPr>
            <w:tcW w:w="358" w:type="pct"/>
            <w:tcBorders>
              <w:left w:val="nil"/>
              <w:bottom w:val="nil"/>
            </w:tcBorders>
            <w:noWrap/>
            <w:vAlign w:val="center"/>
            <w:hideMark/>
          </w:tcPr>
          <w:p w14:paraId="74B52644"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15</w:t>
            </w:r>
          </w:p>
        </w:tc>
        <w:tc>
          <w:tcPr>
            <w:tcW w:w="3944" w:type="pct"/>
            <w:tcBorders>
              <w:bottom w:val="nil"/>
            </w:tcBorders>
            <w:vAlign w:val="center"/>
            <w:hideMark/>
          </w:tcPr>
          <w:p w14:paraId="6489E979"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Instituto Tecnologico de Las Americas (ITLA)</w:t>
            </w:r>
          </w:p>
        </w:tc>
        <w:tc>
          <w:tcPr>
            <w:tcW w:w="698" w:type="pct"/>
            <w:tcBorders>
              <w:bottom w:val="nil"/>
            </w:tcBorders>
            <w:vAlign w:val="center"/>
            <w:hideMark/>
          </w:tcPr>
          <w:p w14:paraId="19CEC105"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3</w:t>
            </w:r>
          </w:p>
        </w:tc>
      </w:tr>
      <w:tr w:rsidR="00D951F2" w:rsidRPr="00D951F2" w14:paraId="322903A2" w14:textId="77777777" w:rsidTr="006F7E31">
        <w:trPr>
          <w:trHeight w:val="401"/>
        </w:trPr>
        <w:tc>
          <w:tcPr>
            <w:tcW w:w="358" w:type="pct"/>
            <w:tcBorders>
              <w:left w:val="nil"/>
              <w:bottom w:val="nil"/>
            </w:tcBorders>
            <w:shd w:val="clear" w:color="auto" w:fill="D9D9D9"/>
            <w:noWrap/>
            <w:vAlign w:val="center"/>
            <w:hideMark/>
          </w:tcPr>
          <w:p w14:paraId="54414608"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lastRenderedPageBreak/>
              <w:t>16</w:t>
            </w:r>
          </w:p>
        </w:tc>
        <w:tc>
          <w:tcPr>
            <w:tcW w:w="3944" w:type="pct"/>
            <w:tcBorders>
              <w:bottom w:val="nil"/>
            </w:tcBorders>
            <w:shd w:val="clear" w:color="auto" w:fill="D9D9D9"/>
            <w:vAlign w:val="center"/>
            <w:hideMark/>
          </w:tcPr>
          <w:p w14:paraId="672876C6"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Promipyme</w:t>
            </w:r>
          </w:p>
        </w:tc>
        <w:tc>
          <w:tcPr>
            <w:tcW w:w="698" w:type="pct"/>
            <w:tcBorders>
              <w:bottom w:val="nil"/>
            </w:tcBorders>
            <w:shd w:val="clear" w:color="auto" w:fill="D9D9D9"/>
            <w:vAlign w:val="center"/>
            <w:hideMark/>
          </w:tcPr>
          <w:p w14:paraId="166169EA"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2</w:t>
            </w:r>
          </w:p>
        </w:tc>
      </w:tr>
      <w:tr w:rsidR="00D951F2" w:rsidRPr="00D951F2" w14:paraId="20716CB7" w14:textId="77777777" w:rsidTr="006F7E31">
        <w:trPr>
          <w:trHeight w:val="514"/>
        </w:trPr>
        <w:tc>
          <w:tcPr>
            <w:tcW w:w="358" w:type="pct"/>
            <w:tcBorders>
              <w:left w:val="nil"/>
              <w:bottom w:val="nil"/>
            </w:tcBorders>
            <w:noWrap/>
            <w:vAlign w:val="center"/>
            <w:hideMark/>
          </w:tcPr>
          <w:p w14:paraId="6A7D3E95"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17</w:t>
            </w:r>
          </w:p>
        </w:tc>
        <w:tc>
          <w:tcPr>
            <w:tcW w:w="3944" w:type="pct"/>
            <w:tcBorders>
              <w:bottom w:val="nil"/>
            </w:tcBorders>
            <w:vAlign w:val="center"/>
            <w:hideMark/>
          </w:tcPr>
          <w:p w14:paraId="61D6C713"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Tesoreria de la Seguridad Social</w:t>
            </w:r>
          </w:p>
        </w:tc>
        <w:tc>
          <w:tcPr>
            <w:tcW w:w="698" w:type="pct"/>
            <w:tcBorders>
              <w:bottom w:val="nil"/>
            </w:tcBorders>
            <w:vAlign w:val="center"/>
            <w:hideMark/>
          </w:tcPr>
          <w:p w14:paraId="07A001CB"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2</w:t>
            </w:r>
          </w:p>
        </w:tc>
      </w:tr>
      <w:tr w:rsidR="00D951F2" w:rsidRPr="00D951F2" w14:paraId="658782D9" w14:textId="77777777" w:rsidTr="006F7E31">
        <w:trPr>
          <w:trHeight w:val="514"/>
        </w:trPr>
        <w:tc>
          <w:tcPr>
            <w:tcW w:w="358" w:type="pct"/>
            <w:tcBorders>
              <w:left w:val="nil"/>
              <w:bottom w:val="nil"/>
            </w:tcBorders>
            <w:shd w:val="clear" w:color="auto" w:fill="D9D9D9"/>
            <w:noWrap/>
            <w:vAlign w:val="center"/>
            <w:hideMark/>
          </w:tcPr>
          <w:p w14:paraId="3A646326"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18</w:t>
            </w:r>
          </w:p>
        </w:tc>
        <w:tc>
          <w:tcPr>
            <w:tcW w:w="3944" w:type="pct"/>
            <w:tcBorders>
              <w:bottom w:val="nil"/>
            </w:tcBorders>
            <w:shd w:val="clear" w:color="auto" w:fill="D9D9D9"/>
            <w:vAlign w:val="center"/>
            <w:hideMark/>
          </w:tcPr>
          <w:p w14:paraId="383C8B43"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Fuerza Aerea de la Republica Dominica</w:t>
            </w:r>
          </w:p>
        </w:tc>
        <w:tc>
          <w:tcPr>
            <w:tcW w:w="698" w:type="pct"/>
            <w:tcBorders>
              <w:bottom w:val="nil"/>
            </w:tcBorders>
            <w:shd w:val="clear" w:color="auto" w:fill="D9D9D9"/>
            <w:vAlign w:val="center"/>
            <w:hideMark/>
          </w:tcPr>
          <w:p w14:paraId="05B756BF"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3</w:t>
            </w:r>
          </w:p>
        </w:tc>
      </w:tr>
      <w:tr w:rsidR="00D951F2" w:rsidRPr="00D951F2" w14:paraId="79ED2C31" w14:textId="77777777" w:rsidTr="006F7E31">
        <w:trPr>
          <w:trHeight w:val="514"/>
        </w:trPr>
        <w:tc>
          <w:tcPr>
            <w:tcW w:w="358" w:type="pct"/>
            <w:tcBorders>
              <w:left w:val="nil"/>
            </w:tcBorders>
            <w:noWrap/>
            <w:vAlign w:val="center"/>
            <w:hideMark/>
          </w:tcPr>
          <w:p w14:paraId="1AB3B825"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19</w:t>
            </w:r>
          </w:p>
        </w:tc>
        <w:tc>
          <w:tcPr>
            <w:tcW w:w="3944" w:type="pct"/>
            <w:vAlign w:val="center"/>
            <w:hideMark/>
          </w:tcPr>
          <w:p w14:paraId="7BAC19D6"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Direccion General de Presupuesto (Digepres)</w:t>
            </w:r>
          </w:p>
        </w:tc>
        <w:tc>
          <w:tcPr>
            <w:tcW w:w="698" w:type="pct"/>
            <w:vAlign w:val="center"/>
            <w:hideMark/>
          </w:tcPr>
          <w:p w14:paraId="14682201"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1</w:t>
            </w:r>
          </w:p>
        </w:tc>
      </w:tr>
      <w:tr w:rsidR="00D951F2" w:rsidRPr="00D951F2" w14:paraId="05215297" w14:textId="77777777" w:rsidTr="006F7E31">
        <w:trPr>
          <w:trHeight w:val="514"/>
        </w:trPr>
        <w:tc>
          <w:tcPr>
            <w:tcW w:w="358" w:type="pct"/>
            <w:tcBorders>
              <w:top w:val="nil"/>
              <w:left w:val="nil"/>
            </w:tcBorders>
            <w:shd w:val="clear" w:color="auto" w:fill="D9D9D9"/>
            <w:noWrap/>
            <w:vAlign w:val="center"/>
            <w:hideMark/>
          </w:tcPr>
          <w:p w14:paraId="1AC55DF9"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20</w:t>
            </w:r>
          </w:p>
        </w:tc>
        <w:tc>
          <w:tcPr>
            <w:tcW w:w="3944" w:type="pct"/>
            <w:tcBorders>
              <w:top w:val="nil"/>
            </w:tcBorders>
            <w:shd w:val="clear" w:color="auto" w:fill="D9D9D9"/>
            <w:vAlign w:val="center"/>
            <w:hideMark/>
          </w:tcPr>
          <w:p w14:paraId="20B2CAD6"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Hospital Gral. y de Esp. Ntra. Sra. Altagracia</w:t>
            </w:r>
          </w:p>
        </w:tc>
        <w:tc>
          <w:tcPr>
            <w:tcW w:w="698" w:type="pct"/>
            <w:tcBorders>
              <w:top w:val="nil"/>
            </w:tcBorders>
            <w:shd w:val="clear" w:color="auto" w:fill="D9D9D9"/>
            <w:vAlign w:val="center"/>
            <w:hideMark/>
          </w:tcPr>
          <w:p w14:paraId="061C421F"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1</w:t>
            </w:r>
          </w:p>
        </w:tc>
      </w:tr>
      <w:tr w:rsidR="00D951F2" w:rsidRPr="00D951F2" w14:paraId="19B13743" w14:textId="77777777" w:rsidTr="006F7E31">
        <w:trPr>
          <w:trHeight w:val="514"/>
        </w:trPr>
        <w:tc>
          <w:tcPr>
            <w:tcW w:w="358" w:type="pct"/>
            <w:tcBorders>
              <w:top w:val="nil"/>
              <w:left w:val="nil"/>
              <w:bottom w:val="nil"/>
            </w:tcBorders>
            <w:noWrap/>
            <w:vAlign w:val="center"/>
            <w:hideMark/>
          </w:tcPr>
          <w:p w14:paraId="6A6A2E97"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21</w:t>
            </w:r>
          </w:p>
        </w:tc>
        <w:tc>
          <w:tcPr>
            <w:tcW w:w="3944" w:type="pct"/>
            <w:tcBorders>
              <w:top w:val="nil"/>
              <w:bottom w:val="nil"/>
            </w:tcBorders>
            <w:vAlign w:val="center"/>
            <w:hideMark/>
          </w:tcPr>
          <w:p w14:paraId="068A387E"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Ayuntamiento de Comendador</w:t>
            </w:r>
          </w:p>
        </w:tc>
        <w:tc>
          <w:tcPr>
            <w:tcW w:w="698" w:type="pct"/>
            <w:tcBorders>
              <w:top w:val="nil"/>
              <w:bottom w:val="nil"/>
            </w:tcBorders>
            <w:vAlign w:val="center"/>
            <w:hideMark/>
          </w:tcPr>
          <w:p w14:paraId="7FA5E0E2"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2</w:t>
            </w:r>
          </w:p>
        </w:tc>
      </w:tr>
      <w:tr w:rsidR="00D951F2" w:rsidRPr="00D951F2" w14:paraId="3F16C9E5" w14:textId="77777777" w:rsidTr="006F7E31">
        <w:trPr>
          <w:trHeight w:val="514"/>
        </w:trPr>
        <w:tc>
          <w:tcPr>
            <w:tcW w:w="358" w:type="pct"/>
            <w:tcBorders>
              <w:left w:val="nil"/>
              <w:bottom w:val="nil"/>
            </w:tcBorders>
            <w:shd w:val="clear" w:color="auto" w:fill="D9D9D9"/>
            <w:noWrap/>
            <w:vAlign w:val="center"/>
            <w:hideMark/>
          </w:tcPr>
          <w:p w14:paraId="3EA1D43D"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22</w:t>
            </w:r>
          </w:p>
        </w:tc>
        <w:tc>
          <w:tcPr>
            <w:tcW w:w="3944" w:type="pct"/>
            <w:tcBorders>
              <w:bottom w:val="nil"/>
            </w:tcBorders>
            <w:shd w:val="clear" w:color="auto" w:fill="D9D9D9"/>
            <w:vAlign w:val="center"/>
            <w:hideMark/>
          </w:tcPr>
          <w:p w14:paraId="61580C43"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Hospital de La Policia Nacional</w:t>
            </w:r>
          </w:p>
        </w:tc>
        <w:tc>
          <w:tcPr>
            <w:tcW w:w="698" w:type="pct"/>
            <w:tcBorders>
              <w:bottom w:val="nil"/>
            </w:tcBorders>
            <w:shd w:val="clear" w:color="auto" w:fill="D9D9D9"/>
            <w:vAlign w:val="center"/>
            <w:hideMark/>
          </w:tcPr>
          <w:p w14:paraId="09DB59F5"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3</w:t>
            </w:r>
          </w:p>
        </w:tc>
      </w:tr>
      <w:tr w:rsidR="00D951F2" w:rsidRPr="00D951F2" w14:paraId="17260F69" w14:textId="77777777" w:rsidTr="006F7E31">
        <w:trPr>
          <w:trHeight w:val="514"/>
        </w:trPr>
        <w:tc>
          <w:tcPr>
            <w:tcW w:w="358" w:type="pct"/>
            <w:tcBorders>
              <w:left w:val="nil"/>
              <w:bottom w:val="nil"/>
            </w:tcBorders>
            <w:noWrap/>
            <w:vAlign w:val="center"/>
            <w:hideMark/>
          </w:tcPr>
          <w:p w14:paraId="684C3161"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23</w:t>
            </w:r>
          </w:p>
        </w:tc>
        <w:tc>
          <w:tcPr>
            <w:tcW w:w="3944" w:type="pct"/>
            <w:tcBorders>
              <w:bottom w:val="nil"/>
            </w:tcBorders>
            <w:vAlign w:val="center"/>
            <w:hideMark/>
          </w:tcPr>
          <w:p w14:paraId="4E0F3240"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Servicio Nacional de Salud (Sns)</w:t>
            </w:r>
          </w:p>
        </w:tc>
        <w:tc>
          <w:tcPr>
            <w:tcW w:w="698" w:type="pct"/>
            <w:tcBorders>
              <w:bottom w:val="nil"/>
            </w:tcBorders>
            <w:vAlign w:val="center"/>
            <w:hideMark/>
          </w:tcPr>
          <w:p w14:paraId="38079D30"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2</w:t>
            </w:r>
          </w:p>
        </w:tc>
      </w:tr>
      <w:tr w:rsidR="00D951F2" w:rsidRPr="00D951F2" w14:paraId="7E1CBEAD" w14:textId="77777777" w:rsidTr="006F7E31">
        <w:trPr>
          <w:trHeight w:val="514"/>
        </w:trPr>
        <w:tc>
          <w:tcPr>
            <w:tcW w:w="358" w:type="pct"/>
            <w:tcBorders>
              <w:left w:val="nil"/>
              <w:bottom w:val="nil"/>
            </w:tcBorders>
            <w:shd w:val="clear" w:color="auto" w:fill="D9D9D9"/>
            <w:noWrap/>
            <w:vAlign w:val="center"/>
            <w:hideMark/>
          </w:tcPr>
          <w:p w14:paraId="2A29E1DF"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24</w:t>
            </w:r>
          </w:p>
        </w:tc>
        <w:tc>
          <w:tcPr>
            <w:tcW w:w="3944" w:type="pct"/>
            <w:tcBorders>
              <w:bottom w:val="nil"/>
            </w:tcBorders>
            <w:shd w:val="clear" w:color="auto" w:fill="D9D9D9"/>
            <w:vAlign w:val="center"/>
            <w:hideMark/>
          </w:tcPr>
          <w:p w14:paraId="23CB00BB"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Instituto de Formacion Tecnico Profesional (INFOTEP)</w:t>
            </w:r>
          </w:p>
        </w:tc>
        <w:tc>
          <w:tcPr>
            <w:tcW w:w="698" w:type="pct"/>
            <w:tcBorders>
              <w:bottom w:val="nil"/>
            </w:tcBorders>
            <w:shd w:val="clear" w:color="auto" w:fill="D9D9D9"/>
            <w:vAlign w:val="center"/>
            <w:hideMark/>
          </w:tcPr>
          <w:p w14:paraId="3DE7BBCF"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4</w:t>
            </w:r>
          </w:p>
        </w:tc>
      </w:tr>
      <w:tr w:rsidR="00D951F2" w:rsidRPr="00D951F2" w14:paraId="02787E1D" w14:textId="77777777" w:rsidTr="006F7E31">
        <w:trPr>
          <w:trHeight w:val="514"/>
        </w:trPr>
        <w:tc>
          <w:tcPr>
            <w:tcW w:w="358" w:type="pct"/>
            <w:tcBorders>
              <w:left w:val="nil"/>
            </w:tcBorders>
            <w:noWrap/>
            <w:vAlign w:val="center"/>
            <w:hideMark/>
          </w:tcPr>
          <w:p w14:paraId="2FCBE1D1"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25</w:t>
            </w:r>
          </w:p>
        </w:tc>
        <w:tc>
          <w:tcPr>
            <w:tcW w:w="3944" w:type="pct"/>
            <w:vAlign w:val="center"/>
            <w:hideMark/>
          </w:tcPr>
          <w:p w14:paraId="3BA2E937"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Ayuntamiento Municipal de Peralta</w:t>
            </w:r>
          </w:p>
        </w:tc>
        <w:tc>
          <w:tcPr>
            <w:tcW w:w="698" w:type="pct"/>
            <w:vAlign w:val="center"/>
            <w:hideMark/>
          </w:tcPr>
          <w:p w14:paraId="73D9B819"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1</w:t>
            </w:r>
          </w:p>
        </w:tc>
      </w:tr>
      <w:tr w:rsidR="00D951F2" w:rsidRPr="00D951F2" w14:paraId="62EA4CD0" w14:textId="77777777" w:rsidTr="006F7E31">
        <w:trPr>
          <w:trHeight w:val="514"/>
        </w:trPr>
        <w:tc>
          <w:tcPr>
            <w:tcW w:w="358" w:type="pct"/>
            <w:tcBorders>
              <w:top w:val="nil"/>
              <w:left w:val="nil"/>
            </w:tcBorders>
            <w:shd w:val="clear" w:color="auto" w:fill="D9D9D9"/>
            <w:noWrap/>
            <w:vAlign w:val="center"/>
            <w:hideMark/>
          </w:tcPr>
          <w:p w14:paraId="638AC8B8"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26</w:t>
            </w:r>
          </w:p>
        </w:tc>
        <w:tc>
          <w:tcPr>
            <w:tcW w:w="3944" w:type="pct"/>
            <w:tcBorders>
              <w:top w:val="nil"/>
            </w:tcBorders>
            <w:shd w:val="clear" w:color="auto" w:fill="D9D9D9"/>
            <w:vAlign w:val="center"/>
            <w:hideMark/>
          </w:tcPr>
          <w:p w14:paraId="5E431ECD"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Hospital Central de Las FF.AA.</w:t>
            </w:r>
          </w:p>
        </w:tc>
        <w:tc>
          <w:tcPr>
            <w:tcW w:w="698" w:type="pct"/>
            <w:tcBorders>
              <w:top w:val="nil"/>
            </w:tcBorders>
            <w:shd w:val="clear" w:color="auto" w:fill="D9D9D9"/>
            <w:vAlign w:val="center"/>
            <w:hideMark/>
          </w:tcPr>
          <w:p w14:paraId="500174CA"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1</w:t>
            </w:r>
          </w:p>
        </w:tc>
      </w:tr>
      <w:tr w:rsidR="00D951F2" w:rsidRPr="00D951F2" w14:paraId="4EACCE77" w14:textId="77777777" w:rsidTr="006F7E31">
        <w:trPr>
          <w:trHeight w:val="514"/>
        </w:trPr>
        <w:tc>
          <w:tcPr>
            <w:tcW w:w="358" w:type="pct"/>
            <w:tcBorders>
              <w:top w:val="nil"/>
              <w:left w:val="nil"/>
            </w:tcBorders>
            <w:noWrap/>
            <w:vAlign w:val="center"/>
            <w:hideMark/>
          </w:tcPr>
          <w:p w14:paraId="5191A2D3"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27</w:t>
            </w:r>
          </w:p>
        </w:tc>
        <w:tc>
          <w:tcPr>
            <w:tcW w:w="3944" w:type="pct"/>
            <w:tcBorders>
              <w:top w:val="nil"/>
            </w:tcBorders>
            <w:vAlign w:val="center"/>
            <w:hideMark/>
          </w:tcPr>
          <w:p w14:paraId="5B205BA2"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Instituto Nacional de Bienestar Estudiantil (INABIE)</w:t>
            </w:r>
          </w:p>
        </w:tc>
        <w:tc>
          <w:tcPr>
            <w:tcW w:w="698" w:type="pct"/>
            <w:tcBorders>
              <w:top w:val="nil"/>
            </w:tcBorders>
            <w:vAlign w:val="center"/>
            <w:hideMark/>
          </w:tcPr>
          <w:p w14:paraId="03682DAC"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1</w:t>
            </w:r>
          </w:p>
        </w:tc>
      </w:tr>
      <w:tr w:rsidR="00D951F2" w:rsidRPr="00D951F2" w14:paraId="405B0965" w14:textId="77777777" w:rsidTr="006F7E31">
        <w:trPr>
          <w:trHeight w:val="304"/>
        </w:trPr>
        <w:tc>
          <w:tcPr>
            <w:tcW w:w="358" w:type="pct"/>
            <w:tcBorders>
              <w:top w:val="nil"/>
              <w:left w:val="nil"/>
              <w:bottom w:val="single" w:sz="4" w:space="0" w:color="auto"/>
            </w:tcBorders>
            <w:shd w:val="clear" w:color="auto" w:fill="D9D9D9"/>
            <w:noWrap/>
            <w:vAlign w:val="center"/>
            <w:hideMark/>
          </w:tcPr>
          <w:p w14:paraId="567980CC"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28</w:t>
            </w:r>
          </w:p>
        </w:tc>
        <w:tc>
          <w:tcPr>
            <w:tcW w:w="3944" w:type="pct"/>
            <w:tcBorders>
              <w:top w:val="nil"/>
              <w:bottom w:val="single" w:sz="4" w:space="0" w:color="auto"/>
            </w:tcBorders>
            <w:shd w:val="clear" w:color="auto" w:fill="D9D9D9"/>
            <w:vAlign w:val="center"/>
            <w:hideMark/>
          </w:tcPr>
          <w:p w14:paraId="0E4EFC96"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Tesoreria Nacional</w:t>
            </w:r>
          </w:p>
        </w:tc>
        <w:tc>
          <w:tcPr>
            <w:tcW w:w="698" w:type="pct"/>
            <w:tcBorders>
              <w:top w:val="nil"/>
              <w:bottom w:val="single" w:sz="4" w:space="0" w:color="auto"/>
            </w:tcBorders>
            <w:shd w:val="clear" w:color="auto" w:fill="D9D9D9"/>
            <w:vAlign w:val="center"/>
            <w:hideMark/>
          </w:tcPr>
          <w:p w14:paraId="073CBE3E"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5</w:t>
            </w:r>
          </w:p>
        </w:tc>
      </w:tr>
      <w:tr w:rsidR="00D951F2" w:rsidRPr="00D951F2" w14:paraId="4B97E429" w14:textId="77777777" w:rsidTr="00B26AAB">
        <w:trPr>
          <w:trHeight w:val="226"/>
        </w:trPr>
        <w:tc>
          <w:tcPr>
            <w:tcW w:w="358" w:type="pct"/>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7F843C5B" w14:textId="77777777" w:rsidR="00D951F2" w:rsidRPr="00D951F2" w:rsidRDefault="00D951F2" w:rsidP="00D64261">
            <w:pPr>
              <w:spacing w:line="360" w:lineRule="auto"/>
              <w:jc w:val="both"/>
              <w:rPr>
                <w:rFonts w:eastAsia="Calibri"/>
                <w:noProof/>
                <w:color w:val="FFFFFF" w:themeColor="background1"/>
                <w:lang w:val="es-DO"/>
              </w:rPr>
            </w:pPr>
            <w:r w:rsidRPr="00D951F2">
              <w:rPr>
                <w:rFonts w:eastAsia="Calibri"/>
                <w:noProof/>
                <w:color w:val="FFFFFF" w:themeColor="background1"/>
                <w:lang w:val="es-DO"/>
              </w:rPr>
              <w:t> </w:t>
            </w:r>
          </w:p>
        </w:tc>
        <w:tc>
          <w:tcPr>
            <w:tcW w:w="3944" w:type="pct"/>
            <w:tcBorders>
              <w:top w:val="single" w:sz="4" w:space="0" w:color="auto"/>
              <w:left w:val="single" w:sz="4" w:space="0" w:color="auto"/>
              <w:bottom w:val="single" w:sz="4" w:space="0" w:color="auto"/>
              <w:right w:val="single" w:sz="4" w:space="0" w:color="auto"/>
            </w:tcBorders>
            <w:shd w:val="clear" w:color="auto" w:fill="011C50"/>
            <w:noWrap/>
            <w:vAlign w:val="bottom"/>
            <w:hideMark/>
          </w:tcPr>
          <w:p w14:paraId="0F0C7901" w14:textId="77777777" w:rsidR="00D951F2" w:rsidRPr="00D951F2" w:rsidRDefault="00D951F2" w:rsidP="00D64261">
            <w:pPr>
              <w:spacing w:line="360" w:lineRule="auto"/>
              <w:jc w:val="both"/>
              <w:rPr>
                <w:rFonts w:eastAsia="Calibri"/>
                <w:noProof/>
                <w:color w:val="FFFFFF" w:themeColor="background1"/>
                <w:lang w:val="es-DO"/>
              </w:rPr>
            </w:pPr>
            <w:r w:rsidRPr="00D951F2">
              <w:rPr>
                <w:rFonts w:eastAsia="Calibri"/>
                <w:noProof/>
                <w:color w:val="FFFFFF" w:themeColor="background1"/>
                <w:lang w:val="es-DO"/>
              </w:rPr>
              <w:t> </w:t>
            </w:r>
          </w:p>
          <w:p w14:paraId="6C8ADE46" w14:textId="77777777" w:rsidR="00D951F2" w:rsidRPr="00D951F2" w:rsidRDefault="00D951F2" w:rsidP="00D64261">
            <w:pPr>
              <w:spacing w:line="360" w:lineRule="auto"/>
              <w:jc w:val="both"/>
              <w:rPr>
                <w:rFonts w:eastAsia="Calibri"/>
                <w:noProof/>
                <w:color w:val="FFFFFF" w:themeColor="background1"/>
                <w:lang w:val="es-DO"/>
              </w:rPr>
            </w:pPr>
            <w:r w:rsidRPr="00D951F2">
              <w:rPr>
                <w:rFonts w:eastAsia="Calibri"/>
                <w:noProof/>
                <w:color w:val="FFFFFF" w:themeColor="background1"/>
                <w:lang w:val="es-DO"/>
              </w:rPr>
              <w:t> </w:t>
            </w:r>
          </w:p>
        </w:tc>
        <w:tc>
          <w:tcPr>
            <w:tcW w:w="698" w:type="pct"/>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267E0523"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61</w:t>
            </w:r>
          </w:p>
        </w:tc>
      </w:tr>
    </w:tbl>
    <w:p w14:paraId="1D18C792" w14:textId="77777777" w:rsidR="00D951F2" w:rsidRDefault="00D951F2" w:rsidP="00D64261">
      <w:pPr>
        <w:spacing w:line="360" w:lineRule="auto"/>
        <w:jc w:val="both"/>
        <w:rPr>
          <w:rFonts w:eastAsia="Calibri"/>
          <w:b/>
          <w:bCs/>
          <w:noProof/>
          <w:color w:val="4C4747"/>
          <w:lang w:val="es-DO"/>
        </w:rPr>
      </w:pPr>
    </w:p>
    <w:p w14:paraId="2204947D" w14:textId="77777777" w:rsidR="00763CE1" w:rsidRDefault="00763CE1" w:rsidP="00D64261">
      <w:pPr>
        <w:spacing w:line="360" w:lineRule="auto"/>
        <w:jc w:val="both"/>
        <w:rPr>
          <w:rFonts w:eastAsia="Calibri"/>
          <w:b/>
          <w:bCs/>
          <w:noProof/>
          <w:color w:val="4C4747"/>
          <w:lang w:val="es-DO"/>
        </w:rPr>
      </w:pPr>
    </w:p>
    <w:p w14:paraId="272B0DB4" w14:textId="77777777" w:rsidR="00763CE1" w:rsidRPr="00D951F2" w:rsidRDefault="00763CE1" w:rsidP="00D64261">
      <w:pPr>
        <w:spacing w:line="360" w:lineRule="auto"/>
        <w:jc w:val="both"/>
        <w:rPr>
          <w:rFonts w:eastAsia="Calibri"/>
          <w:b/>
          <w:bCs/>
          <w:noProof/>
          <w:color w:val="4C4747"/>
          <w:lang w:val="es-DO"/>
        </w:rPr>
      </w:pPr>
    </w:p>
    <w:p w14:paraId="5AACFB3D" w14:textId="4F7AACF8" w:rsidR="00D951F2" w:rsidRPr="000C3458" w:rsidRDefault="00D951F2" w:rsidP="00D64261">
      <w:pPr>
        <w:spacing w:after="0" w:line="360" w:lineRule="auto"/>
        <w:jc w:val="center"/>
        <w:rPr>
          <w:rFonts w:eastAsia="Calibri"/>
          <w:b/>
          <w:noProof/>
          <w:lang w:val="es-DO"/>
        </w:rPr>
      </w:pPr>
      <w:r w:rsidRPr="000C3458">
        <w:rPr>
          <w:rFonts w:eastAsia="Calibri"/>
          <w:b/>
          <w:noProof/>
          <w:lang w:val="es-DO"/>
        </w:rPr>
        <w:lastRenderedPageBreak/>
        <w:t>Cuadro No. 0</w:t>
      </w:r>
      <w:r w:rsidR="008D7279" w:rsidRPr="000C3458">
        <w:rPr>
          <w:rFonts w:eastAsia="Calibri"/>
          <w:b/>
          <w:noProof/>
          <w:lang w:val="es-DO"/>
        </w:rPr>
        <w:t>7</w:t>
      </w:r>
    </w:p>
    <w:p w14:paraId="392F2CC6" w14:textId="77777777" w:rsidR="00D951F2" w:rsidRPr="000C3458" w:rsidRDefault="00D951F2" w:rsidP="00D64261">
      <w:pPr>
        <w:spacing w:after="0" w:line="360" w:lineRule="auto"/>
        <w:jc w:val="center"/>
        <w:rPr>
          <w:rFonts w:eastAsia="Calibri"/>
          <w:b/>
          <w:noProof/>
          <w:lang w:val="es-DO"/>
        </w:rPr>
      </w:pPr>
      <w:r w:rsidRPr="000C3458">
        <w:rPr>
          <w:rFonts w:eastAsia="Calibri"/>
          <w:b/>
          <w:noProof/>
          <w:lang w:val="es-DO"/>
        </w:rPr>
        <w:t>Tesorería Nacional</w:t>
      </w:r>
    </w:p>
    <w:p w14:paraId="61D58B0F" w14:textId="1FDE5CDB" w:rsidR="00D951F2" w:rsidRPr="000C3458" w:rsidRDefault="00D951F2" w:rsidP="00D64261">
      <w:pPr>
        <w:spacing w:after="0" w:line="360" w:lineRule="auto"/>
        <w:jc w:val="center"/>
        <w:rPr>
          <w:rFonts w:eastAsia="Calibri"/>
          <w:b/>
          <w:noProof/>
          <w:lang w:val="es-DO"/>
        </w:rPr>
      </w:pPr>
      <w:r w:rsidRPr="000C3458">
        <w:rPr>
          <w:rFonts w:eastAsia="Calibri"/>
          <w:b/>
          <w:noProof/>
          <w:lang w:val="es-DO"/>
        </w:rPr>
        <w:t>GRUPO 3 PRESENCIAL Junio 2025</w:t>
      </w:r>
    </w:p>
    <w:tbl>
      <w:tblPr>
        <w:tblW w:w="4994" w:type="pct"/>
        <w:tblInd w:w="5" w:type="dxa"/>
        <w:tblLayout w:type="fixed"/>
        <w:tblCellMar>
          <w:left w:w="70" w:type="dxa"/>
          <w:right w:w="70" w:type="dxa"/>
        </w:tblCellMar>
        <w:tblLook w:val="04A0" w:firstRow="1" w:lastRow="0" w:firstColumn="1" w:lastColumn="0" w:noHBand="0" w:noVBand="1"/>
      </w:tblPr>
      <w:tblGrid>
        <w:gridCol w:w="6088"/>
        <w:gridCol w:w="1822"/>
      </w:tblGrid>
      <w:tr w:rsidR="00D951F2" w:rsidRPr="00D951F2" w14:paraId="57108597" w14:textId="77777777" w:rsidTr="00B26AAB">
        <w:trPr>
          <w:trHeight w:val="426"/>
        </w:trPr>
        <w:tc>
          <w:tcPr>
            <w:tcW w:w="3848" w:type="pct"/>
            <w:tcBorders>
              <w:top w:val="single" w:sz="4" w:space="0" w:color="auto"/>
            </w:tcBorders>
            <w:shd w:val="clear" w:color="auto" w:fill="011C50"/>
            <w:noWrap/>
            <w:vAlign w:val="center"/>
            <w:hideMark/>
          </w:tcPr>
          <w:p w14:paraId="5844A433" w14:textId="77777777" w:rsidR="00D951F2" w:rsidRPr="00D951F2" w:rsidRDefault="00D951F2" w:rsidP="00D64261">
            <w:pPr>
              <w:spacing w:line="360" w:lineRule="auto"/>
              <w:jc w:val="both"/>
              <w:rPr>
                <w:rFonts w:eastAsia="Calibri"/>
                <w:noProof/>
                <w:color w:val="FFFFFF" w:themeColor="background1"/>
                <w:lang w:val="es-DO"/>
              </w:rPr>
            </w:pPr>
            <w:r w:rsidRPr="00D951F2">
              <w:rPr>
                <w:rFonts w:eastAsia="Calibri"/>
                <w:noProof/>
                <w:color w:val="FFFFFF" w:themeColor="background1"/>
                <w:lang w:val="es-DO"/>
              </w:rPr>
              <w:t xml:space="preserve">Nombre de la Institución </w:t>
            </w:r>
          </w:p>
        </w:tc>
        <w:tc>
          <w:tcPr>
            <w:tcW w:w="1152" w:type="pct"/>
            <w:tcBorders>
              <w:top w:val="single" w:sz="4" w:space="0" w:color="auto"/>
            </w:tcBorders>
            <w:shd w:val="clear" w:color="auto" w:fill="011C50"/>
            <w:vAlign w:val="center"/>
            <w:hideMark/>
          </w:tcPr>
          <w:p w14:paraId="5C5C2BFE" w14:textId="77777777" w:rsidR="00D951F2" w:rsidRPr="00D951F2" w:rsidRDefault="00D951F2" w:rsidP="00D64261">
            <w:pPr>
              <w:spacing w:line="360" w:lineRule="auto"/>
              <w:jc w:val="both"/>
              <w:rPr>
                <w:rFonts w:eastAsia="Calibri"/>
                <w:noProof/>
                <w:color w:val="FFFFFF" w:themeColor="background1"/>
                <w:lang w:val="es-DO"/>
              </w:rPr>
            </w:pPr>
            <w:r w:rsidRPr="00D951F2">
              <w:rPr>
                <w:rFonts w:eastAsia="Calibri"/>
                <w:noProof/>
                <w:color w:val="FFFFFF" w:themeColor="background1"/>
                <w:lang w:val="es-DO"/>
              </w:rPr>
              <w:t xml:space="preserve">Cant./ Participantes </w:t>
            </w:r>
          </w:p>
        </w:tc>
      </w:tr>
      <w:tr w:rsidR="00D951F2" w:rsidRPr="00D951F2" w14:paraId="3882D7A3" w14:textId="77777777" w:rsidTr="006F7E31">
        <w:trPr>
          <w:trHeight w:val="514"/>
        </w:trPr>
        <w:tc>
          <w:tcPr>
            <w:tcW w:w="3848" w:type="pct"/>
            <w:tcBorders>
              <w:bottom w:val="nil"/>
            </w:tcBorders>
            <w:noWrap/>
            <w:vAlign w:val="center"/>
          </w:tcPr>
          <w:p w14:paraId="2FE1D549"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Ministerio De Economia Planificacion y Des. (MEPYD)</w:t>
            </w:r>
          </w:p>
        </w:tc>
        <w:tc>
          <w:tcPr>
            <w:tcW w:w="1152" w:type="pct"/>
            <w:noWrap/>
            <w:vAlign w:val="center"/>
            <w:hideMark/>
          </w:tcPr>
          <w:p w14:paraId="05C02CC9" w14:textId="77777777" w:rsidR="00D951F2" w:rsidRPr="000C3458" w:rsidRDefault="00D951F2" w:rsidP="000C3458">
            <w:pPr>
              <w:spacing w:line="360" w:lineRule="auto"/>
              <w:jc w:val="center"/>
              <w:rPr>
                <w:rFonts w:eastAsia="Calibri"/>
                <w:noProof/>
                <w:lang w:val="es-DO"/>
              </w:rPr>
            </w:pPr>
            <w:r w:rsidRPr="000C3458">
              <w:rPr>
                <w:rFonts w:eastAsia="Calibri"/>
                <w:noProof/>
                <w:lang w:val="es-DO"/>
              </w:rPr>
              <w:t>3</w:t>
            </w:r>
          </w:p>
        </w:tc>
      </w:tr>
      <w:tr w:rsidR="00D951F2" w:rsidRPr="00D951F2" w14:paraId="5B19B4D1" w14:textId="77777777" w:rsidTr="006F7E31">
        <w:trPr>
          <w:trHeight w:val="514"/>
        </w:trPr>
        <w:tc>
          <w:tcPr>
            <w:tcW w:w="3848" w:type="pct"/>
            <w:tcBorders>
              <w:top w:val="nil"/>
              <w:bottom w:val="nil"/>
            </w:tcBorders>
            <w:shd w:val="clear" w:color="auto" w:fill="D9D9D9"/>
            <w:vAlign w:val="center"/>
          </w:tcPr>
          <w:p w14:paraId="0E976009"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Direccion Gral. Contabilidad Gubernamental (DIGECOG)</w:t>
            </w:r>
          </w:p>
        </w:tc>
        <w:tc>
          <w:tcPr>
            <w:tcW w:w="1152" w:type="pct"/>
            <w:tcBorders>
              <w:top w:val="nil"/>
              <w:bottom w:val="nil"/>
            </w:tcBorders>
            <w:shd w:val="clear" w:color="auto" w:fill="D9D9D9"/>
            <w:vAlign w:val="center"/>
          </w:tcPr>
          <w:p w14:paraId="604BE83F" w14:textId="77777777" w:rsidR="00D951F2" w:rsidRPr="000C3458" w:rsidRDefault="00D951F2" w:rsidP="000C3458">
            <w:pPr>
              <w:spacing w:line="360" w:lineRule="auto"/>
              <w:jc w:val="center"/>
              <w:rPr>
                <w:rFonts w:eastAsia="Calibri"/>
                <w:noProof/>
                <w:lang w:val="es-DO"/>
              </w:rPr>
            </w:pPr>
            <w:r w:rsidRPr="000C3458">
              <w:rPr>
                <w:rFonts w:eastAsia="Calibri"/>
                <w:noProof/>
                <w:lang w:val="es-DO"/>
              </w:rPr>
              <w:t>3</w:t>
            </w:r>
          </w:p>
        </w:tc>
      </w:tr>
      <w:tr w:rsidR="00D951F2" w:rsidRPr="00D951F2" w14:paraId="1C3EF57F" w14:textId="77777777" w:rsidTr="006F7E31">
        <w:trPr>
          <w:trHeight w:val="207"/>
        </w:trPr>
        <w:tc>
          <w:tcPr>
            <w:tcW w:w="3848" w:type="pct"/>
            <w:tcBorders>
              <w:top w:val="nil"/>
              <w:bottom w:val="nil"/>
            </w:tcBorders>
            <w:vAlign w:val="center"/>
          </w:tcPr>
          <w:p w14:paraId="043AA067"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Oficina Nacional De Estadistica (ONE)</w:t>
            </w:r>
          </w:p>
        </w:tc>
        <w:tc>
          <w:tcPr>
            <w:tcW w:w="1152" w:type="pct"/>
            <w:tcBorders>
              <w:bottom w:val="nil"/>
            </w:tcBorders>
            <w:vAlign w:val="center"/>
          </w:tcPr>
          <w:p w14:paraId="5828472A" w14:textId="77777777" w:rsidR="00D951F2" w:rsidRPr="000C3458" w:rsidRDefault="00D951F2" w:rsidP="000C3458">
            <w:pPr>
              <w:spacing w:line="360" w:lineRule="auto"/>
              <w:jc w:val="center"/>
              <w:rPr>
                <w:rFonts w:eastAsia="Calibri"/>
                <w:noProof/>
                <w:lang w:val="es-DO"/>
              </w:rPr>
            </w:pPr>
            <w:r w:rsidRPr="000C3458">
              <w:rPr>
                <w:rFonts w:eastAsia="Calibri"/>
                <w:noProof/>
                <w:lang w:val="es-DO"/>
              </w:rPr>
              <w:t>2</w:t>
            </w:r>
          </w:p>
        </w:tc>
      </w:tr>
      <w:tr w:rsidR="00D951F2" w:rsidRPr="00D951F2" w14:paraId="0D0D02B1" w14:textId="77777777" w:rsidTr="006F7E31">
        <w:trPr>
          <w:trHeight w:val="339"/>
        </w:trPr>
        <w:tc>
          <w:tcPr>
            <w:tcW w:w="3848" w:type="pct"/>
            <w:tcBorders>
              <w:top w:val="nil"/>
              <w:bottom w:val="nil"/>
            </w:tcBorders>
            <w:noWrap/>
            <w:vAlign w:val="center"/>
          </w:tcPr>
          <w:p w14:paraId="365CB771"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Tesoreria Nacional</w:t>
            </w:r>
          </w:p>
        </w:tc>
        <w:tc>
          <w:tcPr>
            <w:tcW w:w="1152" w:type="pct"/>
            <w:tcBorders>
              <w:bottom w:val="nil"/>
            </w:tcBorders>
            <w:noWrap/>
            <w:vAlign w:val="center"/>
          </w:tcPr>
          <w:p w14:paraId="1DF64DA2" w14:textId="77777777" w:rsidR="00D951F2" w:rsidRPr="000C3458" w:rsidRDefault="00D951F2" w:rsidP="000C3458">
            <w:pPr>
              <w:spacing w:line="360" w:lineRule="auto"/>
              <w:jc w:val="center"/>
              <w:rPr>
                <w:rFonts w:eastAsia="Calibri"/>
                <w:noProof/>
                <w:lang w:val="es-DO"/>
              </w:rPr>
            </w:pPr>
            <w:r w:rsidRPr="000C3458">
              <w:rPr>
                <w:rFonts w:eastAsia="Calibri"/>
                <w:noProof/>
                <w:lang w:val="es-DO"/>
              </w:rPr>
              <w:t>3</w:t>
            </w:r>
          </w:p>
        </w:tc>
      </w:tr>
      <w:tr w:rsidR="00D951F2" w:rsidRPr="00D951F2" w14:paraId="57DFD5CF" w14:textId="77777777" w:rsidTr="006F7E31">
        <w:trPr>
          <w:trHeight w:val="514"/>
        </w:trPr>
        <w:tc>
          <w:tcPr>
            <w:tcW w:w="3848" w:type="pct"/>
            <w:tcBorders>
              <w:top w:val="nil"/>
              <w:bottom w:val="nil"/>
            </w:tcBorders>
            <w:shd w:val="clear" w:color="auto" w:fill="D9D9D9"/>
            <w:vAlign w:val="center"/>
          </w:tcPr>
          <w:p w14:paraId="472CF4AD"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Instituto Nacional De Bienestar Estudiantil (INABIE)</w:t>
            </w:r>
          </w:p>
        </w:tc>
        <w:tc>
          <w:tcPr>
            <w:tcW w:w="1152" w:type="pct"/>
            <w:shd w:val="clear" w:color="auto" w:fill="D9D9D9"/>
            <w:vAlign w:val="center"/>
          </w:tcPr>
          <w:p w14:paraId="22B3696A" w14:textId="77777777" w:rsidR="00D951F2" w:rsidRPr="000C3458" w:rsidRDefault="00D951F2" w:rsidP="000C3458">
            <w:pPr>
              <w:spacing w:line="360" w:lineRule="auto"/>
              <w:jc w:val="center"/>
              <w:rPr>
                <w:rFonts w:eastAsia="Calibri"/>
                <w:noProof/>
                <w:lang w:val="es-DO"/>
              </w:rPr>
            </w:pPr>
            <w:r w:rsidRPr="000C3458">
              <w:rPr>
                <w:rFonts w:eastAsia="Calibri"/>
                <w:noProof/>
                <w:lang w:val="es-DO"/>
              </w:rPr>
              <w:t>3</w:t>
            </w:r>
          </w:p>
        </w:tc>
      </w:tr>
      <w:tr w:rsidR="00D951F2" w:rsidRPr="00D951F2" w14:paraId="620CEB1C" w14:textId="77777777" w:rsidTr="006F7E31">
        <w:trPr>
          <w:trHeight w:val="309"/>
        </w:trPr>
        <w:tc>
          <w:tcPr>
            <w:tcW w:w="3848" w:type="pct"/>
            <w:tcBorders>
              <w:top w:val="nil"/>
              <w:bottom w:val="nil"/>
            </w:tcBorders>
            <w:vAlign w:val="center"/>
          </w:tcPr>
          <w:p w14:paraId="411A38EC"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Direccion Gral. de Alianzas Publico Privadas</w:t>
            </w:r>
          </w:p>
        </w:tc>
        <w:tc>
          <w:tcPr>
            <w:tcW w:w="1152" w:type="pct"/>
            <w:tcBorders>
              <w:top w:val="nil"/>
              <w:bottom w:val="nil"/>
            </w:tcBorders>
            <w:vAlign w:val="center"/>
          </w:tcPr>
          <w:p w14:paraId="26067D98" w14:textId="77777777" w:rsidR="00D951F2" w:rsidRPr="000C3458" w:rsidRDefault="00D951F2" w:rsidP="000C3458">
            <w:pPr>
              <w:spacing w:line="360" w:lineRule="auto"/>
              <w:jc w:val="center"/>
              <w:rPr>
                <w:rFonts w:eastAsia="Calibri"/>
                <w:noProof/>
                <w:lang w:val="es-DO"/>
              </w:rPr>
            </w:pPr>
            <w:r w:rsidRPr="000C3458">
              <w:rPr>
                <w:rFonts w:eastAsia="Calibri"/>
                <w:noProof/>
                <w:lang w:val="es-DO"/>
              </w:rPr>
              <w:t>1</w:t>
            </w:r>
          </w:p>
        </w:tc>
      </w:tr>
      <w:tr w:rsidR="00D951F2" w:rsidRPr="00D951F2" w14:paraId="1C89C227" w14:textId="77777777" w:rsidTr="006F7E31">
        <w:trPr>
          <w:trHeight w:val="337"/>
        </w:trPr>
        <w:tc>
          <w:tcPr>
            <w:tcW w:w="3848" w:type="pct"/>
            <w:tcBorders>
              <w:top w:val="nil"/>
              <w:bottom w:val="nil"/>
            </w:tcBorders>
            <w:shd w:val="clear" w:color="auto" w:fill="D9D9D9"/>
            <w:vAlign w:val="center"/>
          </w:tcPr>
          <w:p w14:paraId="24A48889"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Ministerio de Educacion</w:t>
            </w:r>
          </w:p>
        </w:tc>
        <w:tc>
          <w:tcPr>
            <w:tcW w:w="1152" w:type="pct"/>
            <w:shd w:val="clear" w:color="auto" w:fill="D9D9D9"/>
            <w:vAlign w:val="center"/>
          </w:tcPr>
          <w:p w14:paraId="5716B0CE" w14:textId="77777777" w:rsidR="00D951F2" w:rsidRPr="000C3458" w:rsidRDefault="00D951F2" w:rsidP="000C3458">
            <w:pPr>
              <w:spacing w:line="360" w:lineRule="auto"/>
              <w:jc w:val="center"/>
              <w:rPr>
                <w:rFonts w:eastAsia="Calibri"/>
                <w:noProof/>
                <w:lang w:val="es-DO"/>
              </w:rPr>
            </w:pPr>
            <w:r w:rsidRPr="000C3458">
              <w:rPr>
                <w:rFonts w:eastAsia="Calibri"/>
                <w:noProof/>
                <w:lang w:val="es-DO"/>
              </w:rPr>
              <w:t>3</w:t>
            </w:r>
          </w:p>
        </w:tc>
      </w:tr>
      <w:tr w:rsidR="00D951F2" w:rsidRPr="00D951F2" w14:paraId="749633FE" w14:textId="77777777" w:rsidTr="006F7E31">
        <w:trPr>
          <w:trHeight w:val="284"/>
        </w:trPr>
        <w:tc>
          <w:tcPr>
            <w:tcW w:w="3848" w:type="pct"/>
            <w:tcBorders>
              <w:top w:val="nil"/>
              <w:bottom w:val="single" w:sz="4" w:space="0" w:color="auto"/>
            </w:tcBorders>
            <w:vAlign w:val="center"/>
          </w:tcPr>
          <w:p w14:paraId="6BEA1A8C" w14:textId="77777777" w:rsidR="00D951F2" w:rsidRPr="000C3458" w:rsidRDefault="00D951F2" w:rsidP="00D64261">
            <w:pPr>
              <w:spacing w:line="360" w:lineRule="auto"/>
              <w:jc w:val="both"/>
              <w:rPr>
                <w:rFonts w:eastAsia="Calibri"/>
                <w:noProof/>
                <w:lang w:val="es-DO"/>
              </w:rPr>
            </w:pPr>
            <w:r w:rsidRPr="000C3458">
              <w:rPr>
                <w:rFonts w:eastAsia="Calibri"/>
                <w:noProof/>
                <w:lang w:val="es-DO"/>
              </w:rPr>
              <w:t>Convocados por el CAPGEFI</w:t>
            </w:r>
          </w:p>
        </w:tc>
        <w:tc>
          <w:tcPr>
            <w:tcW w:w="1152" w:type="pct"/>
            <w:tcBorders>
              <w:bottom w:val="single" w:sz="4" w:space="0" w:color="auto"/>
            </w:tcBorders>
            <w:vAlign w:val="center"/>
          </w:tcPr>
          <w:p w14:paraId="0F095889" w14:textId="77777777" w:rsidR="00D951F2" w:rsidRPr="000C3458" w:rsidRDefault="00D951F2" w:rsidP="000C3458">
            <w:pPr>
              <w:spacing w:line="360" w:lineRule="auto"/>
              <w:jc w:val="center"/>
              <w:rPr>
                <w:rFonts w:eastAsia="Calibri"/>
                <w:noProof/>
                <w:lang w:val="es-DO"/>
              </w:rPr>
            </w:pPr>
            <w:r w:rsidRPr="000C3458">
              <w:rPr>
                <w:rFonts w:eastAsia="Calibri"/>
                <w:noProof/>
                <w:lang w:val="es-DO"/>
              </w:rPr>
              <w:t>2</w:t>
            </w:r>
          </w:p>
        </w:tc>
      </w:tr>
      <w:tr w:rsidR="00D951F2" w:rsidRPr="00D951F2" w14:paraId="470D95DC" w14:textId="77777777" w:rsidTr="00B26AAB">
        <w:trPr>
          <w:trHeight w:val="70"/>
        </w:trPr>
        <w:tc>
          <w:tcPr>
            <w:tcW w:w="3848" w:type="pct"/>
            <w:tcBorders>
              <w:top w:val="single" w:sz="4" w:space="0" w:color="auto"/>
              <w:left w:val="single" w:sz="4" w:space="0" w:color="auto"/>
              <w:bottom w:val="single" w:sz="4" w:space="0" w:color="auto"/>
              <w:right w:val="nil"/>
            </w:tcBorders>
            <w:shd w:val="clear" w:color="auto" w:fill="011C50"/>
            <w:vAlign w:val="center"/>
          </w:tcPr>
          <w:p w14:paraId="41558844" w14:textId="77777777" w:rsidR="00D951F2" w:rsidRPr="00D951F2" w:rsidRDefault="00D951F2" w:rsidP="00D64261">
            <w:pPr>
              <w:spacing w:line="360" w:lineRule="auto"/>
              <w:jc w:val="both"/>
              <w:rPr>
                <w:rFonts w:eastAsia="Calibri"/>
                <w:noProof/>
                <w:color w:val="FFFFFF" w:themeColor="background1"/>
                <w:lang w:val="es-DO"/>
              </w:rPr>
            </w:pPr>
          </w:p>
        </w:tc>
        <w:tc>
          <w:tcPr>
            <w:tcW w:w="1152" w:type="pct"/>
            <w:tcBorders>
              <w:top w:val="single" w:sz="4" w:space="0" w:color="auto"/>
              <w:left w:val="single" w:sz="4" w:space="0" w:color="auto"/>
              <w:bottom w:val="single" w:sz="4" w:space="0" w:color="auto"/>
              <w:right w:val="single" w:sz="4" w:space="0" w:color="auto"/>
            </w:tcBorders>
            <w:shd w:val="clear" w:color="auto" w:fill="011C50"/>
            <w:vAlign w:val="center"/>
          </w:tcPr>
          <w:p w14:paraId="09596F40" w14:textId="77777777" w:rsidR="00D951F2" w:rsidRPr="00D951F2" w:rsidRDefault="00D951F2" w:rsidP="00167F3C">
            <w:pPr>
              <w:spacing w:line="360" w:lineRule="auto"/>
              <w:jc w:val="center"/>
              <w:rPr>
                <w:rFonts w:eastAsia="Calibri"/>
                <w:noProof/>
                <w:color w:val="FFFFFF" w:themeColor="background1"/>
                <w:lang w:val="es-DO"/>
              </w:rPr>
            </w:pPr>
            <w:r w:rsidRPr="00D951F2">
              <w:rPr>
                <w:rFonts w:eastAsia="Calibri"/>
                <w:noProof/>
                <w:color w:val="FFFFFF" w:themeColor="background1"/>
                <w:lang w:val="es-DO"/>
              </w:rPr>
              <w:t>20</w:t>
            </w:r>
          </w:p>
        </w:tc>
      </w:tr>
    </w:tbl>
    <w:p w14:paraId="6F3AE7D2" w14:textId="77777777" w:rsidR="00D951F2" w:rsidRDefault="00D951F2" w:rsidP="00D64261">
      <w:pPr>
        <w:spacing w:line="360" w:lineRule="auto"/>
        <w:jc w:val="both"/>
        <w:rPr>
          <w:rFonts w:eastAsia="Calibri"/>
          <w:b/>
          <w:bCs/>
          <w:noProof/>
          <w:color w:val="4C4747"/>
          <w:lang w:val="es-DO"/>
        </w:rPr>
      </w:pPr>
    </w:p>
    <w:p w14:paraId="198981C0" w14:textId="77777777" w:rsidR="00F55EF4" w:rsidRDefault="00F55EF4" w:rsidP="00D64261">
      <w:pPr>
        <w:spacing w:line="360" w:lineRule="auto"/>
        <w:jc w:val="both"/>
        <w:rPr>
          <w:rFonts w:eastAsia="Calibri"/>
          <w:b/>
          <w:bCs/>
          <w:noProof/>
          <w:color w:val="4C4747"/>
          <w:lang w:val="es-DO"/>
        </w:rPr>
      </w:pPr>
    </w:p>
    <w:p w14:paraId="74EA773A" w14:textId="77777777" w:rsidR="00F55EF4" w:rsidRDefault="00F55EF4" w:rsidP="00D64261">
      <w:pPr>
        <w:spacing w:line="360" w:lineRule="auto"/>
        <w:jc w:val="both"/>
        <w:rPr>
          <w:rFonts w:eastAsia="Calibri"/>
          <w:b/>
          <w:bCs/>
          <w:noProof/>
          <w:color w:val="4C4747"/>
          <w:lang w:val="es-DO"/>
        </w:rPr>
      </w:pPr>
    </w:p>
    <w:p w14:paraId="5659CBF8" w14:textId="77777777" w:rsidR="00F55EF4" w:rsidRDefault="00F55EF4" w:rsidP="00D64261">
      <w:pPr>
        <w:spacing w:line="360" w:lineRule="auto"/>
        <w:jc w:val="both"/>
        <w:rPr>
          <w:rFonts w:eastAsia="Calibri"/>
          <w:b/>
          <w:bCs/>
          <w:noProof/>
          <w:color w:val="4C4747"/>
          <w:lang w:val="es-DO"/>
        </w:rPr>
      </w:pPr>
    </w:p>
    <w:p w14:paraId="78381972" w14:textId="77777777" w:rsidR="00F55EF4" w:rsidRDefault="00F55EF4" w:rsidP="00D64261">
      <w:pPr>
        <w:spacing w:line="360" w:lineRule="auto"/>
        <w:jc w:val="both"/>
        <w:rPr>
          <w:rFonts w:eastAsia="Calibri"/>
          <w:b/>
          <w:bCs/>
          <w:noProof/>
          <w:color w:val="4C4747"/>
          <w:lang w:val="es-DO"/>
        </w:rPr>
      </w:pPr>
    </w:p>
    <w:p w14:paraId="50612BA4" w14:textId="77777777" w:rsidR="00B046C6" w:rsidRDefault="00B046C6" w:rsidP="00D64261">
      <w:pPr>
        <w:spacing w:line="360" w:lineRule="auto"/>
        <w:jc w:val="both"/>
        <w:rPr>
          <w:rFonts w:eastAsia="Calibri"/>
          <w:b/>
          <w:bCs/>
          <w:noProof/>
          <w:color w:val="4C4747"/>
          <w:lang w:val="es-DO"/>
        </w:rPr>
      </w:pPr>
    </w:p>
    <w:p w14:paraId="731B5FFB" w14:textId="77777777" w:rsidR="00B046C6" w:rsidRPr="00D951F2" w:rsidRDefault="00B046C6" w:rsidP="00D64261">
      <w:pPr>
        <w:spacing w:line="360" w:lineRule="auto"/>
        <w:jc w:val="both"/>
        <w:rPr>
          <w:rFonts w:eastAsia="Calibri"/>
          <w:b/>
          <w:bCs/>
          <w:noProof/>
          <w:color w:val="4C4747"/>
          <w:lang w:val="es-DO"/>
        </w:rPr>
      </w:pPr>
    </w:p>
    <w:p w14:paraId="41DC4765" w14:textId="77777777" w:rsidR="00D951F2" w:rsidRPr="00167F3C" w:rsidRDefault="00D951F2" w:rsidP="00D64261">
      <w:pPr>
        <w:spacing w:after="0" w:line="360" w:lineRule="auto"/>
        <w:jc w:val="center"/>
        <w:rPr>
          <w:rFonts w:eastAsia="Calibri"/>
          <w:b/>
          <w:noProof/>
          <w:lang w:val="es-DO"/>
        </w:rPr>
      </w:pPr>
      <w:r w:rsidRPr="00167F3C">
        <w:rPr>
          <w:rFonts w:eastAsia="Calibri"/>
          <w:b/>
          <w:noProof/>
          <w:lang w:val="es-DO"/>
        </w:rPr>
        <w:lastRenderedPageBreak/>
        <w:t>Gráfico No. 02</w:t>
      </w:r>
    </w:p>
    <w:p w14:paraId="3AABBAF1" w14:textId="77777777" w:rsidR="00D951F2" w:rsidRPr="00167F3C" w:rsidRDefault="00D951F2" w:rsidP="00D64261">
      <w:pPr>
        <w:spacing w:after="0" w:line="360" w:lineRule="auto"/>
        <w:jc w:val="center"/>
        <w:rPr>
          <w:rFonts w:eastAsia="Calibri"/>
          <w:b/>
          <w:noProof/>
          <w:lang w:val="es-DO"/>
        </w:rPr>
      </w:pPr>
      <w:r w:rsidRPr="00167F3C">
        <w:rPr>
          <w:rFonts w:eastAsia="Calibri"/>
          <w:b/>
          <w:noProof/>
          <w:lang w:val="es-DO"/>
        </w:rPr>
        <w:t>Tesorería Nacional</w:t>
      </w:r>
    </w:p>
    <w:p w14:paraId="692F93CD" w14:textId="77777777" w:rsidR="00D951F2" w:rsidRPr="00D951F2" w:rsidRDefault="00D951F2" w:rsidP="00D64261">
      <w:pPr>
        <w:spacing w:line="360" w:lineRule="auto"/>
        <w:jc w:val="both"/>
        <w:rPr>
          <w:rFonts w:eastAsia="Calibri"/>
          <w:b/>
          <w:noProof/>
          <w:color w:val="4C4747"/>
          <w:lang w:val="es-DO"/>
        </w:rPr>
      </w:pPr>
      <w:r w:rsidRPr="00D951F2">
        <w:rPr>
          <w:rFonts w:eastAsia="Calibri"/>
          <w:noProof/>
          <w:color w:val="4C4747"/>
        </w:rPr>
        <w:drawing>
          <wp:inline distT="0" distB="0" distL="0" distR="0" wp14:anchorId="3F624372" wp14:editId="188E28AE">
            <wp:extent cx="5029200" cy="2933205"/>
            <wp:effectExtent l="0" t="0" r="0" b="635"/>
            <wp:docPr id="1171204997" name="Gráfico 1">
              <a:extLst xmlns:a="http://schemas.openxmlformats.org/drawingml/2006/main">
                <a:ext uri="{FF2B5EF4-FFF2-40B4-BE49-F238E27FC236}">
                  <a16:creationId xmlns:a16="http://schemas.microsoft.com/office/drawing/2014/main" id="{CBD2AF41-D80F-18C2-E3DB-48C236E8B9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1462106" w14:textId="77777777" w:rsidR="00D951F2" w:rsidRPr="00167F3C" w:rsidRDefault="00D951F2" w:rsidP="00D64261">
      <w:pPr>
        <w:spacing w:line="360" w:lineRule="auto"/>
        <w:jc w:val="both"/>
        <w:rPr>
          <w:rFonts w:eastAsia="Calibri"/>
          <w:bCs/>
          <w:i/>
          <w:iCs/>
          <w:noProof/>
          <w:sz w:val="18"/>
          <w:szCs w:val="18"/>
          <w:lang w:val="es-DO"/>
        </w:rPr>
      </w:pPr>
      <w:r w:rsidRPr="00167F3C">
        <w:rPr>
          <w:rFonts w:eastAsia="Calibri"/>
          <w:bCs/>
          <w:i/>
          <w:iCs/>
          <w:noProof/>
          <w:sz w:val="18"/>
          <w:szCs w:val="18"/>
          <w:lang w:val="es-DO"/>
        </w:rPr>
        <w:t>Fuente: (1) Carpeta de ETT2025, (2) Registro de Participantes</w:t>
      </w:r>
    </w:p>
    <w:p w14:paraId="5A6DBF31" w14:textId="77777777" w:rsidR="00D951F2" w:rsidRPr="00D951F2" w:rsidRDefault="00D951F2" w:rsidP="00D64261">
      <w:pPr>
        <w:spacing w:line="360" w:lineRule="auto"/>
        <w:jc w:val="both"/>
        <w:rPr>
          <w:rFonts w:eastAsia="Calibri"/>
          <w:b/>
          <w:noProof/>
          <w:color w:val="4C4747"/>
          <w:lang w:val="es-DO"/>
        </w:rPr>
      </w:pPr>
    </w:p>
    <w:p w14:paraId="3F4C96BD" w14:textId="77777777" w:rsidR="00D951F2" w:rsidRPr="00167F3C" w:rsidRDefault="00D951F2" w:rsidP="00D64261">
      <w:pPr>
        <w:spacing w:line="360" w:lineRule="auto"/>
        <w:jc w:val="both"/>
        <w:rPr>
          <w:rFonts w:eastAsia="Calibri"/>
          <w:b/>
          <w:bCs/>
          <w:noProof/>
          <w:lang w:val="es-DO"/>
        </w:rPr>
      </w:pPr>
      <w:bookmarkStart w:id="14" w:name="_Toc170469613"/>
      <w:r w:rsidRPr="00167F3C">
        <w:rPr>
          <w:rFonts w:eastAsia="Calibri"/>
          <w:b/>
          <w:bCs/>
          <w:noProof/>
          <w:lang w:val="es-DO"/>
        </w:rPr>
        <w:t>Actualizó las Informaciones de las Tesorerías Institucionales en el Sistema de Atención a las Tesorerías Institucionales (SATI).</w:t>
      </w:r>
      <w:bookmarkEnd w:id="14"/>
    </w:p>
    <w:p w14:paraId="783FA5A0"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 xml:space="preserve">La Tesorería Nacional, realizó 139 actualizaciones, en el Sistema de Atención a las TI (SATI), donde primaron como tipo de cambio: la adición de Tesorero, Cambio de Tesorero e Incumbente y la Actualización de Informaciones del Incumbente. Las variaciones en las Tesorerías Institucionales que van siendo registrados, genera el </w:t>
      </w:r>
      <w:bookmarkStart w:id="15" w:name="_Hlk170392235"/>
      <w:r w:rsidRPr="00167F3C">
        <w:rPr>
          <w:rFonts w:eastAsia="Calibri"/>
          <w:bCs/>
          <w:noProof/>
          <w:lang w:val="es-DO"/>
        </w:rPr>
        <w:t>Reporte de Cambios Registrados a las Tesorerías Institucionales</w:t>
      </w:r>
      <w:bookmarkEnd w:id="15"/>
      <w:r w:rsidRPr="00167F3C">
        <w:rPr>
          <w:rFonts w:eastAsia="Calibri"/>
          <w:bCs/>
          <w:noProof/>
          <w:lang w:val="es-DO"/>
        </w:rPr>
        <w:t>.</w:t>
      </w:r>
    </w:p>
    <w:p w14:paraId="3CC1EA94"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Esto en cumplimiento con el objetivo estratégico “Realizar una actualización tecnológica al Sistema de Tesorería”, que permite garantizar el ejercicio de la rectoría y en pro del fortalecimiento del concepto de la CUT”, conforme se realiza la incorporación de nuevas instituciones y a los cambios de incumbentes que a su vez deben asumir o relegar los Roles de Tesorero (TI o UEPEX) asignados.</w:t>
      </w:r>
    </w:p>
    <w:p w14:paraId="7651088D" w14:textId="36D86874" w:rsidR="00D951F2" w:rsidRPr="00167F3C" w:rsidRDefault="00D951F2" w:rsidP="00D64261">
      <w:pPr>
        <w:spacing w:after="0" w:line="360" w:lineRule="auto"/>
        <w:jc w:val="center"/>
        <w:rPr>
          <w:rFonts w:eastAsia="Calibri"/>
          <w:b/>
          <w:noProof/>
          <w:lang w:val="es-DO"/>
        </w:rPr>
      </w:pPr>
      <w:r w:rsidRPr="00167F3C">
        <w:rPr>
          <w:rFonts w:eastAsia="Calibri"/>
          <w:b/>
          <w:noProof/>
          <w:lang w:val="es-DO"/>
        </w:rPr>
        <w:lastRenderedPageBreak/>
        <w:t>Cuadro No. 0</w:t>
      </w:r>
      <w:r w:rsidR="008D7279" w:rsidRPr="00167F3C">
        <w:rPr>
          <w:rFonts w:eastAsia="Calibri"/>
          <w:b/>
          <w:noProof/>
          <w:lang w:val="es-DO"/>
        </w:rPr>
        <w:t>8</w:t>
      </w:r>
    </w:p>
    <w:p w14:paraId="1DC212CB" w14:textId="77777777" w:rsidR="00D951F2" w:rsidRPr="00167F3C" w:rsidRDefault="00D951F2" w:rsidP="00D64261">
      <w:pPr>
        <w:spacing w:after="0" w:line="360" w:lineRule="auto"/>
        <w:jc w:val="center"/>
        <w:rPr>
          <w:rFonts w:eastAsia="Calibri"/>
          <w:b/>
          <w:noProof/>
          <w:lang w:val="es-DO"/>
        </w:rPr>
      </w:pPr>
      <w:r w:rsidRPr="00167F3C">
        <w:rPr>
          <w:rFonts w:eastAsia="Calibri"/>
          <w:b/>
          <w:noProof/>
          <w:lang w:val="es-DO"/>
        </w:rPr>
        <w:t>Tesoreria Nacional</w:t>
      </w:r>
    </w:p>
    <w:tbl>
      <w:tblPr>
        <w:tblW w:w="5000" w:type="pct"/>
        <w:tblCellMar>
          <w:left w:w="70" w:type="dxa"/>
          <w:right w:w="70" w:type="dxa"/>
        </w:tblCellMar>
        <w:tblLook w:val="04A0" w:firstRow="1" w:lastRow="0" w:firstColumn="1" w:lastColumn="0" w:noHBand="0" w:noVBand="1"/>
      </w:tblPr>
      <w:tblGrid>
        <w:gridCol w:w="662"/>
        <w:gridCol w:w="818"/>
        <w:gridCol w:w="674"/>
        <w:gridCol w:w="674"/>
        <w:gridCol w:w="671"/>
        <w:gridCol w:w="663"/>
        <w:gridCol w:w="508"/>
        <w:gridCol w:w="694"/>
        <w:gridCol w:w="640"/>
        <w:gridCol w:w="627"/>
        <w:gridCol w:w="694"/>
        <w:gridCol w:w="585"/>
      </w:tblGrid>
      <w:tr w:rsidR="00D951F2" w:rsidRPr="00B47076" w14:paraId="75D820C9" w14:textId="77777777" w:rsidTr="00B26AAB">
        <w:trPr>
          <w:trHeight w:val="315"/>
        </w:trPr>
        <w:tc>
          <w:tcPr>
            <w:tcW w:w="5000" w:type="pct"/>
            <w:gridSpan w:val="12"/>
            <w:tcBorders>
              <w:top w:val="single" w:sz="4" w:space="0" w:color="auto"/>
              <w:left w:val="single" w:sz="4" w:space="0" w:color="auto"/>
              <w:bottom w:val="single" w:sz="4" w:space="0" w:color="auto"/>
              <w:right w:val="single" w:sz="4" w:space="0" w:color="auto"/>
            </w:tcBorders>
            <w:shd w:val="clear" w:color="auto" w:fill="011C50"/>
            <w:vAlign w:val="center"/>
            <w:hideMark/>
          </w:tcPr>
          <w:p w14:paraId="3957BC1B" w14:textId="77777777" w:rsidR="00D951F2" w:rsidRPr="00D951F2" w:rsidRDefault="00D951F2" w:rsidP="00D64261">
            <w:pPr>
              <w:spacing w:line="360" w:lineRule="auto"/>
              <w:jc w:val="both"/>
              <w:rPr>
                <w:rFonts w:eastAsia="Calibri"/>
                <w:b/>
                <w:bCs/>
                <w:noProof/>
                <w:color w:val="4C4747"/>
                <w:lang w:val="es-DO"/>
              </w:rPr>
            </w:pPr>
            <w:r w:rsidRPr="00D951F2">
              <w:rPr>
                <w:rFonts w:eastAsia="Calibri"/>
                <w:b/>
                <w:bCs/>
                <w:noProof/>
                <w:color w:val="FFFFFF" w:themeColor="background1"/>
                <w:lang w:val="es-DO"/>
              </w:rPr>
              <w:t>Actualizaciones de las Informaciones TI en el SATI</w:t>
            </w:r>
          </w:p>
        </w:tc>
      </w:tr>
      <w:tr w:rsidR="00D951F2" w:rsidRPr="00D951F2" w14:paraId="563204E2" w14:textId="77777777" w:rsidTr="006F7E31">
        <w:trPr>
          <w:trHeight w:val="330"/>
        </w:trPr>
        <w:tc>
          <w:tcPr>
            <w:tcW w:w="5000" w:type="pct"/>
            <w:gridSpan w:val="12"/>
            <w:tcBorders>
              <w:top w:val="single" w:sz="4" w:space="0" w:color="auto"/>
            </w:tcBorders>
            <w:shd w:val="clear" w:color="auto" w:fill="D9D9D9"/>
            <w:noWrap/>
            <w:vAlign w:val="center"/>
            <w:hideMark/>
          </w:tcPr>
          <w:p w14:paraId="7F6EBC12" w14:textId="77777777" w:rsidR="00D951F2" w:rsidRPr="00167F3C" w:rsidRDefault="00D951F2" w:rsidP="00167F3C">
            <w:pPr>
              <w:spacing w:line="360" w:lineRule="auto"/>
              <w:jc w:val="center"/>
              <w:rPr>
                <w:rFonts w:eastAsia="Calibri"/>
                <w:b/>
                <w:bCs/>
                <w:noProof/>
                <w:lang w:val="es-DO"/>
              </w:rPr>
            </w:pPr>
            <w:r w:rsidRPr="00167F3C">
              <w:rPr>
                <w:rFonts w:eastAsia="Calibri"/>
                <w:b/>
                <w:bCs/>
                <w:noProof/>
                <w:lang w:val="es-DO"/>
              </w:rPr>
              <w:t>2025</w:t>
            </w:r>
          </w:p>
        </w:tc>
      </w:tr>
      <w:tr w:rsidR="002C762F" w:rsidRPr="00D951F2" w14:paraId="154EB091" w14:textId="77777777" w:rsidTr="006F7E31">
        <w:trPr>
          <w:trHeight w:val="315"/>
        </w:trPr>
        <w:tc>
          <w:tcPr>
            <w:tcW w:w="441" w:type="pct"/>
            <w:tcBorders>
              <w:top w:val="nil"/>
            </w:tcBorders>
            <w:vAlign w:val="center"/>
            <w:hideMark/>
          </w:tcPr>
          <w:p w14:paraId="57F2462A"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Ene.</w:t>
            </w:r>
          </w:p>
        </w:tc>
        <w:tc>
          <w:tcPr>
            <w:tcW w:w="539" w:type="pct"/>
            <w:tcBorders>
              <w:top w:val="nil"/>
            </w:tcBorders>
            <w:vAlign w:val="center"/>
            <w:hideMark/>
          </w:tcPr>
          <w:p w14:paraId="047AA0F6"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Feb.</w:t>
            </w:r>
          </w:p>
        </w:tc>
        <w:tc>
          <w:tcPr>
            <w:tcW w:w="448" w:type="pct"/>
            <w:tcBorders>
              <w:top w:val="nil"/>
            </w:tcBorders>
            <w:vAlign w:val="center"/>
            <w:hideMark/>
          </w:tcPr>
          <w:p w14:paraId="6F7DBFD3"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Mar</w:t>
            </w:r>
          </w:p>
        </w:tc>
        <w:tc>
          <w:tcPr>
            <w:tcW w:w="448" w:type="pct"/>
            <w:tcBorders>
              <w:top w:val="nil"/>
            </w:tcBorders>
            <w:vAlign w:val="center"/>
            <w:hideMark/>
          </w:tcPr>
          <w:p w14:paraId="46350646"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Abr</w:t>
            </w:r>
          </w:p>
        </w:tc>
        <w:tc>
          <w:tcPr>
            <w:tcW w:w="446" w:type="pct"/>
            <w:tcBorders>
              <w:top w:val="nil"/>
            </w:tcBorders>
            <w:vAlign w:val="center"/>
            <w:hideMark/>
          </w:tcPr>
          <w:p w14:paraId="7B3E98BF"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May</w:t>
            </w:r>
          </w:p>
        </w:tc>
        <w:tc>
          <w:tcPr>
            <w:tcW w:w="441" w:type="pct"/>
            <w:tcBorders>
              <w:top w:val="nil"/>
            </w:tcBorders>
            <w:vAlign w:val="center"/>
            <w:hideMark/>
          </w:tcPr>
          <w:p w14:paraId="2B76D81D"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Jun</w:t>
            </w:r>
          </w:p>
        </w:tc>
        <w:tc>
          <w:tcPr>
            <w:tcW w:w="343" w:type="pct"/>
            <w:tcBorders>
              <w:top w:val="nil"/>
            </w:tcBorders>
            <w:vAlign w:val="center"/>
            <w:hideMark/>
          </w:tcPr>
          <w:p w14:paraId="094DACC7"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Jul</w:t>
            </w:r>
          </w:p>
        </w:tc>
        <w:tc>
          <w:tcPr>
            <w:tcW w:w="338" w:type="pct"/>
            <w:tcBorders>
              <w:top w:val="nil"/>
            </w:tcBorders>
            <w:vAlign w:val="center"/>
            <w:hideMark/>
          </w:tcPr>
          <w:p w14:paraId="03E9F26A"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Ago.</w:t>
            </w:r>
          </w:p>
        </w:tc>
        <w:tc>
          <w:tcPr>
            <w:tcW w:w="388" w:type="pct"/>
            <w:tcBorders>
              <w:top w:val="nil"/>
            </w:tcBorders>
            <w:vAlign w:val="center"/>
            <w:hideMark/>
          </w:tcPr>
          <w:p w14:paraId="41056EC0"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Sep.</w:t>
            </w:r>
          </w:p>
        </w:tc>
        <w:tc>
          <w:tcPr>
            <w:tcW w:w="388" w:type="pct"/>
            <w:tcBorders>
              <w:top w:val="nil"/>
            </w:tcBorders>
            <w:vAlign w:val="center"/>
            <w:hideMark/>
          </w:tcPr>
          <w:p w14:paraId="087695F8"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Oct.</w:t>
            </w:r>
          </w:p>
        </w:tc>
        <w:tc>
          <w:tcPr>
            <w:tcW w:w="388" w:type="pct"/>
            <w:tcBorders>
              <w:top w:val="nil"/>
            </w:tcBorders>
            <w:vAlign w:val="center"/>
            <w:hideMark/>
          </w:tcPr>
          <w:p w14:paraId="4863F2E1"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Nov.</w:t>
            </w:r>
          </w:p>
        </w:tc>
        <w:tc>
          <w:tcPr>
            <w:tcW w:w="392" w:type="pct"/>
            <w:tcBorders>
              <w:top w:val="nil"/>
            </w:tcBorders>
            <w:vAlign w:val="center"/>
            <w:hideMark/>
          </w:tcPr>
          <w:p w14:paraId="3D698CE3"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Dic</w:t>
            </w:r>
          </w:p>
        </w:tc>
      </w:tr>
      <w:tr w:rsidR="002C762F" w:rsidRPr="00D951F2" w14:paraId="417270E0" w14:textId="77777777" w:rsidTr="006F7E31">
        <w:trPr>
          <w:trHeight w:val="315"/>
        </w:trPr>
        <w:tc>
          <w:tcPr>
            <w:tcW w:w="441" w:type="pct"/>
            <w:tcBorders>
              <w:top w:val="nil"/>
              <w:bottom w:val="single" w:sz="4" w:space="0" w:color="auto"/>
            </w:tcBorders>
            <w:vAlign w:val="center"/>
            <w:hideMark/>
          </w:tcPr>
          <w:p w14:paraId="06D864D3"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9</w:t>
            </w:r>
          </w:p>
        </w:tc>
        <w:tc>
          <w:tcPr>
            <w:tcW w:w="539" w:type="pct"/>
            <w:tcBorders>
              <w:top w:val="nil"/>
              <w:bottom w:val="single" w:sz="4" w:space="0" w:color="auto"/>
            </w:tcBorders>
            <w:vAlign w:val="center"/>
            <w:hideMark/>
          </w:tcPr>
          <w:p w14:paraId="36A0A455"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11</w:t>
            </w:r>
          </w:p>
        </w:tc>
        <w:tc>
          <w:tcPr>
            <w:tcW w:w="448" w:type="pct"/>
            <w:tcBorders>
              <w:top w:val="nil"/>
              <w:bottom w:val="single" w:sz="4" w:space="0" w:color="auto"/>
            </w:tcBorders>
            <w:vAlign w:val="center"/>
            <w:hideMark/>
          </w:tcPr>
          <w:p w14:paraId="4BCD14C3"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15</w:t>
            </w:r>
          </w:p>
        </w:tc>
        <w:tc>
          <w:tcPr>
            <w:tcW w:w="448" w:type="pct"/>
            <w:tcBorders>
              <w:top w:val="nil"/>
              <w:bottom w:val="single" w:sz="4" w:space="0" w:color="auto"/>
            </w:tcBorders>
            <w:vAlign w:val="center"/>
            <w:hideMark/>
          </w:tcPr>
          <w:p w14:paraId="15A26C69"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17</w:t>
            </w:r>
          </w:p>
        </w:tc>
        <w:tc>
          <w:tcPr>
            <w:tcW w:w="446" w:type="pct"/>
            <w:tcBorders>
              <w:top w:val="nil"/>
              <w:bottom w:val="single" w:sz="4" w:space="0" w:color="auto"/>
            </w:tcBorders>
            <w:vAlign w:val="center"/>
            <w:hideMark/>
          </w:tcPr>
          <w:p w14:paraId="1325BD62"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10</w:t>
            </w:r>
          </w:p>
        </w:tc>
        <w:tc>
          <w:tcPr>
            <w:tcW w:w="441" w:type="pct"/>
            <w:tcBorders>
              <w:top w:val="nil"/>
              <w:bottom w:val="single" w:sz="4" w:space="0" w:color="auto"/>
            </w:tcBorders>
            <w:vAlign w:val="center"/>
            <w:hideMark/>
          </w:tcPr>
          <w:p w14:paraId="29DF05C9"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13</w:t>
            </w:r>
          </w:p>
        </w:tc>
        <w:tc>
          <w:tcPr>
            <w:tcW w:w="343" w:type="pct"/>
            <w:tcBorders>
              <w:top w:val="nil"/>
              <w:bottom w:val="single" w:sz="4" w:space="0" w:color="auto"/>
            </w:tcBorders>
            <w:vAlign w:val="center"/>
            <w:hideMark/>
          </w:tcPr>
          <w:p w14:paraId="6BEDB7CC"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14</w:t>
            </w:r>
          </w:p>
        </w:tc>
        <w:tc>
          <w:tcPr>
            <w:tcW w:w="338" w:type="pct"/>
            <w:tcBorders>
              <w:top w:val="nil"/>
              <w:bottom w:val="single" w:sz="4" w:space="0" w:color="auto"/>
            </w:tcBorders>
            <w:vAlign w:val="center"/>
            <w:hideMark/>
          </w:tcPr>
          <w:p w14:paraId="19B10DC4"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9</w:t>
            </w:r>
          </w:p>
        </w:tc>
        <w:tc>
          <w:tcPr>
            <w:tcW w:w="388" w:type="pct"/>
            <w:tcBorders>
              <w:top w:val="nil"/>
              <w:bottom w:val="single" w:sz="4" w:space="0" w:color="auto"/>
            </w:tcBorders>
            <w:vAlign w:val="center"/>
            <w:hideMark/>
          </w:tcPr>
          <w:p w14:paraId="3869C709"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6</w:t>
            </w:r>
          </w:p>
        </w:tc>
        <w:tc>
          <w:tcPr>
            <w:tcW w:w="388" w:type="pct"/>
            <w:tcBorders>
              <w:top w:val="nil"/>
              <w:bottom w:val="single" w:sz="4" w:space="0" w:color="auto"/>
            </w:tcBorders>
            <w:vAlign w:val="center"/>
            <w:hideMark/>
          </w:tcPr>
          <w:p w14:paraId="4D056BE7"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17</w:t>
            </w:r>
          </w:p>
        </w:tc>
        <w:tc>
          <w:tcPr>
            <w:tcW w:w="388" w:type="pct"/>
            <w:tcBorders>
              <w:top w:val="nil"/>
              <w:bottom w:val="single" w:sz="4" w:space="0" w:color="auto"/>
            </w:tcBorders>
            <w:vAlign w:val="center"/>
            <w:hideMark/>
          </w:tcPr>
          <w:p w14:paraId="64094945"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6</w:t>
            </w:r>
          </w:p>
        </w:tc>
        <w:tc>
          <w:tcPr>
            <w:tcW w:w="392" w:type="pct"/>
            <w:tcBorders>
              <w:top w:val="nil"/>
              <w:bottom w:val="single" w:sz="4" w:space="0" w:color="auto"/>
            </w:tcBorders>
            <w:vAlign w:val="center"/>
            <w:hideMark/>
          </w:tcPr>
          <w:p w14:paraId="534CB96D"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12</w:t>
            </w:r>
          </w:p>
        </w:tc>
      </w:tr>
      <w:tr w:rsidR="00D951F2" w:rsidRPr="00D951F2" w14:paraId="4E04C2A9" w14:textId="77777777" w:rsidTr="00B26AAB">
        <w:trPr>
          <w:trHeight w:val="315"/>
        </w:trPr>
        <w:tc>
          <w:tcPr>
            <w:tcW w:w="5000" w:type="pct"/>
            <w:gridSpan w:val="12"/>
            <w:tcBorders>
              <w:top w:val="single" w:sz="4" w:space="0" w:color="auto"/>
              <w:left w:val="single" w:sz="4" w:space="0" w:color="auto"/>
              <w:bottom w:val="single" w:sz="4" w:space="0" w:color="auto"/>
              <w:right w:val="single" w:sz="4" w:space="0" w:color="auto"/>
            </w:tcBorders>
            <w:shd w:val="clear" w:color="auto" w:fill="011C50"/>
            <w:vAlign w:val="center"/>
          </w:tcPr>
          <w:p w14:paraId="5E6118E4" w14:textId="77777777" w:rsidR="00D951F2" w:rsidRPr="00D951F2" w:rsidRDefault="00D951F2" w:rsidP="00D64261">
            <w:pPr>
              <w:spacing w:line="360" w:lineRule="auto"/>
              <w:jc w:val="both"/>
              <w:rPr>
                <w:rFonts w:eastAsia="Calibri"/>
                <w:b/>
                <w:bCs/>
                <w:noProof/>
                <w:color w:val="4C4747"/>
                <w:lang w:val="es-DO"/>
              </w:rPr>
            </w:pPr>
            <w:r w:rsidRPr="00D951F2">
              <w:rPr>
                <w:rFonts w:eastAsia="Calibri"/>
                <w:b/>
                <w:bCs/>
                <w:noProof/>
                <w:color w:val="FFFFFF" w:themeColor="background1"/>
                <w:lang w:val="es-DO"/>
              </w:rPr>
              <w:t>Total: 139 actualizaciones</w:t>
            </w:r>
          </w:p>
        </w:tc>
      </w:tr>
    </w:tbl>
    <w:p w14:paraId="276D0564" w14:textId="77777777" w:rsidR="00D951F2" w:rsidRPr="00167F3C" w:rsidRDefault="00D951F2" w:rsidP="00D64261">
      <w:pPr>
        <w:spacing w:line="360" w:lineRule="auto"/>
        <w:jc w:val="both"/>
        <w:rPr>
          <w:rFonts w:eastAsia="Calibri"/>
          <w:bCs/>
          <w:i/>
          <w:iCs/>
          <w:noProof/>
          <w:sz w:val="18"/>
          <w:szCs w:val="18"/>
          <w:lang w:val="es-DO"/>
        </w:rPr>
      </w:pPr>
      <w:r w:rsidRPr="00167F3C">
        <w:rPr>
          <w:rFonts w:eastAsia="Calibri"/>
          <w:bCs/>
          <w:i/>
          <w:iCs/>
          <w:noProof/>
          <w:sz w:val="18"/>
          <w:szCs w:val="18"/>
          <w:lang w:val="es-DO"/>
        </w:rPr>
        <w:t>Fuente: Reporte de Cambios Registrados a las Tesorerías Institucionales del SATI</w:t>
      </w:r>
    </w:p>
    <w:p w14:paraId="1C74932A" w14:textId="77777777" w:rsidR="00D951F2" w:rsidRPr="00D951F2" w:rsidRDefault="00D951F2" w:rsidP="00D64261">
      <w:pPr>
        <w:spacing w:line="360" w:lineRule="auto"/>
        <w:jc w:val="both"/>
        <w:rPr>
          <w:rFonts w:eastAsia="Calibri"/>
          <w:b/>
          <w:noProof/>
          <w:color w:val="4C4747"/>
          <w:lang w:val="es-DO"/>
        </w:rPr>
      </w:pPr>
    </w:p>
    <w:p w14:paraId="3F3E70D3" w14:textId="77777777" w:rsidR="00D951F2" w:rsidRPr="00D951F2" w:rsidRDefault="00D951F2" w:rsidP="00D64261">
      <w:pPr>
        <w:spacing w:line="360" w:lineRule="auto"/>
        <w:jc w:val="both"/>
        <w:rPr>
          <w:rFonts w:eastAsia="Calibri"/>
          <w:b/>
          <w:noProof/>
          <w:color w:val="4C4747"/>
          <w:lang w:val="es-DO"/>
        </w:rPr>
      </w:pPr>
    </w:p>
    <w:p w14:paraId="597B1BD4" w14:textId="77777777" w:rsidR="00D951F2" w:rsidRPr="00167F3C" w:rsidRDefault="00D951F2" w:rsidP="00D64261">
      <w:pPr>
        <w:spacing w:after="0" w:line="360" w:lineRule="auto"/>
        <w:jc w:val="center"/>
        <w:rPr>
          <w:rFonts w:eastAsia="Calibri"/>
          <w:b/>
          <w:noProof/>
          <w:lang w:val="es-DO"/>
        </w:rPr>
      </w:pPr>
      <w:r w:rsidRPr="00167F3C">
        <w:rPr>
          <w:rFonts w:eastAsia="Calibri"/>
          <w:b/>
          <w:noProof/>
          <w:lang w:val="es-DO"/>
        </w:rPr>
        <w:t>Gráfico No. 03</w:t>
      </w:r>
    </w:p>
    <w:p w14:paraId="62E7714D" w14:textId="77777777" w:rsidR="00D951F2" w:rsidRPr="00D951F2" w:rsidRDefault="00D951F2" w:rsidP="00D64261">
      <w:pPr>
        <w:spacing w:after="0" w:line="360" w:lineRule="auto"/>
        <w:jc w:val="center"/>
        <w:rPr>
          <w:rFonts w:eastAsia="Calibri"/>
          <w:b/>
          <w:noProof/>
          <w:color w:val="4C4747"/>
          <w:lang w:val="es-DO"/>
        </w:rPr>
      </w:pPr>
      <w:r w:rsidRPr="00167F3C">
        <w:rPr>
          <w:rFonts w:eastAsia="Calibri"/>
          <w:b/>
          <w:noProof/>
          <w:lang w:val="es-DO"/>
        </w:rPr>
        <w:t>Tesoreria Nacional</w:t>
      </w:r>
    </w:p>
    <w:p w14:paraId="63F27648" w14:textId="77777777" w:rsidR="00D951F2" w:rsidRPr="00D951F2" w:rsidRDefault="00D951F2" w:rsidP="00D64261">
      <w:pPr>
        <w:spacing w:line="360" w:lineRule="auto"/>
        <w:jc w:val="both"/>
        <w:rPr>
          <w:rFonts w:eastAsia="Calibri"/>
          <w:b/>
          <w:noProof/>
          <w:color w:val="4C4747"/>
          <w:lang w:val="es-DO"/>
        </w:rPr>
      </w:pPr>
      <w:r w:rsidRPr="00D951F2">
        <w:rPr>
          <w:rFonts w:eastAsia="Calibri"/>
          <w:noProof/>
          <w:color w:val="4C4747"/>
        </w:rPr>
        <w:drawing>
          <wp:inline distT="0" distB="0" distL="0" distR="0" wp14:anchorId="3272C445" wp14:editId="643DFEA7">
            <wp:extent cx="5144770" cy="1793174"/>
            <wp:effectExtent l="0" t="0" r="17780" b="17145"/>
            <wp:docPr id="1089600808" name="Gráfico 1">
              <a:extLst xmlns:a="http://schemas.openxmlformats.org/drawingml/2006/main">
                <a:ext uri="{FF2B5EF4-FFF2-40B4-BE49-F238E27FC236}">
                  <a16:creationId xmlns:a16="http://schemas.microsoft.com/office/drawing/2014/main" id="{56A55118-127E-4CA1-BE2D-25F61190FF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7B083CB" w14:textId="77777777" w:rsidR="00D951F2" w:rsidRPr="00167F3C" w:rsidRDefault="00D951F2" w:rsidP="00D64261">
      <w:pPr>
        <w:spacing w:line="360" w:lineRule="auto"/>
        <w:jc w:val="both"/>
        <w:rPr>
          <w:rFonts w:eastAsia="Calibri"/>
          <w:b/>
          <w:noProof/>
          <w:sz w:val="18"/>
          <w:szCs w:val="18"/>
          <w:lang w:val="es-DO"/>
        </w:rPr>
      </w:pPr>
      <w:r w:rsidRPr="00167F3C">
        <w:rPr>
          <w:rFonts w:eastAsia="Calibri"/>
          <w:bCs/>
          <w:i/>
          <w:iCs/>
          <w:noProof/>
          <w:sz w:val="18"/>
          <w:szCs w:val="18"/>
          <w:lang w:val="es-DO"/>
        </w:rPr>
        <w:t>Fuente: Reporte de Cambios Registrados a las Tesorerías Institucionales del SATI</w:t>
      </w:r>
    </w:p>
    <w:p w14:paraId="79BCE234" w14:textId="77777777" w:rsidR="00D951F2" w:rsidRDefault="00D951F2" w:rsidP="00D64261">
      <w:pPr>
        <w:spacing w:line="360" w:lineRule="auto"/>
        <w:jc w:val="both"/>
        <w:rPr>
          <w:rFonts w:eastAsia="Calibri"/>
          <w:b/>
          <w:noProof/>
          <w:color w:val="4C4747"/>
          <w:lang w:val="es-DO"/>
        </w:rPr>
      </w:pPr>
      <w:bookmarkStart w:id="16" w:name="_Toc170469615"/>
    </w:p>
    <w:p w14:paraId="0FF196C8" w14:textId="77777777" w:rsidR="00B15A8A" w:rsidRDefault="00B15A8A" w:rsidP="00D64261">
      <w:pPr>
        <w:spacing w:line="360" w:lineRule="auto"/>
        <w:jc w:val="both"/>
        <w:rPr>
          <w:rFonts w:eastAsia="Calibri"/>
          <w:b/>
          <w:noProof/>
          <w:color w:val="4C4747"/>
          <w:lang w:val="es-DO"/>
        </w:rPr>
      </w:pPr>
    </w:p>
    <w:p w14:paraId="19A6CA9A" w14:textId="77777777" w:rsidR="00B15A8A" w:rsidRDefault="00B15A8A" w:rsidP="00D64261">
      <w:pPr>
        <w:spacing w:line="360" w:lineRule="auto"/>
        <w:jc w:val="both"/>
        <w:rPr>
          <w:rFonts w:eastAsia="Calibri"/>
          <w:b/>
          <w:noProof/>
          <w:color w:val="4C4747"/>
          <w:lang w:val="es-DO"/>
        </w:rPr>
      </w:pPr>
    </w:p>
    <w:p w14:paraId="60019AC5" w14:textId="77777777" w:rsidR="006D3422" w:rsidRDefault="006D3422" w:rsidP="00D64261">
      <w:pPr>
        <w:spacing w:line="360" w:lineRule="auto"/>
        <w:jc w:val="both"/>
        <w:rPr>
          <w:rFonts w:eastAsia="Calibri"/>
          <w:b/>
          <w:noProof/>
          <w:color w:val="4C4747"/>
          <w:lang w:val="es-DO"/>
        </w:rPr>
      </w:pPr>
    </w:p>
    <w:p w14:paraId="4FDCD253" w14:textId="77777777" w:rsidR="006D3422" w:rsidRPr="00D951F2" w:rsidRDefault="006D3422" w:rsidP="00D64261">
      <w:pPr>
        <w:spacing w:line="360" w:lineRule="auto"/>
        <w:jc w:val="both"/>
        <w:rPr>
          <w:rFonts w:eastAsia="Calibri"/>
          <w:b/>
          <w:noProof/>
          <w:color w:val="4C4747"/>
          <w:lang w:val="es-DO"/>
        </w:rPr>
      </w:pPr>
    </w:p>
    <w:p w14:paraId="2A838286" w14:textId="2865A384" w:rsidR="00D951F2" w:rsidRPr="00167F3C" w:rsidRDefault="00D951F2" w:rsidP="00D64261">
      <w:pPr>
        <w:spacing w:line="360" w:lineRule="auto"/>
        <w:jc w:val="both"/>
        <w:rPr>
          <w:rFonts w:eastAsia="Calibri"/>
          <w:b/>
          <w:noProof/>
          <w:lang w:val="es-DO"/>
        </w:rPr>
      </w:pPr>
      <w:r w:rsidRPr="00167F3C">
        <w:rPr>
          <w:rFonts w:eastAsia="Calibri"/>
          <w:b/>
          <w:noProof/>
          <w:lang w:val="es-DO"/>
        </w:rPr>
        <w:lastRenderedPageBreak/>
        <w:t>Asistencia Técnica y Envío de Reporte Estados de Cuenta y Envío de Reporte Movimiento Financiero en Libros</w:t>
      </w:r>
      <w:bookmarkEnd w:id="16"/>
    </w:p>
    <w:p w14:paraId="4D6A41B9" w14:textId="5E3ECE73" w:rsidR="00D951F2" w:rsidRPr="00167F3C" w:rsidRDefault="00D951F2" w:rsidP="00D64261">
      <w:pPr>
        <w:spacing w:line="360" w:lineRule="auto"/>
        <w:jc w:val="both"/>
        <w:rPr>
          <w:rFonts w:eastAsia="Calibri"/>
          <w:bCs/>
          <w:noProof/>
          <w:lang w:val="es-DO"/>
        </w:rPr>
      </w:pPr>
      <w:r w:rsidRPr="00167F3C">
        <w:rPr>
          <w:rFonts w:eastAsia="Calibri"/>
          <w:bCs/>
          <w:noProof/>
          <w:lang w:val="es-DO"/>
        </w:rPr>
        <w:t xml:space="preserve">La Tesorería Nacional remite a los titulares de las subcuentas, mensualmente y cuantas veces se lo soliciten, los movimientos que se registren y la situación de las respectivas subcuentas. En cumplimiento con esta regulación diariamente se generan desde el Sistema de Información de la Gestión Financiera (SIGEF), 81 reportes de Estados y Movimientos que son enviados vía correo electrónico; y 125 que son enviados al corte de cada mes; de igual forma se envían regularmente a solicitud de las instituciones. </w:t>
      </w:r>
    </w:p>
    <w:p w14:paraId="00683E10" w14:textId="77777777" w:rsidR="00D951F2" w:rsidRPr="00167F3C" w:rsidRDefault="00D951F2" w:rsidP="00D64261">
      <w:pPr>
        <w:spacing w:line="360" w:lineRule="auto"/>
        <w:jc w:val="both"/>
        <w:rPr>
          <w:rFonts w:eastAsia="Calibri"/>
          <w:noProof/>
          <w:lang w:val="es-DO"/>
        </w:rPr>
      </w:pPr>
      <w:r w:rsidRPr="00167F3C">
        <w:rPr>
          <w:rFonts w:eastAsia="Calibri"/>
          <w:bCs/>
          <w:noProof/>
          <w:lang w:val="es-DO"/>
        </w:rPr>
        <w:t>En este periodo enero-</w:t>
      </w:r>
      <w:r w:rsidRPr="00167F3C">
        <w:rPr>
          <w:rFonts w:eastAsia="Calibri"/>
          <w:noProof/>
          <w:lang w:val="es-DO"/>
        </w:rPr>
        <w:t xml:space="preserve">diciembre 2025, se realizaron 21,934 </w:t>
      </w:r>
      <w:r w:rsidRPr="00167F3C">
        <w:rPr>
          <w:rFonts w:eastAsia="Calibri"/>
          <w:bCs/>
          <w:noProof/>
          <w:lang w:val="es-DO"/>
        </w:rPr>
        <w:t>envíos de Estados</w:t>
      </w:r>
      <w:r w:rsidRPr="00167F3C">
        <w:rPr>
          <w:rFonts w:eastAsia="Calibri"/>
          <w:noProof/>
          <w:lang w:val="es-DO"/>
        </w:rPr>
        <w:t xml:space="preserve"> </w:t>
      </w:r>
      <w:r w:rsidRPr="00167F3C">
        <w:rPr>
          <w:rFonts w:eastAsia="Calibri"/>
          <w:bCs/>
          <w:noProof/>
          <w:lang w:val="es-DO"/>
        </w:rPr>
        <w:t>de Cuentas y Movimientos Financieros en Libros, más 2,308</w:t>
      </w:r>
      <w:r w:rsidRPr="00167F3C">
        <w:rPr>
          <w:rFonts w:eastAsia="Calibri"/>
          <w:noProof/>
          <w:lang w:val="es-DO"/>
        </w:rPr>
        <w:t xml:space="preserve"> </w:t>
      </w:r>
      <w:r w:rsidRPr="00167F3C">
        <w:rPr>
          <w:rFonts w:eastAsia="Calibri"/>
          <w:bCs/>
          <w:noProof/>
          <w:lang w:val="es-DO"/>
        </w:rPr>
        <w:t>actividades relativas a</w:t>
      </w:r>
      <w:r w:rsidRPr="00167F3C">
        <w:rPr>
          <w:rFonts w:eastAsia="Calibri"/>
          <w:noProof/>
          <w:lang w:val="es-DO"/>
        </w:rPr>
        <w:t xml:space="preserve"> servicios y </w:t>
      </w:r>
      <w:r w:rsidRPr="00167F3C">
        <w:rPr>
          <w:rFonts w:eastAsia="Calibri"/>
          <w:bCs/>
          <w:noProof/>
          <w:lang w:val="es-DO"/>
        </w:rPr>
        <w:t>asistencias técnicas, para un total de</w:t>
      </w:r>
      <w:r w:rsidRPr="00167F3C">
        <w:rPr>
          <w:rFonts w:eastAsia="Calibri"/>
          <w:noProof/>
          <w:lang w:val="es-DO"/>
        </w:rPr>
        <w:t xml:space="preserve"> 24,130 acciones registradas. </w:t>
      </w:r>
    </w:p>
    <w:p w14:paraId="0BA1DCBC" w14:textId="77777777" w:rsidR="00B046C6" w:rsidRPr="00167F3C" w:rsidRDefault="00B046C6" w:rsidP="00D64261">
      <w:pPr>
        <w:spacing w:line="360" w:lineRule="auto"/>
        <w:jc w:val="both"/>
        <w:rPr>
          <w:rFonts w:eastAsia="Calibri"/>
          <w:noProof/>
          <w:lang w:val="es-DO"/>
        </w:rPr>
      </w:pPr>
    </w:p>
    <w:p w14:paraId="3A2195D9" w14:textId="5F36FF21" w:rsidR="00D951F2" w:rsidRPr="00167F3C" w:rsidRDefault="00D951F2" w:rsidP="00D64261">
      <w:pPr>
        <w:spacing w:after="0" w:line="360" w:lineRule="auto"/>
        <w:jc w:val="center"/>
        <w:rPr>
          <w:rFonts w:eastAsia="Calibri"/>
          <w:b/>
          <w:noProof/>
          <w:lang w:val="es-DO"/>
        </w:rPr>
      </w:pPr>
      <w:r w:rsidRPr="00167F3C">
        <w:rPr>
          <w:rFonts w:eastAsia="Calibri"/>
          <w:b/>
          <w:noProof/>
          <w:lang w:val="es-DO"/>
        </w:rPr>
        <w:t>Cuadro No. 0</w:t>
      </w:r>
      <w:r w:rsidR="008D7279" w:rsidRPr="00167F3C">
        <w:rPr>
          <w:rFonts w:eastAsia="Calibri"/>
          <w:b/>
          <w:noProof/>
          <w:lang w:val="es-DO"/>
        </w:rPr>
        <w:t>9</w:t>
      </w:r>
    </w:p>
    <w:p w14:paraId="357E7BDA" w14:textId="77777777" w:rsidR="00D951F2" w:rsidRPr="00167F3C" w:rsidRDefault="00D951F2" w:rsidP="00D64261">
      <w:pPr>
        <w:spacing w:after="0" w:line="360" w:lineRule="auto"/>
        <w:jc w:val="center"/>
        <w:rPr>
          <w:rFonts w:eastAsia="Calibri"/>
          <w:b/>
          <w:noProof/>
          <w:lang w:val="es-DO"/>
        </w:rPr>
      </w:pPr>
      <w:r w:rsidRPr="00167F3C">
        <w:rPr>
          <w:rFonts w:eastAsia="Calibri"/>
          <w:b/>
          <w:noProof/>
          <w:lang w:val="es-DO"/>
        </w:rPr>
        <w:t>Tesoreria Nacional</w:t>
      </w:r>
    </w:p>
    <w:tbl>
      <w:tblPr>
        <w:tblW w:w="8336" w:type="dxa"/>
        <w:tblCellMar>
          <w:left w:w="70" w:type="dxa"/>
          <w:right w:w="70" w:type="dxa"/>
        </w:tblCellMar>
        <w:tblLook w:val="04A0" w:firstRow="1" w:lastRow="0" w:firstColumn="1" w:lastColumn="0" w:noHBand="0" w:noVBand="1"/>
      </w:tblPr>
      <w:tblGrid>
        <w:gridCol w:w="2268"/>
        <w:gridCol w:w="1840"/>
        <w:gridCol w:w="2054"/>
        <w:gridCol w:w="2174"/>
      </w:tblGrid>
      <w:tr w:rsidR="00D951F2" w:rsidRPr="00B47076" w14:paraId="44A9FD3B" w14:textId="77777777" w:rsidTr="00B26AAB">
        <w:trPr>
          <w:trHeight w:val="449"/>
          <w:tblHeader/>
        </w:trPr>
        <w:tc>
          <w:tcPr>
            <w:tcW w:w="2268" w:type="dxa"/>
            <w:vMerge w:val="restart"/>
            <w:tcBorders>
              <w:top w:val="nil"/>
              <w:left w:val="nil"/>
              <w:bottom w:val="nil"/>
              <w:right w:val="nil"/>
            </w:tcBorders>
            <w:shd w:val="clear" w:color="auto" w:fill="011C50"/>
            <w:vAlign w:val="center"/>
            <w:hideMark/>
          </w:tcPr>
          <w:p w14:paraId="50623023" w14:textId="77777777" w:rsidR="00D951F2" w:rsidRPr="00D951F2" w:rsidRDefault="00D951F2" w:rsidP="00D64261">
            <w:pPr>
              <w:spacing w:line="360" w:lineRule="auto"/>
              <w:jc w:val="center"/>
              <w:rPr>
                <w:rFonts w:eastAsia="Calibri"/>
                <w:b/>
                <w:bCs/>
                <w:noProof/>
                <w:color w:val="FFFFFF" w:themeColor="background1"/>
                <w:lang w:val="es-DO"/>
              </w:rPr>
            </w:pPr>
            <w:r w:rsidRPr="00D951F2">
              <w:rPr>
                <w:rFonts w:eastAsia="Calibri"/>
                <w:b/>
                <w:bCs/>
                <w:noProof/>
                <w:color w:val="FFFFFF" w:themeColor="background1"/>
                <w:lang w:val="es-DO"/>
              </w:rPr>
              <w:t>2025</w:t>
            </w:r>
          </w:p>
        </w:tc>
        <w:tc>
          <w:tcPr>
            <w:tcW w:w="1840" w:type="dxa"/>
            <w:vMerge w:val="restart"/>
            <w:tcBorders>
              <w:top w:val="nil"/>
              <w:left w:val="nil"/>
              <w:bottom w:val="nil"/>
              <w:right w:val="nil"/>
            </w:tcBorders>
            <w:shd w:val="clear" w:color="auto" w:fill="011C50"/>
            <w:vAlign w:val="center"/>
            <w:hideMark/>
          </w:tcPr>
          <w:p w14:paraId="61DD95AA"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Envío Diario</w:t>
            </w:r>
          </w:p>
        </w:tc>
        <w:tc>
          <w:tcPr>
            <w:tcW w:w="4228" w:type="dxa"/>
            <w:gridSpan w:val="2"/>
            <w:tcBorders>
              <w:top w:val="nil"/>
              <w:left w:val="nil"/>
              <w:bottom w:val="nil"/>
              <w:right w:val="nil"/>
            </w:tcBorders>
            <w:shd w:val="clear" w:color="auto" w:fill="011C50"/>
            <w:vAlign w:val="center"/>
            <w:hideMark/>
          </w:tcPr>
          <w:p w14:paraId="0CC38AA1"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 xml:space="preserve"> A solicitud de la Institución registrados en el SATI</w:t>
            </w:r>
          </w:p>
        </w:tc>
      </w:tr>
      <w:tr w:rsidR="00D951F2" w:rsidRPr="00D951F2" w14:paraId="12F7689A" w14:textId="77777777" w:rsidTr="00B26AAB">
        <w:trPr>
          <w:trHeight w:val="277"/>
          <w:tblHeader/>
        </w:trPr>
        <w:tc>
          <w:tcPr>
            <w:tcW w:w="2268" w:type="dxa"/>
            <w:vMerge/>
            <w:tcBorders>
              <w:top w:val="nil"/>
              <w:left w:val="nil"/>
              <w:bottom w:val="nil"/>
              <w:right w:val="nil"/>
            </w:tcBorders>
            <w:shd w:val="clear" w:color="auto" w:fill="011C50"/>
            <w:vAlign w:val="center"/>
            <w:hideMark/>
          </w:tcPr>
          <w:p w14:paraId="4864A9DC" w14:textId="77777777" w:rsidR="00D951F2" w:rsidRPr="00D951F2" w:rsidRDefault="00D951F2" w:rsidP="00D64261">
            <w:pPr>
              <w:spacing w:line="360" w:lineRule="auto"/>
              <w:jc w:val="both"/>
              <w:rPr>
                <w:rFonts w:eastAsia="Calibri"/>
                <w:b/>
                <w:bCs/>
                <w:noProof/>
                <w:color w:val="FFFFFF" w:themeColor="background1"/>
                <w:lang w:val="es-DO"/>
              </w:rPr>
            </w:pPr>
          </w:p>
        </w:tc>
        <w:tc>
          <w:tcPr>
            <w:tcW w:w="1840" w:type="dxa"/>
            <w:vMerge/>
            <w:tcBorders>
              <w:top w:val="nil"/>
              <w:left w:val="nil"/>
              <w:bottom w:val="nil"/>
              <w:right w:val="nil"/>
            </w:tcBorders>
            <w:shd w:val="clear" w:color="auto" w:fill="011C50"/>
            <w:vAlign w:val="center"/>
            <w:hideMark/>
          </w:tcPr>
          <w:p w14:paraId="58D52633" w14:textId="77777777" w:rsidR="00D951F2" w:rsidRPr="00D951F2" w:rsidRDefault="00D951F2" w:rsidP="00D64261">
            <w:pPr>
              <w:spacing w:line="360" w:lineRule="auto"/>
              <w:jc w:val="both"/>
              <w:rPr>
                <w:rFonts w:eastAsia="Calibri"/>
                <w:b/>
                <w:bCs/>
                <w:noProof/>
                <w:color w:val="FFFFFF" w:themeColor="background1"/>
                <w:lang w:val="es-DO"/>
              </w:rPr>
            </w:pPr>
          </w:p>
        </w:tc>
        <w:tc>
          <w:tcPr>
            <w:tcW w:w="2054" w:type="dxa"/>
            <w:tcBorders>
              <w:top w:val="nil"/>
              <w:left w:val="nil"/>
              <w:bottom w:val="nil"/>
              <w:right w:val="nil"/>
            </w:tcBorders>
            <w:shd w:val="clear" w:color="auto" w:fill="011C50"/>
            <w:vAlign w:val="center"/>
            <w:hideMark/>
          </w:tcPr>
          <w:p w14:paraId="04276519"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ESTADOS</w:t>
            </w:r>
          </w:p>
        </w:tc>
        <w:tc>
          <w:tcPr>
            <w:tcW w:w="2174" w:type="dxa"/>
            <w:tcBorders>
              <w:top w:val="nil"/>
              <w:left w:val="nil"/>
              <w:bottom w:val="nil"/>
              <w:right w:val="nil"/>
            </w:tcBorders>
            <w:shd w:val="clear" w:color="auto" w:fill="011C50"/>
            <w:vAlign w:val="center"/>
            <w:hideMark/>
          </w:tcPr>
          <w:p w14:paraId="765E1924"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MOVIMIENTOS</w:t>
            </w:r>
          </w:p>
        </w:tc>
      </w:tr>
      <w:tr w:rsidR="00167F3C" w:rsidRPr="00167F3C" w14:paraId="5790331C" w14:textId="77777777" w:rsidTr="00B15A8A">
        <w:trPr>
          <w:trHeight w:val="264"/>
        </w:trPr>
        <w:tc>
          <w:tcPr>
            <w:tcW w:w="2268" w:type="dxa"/>
            <w:tcBorders>
              <w:top w:val="nil"/>
              <w:left w:val="nil"/>
              <w:bottom w:val="nil"/>
              <w:right w:val="nil"/>
            </w:tcBorders>
            <w:shd w:val="clear" w:color="000000" w:fill="D9D9D9"/>
            <w:noWrap/>
            <w:vAlign w:val="bottom"/>
            <w:hideMark/>
          </w:tcPr>
          <w:p w14:paraId="38748C6D"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Enero</w:t>
            </w:r>
          </w:p>
        </w:tc>
        <w:tc>
          <w:tcPr>
            <w:tcW w:w="1840" w:type="dxa"/>
            <w:tcBorders>
              <w:top w:val="nil"/>
              <w:left w:val="nil"/>
              <w:bottom w:val="nil"/>
              <w:right w:val="nil"/>
            </w:tcBorders>
            <w:shd w:val="clear" w:color="000000" w:fill="D9D9D9"/>
            <w:noWrap/>
            <w:vAlign w:val="bottom"/>
            <w:hideMark/>
          </w:tcPr>
          <w:p w14:paraId="6A3BF914"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1,826</w:t>
            </w:r>
          </w:p>
        </w:tc>
        <w:tc>
          <w:tcPr>
            <w:tcW w:w="2054" w:type="dxa"/>
            <w:tcBorders>
              <w:top w:val="nil"/>
              <w:left w:val="nil"/>
              <w:bottom w:val="nil"/>
              <w:right w:val="nil"/>
            </w:tcBorders>
            <w:shd w:val="clear" w:color="000000" w:fill="D9D9D9"/>
            <w:noWrap/>
            <w:vAlign w:val="center"/>
            <w:hideMark/>
          </w:tcPr>
          <w:p w14:paraId="19CF590C"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16</w:t>
            </w:r>
          </w:p>
        </w:tc>
        <w:tc>
          <w:tcPr>
            <w:tcW w:w="2174" w:type="dxa"/>
            <w:tcBorders>
              <w:top w:val="nil"/>
              <w:left w:val="nil"/>
              <w:bottom w:val="nil"/>
              <w:right w:val="nil"/>
            </w:tcBorders>
            <w:shd w:val="clear" w:color="000000" w:fill="D9D9D9"/>
            <w:noWrap/>
            <w:vAlign w:val="center"/>
            <w:hideMark/>
          </w:tcPr>
          <w:p w14:paraId="4297E099"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13</w:t>
            </w:r>
          </w:p>
        </w:tc>
      </w:tr>
      <w:tr w:rsidR="00167F3C" w:rsidRPr="00167F3C" w14:paraId="207C8965" w14:textId="77777777" w:rsidTr="00B15A8A">
        <w:trPr>
          <w:trHeight w:val="264"/>
        </w:trPr>
        <w:tc>
          <w:tcPr>
            <w:tcW w:w="2268" w:type="dxa"/>
            <w:tcBorders>
              <w:top w:val="nil"/>
              <w:left w:val="nil"/>
              <w:bottom w:val="nil"/>
              <w:right w:val="nil"/>
            </w:tcBorders>
            <w:noWrap/>
            <w:vAlign w:val="bottom"/>
            <w:hideMark/>
          </w:tcPr>
          <w:p w14:paraId="520597BB"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Febrero</w:t>
            </w:r>
          </w:p>
        </w:tc>
        <w:tc>
          <w:tcPr>
            <w:tcW w:w="1840" w:type="dxa"/>
            <w:tcBorders>
              <w:top w:val="nil"/>
              <w:left w:val="nil"/>
              <w:bottom w:val="nil"/>
              <w:right w:val="nil"/>
            </w:tcBorders>
            <w:noWrap/>
            <w:vAlign w:val="bottom"/>
            <w:hideMark/>
          </w:tcPr>
          <w:p w14:paraId="3B9AC39D"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1,664</w:t>
            </w:r>
          </w:p>
        </w:tc>
        <w:tc>
          <w:tcPr>
            <w:tcW w:w="2054" w:type="dxa"/>
            <w:tcBorders>
              <w:top w:val="nil"/>
              <w:left w:val="nil"/>
              <w:bottom w:val="nil"/>
              <w:right w:val="nil"/>
            </w:tcBorders>
            <w:noWrap/>
            <w:vAlign w:val="center"/>
            <w:hideMark/>
          </w:tcPr>
          <w:p w14:paraId="3B4F4057"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26</w:t>
            </w:r>
          </w:p>
        </w:tc>
        <w:tc>
          <w:tcPr>
            <w:tcW w:w="2174" w:type="dxa"/>
            <w:tcBorders>
              <w:top w:val="nil"/>
              <w:left w:val="nil"/>
              <w:bottom w:val="nil"/>
              <w:right w:val="nil"/>
            </w:tcBorders>
            <w:noWrap/>
            <w:vAlign w:val="center"/>
            <w:hideMark/>
          </w:tcPr>
          <w:p w14:paraId="6A642F6E"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21</w:t>
            </w:r>
          </w:p>
        </w:tc>
      </w:tr>
      <w:tr w:rsidR="00167F3C" w:rsidRPr="00167F3C" w14:paraId="1B993718" w14:textId="77777777" w:rsidTr="00B15A8A">
        <w:trPr>
          <w:trHeight w:val="264"/>
        </w:trPr>
        <w:tc>
          <w:tcPr>
            <w:tcW w:w="2268" w:type="dxa"/>
            <w:tcBorders>
              <w:top w:val="nil"/>
              <w:left w:val="nil"/>
              <w:bottom w:val="nil"/>
              <w:right w:val="nil"/>
            </w:tcBorders>
            <w:shd w:val="clear" w:color="000000" w:fill="D9D9D9"/>
            <w:noWrap/>
            <w:vAlign w:val="bottom"/>
            <w:hideMark/>
          </w:tcPr>
          <w:p w14:paraId="64AFB9E3"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Marzo</w:t>
            </w:r>
          </w:p>
        </w:tc>
        <w:tc>
          <w:tcPr>
            <w:tcW w:w="1840" w:type="dxa"/>
            <w:tcBorders>
              <w:top w:val="nil"/>
              <w:left w:val="nil"/>
              <w:bottom w:val="nil"/>
              <w:right w:val="nil"/>
            </w:tcBorders>
            <w:shd w:val="clear" w:color="000000" w:fill="D9D9D9"/>
            <w:noWrap/>
            <w:vAlign w:val="bottom"/>
            <w:hideMark/>
          </w:tcPr>
          <w:p w14:paraId="447B1D45"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1,664</w:t>
            </w:r>
          </w:p>
        </w:tc>
        <w:tc>
          <w:tcPr>
            <w:tcW w:w="2054" w:type="dxa"/>
            <w:tcBorders>
              <w:top w:val="nil"/>
              <w:left w:val="nil"/>
              <w:bottom w:val="nil"/>
              <w:right w:val="nil"/>
            </w:tcBorders>
            <w:shd w:val="clear" w:color="000000" w:fill="D9D9D9"/>
            <w:noWrap/>
            <w:vAlign w:val="bottom"/>
            <w:hideMark/>
          </w:tcPr>
          <w:p w14:paraId="421EB7CF"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24</w:t>
            </w:r>
          </w:p>
        </w:tc>
        <w:tc>
          <w:tcPr>
            <w:tcW w:w="2174" w:type="dxa"/>
            <w:tcBorders>
              <w:top w:val="nil"/>
              <w:left w:val="nil"/>
              <w:bottom w:val="nil"/>
              <w:right w:val="nil"/>
            </w:tcBorders>
            <w:shd w:val="clear" w:color="000000" w:fill="D9D9D9"/>
            <w:noWrap/>
            <w:vAlign w:val="bottom"/>
            <w:hideMark/>
          </w:tcPr>
          <w:p w14:paraId="2F7E4E93"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19</w:t>
            </w:r>
          </w:p>
        </w:tc>
      </w:tr>
      <w:tr w:rsidR="00167F3C" w:rsidRPr="00167F3C" w14:paraId="281D1BAB" w14:textId="77777777" w:rsidTr="00B15A8A">
        <w:trPr>
          <w:trHeight w:val="264"/>
        </w:trPr>
        <w:tc>
          <w:tcPr>
            <w:tcW w:w="2268" w:type="dxa"/>
            <w:tcBorders>
              <w:top w:val="nil"/>
              <w:left w:val="nil"/>
              <w:bottom w:val="nil"/>
              <w:right w:val="nil"/>
            </w:tcBorders>
            <w:noWrap/>
            <w:vAlign w:val="bottom"/>
            <w:hideMark/>
          </w:tcPr>
          <w:p w14:paraId="5FE35774"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Abril</w:t>
            </w:r>
          </w:p>
        </w:tc>
        <w:tc>
          <w:tcPr>
            <w:tcW w:w="1840" w:type="dxa"/>
            <w:tcBorders>
              <w:top w:val="nil"/>
              <w:left w:val="nil"/>
              <w:bottom w:val="nil"/>
              <w:right w:val="nil"/>
            </w:tcBorders>
            <w:noWrap/>
            <w:vAlign w:val="bottom"/>
            <w:hideMark/>
          </w:tcPr>
          <w:p w14:paraId="2F9EDEC6"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1,745</w:t>
            </w:r>
          </w:p>
        </w:tc>
        <w:tc>
          <w:tcPr>
            <w:tcW w:w="2054" w:type="dxa"/>
            <w:tcBorders>
              <w:top w:val="nil"/>
              <w:left w:val="nil"/>
              <w:bottom w:val="nil"/>
              <w:right w:val="nil"/>
            </w:tcBorders>
            <w:noWrap/>
            <w:vAlign w:val="bottom"/>
            <w:hideMark/>
          </w:tcPr>
          <w:p w14:paraId="7CD51F67"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34</w:t>
            </w:r>
          </w:p>
        </w:tc>
        <w:tc>
          <w:tcPr>
            <w:tcW w:w="2174" w:type="dxa"/>
            <w:tcBorders>
              <w:top w:val="nil"/>
              <w:left w:val="nil"/>
              <w:bottom w:val="nil"/>
              <w:right w:val="nil"/>
            </w:tcBorders>
            <w:noWrap/>
            <w:vAlign w:val="bottom"/>
            <w:hideMark/>
          </w:tcPr>
          <w:p w14:paraId="1722AB94"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13</w:t>
            </w:r>
          </w:p>
        </w:tc>
      </w:tr>
      <w:tr w:rsidR="00167F3C" w:rsidRPr="00167F3C" w14:paraId="2500C80E" w14:textId="77777777" w:rsidTr="00B15A8A">
        <w:trPr>
          <w:trHeight w:val="264"/>
        </w:trPr>
        <w:tc>
          <w:tcPr>
            <w:tcW w:w="2268" w:type="dxa"/>
            <w:tcBorders>
              <w:top w:val="nil"/>
              <w:left w:val="nil"/>
              <w:bottom w:val="nil"/>
              <w:right w:val="nil"/>
            </w:tcBorders>
            <w:shd w:val="clear" w:color="000000" w:fill="D9D9D9"/>
            <w:noWrap/>
            <w:vAlign w:val="bottom"/>
            <w:hideMark/>
          </w:tcPr>
          <w:p w14:paraId="7FBB2CDC"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Mayo</w:t>
            </w:r>
          </w:p>
        </w:tc>
        <w:tc>
          <w:tcPr>
            <w:tcW w:w="1840" w:type="dxa"/>
            <w:tcBorders>
              <w:top w:val="nil"/>
              <w:left w:val="nil"/>
              <w:bottom w:val="nil"/>
              <w:right w:val="nil"/>
            </w:tcBorders>
            <w:shd w:val="clear" w:color="000000" w:fill="D9D9D9"/>
            <w:noWrap/>
            <w:vAlign w:val="bottom"/>
            <w:hideMark/>
          </w:tcPr>
          <w:p w14:paraId="4AB4E789"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1,782</w:t>
            </w:r>
          </w:p>
        </w:tc>
        <w:tc>
          <w:tcPr>
            <w:tcW w:w="2054" w:type="dxa"/>
            <w:tcBorders>
              <w:top w:val="nil"/>
              <w:left w:val="nil"/>
              <w:bottom w:val="nil"/>
              <w:right w:val="nil"/>
            </w:tcBorders>
            <w:shd w:val="clear" w:color="000000" w:fill="D9D9D9"/>
            <w:noWrap/>
            <w:vAlign w:val="bottom"/>
            <w:hideMark/>
          </w:tcPr>
          <w:p w14:paraId="1923571A"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26</w:t>
            </w:r>
          </w:p>
        </w:tc>
        <w:tc>
          <w:tcPr>
            <w:tcW w:w="2174" w:type="dxa"/>
            <w:tcBorders>
              <w:top w:val="nil"/>
              <w:left w:val="nil"/>
              <w:bottom w:val="nil"/>
              <w:right w:val="nil"/>
            </w:tcBorders>
            <w:shd w:val="clear" w:color="000000" w:fill="D9D9D9"/>
            <w:noWrap/>
            <w:vAlign w:val="bottom"/>
            <w:hideMark/>
          </w:tcPr>
          <w:p w14:paraId="7BD13C3C"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18</w:t>
            </w:r>
          </w:p>
        </w:tc>
      </w:tr>
      <w:tr w:rsidR="00167F3C" w:rsidRPr="00167F3C" w14:paraId="2BAFE2AE" w14:textId="77777777" w:rsidTr="00B15A8A">
        <w:trPr>
          <w:trHeight w:val="264"/>
        </w:trPr>
        <w:tc>
          <w:tcPr>
            <w:tcW w:w="2268" w:type="dxa"/>
            <w:tcBorders>
              <w:top w:val="nil"/>
              <w:left w:val="nil"/>
              <w:bottom w:val="nil"/>
              <w:right w:val="nil"/>
            </w:tcBorders>
            <w:noWrap/>
            <w:vAlign w:val="bottom"/>
            <w:hideMark/>
          </w:tcPr>
          <w:p w14:paraId="2A07771C"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Junio</w:t>
            </w:r>
          </w:p>
        </w:tc>
        <w:tc>
          <w:tcPr>
            <w:tcW w:w="1840" w:type="dxa"/>
            <w:tcBorders>
              <w:top w:val="nil"/>
              <w:left w:val="nil"/>
              <w:bottom w:val="nil"/>
              <w:right w:val="nil"/>
            </w:tcBorders>
            <w:noWrap/>
            <w:vAlign w:val="bottom"/>
            <w:hideMark/>
          </w:tcPr>
          <w:p w14:paraId="7B714595"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1,583</w:t>
            </w:r>
          </w:p>
        </w:tc>
        <w:tc>
          <w:tcPr>
            <w:tcW w:w="2054" w:type="dxa"/>
            <w:tcBorders>
              <w:top w:val="nil"/>
              <w:left w:val="nil"/>
              <w:bottom w:val="nil"/>
              <w:right w:val="nil"/>
            </w:tcBorders>
            <w:noWrap/>
            <w:vAlign w:val="bottom"/>
            <w:hideMark/>
          </w:tcPr>
          <w:p w14:paraId="43877238"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19</w:t>
            </w:r>
          </w:p>
        </w:tc>
        <w:tc>
          <w:tcPr>
            <w:tcW w:w="2174" w:type="dxa"/>
            <w:tcBorders>
              <w:top w:val="nil"/>
              <w:left w:val="nil"/>
              <w:bottom w:val="nil"/>
              <w:right w:val="nil"/>
            </w:tcBorders>
            <w:noWrap/>
            <w:vAlign w:val="bottom"/>
            <w:hideMark/>
          </w:tcPr>
          <w:p w14:paraId="3E35A962"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11</w:t>
            </w:r>
          </w:p>
        </w:tc>
      </w:tr>
      <w:tr w:rsidR="00167F3C" w:rsidRPr="00167F3C" w14:paraId="5D6DB5B1" w14:textId="77777777" w:rsidTr="00B15A8A">
        <w:trPr>
          <w:trHeight w:val="264"/>
        </w:trPr>
        <w:tc>
          <w:tcPr>
            <w:tcW w:w="2268" w:type="dxa"/>
            <w:tcBorders>
              <w:top w:val="nil"/>
              <w:left w:val="nil"/>
              <w:bottom w:val="nil"/>
              <w:right w:val="nil"/>
            </w:tcBorders>
            <w:shd w:val="clear" w:color="000000" w:fill="D9D9D9"/>
            <w:noWrap/>
            <w:vAlign w:val="bottom"/>
            <w:hideMark/>
          </w:tcPr>
          <w:p w14:paraId="1597EB08"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lastRenderedPageBreak/>
              <w:t>Julio</w:t>
            </w:r>
          </w:p>
        </w:tc>
        <w:tc>
          <w:tcPr>
            <w:tcW w:w="1840" w:type="dxa"/>
            <w:tcBorders>
              <w:top w:val="nil"/>
              <w:left w:val="nil"/>
              <w:bottom w:val="nil"/>
              <w:right w:val="nil"/>
            </w:tcBorders>
            <w:shd w:val="clear" w:color="000000" w:fill="D9D9D9"/>
            <w:noWrap/>
            <w:vAlign w:val="bottom"/>
            <w:hideMark/>
          </w:tcPr>
          <w:p w14:paraId="00203FC4"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1,988</w:t>
            </w:r>
          </w:p>
        </w:tc>
        <w:tc>
          <w:tcPr>
            <w:tcW w:w="2054" w:type="dxa"/>
            <w:tcBorders>
              <w:top w:val="nil"/>
              <w:left w:val="nil"/>
              <w:bottom w:val="nil"/>
              <w:right w:val="nil"/>
            </w:tcBorders>
            <w:shd w:val="clear" w:color="000000" w:fill="D9D9D9"/>
            <w:noWrap/>
            <w:vAlign w:val="bottom"/>
            <w:hideMark/>
          </w:tcPr>
          <w:p w14:paraId="703AFBF8"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14</w:t>
            </w:r>
          </w:p>
        </w:tc>
        <w:tc>
          <w:tcPr>
            <w:tcW w:w="2174" w:type="dxa"/>
            <w:tcBorders>
              <w:top w:val="nil"/>
              <w:left w:val="nil"/>
              <w:bottom w:val="nil"/>
              <w:right w:val="nil"/>
            </w:tcBorders>
            <w:shd w:val="clear" w:color="000000" w:fill="D9D9D9"/>
            <w:noWrap/>
            <w:vAlign w:val="bottom"/>
            <w:hideMark/>
          </w:tcPr>
          <w:p w14:paraId="21E15B06"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25</w:t>
            </w:r>
          </w:p>
        </w:tc>
      </w:tr>
      <w:tr w:rsidR="00167F3C" w:rsidRPr="00167F3C" w14:paraId="636DF254" w14:textId="77777777" w:rsidTr="00B15A8A">
        <w:trPr>
          <w:trHeight w:val="264"/>
        </w:trPr>
        <w:tc>
          <w:tcPr>
            <w:tcW w:w="2268" w:type="dxa"/>
            <w:tcBorders>
              <w:top w:val="nil"/>
              <w:left w:val="nil"/>
              <w:bottom w:val="nil"/>
              <w:right w:val="nil"/>
            </w:tcBorders>
            <w:noWrap/>
            <w:vAlign w:val="bottom"/>
            <w:hideMark/>
          </w:tcPr>
          <w:p w14:paraId="54E03033"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Agosto</w:t>
            </w:r>
          </w:p>
        </w:tc>
        <w:tc>
          <w:tcPr>
            <w:tcW w:w="1840" w:type="dxa"/>
            <w:tcBorders>
              <w:top w:val="nil"/>
              <w:left w:val="nil"/>
              <w:bottom w:val="nil"/>
              <w:right w:val="nil"/>
            </w:tcBorders>
            <w:noWrap/>
            <w:vAlign w:val="bottom"/>
            <w:hideMark/>
          </w:tcPr>
          <w:p w14:paraId="37A5F9C2"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1,826</w:t>
            </w:r>
          </w:p>
        </w:tc>
        <w:tc>
          <w:tcPr>
            <w:tcW w:w="2054" w:type="dxa"/>
            <w:tcBorders>
              <w:top w:val="nil"/>
              <w:left w:val="nil"/>
              <w:bottom w:val="nil"/>
              <w:right w:val="nil"/>
            </w:tcBorders>
            <w:noWrap/>
            <w:vAlign w:val="bottom"/>
            <w:hideMark/>
          </w:tcPr>
          <w:p w14:paraId="756B4A29"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16</w:t>
            </w:r>
          </w:p>
        </w:tc>
        <w:tc>
          <w:tcPr>
            <w:tcW w:w="2174" w:type="dxa"/>
            <w:tcBorders>
              <w:top w:val="nil"/>
              <w:left w:val="nil"/>
              <w:bottom w:val="nil"/>
              <w:right w:val="nil"/>
            </w:tcBorders>
            <w:noWrap/>
            <w:vAlign w:val="bottom"/>
            <w:hideMark/>
          </w:tcPr>
          <w:p w14:paraId="3008FA10"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5</w:t>
            </w:r>
          </w:p>
        </w:tc>
      </w:tr>
      <w:tr w:rsidR="00167F3C" w:rsidRPr="00167F3C" w14:paraId="6EC1B1B7" w14:textId="77777777" w:rsidTr="00B15A8A">
        <w:trPr>
          <w:trHeight w:val="264"/>
        </w:trPr>
        <w:tc>
          <w:tcPr>
            <w:tcW w:w="2268" w:type="dxa"/>
            <w:tcBorders>
              <w:top w:val="nil"/>
              <w:left w:val="nil"/>
              <w:bottom w:val="nil"/>
              <w:right w:val="nil"/>
            </w:tcBorders>
            <w:shd w:val="clear" w:color="000000" w:fill="D9D9D9"/>
            <w:noWrap/>
            <w:vAlign w:val="bottom"/>
            <w:hideMark/>
          </w:tcPr>
          <w:p w14:paraId="0BF67B67"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Septiembre</w:t>
            </w:r>
          </w:p>
        </w:tc>
        <w:tc>
          <w:tcPr>
            <w:tcW w:w="1840" w:type="dxa"/>
            <w:tcBorders>
              <w:top w:val="nil"/>
              <w:left w:val="nil"/>
              <w:bottom w:val="nil"/>
              <w:right w:val="nil"/>
            </w:tcBorders>
            <w:shd w:val="clear" w:color="000000" w:fill="D9D9D9"/>
            <w:noWrap/>
            <w:vAlign w:val="bottom"/>
            <w:hideMark/>
          </w:tcPr>
          <w:p w14:paraId="09E8CDB4"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1,907</w:t>
            </w:r>
          </w:p>
        </w:tc>
        <w:tc>
          <w:tcPr>
            <w:tcW w:w="2054" w:type="dxa"/>
            <w:tcBorders>
              <w:top w:val="nil"/>
              <w:left w:val="nil"/>
              <w:bottom w:val="nil"/>
              <w:right w:val="nil"/>
            </w:tcBorders>
            <w:shd w:val="clear" w:color="000000" w:fill="D9D9D9"/>
            <w:noWrap/>
            <w:vAlign w:val="bottom"/>
            <w:hideMark/>
          </w:tcPr>
          <w:p w14:paraId="4328171B"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34</w:t>
            </w:r>
          </w:p>
        </w:tc>
        <w:tc>
          <w:tcPr>
            <w:tcW w:w="2174" w:type="dxa"/>
            <w:tcBorders>
              <w:top w:val="nil"/>
              <w:left w:val="nil"/>
              <w:bottom w:val="nil"/>
              <w:right w:val="nil"/>
            </w:tcBorders>
            <w:shd w:val="clear" w:color="000000" w:fill="D9D9D9"/>
            <w:noWrap/>
            <w:vAlign w:val="bottom"/>
            <w:hideMark/>
          </w:tcPr>
          <w:p w14:paraId="740B40CB"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21</w:t>
            </w:r>
          </w:p>
        </w:tc>
      </w:tr>
      <w:tr w:rsidR="00167F3C" w:rsidRPr="00167F3C" w14:paraId="7D2CC8B5" w14:textId="77777777" w:rsidTr="00B15A8A">
        <w:trPr>
          <w:trHeight w:val="264"/>
        </w:trPr>
        <w:tc>
          <w:tcPr>
            <w:tcW w:w="2268" w:type="dxa"/>
            <w:tcBorders>
              <w:top w:val="nil"/>
              <w:left w:val="nil"/>
              <w:bottom w:val="nil"/>
              <w:right w:val="nil"/>
            </w:tcBorders>
            <w:noWrap/>
            <w:vAlign w:val="bottom"/>
            <w:hideMark/>
          </w:tcPr>
          <w:p w14:paraId="17CBB0FE"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Octubre</w:t>
            </w:r>
          </w:p>
        </w:tc>
        <w:tc>
          <w:tcPr>
            <w:tcW w:w="1840" w:type="dxa"/>
            <w:tcBorders>
              <w:top w:val="nil"/>
              <w:left w:val="nil"/>
              <w:bottom w:val="nil"/>
              <w:right w:val="nil"/>
            </w:tcBorders>
            <w:noWrap/>
            <w:vAlign w:val="bottom"/>
            <w:hideMark/>
          </w:tcPr>
          <w:p w14:paraId="7C51CF52"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1,907</w:t>
            </w:r>
          </w:p>
        </w:tc>
        <w:tc>
          <w:tcPr>
            <w:tcW w:w="2054" w:type="dxa"/>
            <w:tcBorders>
              <w:top w:val="nil"/>
              <w:left w:val="nil"/>
              <w:bottom w:val="nil"/>
              <w:right w:val="nil"/>
            </w:tcBorders>
            <w:noWrap/>
            <w:vAlign w:val="bottom"/>
            <w:hideMark/>
          </w:tcPr>
          <w:p w14:paraId="698B6ED4"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4</w:t>
            </w:r>
          </w:p>
        </w:tc>
        <w:tc>
          <w:tcPr>
            <w:tcW w:w="2174" w:type="dxa"/>
            <w:tcBorders>
              <w:top w:val="nil"/>
              <w:left w:val="nil"/>
              <w:bottom w:val="nil"/>
              <w:right w:val="nil"/>
            </w:tcBorders>
            <w:noWrap/>
            <w:vAlign w:val="bottom"/>
            <w:hideMark/>
          </w:tcPr>
          <w:p w14:paraId="2527A68A"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4</w:t>
            </w:r>
          </w:p>
        </w:tc>
      </w:tr>
      <w:tr w:rsidR="00167F3C" w:rsidRPr="00167F3C" w14:paraId="49D6F649" w14:textId="77777777" w:rsidTr="00B15A8A">
        <w:trPr>
          <w:trHeight w:val="264"/>
        </w:trPr>
        <w:tc>
          <w:tcPr>
            <w:tcW w:w="2268" w:type="dxa"/>
            <w:tcBorders>
              <w:top w:val="nil"/>
              <w:left w:val="nil"/>
              <w:bottom w:val="nil"/>
              <w:right w:val="nil"/>
            </w:tcBorders>
            <w:shd w:val="clear" w:color="000000" w:fill="D9D9D9"/>
            <w:noWrap/>
            <w:vAlign w:val="bottom"/>
            <w:hideMark/>
          </w:tcPr>
          <w:p w14:paraId="3A1CBA05"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Noviembre</w:t>
            </w:r>
          </w:p>
        </w:tc>
        <w:tc>
          <w:tcPr>
            <w:tcW w:w="1840" w:type="dxa"/>
            <w:tcBorders>
              <w:top w:val="nil"/>
              <w:left w:val="nil"/>
              <w:bottom w:val="nil"/>
              <w:right w:val="nil"/>
            </w:tcBorders>
            <w:shd w:val="clear" w:color="000000" w:fill="D9D9D9"/>
            <w:noWrap/>
            <w:vAlign w:val="bottom"/>
            <w:hideMark/>
          </w:tcPr>
          <w:p w14:paraId="7B192BCD"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1,745</w:t>
            </w:r>
          </w:p>
        </w:tc>
        <w:tc>
          <w:tcPr>
            <w:tcW w:w="2054" w:type="dxa"/>
            <w:tcBorders>
              <w:top w:val="nil"/>
              <w:left w:val="nil"/>
              <w:bottom w:val="nil"/>
              <w:right w:val="nil"/>
            </w:tcBorders>
            <w:shd w:val="clear" w:color="000000" w:fill="D9D9D9"/>
            <w:noWrap/>
            <w:vAlign w:val="bottom"/>
            <w:hideMark/>
          </w:tcPr>
          <w:p w14:paraId="0FB25D73"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18 </w:t>
            </w:r>
          </w:p>
        </w:tc>
        <w:tc>
          <w:tcPr>
            <w:tcW w:w="2174" w:type="dxa"/>
            <w:tcBorders>
              <w:top w:val="nil"/>
              <w:left w:val="nil"/>
              <w:bottom w:val="nil"/>
              <w:right w:val="nil"/>
            </w:tcBorders>
            <w:shd w:val="clear" w:color="000000" w:fill="D9D9D9"/>
            <w:noWrap/>
            <w:vAlign w:val="bottom"/>
            <w:hideMark/>
          </w:tcPr>
          <w:p w14:paraId="48B7AF90"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27 </w:t>
            </w:r>
          </w:p>
        </w:tc>
      </w:tr>
      <w:tr w:rsidR="00167F3C" w:rsidRPr="00167F3C" w14:paraId="4BD6C4AD" w14:textId="77777777" w:rsidTr="00B15A8A">
        <w:trPr>
          <w:trHeight w:val="264"/>
        </w:trPr>
        <w:tc>
          <w:tcPr>
            <w:tcW w:w="2268" w:type="dxa"/>
            <w:tcBorders>
              <w:top w:val="nil"/>
              <w:left w:val="nil"/>
              <w:bottom w:val="nil"/>
              <w:right w:val="nil"/>
            </w:tcBorders>
            <w:noWrap/>
            <w:vAlign w:val="bottom"/>
            <w:hideMark/>
          </w:tcPr>
          <w:p w14:paraId="56B33997"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Diciembre</w:t>
            </w:r>
          </w:p>
        </w:tc>
        <w:tc>
          <w:tcPr>
            <w:tcW w:w="1840" w:type="dxa"/>
            <w:tcBorders>
              <w:top w:val="nil"/>
              <w:left w:val="nil"/>
              <w:bottom w:val="nil"/>
              <w:right w:val="nil"/>
            </w:tcBorders>
            <w:noWrap/>
            <w:vAlign w:val="bottom"/>
            <w:hideMark/>
          </w:tcPr>
          <w:p w14:paraId="34B5455A"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1,907</w:t>
            </w:r>
          </w:p>
        </w:tc>
        <w:tc>
          <w:tcPr>
            <w:tcW w:w="2054" w:type="dxa"/>
            <w:tcBorders>
              <w:top w:val="nil"/>
              <w:left w:val="nil"/>
              <w:bottom w:val="nil"/>
              <w:right w:val="nil"/>
            </w:tcBorders>
            <w:noWrap/>
            <w:vAlign w:val="bottom"/>
            <w:hideMark/>
          </w:tcPr>
          <w:p w14:paraId="29324BF6"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11</w:t>
            </w:r>
          </w:p>
        </w:tc>
        <w:tc>
          <w:tcPr>
            <w:tcW w:w="2174" w:type="dxa"/>
            <w:tcBorders>
              <w:top w:val="nil"/>
              <w:left w:val="nil"/>
              <w:bottom w:val="nil"/>
              <w:right w:val="nil"/>
            </w:tcBorders>
            <w:noWrap/>
            <w:vAlign w:val="bottom"/>
            <w:hideMark/>
          </w:tcPr>
          <w:p w14:paraId="0998F409"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16</w:t>
            </w:r>
          </w:p>
        </w:tc>
      </w:tr>
      <w:tr w:rsidR="00167F3C" w:rsidRPr="00167F3C" w14:paraId="17FD5EF2" w14:textId="77777777" w:rsidTr="00B15A8A">
        <w:trPr>
          <w:trHeight w:val="264"/>
        </w:trPr>
        <w:tc>
          <w:tcPr>
            <w:tcW w:w="2268" w:type="dxa"/>
            <w:tcBorders>
              <w:top w:val="nil"/>
              <w:left w:val="nil"/>
              <w:bottom w:val="nil"/>
              <w:right w:val="nil"/>
            </w:tcBorders>
            <w:shd w:val="clear" w:color="auto" w:fill="D9D9D9"/>
            <w:noWrap/>
            <w:vAlign w:val="bottom"/>
            <w:hideMark/>
          </w:tcPr>
          <w:p w14:paraId="0943FEA9"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TOTAL</w:t>
            </w:r>
          </w:p>
        </w:tc>
        <w:tc>
          <w:tcPr>
            <w:tcW w:w="1840" w:type="dxa"/>
            <w:tcBorders>
              <w:top w:val="nil"/>
              <w:left w:val="nil"/>
              <w:bottom w:val="nil"/>
              <w:right w:val="nil"/>
            </w:tcBorders>
            <w:shd w:val="clear" w:color="auto" w:fill="D9D9D9"/>
            <w:noWrap/>
            <w:vAlign w:val="center"/>
            <w:hideMark/>
          </w:tcPr>
          <w:p w14:paraId="108D5CC2" w14:textId="77777777" w:rsidR="00D951F2" w:rsidRPr="00167F3C" w:rsidRDefault="00D951F2" w:rsidP="00D64261">
            <w:pPr>
              <w:spacing w:line="360" w:lineRule="auto"/>
              <w:jc w:val="both"/>
              <w:rPr>
                <w:rFonts w:eastAsia="Calibri"/>
                <w:noProof/>
                <w:lang w:val="es-DO"/>
              </w:rPr>
            </w:pPr>
            <w:r w:rsidRPr="00167F3C">
              <w:rPr>
                <w:rFonts w:eastAsia="Calibri"/>
                <w:noProof/>
              </w:rPr>
              <w:t>21,544</w:t>
            </w:r>
          </w:p>
        </w:tc>
        <w:tc>
          <w:tcPr>
            <w:tcW w:w="2054" w:type="dxa"/>
            <w:tcBorders>
              <w:top w:val="nil"/>
              <w:left w:val="nil"/>
              <w:bottom w:val="nil"/>
              <w:right w:val="nil"/>
            </w:tcBorders>
            <w:shd w:val="clear" w:color="auto" w:fill="D9D9D9"/>
            <w:noWrap/>
            <w:vAlign w:val="center"/>
            <w:hideMark/>
          </w:tcPr>
          <w:p w14:paraId="1A2C3D45" w14:textId="77777777" w:rsidR="00D951F2" w:rsidRPr="00167F3C" w:rsidRDefault="00D951F2" w:rsidP="00D64261">
            <w:pPr>
              <w:spacing w:line="360" w:lineRule="auto"/>
              <w:jc w:val="both"/>
              <w:rPr>
                <w:rFonts w:eastAsia="Calibri"/>
                <w:noProof/>
                <w:lang w:val="es-DO"/>
              </w:rPr>
            </w:pPr>
            <w:r w:rsidRPr="00167F3C">
              <w:rPr>
                <w:rFonts w:eastAsia="Calibri"/>
                <w:noProof/>
              </w:rPr>
              <w:t>224</w:t>
            </w:r>
          </w:p>
        </w:tc>
        <w:tc>
          <w:tcPr>
            <w:tcW w:w="2174" w:type="dxa"/>
            <w:tcBorders>
              <w:top w:val="nil"/>
              <w:left w:val="nil"/>
              <w:bottom w:val="nil"/>
              <w:right w:val="nil"/>
            </w:tcBorders>
            <w:shd w:val="clear" w:color="auto" w:fill="D9D9D9"/>
            <w:noWrap/>
            <w:vAlign w:val="center"/>
            <w:hideMark/>
          </w:tcPr>
          <w:p w14:paraId="2E373BC9" w14:textId="77777777" w:rsidR="00D951F2" w:rsidRPr="00167F3C" w:rsidRDefault="00D951F2" w:rsidP="00D64261">
            <w:pPr>
              <w:spacing w:line="360" w:lineRule="auto"/>
              <w:jc w:val="both"/>
              <w:rPr>
                <w:rFonts w:eastAsia="Calibri"/>
                <w:noProof/>
                <w:lang w:val="es-DO"/>
              </w:rPr>
            </w:pPr>
            <w:r w:rsidRPr="00167F3C">
              <w:rPr>
                <w:rFonts w:eastAsia="Calibri"/>
                <w:noProof/>
              </w:rPr>
              <w:t>166</w:t>
            </w:r>
          </w:p>
        </w:tc>
      </w:tr>
    </w:tbl>
    <w:p w14:paraId="57BEE357" w14:textId="20BB6D09" w:rsidR="00D951F2" w:rsidRPr="00167F3C" w:rsidRDefault="00D951F2" w:rsidP="00D64261">
      <w:pPr>
        <w:spacing w:line="360" w:lineRule="auto"/>
        <w:jc w:val="both"/>
        <w:rPr>
          <w:rFonts w:eastAsia="Calibri"/>
          <w:bCs/>
          <w:i/>
          <w:iCs/>
          <w:noProof/>
          <w:sz w:val="18"/>
          <w:szCs w:val="18"/>
          <w:lang w:val="es-DO"/>
        </w:rPr>
      </w:pPr>
      <w:r w:rsidRPr="00167F3C">
        <w:rPr>
          <w:rFonts w:eastAsia="Calibri"/>
          <w:bCs/>
          <w:i/>
          <w:iCs/>
          <w:noProof/>
          <w:sz w:val="18"/>
          <w:szCs w:val="18"/>
          <w:lang w:val="es-DO"/>
        </w:rPr>
        <w:t>Fuente: Reporte Estadísticas DNyATI-ene-dic 2025 y el SATI</w:t>
      </w:r>
    </w:p>
    <w:p w14:paraId="0ADC099E" w14:textId="77777777" w:rsidR="00B26AAB" w:rsidRDefault="00B26AAB" w:rsidP="00D64261">
      <w:pPr>
        <w:spacing w:after="0" w:line="360" w:lineRule="auto"/>
        <w:jc w:val="center"/>
        <w:rPr>
          <w:rFonts w:eastAsia="Calibri"/>
          <w:b/>
          <w:noProof/>
          <w:color w:val="4C4747"/>
          <w:lang w:val="es-DO"/>
        </w:rPr>
      </w:pPr>
    </w:p>
    <w:p w14:paraId="0D74FAE8" w14:textId="77777777" w:rsidR="00B26AAB" w:rsidRDefault="00B26AAB" w:rsidP="00D64261">
      <w:pPr>
        <w:spacing w:after="0" w:line="360" w:lineRule="auto"/>
        <w:jc w:val="center"/>
        <w:rPr>
          <w:rFonts w:eastAsia="Calibri"/>
          <w:b/>
          <w:noProof/>
          <w:color w:val="4C4747"/>
          <w:lang w:val="es-DO"/>
        </w:rPr>
      </w:pPr>
    </w:p>
    <w:p w14:paraId="78A7DE3A" w14:textId="77777777" w:rsidR="00B26AAB" w:rsidRDefault="00B26AAB" w:rsidP="00D64261">
      <w:pPr>
        <w:spacing w:after="0" w:line="360" w:lineRule="auto"/>
        <w:jc w:val="center"/>
        <w:rPr>
          <w:rFonts w:eastAsia="Calibri"/>
          <w:b/>
          <w:noProof/>
          <w:color w:val="4C4747"/>
          <w:lang w:val="es-DO"/>
        </w:rPr>
      </w:pPr>
    </w:p>
    <w:p w14:paraId="740F2B7C" w14:textId="77777777" w:rsidR="00B26AAB" w:rsidRDefault="00B26AAB" w:rsidP="00D64261">
      <w:pPr>
        <w:spacing w:after="0" w:line="360" w:lineRule="auto"/>
        <w:jc w:val="center"/>
        <w:rPr>
          <w:rFonts w:eastAsia="Calibri"/>
          <w:b/>
          <w:noProof/>
          <w:color w:val="4C4747"/>
          <w:lang w:val="es-DO"/>
        </w:rPr>
      </w:pPr>
    </w:p>
    <w:p w14:paraId="0D18EFCA" w14:textId="77777777" w:rsidR="00B26AAB" w:rsidRDefault="00B26AAB" w:rsidP="00D64261">
      <w:pPr>
        <w:spacing w:after="0" w:line="360" w:lineRule="auto"/>
        <w:jc w:val="center"/>
        <w:rPr>
          <w:rFonts w:eastAsia="Calibri"/>
          <w:b/>
          <w:noProof/>
          <w:color w:val="4C4747"/>
          <w:lang w:val="es-DO"/>
        </w:rPr>
      </w:pPr>
    </w:p>
    <w:p w14:paraId="601E805F" w14:textId="77777777" w:rsidR="00B26AAB" w:rsidRDefault="00B26AAB" w:rsidP="00D64261">
      <w:pPr>
        <w:spacing w:after="0" w:line="360" w:lineRule="auto"/>
        <w:jc w:val="center"/>
        <w:rPr>
          <w:rFonts w:eastAsia="Calibri"/>
          <w:b/>
          <w:noProof/>
          <w:color w:val="4C4747"/>
          <w:lang w:val="es-DO"/>
        </w:rPr>
      </w:pPr>
    </w:p>
    <w:p w14:paraId="78FD85F4" w14:textId="77777777" w:rsidR="00B26AAB" w:rsidRDefault="00B26AAB" w:rsidP="00D64261">
      <w:pPr>
        <w:spacing w:after="0" w:line="360" w:lineRule="auto"/>
        <w:jc w:val="center"/>
        <w:rPr>
          <w:rFonts w:eastAsia="Calibri"/>
          <w:b/>
          <w:noProof/>
          <w:color w:val="4C4747"/>
          <w:lang w:val="es-DO"/>
        </w:rPr>
      </w:pPr>
    </w:p>
    <w:p w14:paraId="3D4887BB" w14:textId="77777777" w:rsidR="00B26AAB" w:rsidRDefault="00B26AAB" w:rsidP="00D64261">
      <w:pPr>
        <w:spacing w:after="0" w:line="360" w:lineRule="auto"/>
        <w:jc w:val="center"/>
        <w:rPr>
          <w:rFonts w:eastAsia="Calibri"/>
          <w:b/>
          <w:noProof/>
          <w:color w:val="4C4747"/>
          <w:lang w:val="es-DO"/>
        </w:rPr>
      </w:pPr>
    </w:p>
    <w:p w14:paraId="6B30B151" w14:textId="77777777" w:rsidR="00B26AAB" w:rsidRDefault="00B26AAB" w:rsidP="00D64261">
      <w:pPr>
        <w:spacing w:after="0" w:line="360" w:lineRule="auto"/>
        <w:jc w:val="center"/>
        <w:rPr>
          <w:rFonts w:eastAsia="Calibri"/>
          <w:b/>
          <w:noProof/>
          <w:color w:val="4C4747"/>
          <w:lang w:val="es-DO"/>
        </w:rPr>
      </w:pPr>
    </w:p>
    <w:p w14:paraId="57AE95B0" w14:textId="77777777" w:rsidR="00B26AAB" w:rsidRDefault="00B26AAB" w:rsidP="00D64261">
      <w:pPr>
        <w:spacing w:after="0" w:line="360" w:lineRule="auto"/>
        <w:jc w:val="center"/>
        <w:rPr>
          <w:rFonts w:eastAsia="Calibri"/>
          <w:b/>
          <w:noProof/>
          <w:color w:val="4C4747"/>
          <w:lang w:val="es-DO"/>
        </w:rPr>
      </w:pPr>
    </w:p>
    <w:p w14:paraId="3327E821" w14:textId="77777777" w:rsidR="00B26AAB" w:rsidRDefault="00B26AAB" w:rsidP="00D64261">
      <w:pPr>
        <w:spacing w:after="0" w:line="360" w:lineRule="auto"/>
        <w:jc w:val="center"/>
        <w:rPr>
          <w:rFonts w:eastAsia="Calibri"/>
          <w:b/>
          <w:noProof/>
          <w:color w:val="4C4747"/>
          <w:lang w:val="es-DO"/>
        </w:rPr>
      </w:pPr>
    </w:p>
    <w:p w14:paraId="4A79FF2F" w14:textId="77777777" w:rsidR="00B26AAB" w:rsidRDefault="00B26AAB" w:rsidP="00D64261">
      <w:pPr>
        <w:spacing w:after="0" w:line="360" w:lineRule="auto"/>
        <w:jc w:val="center"/>
        <w:rPr>
          <w:rFonts w:eastAsia="Calibri"/>
          <w:b/>
          <w:noProof/>
          <w:color w:val="4C4747"/>
          <w:lang w:val="es-DO"/>
        </w:rPr>
      </w:pPr>
    </w:p>
    <w:p w14:paraId="30371A3A" w14:textId="77777777" w:rsidR="00B26AAB" w:rsidRDefault="00B26AAB" w:rsidP="00D64261">
      <w:pPr>
        <w:spacing w:after="0" w:line="360" w:lineRule="auto"/>
        <w:jc w:val="center"/>
        <w:rPr>
          <w:rFonts w:eastAsia="Calibri"/>
          <w:b/>
          <w:noProof/>
          <w:color w:val="4C4747"/>
          <w:lang w:val="es-DO"/>
        </w:rPr>
      </w:pPr>
    </w:p>
    <w:p w14:paraId="108D4F81" w14:textId="77777777" w:rsidR="00B26AAB" w:rsidRDefault="00B26AAB" w:rsidP="00D64261">
      <w:pPr>
        <w:spacing w:after="0" w:line="360" w:lineRule="auto"/>
        <w:jc w:val="center"/>
        <w:rPr>
          <w:rFonts w:eastAsia="Calibri"/>
          <w:b/>
          <w:noProof/>
          <w:color w:val="4C4747"/>
          <w:lang w:val="es-DO"/>
        </w:rPr>
      </w:pPr>
    </w:p>
    <w:p w14:paraId="7D4946B6" w14:textId="77777777" w:rsidR="00B26AAB" w:rsidRDefault="00B26AAB" w:rsidP="00D64261">
      <w:pPr>
        <w:spacing w:after="0" w:line="360" w:lineRule="auto"/>
        <w:jc w:val="center"/>
        <w:rPr>
          <w:rFonts w:eastAsia="Calibri"/>
          <w:b/>
          <w:noProof/>
          <w:color w:val="4C4747"/>
          <w:lang w:val="es-DO"/>
        </w:rPr>
      </w:pPr>
    </w:p>
    <w:p w14:paraId="177A3C65" w14:textId="77777777" w:rsidR="00B26AAB" w:rsidRDefault="00B26AAB" w:rsidP="00D64261">
      <w:pPr>
        <w:spacing w:after="0" w:line="360" w:lineRule="auto"/>
        <w:jc w:val="center"/>
        <w:rPr>
          <w:rFonts w:eastAsia="Calibri"/>
          <w:b/>
          <w:noProof/>
          <w:color w:val="4C4747"/>
          <w:lang w:val="es-DO"/>
        </w:rPr>
      </w:pPr>
    </w:p>
    <w:p w14:paraId="512469BB" w14:textId="23588F32" w:rsidR="00D951F2" w:rsidRPr="00167F3C" w:rsidRDefault="00D7672E" w:rsidP="00D64261">
      <w:pPr>
        <w:spacing w:after="0" w:line="360" w:lineRule="auto"/>
        <w:jc w:val="center"/>
        <w:rPr>
          <w:rFonts w:eastAsia="Calibri"/>
          <w:b/>
          <w:noProof/>
          <w:lang w:val="es-DO"/>
        </w:rPr>
      </w:pPr>
      <w:r w:rsidRPr="00167F3C">
        <w:rPr>
          <w:rFonts w:eastAsia="Calibri"/>
          <w:b/>
          <w:noProof/>
          <w:lang w:val="es-DO"/>
        </w:rPr>
        <w:lastRenderedPageBreak/>
        <w:t>Cuadro No.</w:t>
      </w:r>
      <w:r w:rsidR="008D7279" w:rsidRPr="00167F3C">
        <w:rPr>
          <w:rFonts w:eastAsia="Calibri"/>
          <w:b/>
          <w:noProof/>
          <w:lang w:val="es-DO"/>
        </w:rPr>
        <w:t xml:space="preserve"> 10</w:t>
      </w:r>
    </w:p>
    <w:tbl>
      <w:tblPr>
        <w:tblpPr w:leftFromText="141" w:rightFromText="141" w:vertAnchor="text" w:horzAnchor="margin" w:tblpXSpec="center" w:tblpY="934"/>
        <w:tblW w:w="4536" w:type="dxa"/>
        <w:tblCellMar>
          <w:left w:w="70" w:type="dxa"/>
          <w:right w:w="70" w:type="dxa"/>
        </w:tblCellMar>
        <w:tblLook w:val="04A0" w:firstRow="1" w:lastRow="0" w:firstColumn="1" w:lastColumn="0" w:noHBand="0" w:noVBand="1"/>
      </w:tblPr>
      <w:tblGrid>
        <w:gridCol w:w="1729"/>
        <w:gridCol w:w="2807"/>
      </w:tblGrid>
      <w:tr w:rsidR="00B26AAB" w:rsidRPr="00D951F2" w14:paraId="7760354F" w14:textId="77777777" w:rsidTr="00B26AAB">
        <w:trPr>
          <w:trHeight w:val="861"/>
          <w:tblHeader/>
        </w:trPr>
        <w:tc>
          <w:tcPr>
            <w:tcW w:w="1729" w:type="dxa"/>
            <w:tcBorders>
              <w:top w:val="nil"/>
              <w:left w:val="nil"/>
              <w:right w:val="nil"/>
            </w:tcBorders>
            <w:shd w:val="clear" w:color="auto" w:fill="011C50"/>
            <w:vAlign w:val="center"/>
          </w:tcPr>
          <w:p w14:paraId="565522B7" w14:textId="77777777" w:rsidR="00B26AAB" w:rsidRPr="00D951F2" w:rsidRDefault="00B26AAB" w:rsidP="00B26AAB">
            <w:pPr>
              <w:spacing w:line="360" w:lineRule="auto"/>
              <w:jc w:val="center"/>
              <w:rPr>
                <w:rFonts w:eastAsia="Calibri"/>
                <w:b/>
                <w:bCs/>
                <w:noProof/>
                <w:color w:val="FFFFFF" w:themeColor="background1"/>
                <w:lang w:val="es-DO"/>
              </w:rPr>
            </w:pPr>
            <w:r w:rsidRPr="00D951F2">
              <w:rPr>
                <w:rFonts w:eastAsia="Calibri"/>
                <w:b/>
                <w:bCs/>
                <w:noProof/>
                <w:color w:val="FFFFFF" w:themeColor="background1"/>
                <w:lang w:val="es-DO"/>
              </w:rPr>
              <w:t>2025/mes</w:t>
            </w:r>
          </w:p>
        </w:tc>
        <w:tc>
          <w:tcPr>
            <w:tcW w:w="2807" w:type="dxa"/>
            <w:tcBorders>
              <w:top w:val="nil"/>
              <w:left w:val="nil"/>
              <w:bottom w:val="nil"/>
              <w:right w:val="nil"/>
            </w:tcBorders>
            <w:shd w:val="clear" w:color="auto" w:fill="011C50"/>
            <w:vAlign w:val="center"/>
            <w:hideMark/>
          </w:tcPr>
          <w:p w14:paraId="1B21B66D" w14:textId="77777777" w:rsidR="00B26AAB" w:rsidRPr="00D951F2" w:rsidRDefault="00B26AAB" w:rsidP="00B26AAB">
            <w:pPr>
              <w:spacing w:line="360" w:lineRule="auto"/>
              <w:jc w:val="center"/>
              <w:rPr>
                <w:rFonts w:eastAsia="Calibri"/>
                <w:b/>
                <w:bCs/>
                <w:noProof/>
                <w:color w:val="FFFFFF" w:themeColor="background1"/>
                <w:lang w:val="es-DO"/>
              </w:rPr>
            </w:pPr>
            <w:r w:rsidRPr="00D951F2">
              <w:rPr>
                <w:rFonts w:eastAsia="Calibri"/>
                <w:b/>
                <w:bCs/>
                <w:noProof/>
                <w:color w:val="FFFFFF" w:themeColor="background1"/>
                <w:lang w:val="es-DO"/>
              </w:rPr>
              <w:t>Asistencia Técnica</w:t>
            </w:r>
          </w:p>
        </w:tc>
      </w:tr>
      <w:tr w:rsidR="00B26AAB" w:rsidRPr="00D951F2" w14:paraId="54E15D7F" w14:textId="77777777" w:rsidTr="00B26AAB">
        <w:trPr>
          <w:trHeight w:val="273"/>
        </w:trPr>
        <w:tc>
          <w:tcPr>
            <w:tcW w:w="1729" w:type="dxa"/>
            <w:tcBorders>
              <w:top w:val="nil"/>
              <w:left w:val="nil"/>
              <w:bottom w:val="nil"/>
              <w:right w:val="nil"/>
            </w:tcBorders>
            <w:shd w:val="clear" w:color="000000" w:fill="D9D9D9"/>
            <w:vAlign w:val="bottom"/>
          </w:tcPr>
          <w:p w14:paraId="40E9FD01" w14:textId="77777777" w:rsidR="00B26AAB" w:rsidRPr="00167F3C" w:rsidRDefault="00B26AAB" w:rsidP="00B26AAB">
            <w:pPr>
              <w:spacing w:line="360" w:lineRule="auto"/>
              <w:jc w:val="both"/>
              <w:rPr>
                <w:rFonts w:eastAsia="Calibri"/>
                <w:noProof/>
                <w:lang w:val="es-DO"/>
              </w:rPr>
            </w:pPr>
            <w:r w:rsidRPr="00167F3C">
              <w:rPr>
                <w:rFonts w:eastAsia="Calibri"/>
                <w:noProof/>
                <w:lang w:val="es-DO"/>
              </w:rPr>
              <w:t>Enero</w:t>
            </w:r>
          </w:p>
        </w:tc>
        <w:tc>
          <w:tcPr>
            <w:tcW w:w="2807" w:type="dxa"/>
            <w:tcBorders>
              <w:top w:val="nil"/>
              <w:left w:val="nil"/>
              <w:bottom w:val="nil"/>
              <w:right w:val="nil"/>
            </w:tcBorders>
            <w:shd w:val="clear" w:color="000000" w:fill="D9D9D9"/>
            <w:noWrap/>
            <w:hideMark/>
          </w:tcPr>
          <w:p w14:paraId="6B9BD904" w14:textId="77777777" w:rsidR="00B26AAB" w:rsidRPr="00167F3C" w:rsidRDefault="00B26AAB" w:rsidP="00B26AAB">
            <w:pPr>
              <w:spacing w:line="360" w:lineRule="auto"/>
              <w:jc w:val="both"/>
              <w:rPr>
                <w:rFonts w:eastAsia="Calibri"/>
                <w:noProof/>
                <w:lang w:val="es-DO"/>
              </w:rPr>
            </w:pPr>
            <w:r w:rsidRPr="00167F3C">
              <w:rPr>
                <w:rFonts w:eastAsia="Calibri"/>
                <w:noProof/>
              </w:rPr>
              <w:t>171</w:t>
            </w:r>
          </w:p>
        </w:tc>
      </w:tr>
      <w:tr w:rsidR="00B26AAB" w:rsidRPr="00D951F2" w14:paraId="1AC8BA3B" w14:textId="77777777" w:rsidTr="00B26AAB">
        <w:trPr>
          <w:trHeight w:val="273"/>
        </w:trPr>
        <w:tc>
          <w:tcPr>
            <w:tcW w:w="1729" w:type="dxa"/>
            <w:tcBorders>
              <w:top w:val="nil"/>
              <w:left w:val="nil"/>
              <w:bottom w:val="nil"/>
              <w:right w:val="nil"/>
            </w:tcBorders>
            <w:vAlign w:val="bottom"/>
          </w:tcPr>
          <w:p w14:paraId="64CCB277" w14:textId="77777777" w:rsidR="00B26AAB" w:rsidRPr="00167F3C" w:rsidRDefault="00B26AAB" w:rsidP="00B26AAB">
            <w:pPr>
              <w:spacing w:line="360" w:lineRule="auto"/>
              <w:jc w:val="both"/>
              <w:rPr>
                <w:rFonts w:eastAsia="Calibri"/>
                <w:noProof/>
                <w:lang w:val="es-DO"/>
              </w:rPr>
            </w:pPr>
            <w:r w:rsidRPr="00167F3C">
              <w:rPr>
                <w:rFonts w:eastAsia="Calibri"/>
                <w:noProof/>
                <w:lang w:val="es-DO"/>
              </w:rPr>
              <w:t>Febrero</w:t>
            </w:r>
          </w:p>
        </w:tc>
        <w:tc>
          <w:tcPr>
            <w:tcW w:w="2807" w:type="dxa"/>
            <w:tcBorders>
              <w:top w:val="nil"/>
              <w:left w:val="nil"/>
              <w:bottom w:val="nil"/>
              <w:right w:val="nil"/>
            </w:tcBorders>
            <w:noWrap/>
            <w:hideMark/>
          </w:tcPr>
          <w:p w14:paraId="1BE77D90" w14:textId="77777777" w:rsidR="00B26AAB" w:rsidRPr="00167F3C" w:rsidRDefault="00B26AAB" w:rsidP="00B26AAB">
            <w:pPr>
              <w:spacing w:line="360" w:lineRule="auto"/>
              <w:jc w:val="both"/>
              <w:rPr>
                <w:rFonts w:eastAsia="Calibri"/>
                <w:noProof/>
                <w:lang w:val="es-DO"/>
              </w:rPr>
            </w:pPr>
            <w:r w:rsidRPr="00167F3C">
              <w:rPr>
                <w:rFonts w:eastAsia="Calibri"/>
                <w:noProof/>
              </w:rPr>
              <w:t>268</w:t>
            </w:r>
          </w:p>
        </w:tc>
      </w:tr>
      <w:tr w:rsidR="00B26AAB" w:rsidRPr="00D951F2" w14:paraId="7443F917" w14:textId="77777777" w:rsidTr="00B26AAB">
        <w:trPr>
          <w:trHeight w:val="273"/>
        </w:trPr>
        <w:tc>
          <w:tcPr>
            <w:tcW w:w="1729" w:type="dxa"/>
            <w:tcBorders>
              <w:top w:val="nil"/>
              <w:left w:val="nil"/>
              <w:bottom w:val="nil"/>
              <w:right w:val="nil"/>
            </w:tcBorders>
            <w:shd w:val="clear" w:color="000000" w:fill="D9D9D9"/>
            <w:vAlign w:val="bottom"/>
          </w:tcPr>
          <w:p w14:paraId="219D36C3" w14:textId="77777777" w:rsidR="00B26AAB" w:rsidRPr="00167F3C" w:rsidRDefault="00B26AAB" w:rsidP="00B26AAB">
            <w:pPr>
              <w:spacing w:line="360" w:lineRule="auto"/>
              <w:jc w:val="both"/>
              <w:rPr>
                <w:rFonts w:eastAsia="Calibri"/>
                <w:noProof/>
                <w:lang w:val="es-DO"/>
              </w:rPr>
            </w:pPr>
            <w:r w:rsidRPr="00167F3C">
              <w:rPr>
                <w:rFonts w:eastAsia="Calibri"/>
                <w:noProof/>
                <w:lang w:val="es-DO"/>
              </w:rPr>
              <w:t>Marzo</w:t>
            </w:r>
          </w:p>
        </w:tc>
        <w:tc>
          <w:tcPr>
            <w:tcW w:w="2807" w:type="dxa"/>
            <w:tcBorders>
              <w:top w:val="nil"/>
              <w:left w:val="nil"/>
              <w:bottom w:val="nil"/>
              <w:right w:val="nil"/>
            </w:tcBorders>
            <w:shd w:val="clear" w:color="000000" w:fill="D9D9D9"/>
            <w:noWrap/>
            <w:hideMark/>
          </w:tcPr>
          <w:p w14:paraId="274A9BB3" w14:textId="77777777" w:rsidR="00B26AAB" w:rsidRPr="00167F3C" w:rsidRDefault="00B26AAB" w:rsidP="00B26AAB">
            <w:pPr>
              <w:spacing w:line="360" w:lineRule="auto"/>
              <w:jc w:val="both"/>
              <w:rPr>
                <w:rFonts w:eastAsia="Calibri"/>
                <w:noProof/>
                <w:lang w:val="es-DO"/>
              </w:rPr>
            </w:pPr>
            <w:r w:rsidRPr="00167F3C">
              <w:rPr>
                <w:rFonts w:eastAsia="Calibri"/>
                <w:noProof/>
              </w:rPr>
              <w:t>312</w:t>
            </w:r>
          </w:p>
        </w:tc>
      </w:tr>
      <w:tr w:rsidR="00B26AAB" w:rsidRPr="00D951F2" w14:paraId="3E3BDF61" w14:textId="77777777" w:rsidTr="00B26AAB">
        <w:trPr>
          <w:trHeight w:val="273"/>
        </w:trPr>
        <w:tc>
          <w:tcPr>
            <w:tcW w:w="1729" w:type="dxa"/>
            <w:tcBorders>
              <w:top w:val="nil"/>
              <w:left w:val="nil"/>
              <w:bottom w:val="nil"/>
              <w:right w:val="nil"/>
            </w:tcBorders>
            <w:vAlign w:val="bottom"/>
          </w:tcPr>
          <w:p w14:paraId="6EB7EA1A" w14:textId="77777777" w:rsidR="00B26AAB" w:rsidRPr="00167F3C" w:rsidRDefault="00B26AAB" w:rsidP="00B26AAB">
            <w:pPr>
              <w:spacing w:line="360" w:lineRule="auto"/>
              <w:jc w:val="both"/>
              <w:rPr>
                <w:rFonts w:eastAsia="Calibri"/>
                <w:noProof/>
                <w:lang w:val="es-DO"/>
              </w:rPr>
            </w:pPr>
            <w:r w:rsidRPr="00167F3C">
              <w:rPr>
                <w:rFonts w:eastAsia="Calibri"/>
                <w:noProof/>
                <w:lang w:val="es-DO"/>
              </w:rPr>
              <w:t>Abril</w:t>
            </w:r>
          </w:p>
        </w:tc>
        <w:tc>
          <w:tcPr>
            <w:tcW w:w="2807" w:type="dxa"/>
            <w:tcBorders>
              <w:top w:val="nil"/>
              <w:left w:val="nil"/>
              <w:bottom w:val="nil"/>
              <w:right w:val="nil"/>
            </w:tcBorders>
            <w:noWrap/>
            <w:hideMark/>
          </w:tcPr>
          <w:p w14:paraId="209CE64D" w14:textId="77777777" w:rsidR="00B26AAB" w:rsidRPr="00167F3C" w:rsidRDefault="00B26AAB" w:rsidP="00B26AAB">
            <w:pPr>
              <w:spacing w:line="360" w:lineRule="auto"/>
              <w:jc w:val="both"/>
              <w:rPr>
                <w:rFonts w:eastAsia="Calibri"/>
                <w:noProof/>
                <w:lang w:val="es-DO"/>
              </w:rPr>
            </w:pPr>
            <w:r w:rsidRPr="00167F3C">
              <w:rPr>
                <w:rFonts w:eastAsia="Calibri"/>
                <w:noProof/>
              </w:rPr>
              <w:t>242</w:t>
            </w:r>
          </w:p>
        </w:tc>
      </w:tr>
      <w:tr w:rsidR="00B26AAB" w:rsidRPr="00D951F2" w14:paraId="455E62C8" w14:textId="77777777" w:rsidTr="00B26AAB">
        <w:trPr>
          <w:trHeight w:val="273"/>
        </w:trPr>
        <w:tc>
          <w:tcPr>
            <w:tcW w:w="1729" w:type="dxa"/>
            <w:tcBorders>
              <w:top w:val="nil"/>
              <w:left w:val="nil"/>
              <w:bottom w:val="nil"/>
              <w:right w:val="nil"/>
            </w:tcBorders>
            <w:shd w:val="clear" w:color="000000" w:fill="D9D9D9"/>
            <w:vAlign w:val="bottom"/>
          </w:tcPr>
          <w:p w14:paraId="19F56A0D" w14:textId="77777777" w:rsidR="00B26AAB" w:rsidRPr="00167F3C" w:rsidRDefault="00B26AAB" w:rsidP="00B26AAB">
            <w:pPr>
              <w:spacing w:line="360" w:lineRule="auto"/>
              <w:jc w:val="both"/>
              <w:rPr>
                <w:rFonts w:eastAsia="Calibri"/>
                <w:noProof/>
                <w:lang w:val="es-DO"/>
              </w:rPr>
            </w:pPr>
            <w:r w:rsidRPr="00167F3C">
              <w:rPr>
                <w:rFonts w:eastAsia="Calibri"/>
                <w:noProof/>
                <w:lang w:val="es-DO"/>
              </w:rPr>
              <w:t>Mayo</w:t>
            </w:r>
          </w:p>
        </w:tc>
        <w:tc>
          <w:tcPr>
            <w:tcW w:w="2807" w:type="dxa"/>
            <w:tcBorders>
              <w:top w:val="nil"/>
              <w:left w:val="nil"/>
              <w:bottom w:val="nil"/>
              <w:right w:val="nil"/>
            </w:tcBorders>
            <w:shd w:val="clear" w:color="000000" w:fill="D9D9D9"/>
            <w:noWrap/>
            <w:hideMark/>
          </w:tcPr>
          <w:p w14:paraId="76F23815" w14:textId="77777777" w:rsidR="00B26AAB" w:rsidRPr="00167F3C" w:rsidRDefault="00B26AAB" w:rsidP="00B26AAB">
            <w:pPr>
              <w:spacing w:line="360" w:lineRule="auto"/>
              <w:jc w:val="both"/>
              <w:rPr>
                <w:rFonts w:eastAsia="Calibri"/>
                <w:noProof/>
                <w:lang w:val="es-DO"/>
              </w:rPr>
            </w:pPr>
            <w:r w:rsidRPr="00167F3C">
              <w:rPr>
                <w:rFonts w:eastAsia="Calibri"/>
                <w:noProof/>
              </w:rPr>
              <w:t>288</w:t>
            </w:r>
          </w:p>
        </w:tc>
      </w:tr>
      <w:tr w:rsidR="00B26AAB" w:rsidRPr="00D951F2" w14:paraId="6BD2D357" w14:textId="77777777" w:rsidTr="00B26AAB">
        <w:trPr>
          <w:trHeight w:val="273"/>
        </w:trPr>
        <w:tc>
          <w:tcPr>
            <w:tcW w:w="1729" w:type="dxa"/>
            <w:tcBorders>
              <w:top w:val="nil"/>
              <w:left w:val="nil"/>
              <w:bottom w:val="nil"/>
              <w:right w:val="nil"/>
            </w:tcBorders>
            <w:vAlign w:val="bottom"/>
          </w:tcPr>
          <w:p w14:paraId="510074E3" w14:textId="77777777" w:rsidR="00B26AAB" w:rsidRPr="00167F3C" w:rsidRDefault="00B26AAB" w:rsidP="00B26AAB">
            <w:pPr>
              <w:spacing w:line="360" w:lineRule="auto"/>
              <w:jc w:val="both"/>
              <w:rPr>
                <w:rFonts w:eastAsia="Calibri"/>
                <w:noProof/>
                <w:lang w:val="es-DO"/>
              </w:rPr>
            </w:pPr>
            <w:r w:rsidRPr="00167F3C">
              <w:rPr>
                <w:rFonts w:eastAsia="Calibri"/>
                <w:noProof/>
                <w:lang w:val="es-DO"/>
              </w:rPr>
              <w:t>Junio</w:t>
            </w:r>
          </w:p>
        </w:tc>
        <w:tc>
          <w:tcPr>
            <w:tcW w:w="2807" w:type="dxa"/>
            <w:tcBorders>
              <w:top w:val="nil"/>
              <w:left w:val="nil"/>
              <w:bottom w:val="nil"/>
              <w:right w:val="nil"/>
            </w:tcBorders>
            <w:noWrap/>
            <w:hideMark/>
          </w:tcPr>
          <w:p w14:paraId="19910754" w14:textId="77777777" w:rsidR="00B26AAB" w:rsidRPr="00167F3C" w:rsidRDefault="00B26AAB" w:rsidP="00B26AAB">
            <w:pPr>
              <w:spacing w:line="360" w:lineRule="auto"/>
              <w:jc w:val="both"/>
              <w:rPr>
                <w:rFonts w:eastAsia="Calibri"/>
                <w:noProof/>
                <w:lang w:val="es-DO"/>
              </w:rPr>
            </w:pPr>
            <w:r w:rsidRPr="00167F3C">
              <w:rPr>
                <w:rFonts w:eastAsia="Calibri"/>
                <w:noProof/>
              </w:rPr>
              <w:t>251</w:t>
            </w:r>
          </w:p>
        </w:tc>
      </w:tr>
      <w:tr w:rsidR="00B26AAB" w:rsidRPr="00D951F2" w14:paraId="547CF019" w14:textId="77777777" w:rsidTr="00B26AAB">
        <w:trPr>
          <w:trHeight w:val="273"/>
        </w:trPr>
        <w:tc>
          <w:tcPr>
            <w:tcW w:w="1729" w:type="dxa"/>
            <w:tcBorders>
              <w:top w:val="nil"/>
              <w:left w:val="nil"/>
              <w:bottom w:val="nil"/>
              <w:right w:val="nil"/>
            </w:tcBorders>
            <w:shd w:val="clear" w:color="000000" w:fill="D9D9D9"/>
            <w:vAlign w:val="bottom"/>
          </w:tcPr>
          <w:p w14:paraId="1202A8CB" w14:textId="77777777" w:rsidR="00B26AAB" w:rsidRPr="00167F3C" w:rsidRDefault="00B26AAB" w:rsidP="00B26AAB">
            <w:pPr>
              <w:spacing w:line="360" w:lineRule="auto"/>
              <w:jc w:val="both"/>
              <w:rPr>
                <w:rFonts w:eastAsia="Calibri"/>
                <w:noProof/>
                <w:lang w:val="es-DO"/>
              </w:rPr>
            </w:pPr>
            <w:r w:rsidRPr="00167F3C">
              <w:rPr>
                <w:rFonts w:eastAsia="Calibri"/>
                <w:noProof/>
                <w:lang w:val="es-DO"/>
              </w:rPr>
              <w:t>Julio</w:t>
            </w:r>
          </w:p>
        </w:tc>
        <w:tc>
          <w:tcPr>
            <w:tcW w:w="2807" w:type="dxa"/>
            <w:tcBorders>
              <w:top w:val="nil"/>
              <w:left w:val="nil"/>
              <w:bottom w:val="nil"/>
              <w:right w:val="nil"/>
            </w:tcBorders>
            <w:shd w:val="clear" w:color="000000" w:fill="D9D9D9"/>
            <w:noWrap/>
            <w:hideMark/>
          </w:tcPr>
          <w:p w14:paraId="0B1234B6" w14:textId="77777777" w:rsidR="00B26AAB" w:rsidRPr="00167F3C" w:rsidRDefault="00B26AAB" w:rsidP="00B26AAB">
            <w:pPr>
              <w:spacing w:line="360" w:lineRule="auto"/>
              <w:jc w:val="both"/>
              <w:rPr>
                <w:rFonts w:eastAsia="Calibri"/>
                <w:noProof/>
                <w:lang w:val="es-DO"/>
              </w:rPr>
            </w:pPr>
            <w:r w:rsidRPr="00167F3C">
              <w:rPr>
                <w:rFonts w:eastAsia="Calibri"/>
                <w:noProof/>
              </w:rPr>
              <w:t>176</w:t>
            </w:r>
          </w:p>
        </w:tc>
      </w:tr>
      <w:tr w:rsidR="00B26AAB" w:rsidRPr="00D951F2" w14:paraId="7CA5B1A6" w14:textId="77777777" w:rsidTr="00B26AAB">
        <w:trPr>
          <w:trHeight w:val="273"/>
        </w:trPr>
        <w:tc>
          <w:tcPr>
            <w:tcW w:w="1729" w:type="dxa"/>
            <w:tcBorders>
              <w:top w:val="nil"/>
              <w:left w:val="nil"/>
              <w:bottom w:val="nil"/>
              <w:right w:val="nil"/>
            </w:tcBorders>
            <w:vAlign w:val="bottom"/>
          </w:tcPr>
          <w:p w14:paraId="5813E1F2" w14:textId="77777777" w:rsidR="00B26AAB" w:rsidRPr="00167F3C" w:rsidRDefault="00B26AAB" w:rsidP="00B26AAB">
            <w:pPr>
              <w:spacing w:line="360" w:lineRule="auto"/>
              <w:jc w:val="both"/>
              <w:rPr>
                <w:rFonts w:eastAsia="Calibri"/>
                <w:noProof/>
                <w:lang w:val="es-DO"/>
              </w:rPr>
            </w:pPr>
            <w:r w:rsidRPr="00167F3C">
              <w:rPr>
                <w:rFonts w:eastAsia="Calibri"/>
                <w:noProof/>
                <w:lang w:val="es-DO"/>
              </w:rPr>
              <w:t>Agosto</w:t>
            </w:r>
          </w:p>
        </w:tc>
        <w:tc>
          <w:tcPr>
            <w:tcW w:w="2807" w:type="dxa"/>
            <w:tcBorders>
              <w:top w:val="nil"/>
              <w:left w:val="nil"/>
              <w:bottom w:val="nil"/>
              <w:right w:val="nil"/>
            </w:tcBorders>
            <w:noWrap/>
            <w:hideMark/>
          </w:tcPr>
          <w:p w14:paraId="0DCFEC37" w14:textId="77777777" w:rsidR="00B26AAB" w:rsidRPr="00167F3C" w:rsidRDefault="00B26AAB" w:rsidP="00B26AAB">
            <w:pPr>
              <w:spacing w:line="360" w:lineRule="auto"/>
              <w:jc w:val="both"/>
              <w:rPr>
                <w:rFonts w:eastAsia="Calibri"/>
                <w:noProof/>
                <w:lang w:val="es-DO"/>
              </w:rPr>
            </w:pPr>
            <w:r w:rsidRPr="00167F3C">
              <w:rPr>
                <w:rFonts w:eastAsia="Calibri"/>
                <w:noProof/>
              </w:rPr>
              <w:t>164</w:t>
            </w:r>
          </w:p>
        </w:tc>
      </w:tr>
      <w:tr w:rsidR="00B26AAB" w:rsidRPr="00D951F2" w14:paraId="6113520E" w14:textId="77777777" w:rsidTr="00B26AAB">
        <w:trPr>
          <w:trHeight w:val="273"/>
        </w:trPr>
        <w:tc>
          <w:tcPr>
            <w:tcW w:w="1729" w:type="dxa"/>
            <w:tcBorders>
              <w:top w:val="nil"/>
              <w:left w:val="nil"/>
              <w:bottom w:val="nil"/>
              <w:right w:val="nil"/>
            </w:tcBorders>
            <w:shd w:val="clear" w:color="000000" w:fill="D9D9D9"/>
            <w:vAlign w:val="bottom"/>
          </w:tcPr>
          <w:p w14:paraId="7B9D2BEE" w14:textId="77777777" w:rsidR="00B26AAB" w:rsidRPr="00167F3C" w:rsidRDefault="00B26AAB" w:rsidP="00B26AAB">
            <w:pPr>
              <w:spacing w:line="360" w:lineRule="auto"/>
              <w:jc w:val="both"/>
              <w:rPr>
                <w:rFonts w:eastAsia="Calibri"/>
                <w:noProof/>
                <w:lang w:val="es-DO"/>
              </w:rPr>
            </w:pPr>
            <w:r w:rsidRPr="00167F3C">
              <w:rPr>
                <w:rFonts w:eastAsia="Calibri"/>
                <w:noProof/>
                <w:lang w:val="es-DO"/>
              </w:rPr>
              <w:t>Septiembre</w:t>
            </w:r>
          </w:p>
        </w:tc>
        <w:tc>
          <w:tcPr>
            <w:tcW w:w="2807" w:type="dxa"/>
            <w:tcBorders>
              <w:top w:val="nil"/>
              <w:left w:val="nil"/>
              <w:bottom w:val="nil"/>
              <w:right w:val="nil"/>
            </w:tcBorders>
            <w:shd w:val="clear" w:color="000000" w:fill="D9D9D9"/>
            <w:noWrap/>
            <w:hideMark/>
          </w:tcPr>
          <w:p w14:paraId="57AB48C3" w14:textId="77777777" w:rsidR="00B26AAB" w:rsidRPr="00167F3C" w:rsidRDefault="00B26AAB" w:rsidP="00B26AAB">
            <w:pPr>
              <w:spacing w:line="360" w:lineRule="auto"/>
              <w:jc w:val="both"/>
              <w:rPr>
                <w:rFonts w:eastAsia="Calibri"/>
                <w:noProof/>
                <w:lang w:val="es-DO"/>
              </w:rPr>
            </w:pPr>
            <w:r w:rsidRPr="00167F3C">
              <w:rPr>
                <w:rFonts w:eastAsia="Calibri"/>
                <w:noProof/>
              </w:rPr>
              <w:t>172</w:t>
            </w:r>
          </w:p>
        </w:tc>
      </w:tr>
      <w:tr w:rsidR="00B26AAB" w:rsidRPr="00D951F2" w14:paraId="4BD11043" w14:textId="77777777" w:rsidTr="00B26AAB">
        <w:trPr>
          <w:trHeight w:val="273"/>
        </w:trPr>
        <w:tc>
          <w:tcPr>
            <w:tcW w:w="1729" w:type="dxa"/>
            <w:tcBorders>
              <w:top w:val="nil"/>
              <w:left w:val="nil"/>
              <w:bottom w:val="nil"/>
              <w:right w:val="nil"/>
            </w:tcBorders>
            <w:vAlign w:val="bottom"/>
          </w:tcPr>
          <w:p w14:paraId="3D3FCE89" w14:textId="77777777" w:rsidR="00B26AAB" w:rsidRPr="00167F3C" w:rsidRDefault="00B26AAB" w:rsidP="00B26AAB">
            <w:pPr>
              <w:spacing w:line="360" w:lineRule="auto"/>
              <w:jc w:val="both"/>
              <w:rPr>
                <w:rFonts w:eastAsia="Calibri"/>
                <w:noProof/>
                <w:lang w:val="es-DO"/>
              </w:rPr>
            </w:pPr>
            <w:r w:rsidRPr="00167F3C">
              <w:rPr>
                <w:rFonts w:eastAsia="Calibri"/>
                <w:noProof/>
                <w:lang w:val="es-DO"/>
              </w:rPr>
              <w:t>Octubre</w:t>
            </w:r>
          </w:p>
        </w:tc>
        <w:tc>
          <w:tcPr>
            <w:tcW w:w="2807" w:type="dxa"/>
            <w:tcBorders>
              <w:top w:val="nil"/>
              <w:left w:val="nil"/>
              <w:bottom w:val="nil"/>
              <w:right w:val="nil"/>
            </w:tcBorders>
            <w:noWrap/>
            <w:hideMark/>
          </w:tcPr>
          <w:p w14:paraId="53E32361" w14:textId="77777777" w:rsidR="00B26AAB" w:rsidRPr="00167F3C" w:rsidRDefault="00B26AAB" w:rsidP="00B26AAB">
            <w:pPr>
              <w:spacing w:line="360" w:lineRule="auto"/>
              <w:jc w:val="both"/>
              <w:rPr>
                <w:rFonts w:eastAsia="Calibri"/>
                <w:noProof/>
                <w:lang w:val="es-DO"/>
              </w:rPr>
            </w:pPr>
            <w:r w:rsidRPr="00167F3C">
              <w:rPr>
                <w:rFonts w:eastAsia="Calibri"/>
                <w:noProof/>
              </w:rPr>
              <w:t>121</w:t>
            </w:r>
          </w:p>
        </w:tc>
      </w:tr>
      <w:tr w:rsidR="00B26AAB" w:rsidRPr="00D951F2" w14:paraId="6C11536D" w14:textId="77777777" w:rsidTr="00B26AAB">
        <w:trPr>
          <w:trHeight w:val="273"/>
        </w:trPr>
        <w:tc>
          <w:tcPr>
            <w:tcW w:w="1729" w:type="dxa"/>
            <w:tcBorders>
              <w:top w:val="nil"/>
              <w:left w:val="nil"/>
              <w:bottom w:val="nil"/>
              <w:right w:val="nil"/>
            </w:tcBorders>
            <w:shd w:val="clear" w:color="000000" w:fill="D9D9D9"/>
            <w:vAlign w:val="bottom"/>
          </w:tcPr>
          <w:p w14:paraId="2E69B3E1" w14:textId="77777777" w:rsidR="00B26AAB" w:rsidRPr="00167F3C" w:rsidRDefault="00B26AAB" w:rsidP="00B26AAB">
            <w:pPr>
              <w:spacing w:line="360" w:lineRule="auto"/>
              <w:jc w:val="both"/>
              <w:rPr>
                <w:rFonts w:eastAsia="Calibri"/>
                <w:noProof/>
                <w:lang w:val="es-DO"/>
              </w:rPr>
            </w:pPr>
            <w:r w:rsidRPr="00167F3C">
              <w:rPr>
                <w:rFonts w:eastAsia="Calibri"/>
                <w:noProof/>
                <w:lang w:val="es-DO"/>
              </w:rPr>
              <w:t>Noviembre</w:t>
            </w:r>
          </w:p>
        </w:tc>
        <w:tc>
          <w:tcPr>
            <w:tcW w:w="2807" w:type="dxa"/>
            <w:tcBorders>
              <w:top w:val="nil"/>
              <w:left w:val="nil"/>
              <w:bottom w:val="nil"/>
              <w:right w:val="nil"/>
            </w:tcBorders>
            <w:shd w:val="clear" w:color="000000" w:fill="D9D9D9"/>
            <w:noWrap/>
            <w:hideMark/>
          </w:tcPr>
          <w:p w14:paraId="28269AE7" w14:textId="77777777" w:rsidR="00B26AAB" w:rsidRPr="00167F3C" w:rsidRDefault="00B26AAB" w:rsidP="00B26AAB">
            <w:pPr>
              <w:spacing w:line="360" w:lineRule="auto"/>
              <w:jc w:val="both"/>
              <w:rPr>
                <w:rFonts w:eastAsia="Calibri"/>
                <w:noProof/>
                <w:lang w:val="es-DO"/>
              </w:rPr>
            </w:pPr>
            <w:r w:rsidRPr="00167F3C">
              <w:rPr>
                <w:rFonts w:eastAsia="Calibri"/>
                <w:noProof/>
              </w:rPr>
              <w:t> 179</w:t>
            </w:r>
          </w:p>
        </w:tc>
      </w:tr>
      <w:tr w:rsidR="00B26AAB" w:rsidRPr="00D951F2" w14:paraId="79348009" w14:textId="77777777" w:rsidTr="00B26AAB">
        <w:trPr>
          <w:trHeight w:val="273"/>
        </w:trPr>
        <w:tc>
          <w:tcPr>
            <w:tcW w:w="1729" w:type="dxa"/>
            <w:tcBorders>
              <w:top w:val="nil"/>
              <w:left w:val="nil"/>
              <w:bottom w:val="nil"/>
              <w:right w:val="nil"/>
            </w:tcBorders>
            <w:vAlign w:val="bottom"/>
          </w:tcPr>
          <w:p w14:paraId="6FBA6FAF" w14:textId="77777777" w:rsidR="00B26AAB" w:rsidRPr="00167F3C" w:rsidRDefault="00B26AAB" w:rsidP="00B26AAB">
            <w:pPr>
              <w:spacing w:line="360" w:lineRule="auto"/>
              <w:jc w:val="both"/>
              <w:rPr>
                <w:rFonts w:eastAsia="Calibri"/>
                <w:noProof/>
                <w:lang w:val="es-DO"/>
              </w:rPr>
            </w:pPr>
            <w:r w:rsidRPr="00167F3C">
              <w:rPr>
                <w:rFonts w:eastAsia="Calibri"/>
                <w:noProof/>
                <w:lang w:val="es-DO"/>
              </w:rPr>
              <w:t>Diciembre</w:t>
            </w:r>
          </w:p>
        </w:tc>
        <w:tc>
          <w:tcPr>
            <w:tcW w:w="2807" w:type="dxa"/>
            <w:tcBorders>
              <w:top w:val="nil"/>
              <w:left w:val="nil"/>
              <w:bottom w:val="nil"/>
              <w:right w:val="nil"/>
            </w:tcBorders>
            <w:noWrap/>
            <w:hideMark/>
          </w:tcPr>
          <w:p w14:paraId="5E5B8CC6" w14:textId="77777777" w:rsidR="00B26AAB" w:rsidRPr="00167F3C" w:rsidRDefault="00B26AAB" w:rsidP="00B26AAB">
            <w:pPr>
              <w:spacing w:line="360" w:lineRule="auto"/>
              <w:jc w:val="both"/>
              <w:rPr>
                <w:rFonts w:eastAsia="Calibri"/>
                <w:noProof/>
                <w:lang w:val="es-DO"/>
              </w:rPr>
            </w:pPr>
            <w:r w:rsidRPr="00167F3C">
              <w:rPr>
                <w:rFonts w:eastAsia="Calibri"/>
                <w:noProof/>
              </w:rPr>
              <w:t>143</w:t>
            </w:r>
          </w:p>
        </w:tc>
      </w:tr>
      <w:tr w:rsidR="00B26AAB" w:rsidRPr="00D951F2" w14:paraId="26685E2F" w14:textId="77777777" w:rsidTr="00B26AAB">
        <w:trPr>
          <w:trHeight w:val="273"/>
        </w:trPr>
        <w:tc>
          <w:tcPr>
            <w:tcW w:w="1729" w:type="dxa"/>
            <w:tcBorders>
              <w:top w:val="nil"/>
              <w:left w:val="nil"/>
              <w:bottom w:val="nil"/>
              <w:right w:val="nil"/>
            </w:tcBorders>
            <w:shd w:val="clear" w:color="auto" w:fill="D9D9D9"/>
            <w:vAlign w:val="bottom"/>
          </w:tcPr>
          <w:p w14:paraId="6E20DFFD" w14:textId="77777777" w:rsidR="00B26AAB" w:rsidRPr="00167F3C" w:rsidRDefault="00B26AAB" w:rsidP="00B26AAB">
            <w:pPr>
              <w:spacing w:line="360" w:lineRule="auto"/>
              <w:jc w:val="both"/>
              <w:rPr>
                <w:rFonts w:eastAsia="Calibri"/>
                <w:b/>
                <w:bCs/>
                <w:noProof/>
                <w:lang w:val="es-DO"/>
              </w:rPr>
            </w:pPr>
            <w:r w:rsidRPr="00167F3C">
              <w:rPr>
                <w:rFonts w:eastAsia="Calibri"/>
                <w:b/>
                <w:bCs/>
                <w:noProof/>
                <w:lang w:val="es-DO"/>
              </w:rPr>
              <w:t>TOTAL</w:t>
            </w:r>
          </w:p>
        </w:tc>
        <w:tc>
          <w:tcPr>
            <w:tcW w:w="2807" w:type="dxa"/>
            <w:tcBorders>
              <w:top w:val="nil"/>
              <w:left w:val="nil"/>
              <w:bottom w:val="nil"/>
              <w:right w:val="nil"/>
            </w:tcBorders>
            <w:shd w:val="clear" w:color="auto" w:fill="D9D9D9"/>
            <w:noWrap/>
            <w:hideMark/>
          </w:tcPr>
          <w:p w14:paraId="7E3DDD86" w14:textId="77777777" w:rsidR="00B26AAB" w:rsidRPr="00167F3C" w:rsidRDefault="00B26AAB" w:rsidP="00B26AAB">
            <w:pPr>
              <w:spacing w:line="360" w:lineRule="auto"/>
              <w:jc w:val="both"/>
              <w:rPr>
                <w:rFonts w:eastAsia="Calibri"/>
                <w:b/>
                <w:bCs/>
                <w:noProof/>
                <w:lang w:val="es-DO"/>
              </w:rPr>
            </w:pPr>
            <w:r w:rsidRPr="00167F3C">
              <w:rPr>
                <w:rFonts w:eastAsia="Calibri"/>
                <w:b/>
                <w:bCs/>
                <w:noProof/>
              </w:rPr>
              <w:t>2,308</w:t>
            </w:r>
          </w:p>
        </w:tc>
      </w:tr>
    </w:tbl>
    <w:p w14:paraId="7CF8FEB3" w14:textId="7FCEF2A9" w:rsidR="00B26AAB" w:rsidRPr="00167F3C" w:rsidRDefault="002C762F" w:rsidP="00B26AAB">
      <w:pPr>
        <w:spacing w:after="0" w:line="360" w:lineRule="auto"/>
        <w:jc w:val="center"/>
        <w:rPr>
          <w:rFonts w:eastAsia="Calibri"/>
          <w:b/>
          <w:noProof/>
          <w:lang w:val="es-DO"/>
        </w:rPr>
        <w:sectPr w:rsidR="00B26AAB" w:rsidRPr="00167F3C" w:rsidSect="00D951F2">
          <w:headerReference w:type="default" r:id="rId18"/>
          <w:footerReference w:type="default" r:id="rId19"/>
          <w:pgSz w:w="12240" w:h="15840"/>
          <w:pgMar w:top="1440" w:right="2160" w:bottom="1440" w:left="2160" w:header="720" w:footer="720" w:gutter="0"/>
          <w:pgNumType w:start="1"/>
          <w:cols w:space="720"/>
          <w:docGrid w:linePitch="360"/>
        </w:sectPr>
      </w:pPr>
      <w:r w:rsidRPr="00167F3C">
        <w:rPr>
          <w:rFonts w:eastAsia="Calibri"/>
          <w:b/>
          <w:noProof/>
          <w:lang w:val="es-DO"/>
        </w:rPr>
        <w:t xml:space="preserve">Tesorería </w:t>
      </w:r>
      <w:r w:rsidR="00D7672E" w:rsidRPr="00167F3C">
        <w:rPr>
          <w:rFonts w:eastAsia="Calibri"/>
          <w:b/>
          <w:noProof/>
          <w:lang w:val="es-DO"/>
        </w:rPr>
        <w:t>Naciona</w:t>
      </w:r>
      <w:r w:rsidR="00B26AAB" w:rsidRPr="00167F3C">
        <w:rPr>
          <w:rFonts w:eastAsia="Calibri"/>
          <w:b/>
          <w:noProof/>
          <w:lang w:val="es-DO"/>
        </w:rPr>
        <w:t>l</w:t>
      </w:r>
    </w:p>
    <w:p w14:paraId="1541B6B3" w14:textId="6227DA85" w:rsidR="00D951F2" w:rsidRPr="00167F3C" w:rsidRDefault="00D951F2" w:rsidP="00D64261">
      <w:pPr>
        <w:spacing w:line="360" w:lineRule="auto"/>
        <w:jc w:val="both"/>
        <w:rPr>
          <w:rFonts w:eastAsia="Calibri"/>
          <w:b/>
          <w:noProof/>
          <w:lang w:val="es-DO"/>
        </w:rPr>
      </w:pPr>
      <w:bookmarkStart w:id="17" w:name="_Toc170469616"/>
      <w:r w:rsidRPr="00167F3C">
        <w:rPr>
          <w:rFonts w:eastAsia="Calibri"/>
          <w:b/>
          <w:noProof/>
          <w:lang w:val="es-DO"/>
        </w:rPr>
        <w:lastRenderedPageBreak/>
        <w:t>Priorizaciones:</w:t>
      </w:r>
    </w:p>
    <w:p w14:paraId="150AB3B7"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 xml:space="preserve">Este trámite aplica para eventos donde los libramientos de pago </w:t>
      </w:r>
      <w:r w:rsidRPr="00167F3C">
        <w:rPr>
          <w:rFonts w:eastAsia="Calibri"/>
          <w:noProof/>
          <w:lang w:val="es-DO"/>
        </w:rPr>
        <w:t>requieren acción inmediata</w:t>
      </w:r>
      <w:r w:rsidRPr="00167F3C">
        <w:rPr>
          <w:rFonts w:eastAsia="Calibri"/>
          <w:bCs/>
          <w:noProof/>
          <w:lang w:val="es-DO"/>
        </w:rPr>
        <w:t xml:space="preserve"> por lo que demandan pronta resolución en el Sistema para su curso, elevandolos a máxima prioridad de pago.</w:t>
      </w:r>
    </w:p>
    <w:p w14:paraId="38DD6228" w14:textId="77777777" w:rsidR="00443736" w:rsidRDefault="00443736" w:rsidP="00B26AAB">
      <w:pPr>
        <w:spacing w:after="0" w:line="360" w:lineRule="auto"/>
        <w:rPr>
          <w:rFonts w:eastAsia="Calibri"/>
          <w:b/>
          <w:noProof/>
          <w:color w:val="4C4747"/>
          <w:lang w:val="es-DO"/>
        </w:rPr>
      </w:pPr>
    </w:p>
    <w:p w14:paraId="5620C401" w14:textId="77777777" w:rsidR="00B26AAB" w:rsidRDefault="00B26AAB" w:rsidP="00B26AAB">
      <w:pPr>
        <w:spacing w:after="0" w:line="360" w:lineRule="auto"/>
        <w:rPr>
          <w:rFonts w:eastAsia="Calibri"/>
          <w:b/>
          <w:noProof/>
          <w:color w:val="4C4747"/>
          <w:lang w:val="es-DO"/>
        </w:rPr>
      </w:pPr>
    </w:p>
    <w:p w14:paraId="6D893F57" w14:textId="70963D83" w:rsidR="002C762F" w:rsidRPr="00167F3C" w:rsidRDefault="002C762F" w:rsidP="00D64261">
      <w:pPr>
        <w:spacing w:after="0" w:line="360" w:lineRule="auto"/>
        <w:jc w:val="center"/>
        <w:rPr>
          <w:rFonts w:eastAsia="Calibri"/>
          <w:b/>
          <w:noProof/>
          <w:lang w:val="es-DO"/>
        </w:rPr>
      </w:pPr>
      <w:r w:rsidRPr="00167F3C">
        <w:rPr>
          <w:rFonts w:eastAsia="Calibri"/>
          <w:b/>
          <w:noProof/>
          <w:lang w:val="es-DO"/>
        </w:rPr>
        <w:t>Cuadro No.</w:t>
      </w:r>
      <w:r w:rsidR="008D7279" w:rsidRPr="00167F3C">
        <w:rPr>
          <w:rFonts w:eastAsia="Calibri"/>
          <w:b/>
          <w:noProof/>
          <w:lang w:val="es-DO"/>
        </w:rPr>
        <w:t xml:space="preserve"> 11</w:t>
      </w:r>
    </w:p>
    <w:p w14:paraId="799C46C9" w14:textId="595038F2" w:rsidR="002C762F" w:rsidRPr="00167F3C" w:rsidRDefault="002C762F" w:rsidP="00D64261">
      <w:pPr>
        <w:spacing w:after="0" w:line="360" w:lineRule="auto"/>
        <w:jc w:val="center"/>
        <w:rPr>
          <w:rFonts w:eastAsia="Calibri"/>
          <w:b/>
          <w:noProof/>
          <w:lang w:val="es-DO"/>
        </w:rPr>
      </w:pPr>
      <w:r w:rsidRPr="00167F3C">
        <w:rPr>
          <w:rFonts w:eastAsia="Calibri"/>
          <w:b/>
          <w:noProof/>
          <w:lang w:val="es-DO"/>
        </w:rPr>
        <w:t>Tesorería Nacional</w:t>
      </w:r>
    </w:p>
    <w:tbl>
      <w:tblPr>
        <w:tblW w:w="5001" w:type="pct"/>
        <w:tblCellMar>
          <w:left w:w="70" w:type="dxa"/>
          <w:right w:w="70" w:type="dxa"/>
        </w:tblCellMar>
        <w:tblLook w:val="04A0" w:firstRow="1" w:lastRow="0" w:firstColumn="1" w:lastColumn="0" w:noHBand="0" w:noVBand="1"/>
      </w:tblPr>
      <w:tblGrid>
        <w:gridCol w:w="663"/>
        <w:gridCol w:w="816"/>
        <w:gridCol w:w="672"/>
        <w:gridCol w:w="675"/>
        <w:gridCol w:w="671"/>
        <w:gridCol w:w="663"/>
        <w:gridCol w:w="509"/>
        <w:gridCol w:w="694"/>
        <w:gridCol w:w="640"/>
        <w:gridCol w:w="627"/>
        <w:gridCol w:w="694"/>
        <w:gridCol w:w="588"/>
      </w:tblGrid>
      <w:tr w:rsidR="00D951F2" w:rsidRPr="00B47076" w14:paraId="69B7EAF6" w14:textId="77777777" w:rsidTr="006F7E31">
        <w:trPr>
          <w:trHeight w:val="315"/>
        </w:trPr>
        <w:tc>
          <w:tcPr>
            <w:tcW w:w="5000" w:type="pct"/>
            <w:gridSpan w:val="12"/>
            <w:tcBorders>
              <w:top w:val="single" w:sz="4" w:space="0" w:color="auto"/>
              <w:left w:val="single" w:sz="4" w:space="0" w:color="auto"/>
              <w:bottom w:val="single" w:sz="4" w:space="0" w:color="auto"/>
              <w:right w:val="single" w:sz="4" w:space="0" w:color="auto"/>
            </w:tcBorders>
            <w:shd w:val="clear" w:color="auto" w:fill="142F62"/>
            <w:vAlign w:val="center"/>
            <w:hideMark/>
          </w:tcPr>
          <w:p w14:paraId="569D4048"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Solicitud de Priorización de Pago-2025</w:t>
            </w:r>
          </w:p>
        </w:tc>
      </w:tr>
      <w:tr w:rsidR="00D951F2" w:rsidRPr="00D951F2" w14:paraId="405F4AEC" w14:textId="77777777" w:rsidTr="006F7E31">
        <w:trPr>
          <w:trHeight w:val="330"/>
        </w:trPr>
        <w:tc>
          <w:tcPr>
            <w:tcW w:w="5000" w:type="pct"/>
            <w:gridSpan w:val="12"/>
            <w:tcBorders>
              <w:top w:val="single" w:sz="4" w:space="0" w:color="auto"/>
            </w:tcBorders>
            <w:shd w:val="clear" w:color="auto" w:fill="D9D9D9"/>
            <w:noWrap/>
            <w:vAlign w:val="center"/>
            <w:hideMark/>
          </w:tcPr>
          <w:p w14:paraId="4FBDD348" w14:textId="77777777" w:rsidR="00D951F2" w:rsidRPr="00167F3C" w:rsidRDefault="00D951F2" w:rsidP="00167F3C">
            <w:pPr>
              <w:spacing w:line="360" w:lineRule="auto"/>
              <w:jc w:val="center"/>
              <w:rPr>
                <w:rFonts w:eastAsia="Calibri"/>
                <w:b/>
                <w:bCs/>
                <w:noProof/>
                <w:lang w:val="es-DO"/>
              </w:rPr>
            </w:pPr>
            <w:r w:rsidRPr="00167F3C">
              <w:rPr>
                <w:rFonts w:eastAsia="Calibri"/>
                <w:b/>
                <w:bCs/>
                <w:noProof/>
                <w:lang w:val="es-DO"/>
              </w:rPr>
              <w:t>2025</w:t>
            </w:r>
          </w:p>
        </w:tc>
      </w:tr>
      <w:tr w:rsidR="00D951F2" w:rsidRPr="00D951F2" w14:paraId="5F742068" w14:textId="77777777" w:rsidTr="006F7E31">
        <w:trPr>
          <w:trHeight w:val="315"/>
        </w:trPr>
        <w:tc>
          <w:tcPr>
            <w:tcW w:w="441" w:type="pct"/>
            <w:tcBorders>
              <w:top w:val="nil"/>
            </w:tcBorders>
            <w:vAlign w:val="center"/>
            <w:hideMark/>
          </w:tcPr>
          <w:p w14:paraId="22CA0A71"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Ene.</w:t>
            </w:r>
          </w:p>
        </w:tc>
        <w:tc>
          <w:tcPr>
            <w:tcW w:w="538" w:type="pct"/>
            <w:tcBorders>
              <w:top w:val="nil"/>
            </w:tcBorders>
            <w:vAlign w:val="center"/>
            <w:hideMark/>
          </w:tcPr>
          <w:p w14:paraId="3BFF4833"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Feb.</w:t>
            </w:r>
          </w:p>
        </w:tc>
        <w:tc>
          <w:tcPr>
            <w:tcW w:w="447" w:type="pct"/>
            <w:tcBorders>
              <w:top w:val="nil"/>
            </w:tcBorders>
            <w:vAlign w:val="center"/>
            <w:hideMark/>
          </w:tcPr>
          <w:p w14:paraId="4B819A61"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Mar</w:t>
            </w:r>
          </w:p>
        </w:tc>
        <w:tc>
          <w:tcPr>
            <w:tcW w:w="449" w:type="pct"/>
            <w:tcBorders>
              <w:top w:val="nil"/>
            </w:tcBorders>
            <w:vAlign w:val="center"/>
            <w:hideMark/>
          </w:tcPr>
          <w:p w14:paraId="460C4A83"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Abr</w:t>
            </w:r>
          </w:p>
        </w:tc>
        <w:tc>
          <w:tcPr>
            <w:tcW w:w="446" w:type="pct"/>
            <w:tcBorders>
              <w:top w:val="nil"/>
            </w:tcBorders>
            <w:vAlign w:val="center"/>
            <w:hideMark/>
          </w:tcPr>
          <w:p w14:paraId="6093642C"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May</w:t>
            </w:r>
          </w:p>
        </w:tc>
        <w:tc>
          <w:tcPr>
            <w:tcW w:w="441" w:type="pct"/>
            <w:tcBorders>
              <w:top w:val="nil"/>
            </w:tcBorders>
            <w:vAlign w:val="center"/>
            <w:hideMark/>
          </w:tcPr>
          <w:p w14:paraId="1176CAFF"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Jun</w:t>
            </w:r>
          </w:p>
        </w:tc>
        <w:tc>
          <w:tcPr>
            <w:tcW w:w="343" w:type="pct"/>
            <w:tcBorders>
              <w:top w:val="nil"/>
            </w:tcBorders>
            <w:vAlign w:val="center"/>
            <w:hideMark/>
          </w:tcPr>
          <w:p w14:paraId="15565867"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Jul</w:t>
            </w:r>
          </w:p>
        </w:tc>
        <w:tc>
          <w:tcPr>
            <w:tcW w:w="338" w:type="pct"/>
            <w:tcBorders>
              <w:top w:val="nil"/>
            </w:tcBorders>
            <w:vAlign w:val="center"/>
            <w:hideMark/>
          </w:tcPr>
          <w:p w14:paraId="2C8A3100"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Ago.</w:t>
            </w:r>
          </w:p>
        </w:tc>
        <w:tc>
          <w:tcPr>
            <w:tcW w:w="388" w:type="pct"/>
            <w:tcBorders>
              <w:top w:val="nil"/>
            </w:tcBorders>
            <w:vAlign w:val="center"/>
            <w:hideMark/>
          </w:tcPr>
          <w:p w14:paraId="4C868EB6"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Sep.</w:t>
            </w:r>
          </w:p>
        </w:tc>
        <w:tc>
          <w:tcPr>
            <w:tcW w:w="388" w:type="pct"/>
            <w:tcBorders>
              <w:top w:val="nil"/>
            </w:tcBorders>
            <w:vAlign w:val="center"/>
            <w:hideMark/>
          </w:tcPr>
          <w:p w14:paraId="611DC16B"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Oct.</w:t>
            </w:r>
          </w:p>
        </w:tc>
        <w:tc>
          <w:tcPr>
            <w:tcW w:w="388" w:type="pct"/>
            <w:tcBorders>
              <w:top w:val="nil"/>
            </w:tcBorders>
            <w:vAlign w:val="center"/>
            <w:hideMark/>
          </w:tcPr>
          <w:p w14:paraId="4D9215E3"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Nov.</w:t>
            </w:r>
          </w:p>
        </w:tc>
        <w:tc>
          <w:tcPr>
            <w:tcW w:w="392" w:type="pct"/>
            <w:tcBorders>
              <w:top w:val="nil"/>
            </w:tcBorders>
            <w:vAlign w:val="center"/>
            <w:hideMark/>
          </w:tcPr>
          <w:p w14:paraId="785E9481"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Dic</w:t>
            </w:r>
          </w:p>
        </w:tc>
      </w:tr>
      <w:tr w:rsidR="00D951F2" w:rsidRPr="00D951F2" w14:paraId="1A52045B" w14:textId="77777777" w:rsidTr="006F7E31">
        <w:trPr>
          <w:trHeight w:val="315"/>
        </w:trPr>
        <w:tc>
          <w:tcPr>
            <w:tcW w:w="441" w:type="pct"/>
            <w:tcBorders>
              <w:top w:val="nil"/>
              <w:bottom w:val="single" w:sz="4" w:space="0" w:color="auto"/>
            </w:tcBorders>
            <w:vAlign w:val="center"/>
          </w:tcPr>
          <w:p w14:paraId="050C2641"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65</w:t>
            </w:r>
          </w:p>
        </w:tc>
        <w:tc>
          <w:tcPr>
            <w:tcW w:w="538" w:type="pct"/>
            <w:tcBorders>
              <w:top w:val="nil"/>
              <w:bottom w:val="single" w:sz="4" w:space="0" w:color="auto"/>
            </w:tcBorders>
            <w:vAlign w:val="center"/>
          </w:tcPr>
          <w:p w14:paraId="3E243161"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109</w:t>
            </w:r>
          </w:p>
        </w:tc>
        <w:tc>
          <w:tcPr>
            <w:tcW w:w="447" w:type="pct"/>
            <w:tcBorders>
              <w:top w:val="nil"/>
              <w:bottom w:val="single" w:sz="4" w:space="0" w:color="auto"/>
            </w:tcBorders>
            <w:vAlign w:val="center"/>
          </w:tcPr>
          <w:p w14:paraId="0D871EB3"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54</w:t>
            </w:r>
          </w:p>
        </w:tc>
        <w:tc>
          <w:tcPr>
            <w:tcW w:w="449" w:type="pct"/>
            <w:tcBorders>
              <w:top w:val="nil"/>
              <w:bottom w:val="single" w:sz="4" w:space="0" w:color="auto"/>
            </w:tcBorders>
            <w:vAlign w:val="center"/>
          </w:tcPr>
          <w:p w14:paraId="13B15EF2"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65</w:t>
            </w:r>
          </w:p>
        </w:tc>
        <w:tc>
          <w:tcPr>
            <w:tcW w:w="446" w:type="pct"/>
            <w:tcBorders>
              <w:top w:val="nil"/>
              <w:bottom w:val="single" w:sz="4" w:space="0" w:color="auto"/>
            </w:tcBorders>
            <w:vAlign w:val="center"/>
          </w:tcPr>
          <w:p w14:paraId="169419F2"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119</w:t>
            </w:r>
          </w:p>
        </w:tc>
        <w:tc>
          <w:tcPr>
            <w:tcW w:w="441" w:type="pct"/>
            <w:tcBorders>
              <w:top w:val="nil"/>
              <w:bottom w:val="single" w:sz="4" w:space="0" w:color="auto"/>
            </w:tcBorders>
            <w:vAlign w:val="center"/>
          </w:tcPr>
          <w:p w14:paraId="4AB41CF3"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93</w:t>
            </w:r>
          </w:p>
        </w:tc>
        <w:tc>
          <w:tcPr>
            <w:tcW w:w="343" w:type="pct"/>
            <w:tcBorders>
              <w:top w:val="nil"/>
              <w:bottom w:val="single" w:sz="4" w:space="0" w:color="auto"/>
            </w:tcBorders>
            <w:vAlign w:val="center"/>
          </w:tcPr>
          <w:p w14:paraId="7AC76D6A"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83</w:t>
            </w:r>
          </w:p>
        </w:tc>
        <w:tc>
          <w:tcPr>
            <w:tcW w:w="338" w:type="pct"/>
            <w:tcBorders>
              <w:top w:val="nil"/>
              <w:bottom w:val="single" w:sz="4" w:space="0" w:color="auto"/>
            </w:tcBorders>
            <w:vAlign w:val="center"/>
          </w:tcPr>
          <w:p w14:paraId="4FBD853A"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96</w:t>
            </w:r>
          </w:p>
        </w:tc>
        <w:tc>
          <w:tcPr>
            <w:tcW w:w="388" w:type="pct"/>
            <w:tcBorders>
              <w:top w:val="nil"/>
              <w:bottom w:val="single" w:sz="4" w:space="0" w:color="auto"/>
            </w:tcBorders>
            <w:vAlign w:val="center"/>
          </w:tcPr>
          <w:p w14:paraId="34ACD684"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94</w:t>
            </w:r>
          </w:p>
        </w:tc>
        <w:tc>
          <w:tcPr>
            <w:tcW w:w="388" w:type="pct"/>
            <w:tcBorders>
              <w:top w:val="nil"/>
              <w:bottom w:val="single" w:sz="4" w:space="0" w:color="auto"/>
            </w:tcBorders>
            <w:vAlign w:val="center"/>
          </w:tcPr>
          <w:p w14:paraId="65AE54A0"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77</w:t>
            </w:r>
          </w:p>
        </w:tc>
        <w:tc>
          <w:tcPr>
            <w:tcW w:w="388" w:type="pct"/>
            <w:tcBorders>
              <w:top w:val="nil"/>
              <w:bottom w:val="single" w:sz="4" w:space="0" w:color="auto"/>
            </w:tcBorders>
            <w:vAlign w:val="center"/>
          </w:tcPr>
          <w:p w14:paraId="6BF173AF"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111</w:t>
            </w:r>
          </w:p>
        </w:tc>
        <w:tc>
          <w:tcPr>
            <w:tcW w:w="392" w:type="pct"/>
            <w:tcBorders>
              <w:top w:val="nil"/>
              <w:bottom w:val="single" w:sz="4" w:space="0" w:color="auto"/>
            </w:tcBorders>
            <w:vAlign w:val="center"/>
          </w:tcPr>
          <w:p w14:paraId="28F0008E"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87</w:t>
            </w:r>
          </w:p>
        </w:tc>
      </w:tr>
      <w:tr w:rsidR="00D951F2" w:rsidRPr="00D951F2" w14:paraId="1198C6E2" w14:textId="77777777" w:rsidTr="006F7E31">
        <w:trPr>
          <w:trHeight w:val="315"/>
        </w:trPr>
        <w:tc>
          <w:tcPr>
            <w:tcW w:w="5000" w:type="pct"/>
            <w:gridSpan w:val="12"/>
            <w:tcBorders>
              <w:top w:val="single" w:sz="4" w:space="0" w:color="auto"/>
              <w:left w:val="single" w:sz="4" w:space="0" w:color="auto"/>
              <w:bottom w:val="single" w:sz="4" w:space="0" w:color="auto"/>
              <w:right w:val="single" w:sz="4" w:space="0" w:color="auto"/>
            </w:tcBorders>
            <w:shd w:val="clear" w:color="auto" w:fill="142F62"/>
            <w:vAlign w:val="center"/>
          </w:tcPr>
          <w:p w14:paraId="577DD672"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Total: 1,053 Priorizaciones</w:t>
            </w:r>
          </w:p>
        </w:tc>
      </w:tr>
    </w:tbl>
    <w:p w14:paraId="2D127C0F" w14:textId="77777777" w:rsidR="00D951F2" w:rsidRPr="00D951F2" w:rsidRDefault="00D951F2" w:rsidP="00D64261">
      <w:pPr>
        <w:spacing w:line="360" w:lineRule="auto"/>
        <w:jc w:val="both"/>
        <w:rPr>
          <w:rFonts w:eastAsia="Calibri"/>
          <w:b/>
          <w:noProof/>
          <w:color w:val="4C4747"/>
          <w:lang w:val="es-DO"/>
        </w:rPr>
      </w:pPr>
    </w:p>
    <w:p w14:paraId="392E0884" w14:textId="77777777" w:rsidR="00D951F2" w:rsidRPr="00167F3C" w:rsidRDefault="00D951F2" w:rsidP="00D64261">
      <w:pPr>
        <w:spacing w:line="360" w:lineRule="auto"/>
        <w:jc w:val="both"/>
        <w:rPr>
          <w:rFonts w:eastAsia="Calibri"/>
          <w:b/>
          <w:noProof/>
          <w:lang w:val="es-DO"/>
        </w:rPr>
      </w:pPr>
      <w:r w:rsidRPr="00167F3C">
        <w:rPr>
          <w:rFonts w:eastAsia="Calibri"/>
          <w:b/>
          <w:noProof/>
          <w:lang w:val="es-DO"/>
        </w:rPr>
        <w:t>Gestión de Cuentas:</w:t>
      </w:r>
      <w:bookmarkEnd w:id="17"/>
    </w:p>
    <w:p w14:paraId="36098B37"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La Tesorería Nacional en el periodo enero-diciembre realizó un total de 2,047 trámites, los requerimientos más frecuentes fueron los siguientes:</w:t>
      </w:r>
      <w:bookmarkStart w:id="18" w:name="_Hlk171586060"/>
    </w:p>
    <w:p w14:paraId="6A245616" w14:textId="77777777" w:rsidR="00B26AAB" w:rsidRPr="00167F3C" w:rsidRDefault="00B26AAB" w:rsidP="00D64261">
      <w:pPr>
        <w:spacing w:line="360" w:lineRule="auto"/>
        <w:jc w:val="both"/>
        <w:rPr>
          <w:rFonts w:eastAsia="Calibri"/>
          <w:bCs/>
          <w:noProof/>
          <w:lang w:val="es-DO"/>
        </w:rPr>
      </w:pPr>
    </w:p>
    <w:p w14:paraId="2B34410B" w14:textId="77777777" w:rsidR="00B26AAB" w:rsidRPr="00167F3C" w:rsidRDefault="00B26AAB" w:rsidP="00D64261">
      <w:pPr>
        <w:spacing w:line="360" w:lineRule="auto"/>
        <w:jc w:val="both"/>
        <w:rPr>
          <w:rFonts w:eastAsia="Calibri"/>
          <w:bCs/>
          <w:noProof/>
          <w:lang w:val="es-DO"/>
        </w:rPr>
      </w:pPr>
    </w:p>
    <w:p w14:paraId="10B1A492" w14:textId="77777777" w:rsidR="00B26AAB" w:rsidRPr="00167F3C" w:rsidRDefault="00B26AAB" w:rsidP="00D64261">
      <w:pPr>
        <w:spacing w:line="360" w:lineRule="auto"/>
        <w:jc w:val="both"/>
        <w:rPr>
          <w:rFonts w:eastAsia="Calibri"/>
          <w:bCs/>
          <w:noProof/>
          <w:lang w:val="es-DO"/>
        </w:rPr>
      </w:pPr>
    </w:p>
    <w:p w14:paraId="37023872" w14:textId="77777777" w:rsidR="00B26AAB" w:rsidRPr="00167F3C" w:rsidRDefault="00B26AAB" w:rsidP="00D64261">
      <w:pPr>
        <w:spacing w:line="360" w:lineRule="auto"/>
        <w:jc w:val="both"/>
        <w:rPr>
          <w:rFonts w:eastAsia="Calibri"/>
          <w:bCs/>
          <w:noProof/>
          <w:lang w:val="es-DO"/>
        </w:rPr>
      </w:pPr>
    </w:p>
    <w:p w14:paraId="1620D583" w14:textId="77777777" w:rsidR="00B26AAB" w:rsidRPr="00167F3C" w:rsidRDefault="00B26AAB" w:rsidP="00D64261">
      <w:pPr>
        <w:spacing w:line="360" w:lineRule="auto"/>
        <w:jc w:val="both"/>
        <w:rPr>
          <w:rFonts w:eastAsia="Calibri"/>
          <w:bCs/>
          <w:noProof/>
          <w:lang w:val="es-DO"/>
        </w:rPr>
      </w:pPr>
    </w:p>
    <w:p w14:paraId="4E9EEBDE" w14:textId="77777777" w:rsidR="00B26AAB" w:rsidRPr="00167F3C" w:rsidRDefault="00B26AAB" w:rsidP="00D64261">
      <w:pPr>
        <w:spacing w:line="360" w:lineRule="auto"/>
        <w:jc w:val="both"/>
        <w:rPr>
          <w:rFonts w:eastAsia="Calibri"/>
          <w:bCs/>
          <w:noProof/>
          <w:lang w:val="es-DO"/>
        </w:rPr>
      </w:pPr>
    </w:p>
    <w:p w14:paraId="7EC7A758" w14:textId="77777777" w:rsidR="006D3422" w:rsidRPr="00167F3C" w:rsidRDefault="006D3422" w:rsidP="00D64261">
      <w:pPr>
        <w:spacing w:line="360" w:lineRule="auto"/>
        <w:jc w:val="both"/>
        <w:rPr>
          <w:rFonts w:eastAsia="Calibri"/>
          <w:bCs/>
          <w:noProof/>
          <w:lang w:val="es-DO"/>
        </w:rPr>
      </w:pPr>
    </w:p>
    <w:p w14:paraId="42BB782F" w14:textId="0B186EFD" w:rsidR="00D951F2" w:rsidRPr="00167F3C" w:rsidRDefault="00D951F2" w:rsidP="00D64261">
      <w:pPr>
        <w:spacing w:after="0" w:line="360" w:lineRule="auto"/>
        <w:jc w:val="center"/>
        <w:rPr>
          <w:rFonts w:eastAsia="Calibri"/>
          <w:b/>
          <w:bCs/>
          <w:noProof/>
          <w:lang w:val="es-DO"/>
        </w:rPr>
      </w:pPr>
      <w:r w:rsidRPr="00167F3C">
        <w:rPr>
          <w:rFonts w:eastAsia="Calibri"/>
          <w:b/>
          <w:bCs/>
          <w:noProof/>
          <w:lang w:val="es-DO"/>
        </w:rPr>
        <w:lastRenderedPageBreak/>
        <w:t xml:space="preserve">Cuadro No. </w:t>
      </w:r>
      <w:r w:rsidR="008D7279" w:rsidRPr="00167F3C">
        <w:rPr>
          <w:rFonts w:eastAsia="Calibri"/>
          <w:b/>
          <w:bCs/>
          <w:noProof/>
          <w:lang w:val="es-DO"/>
        </w:rPr>
        <w:t>12</w:t>
      </w:r>
    </w:p>
    <w:p w14:paraId="2CFE786B" w14:textId="77777777" w:rsidR="00D951F2" w:rsidRPr="00167F3C" w:rsidRDefault="00D951F2" w:rsidP="00D64261">
      <w:pPr>
        <w:spacing w:after="0" w:line="360" w:lineRule="auto"/>
        <w:jc w:val="center"/>
        <w:rPr>
          <w:rFonts w:eastAsia="Calibri"/>
          <w:b/>
          <w:bCs/>
          <w:noProof/>
          <w:lang w:val="es-DO"/>
        </w:rPr>
      </w:pPr>
      <w:r w:rsidRPr="00167F3C">
        <w:rPr>
          <w:rFonts w:eastAsia="Calibri"/>
          <w:b/>
          <w:bCs/>
          <w:noProof/>
          <w:lang w:val="es-DO"/>
        </w:rPr>
        <w:t>Tesoreria Nacional</w:t>
      </w:r>
    </w:p>
    <w:tbl>
      <w:tblPr>
        <w:tblW w:w="5183" w:type="pct"/>
        <w:tblInd w:w="-289" w:type="dxa"/>
        <w:tblCellMar>
          <w:left w:w="70" w:type="dxa"/>
          <w:right w:w="70" w:type="dxa"/>
        </w:tblCellMar>
        <w:tblLook w:val="04A0" w:firstRow="1" w:lastRow="0" w:firstColumn="1" w:lastColumn="0" w:noHBand="0" w:noVBand="1"/>
      </w:tblPr>
      <w:tblGrid>
        <w:gridCol w:w="1441"/>
        <w:gridCol w:w="601"/>
        <w:gridCol w:w="587"/>
        <w:gridCol w:w="654"/>
        <w:gridCol w:w="614"/>
        <w:gridCol w:w="667"/>
        <w:gridCol w:w="587"/>
        <w:gridCol w:w="560"/>
        <w:gridCol w:w="614"/>
        <w:gridCol w:w="574"/>
        <w:gridCol w:w="574"/>
        <w:gridCol w:w="614"/>
        <w:gridCol w:w="560"/>
        <w:gridCol w:w="787"/>
      </w:tblGrid>
      <w:tr w:rsidR="00D951F2" w:rsidRPr="00B47076" w14:paraId="77F29128" w14:textId="77777777" w:rsidTr="00443736">
        <w:trPr>
          <w:trHeight w:val="221"/>
          <w:tblHeader/>
        </w:trPr>
        <w:tc>
          <w:tcPr>
            <w:tcW w:w="5000" w:type="pct"/>
            <w:gridSpan w:val="14"/>
            <w:tcBorders>
              <w:top w:val="single" w:sz="4" w:space="0" w:color="auto"/>
              <w:left w:val="single" w:sz="4" w:space="0" w:color="auto"/>
              <w:bottom w:val="single" w:sz="4" w:space="0" w:color="auto"/>
              <w:right w:val="single" w:sz="4" w:space="0" w:color="auto"/>
            </w:tcBorders>
            <w:shd w:val="clear" w:color="auto" w:fill="011C50"/>
            <w:vAlign w:val="center"/>
          </w:tcPr>
          <w:p w14:paraId="395E7671"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noProof/>
                <w:color w:val="FFFFFF" w:themeColor="background1"/>
                <w:lang w:val="es-DO"/>
              </w:rPr>
              <w:t>Tramites de Gestión de Cuentas</w:t>
            </w:r>
          </w:p>
        </w:tc>
      </w:tr>
      <w:tr w:rsidR="00F55EF4" w:rsidRPr="00D951F2" w14:paraId="1A84488F" w14:textId="77777777" w:rsidTr="00443736">
        <w:trPr>
          <w:trHeight w:val="435"/>
          <w:tblHeader/>
        </w:trPr>
        <w:tc>
          <w:tcPr>
            <w:tcW w:w="893" w:type="pct"/>
            <w:tcBorders>
              <w:top w:val="single" w:sz="4" w:space="0" w:color="auto"/>
              <w:left w:val="single" w:sz="4" w:space="0" w:color="auto"/>
              <w:bottom w:val="single" w:sz="4" w:space="0" w:color="auto"/>
              <w:right w:val="single" w:sz="4" w:space="0" w:color="auto"/>
            </w:tcBorders>
            <w:shd w:val="clear" w:color="auto" w:fill="011C50"/>
            <w:vAlign w:val="center"/>
            <w:hideMark/>
          </w:tcPr>
          <w:p w14:paraId="2FB7B001"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Gestión de Cuentas</w:t>
            </w:r>
          </w:p>
        </w:tc>
        <w:tc>
          <w:tcPr>
            <w:tcW w:w="309" w:type="pct"/>
            <w:tcBorders>
              <w:top w:val="single" w:sz="4" w:space="0" w:color="auto"/>
              <w:left w:val="nil"/>
              <w:bottom w:val="single" w:sz="4" w:space="0" w:color="auto"/>
              <w:right w:val="single" w:sz="4" w:space="0" w:color="auto"/>
            </w:tcBorders>
            <w:shd w:val="clear" w:color="auto" w:fill="011C50"/>
            <w:vAlign w:val="center"/>
            <w:hideMark/>
          </w:tcPr>
          <w:p w14:paraId="34E7F599"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Ene</w:t>
            </w:r>
          </w:p>
        </w:tc>
        <w:tc>
          <w:tcPr>
            <w:tcW w:w="302" w:type="pct"/>
            <w:tcBorders>
              <w:top w:val="single" w:sz="4" w:space="0" w:color="auto"/>
              <w:left w:val="nil"/>
              <w:bottom w:val="single" w:sz="4" w:space="0" w:color="auto"/>
              <w:right w:val="single" w:sz="4" w:space="0" w:color="auto"/>
            </w:tcBorders>
            <w:shd w:val="clear" w:color="auto" w:fill="011C50"/>
            <w:vAlign w:val="center"/>
            <w:hideMark/>
          </w:tcPr>
          <w:p w14:paraId="41C5C340"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Feb</w:t>
            </w:r>
          </w:p>
        </w:tc>
        <w:tc>
          <w:tcPr>
            <w:tcW w:w="335" w:type="pct"/>
            <w:tcBorders>
              <w:top w:val="single" w:sz="4" w:space="0" w:color="auto"/>
              <w:left w:val="nil"/>
              <w:bottom w:val="single" w:sz="4" w:space="0" w:color="auto"/>
              <w:right w:val="single" w:sz="4" w:space="0" w:color="auto"/>
            </w:tcBorders>
            <w:shd w:val="clear" w:color="auto" w:fill="011C50"/>
            <w:vAlign w:val="center"/>
            <w:hideMark/>
          </w:tcPr>
          <w:p w14:paraId="5AE051D4"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Mar</w:t>
            </w:r>
          </w:p>
        </w:tc>
        <w:tc>
          <w:tcPr>
            <w:tcW w:w="315" w:type="pct"/>
            <w:tcBorders>
              <w:top w:val="single" w:sz="4" w:space="0" w:color="auto"/>
              <w:left w:val="nil"/>
              <w:bottom w:val="single" w:sz="4" w:space="0" w:color="auto"/>
              <w:right w:val="single" w:sz="4" w:space="0" w:color="auto"/>
            </w:tcBorders>
            <w:shd w:val="clear" w:color="auto" w:fill="011C50"/>
            <w:vAlign w:val="center"/>
            <w:hideMark/>
          </w:tcPr>
          <w:p w14:paraId="6AB01B36"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Abr</w:t>
            </w:r>
          </w:p>
        </w:tc>
        <w:tc>
          <w:tcPr>
            <w:tcW w:w="342" w:type="pct"/>
            <w:tcBorders>
              <w:top w:val="single" w:sz="4" w:space="0" w:color="auto"/>
              <w:left w:val="nil"/>
              <w:bottom w:val="single" w:sz="4" w:space="0" w:color="auto"/>
              <w:right w:val="single" w:sz="4" w:space="0" w:color="auto"/>
            </w:tcBorders>
            <w:shd w:val="clear" w:color="auto" w:fill="011C50"/>
            <w:vAlign w:val="center"/>
            <w:hideMark/>
          </w:tcPr>
          <w:p w14:paraId="0110E7B9"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May</w:t>
            </w:r>
          </w:p>
        </w:tc>
        <w:tc>
          <w:tcPr>
            <w:tcW w:w="302" w:type="pct"/>
            <w:tcBorders>
              <w:top w:val="single" w:sz="4" w:space="0" w:color="auto"/>
              <w:left w:val="nil"/>
              <w:bottom w:val="single" w:sz="4" w:space="0" w:color="auto"/>
              <w:right w:val="single" w:sz="4" w:space="0" w:color="auto"/>
            </w:tcBorders>
            <w:shd w:val="clear" w:color="auto" w:fill="011C50"/>
            <w:vAlign w:val="center"/>
            <w:hideMark/>
          </w:tcPr>
          <w:p w14:paraId="0096566A"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Jun</w:t>
            </w:r>
          </w:p>
        </w:tc>
        <w:tc>
          <w:tcPr>
            <w:tcW w:w="289" w:type="pct"/>
            <w:tcBorders>
              <w:top w:val="single" w:sz="4" w:space="0" w:color="auto"/>
              <w:left w:val="nil"/>
              <w:bottom w:val="single" w:sz="4" w:space="0" w:color="auto"/>
              <w:right w:val="single" w:sz="4" w:space="0" w:color="auto"/>
            </w:tcBorders>
            <w:shd w:val="clear" w:color="auto" w:fill="011C50"/>
            <w:vAlign w:val="center"/>
            <w:hideMark/>
          </w:tcPr>
          <w:p w14:paraId="227DC873"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Jul</w:t>
            </w:r>
          </w:p>
        </w:tc>
        <w:tc>
          <w:tcPr>
            <w:tcW w:w="315" w:type="pct"/>
            <w:tcBorders>
              <w:top w:val="single" w:sz="4" w:space="0" w:color="auto"/>
              <w:left w:val="nil"/>
              <w:bottom w:val="single" w:sz="4" w:space="0" w:color="auto"/>
              <w:right w:val="single" w:sz="4" w:space="0" w:color="auto"/>
            </w:tcBorders>
            <w:shd w:val="clear" w:color="auto" w:fill="011C50"/>
            <w:vAlign w:val="center"/>
            <w:hideMark/>
          </w:tcPr>
          <w:p w14:paraId="4E7F9BA2"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Ago</w:t>
            </w:r>
          </w:p>
        </w:tc>
        <w:tc>
          <w:tcPr>
            <w:tcW w:w="296" w:type="pct"/>
            <w:tcBorders>
              <w:top w:val="single" w:sz="4" w:space="0" w:color="auto"/>
              <w:left w:val="nil"/>
              <w:bottom w:val="single" w:sz="4" w:space="0" w:color="auto"/>
              <w:right w:val="single" w:sz="4" w:space="0" w:color="auto"/>
            </w:tcBorders>
            <w:shd w:val="clear" w:color="auto" w:fill="011C50"/>
            <w:vAlign w:val="center"/>
            <w:hideMark/>
          </w:tcPr>
          <w:p w14:paraId="10827BB8"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Sep</w:t>
            </w:r>
          </w:p>
        </w:tc>
        <w:tc>
          <w:tcPr>
            <w:tcW w:w="296" w:type="pct"/>
            <w:tcBorders>
              <w:top w:val="single" w:sz="4" w:space="0" w:color="auto"/>
              <w:left w:val="nil"/>
              <w:bottom w:val="single" w:sz="4" w:space="0" w:color="auto"/>
              <w:right w:val="single" w:sz="4" w:space="0" w:color="auto"/>
            </w:tcBorders>
            <w:shd w:val="clear" w:color="auto" w:fill="011C50"/>
            <w:vAlign w:val="center"/>
          </w:tcPr>
          <w:p w14:paraId="78D1062D"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Oct</w:t>
            </w:r>
          </w:p>
        </w:tc>
        <w:tc>
          <w:tcPr>
            <w:tcW w:w="315" w:type="pct"/>
            <w:tcBorders>
              <w:top w:val="single" w:sz="4" w:space="0" w:color="auto"/>
              <w:left w:val="single" w:sz="4" w:space="0" w:color="auto"/>
              <w:bottom w:val="single" w:sz="4" w:space="0" w:color="auto"/>
              <w:right w:val="single" w:sz="4" w:space="0" w:color="auto"/>
            </w:tcBorders>
            <w:shd w:val="clear" w:color="auto" w:fill="011C50"/>
            <w:vAlign w:val="center"/>
          </w:tcPr>
          <w:p w14:paraId="05E6DF5E"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Nov</w:t>
            </w:r>
          </w:p>
        </w:tc>
        <w:tc>
          <w:tcPr>
            <w:tcW w:w="289" w:type="pct"/>
            <w:tcBorders>
              <w:top w:val="single" w:sz="4" w:space="0" w:color="auto"/>
              <w:left w:val="single" w:sz="4" w:space="0" w:color="auto"/>
              <w:bottom w:val="single" w:sz="4" w:space="0" w:color="auto"/>
              <w:right w:val="single" w:sz="4" w:space="0" w:color="auto"/>
            </w:tcBorders>
            <w:shd w:val="clear" w:color="auto" w:fill="011C50"/>
            <w:vAlign w:val="center"/>
          </w:tcPr>
          <w:p w14:paraId="0513C5BC"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Dic</w:t>
            </w:r>
          </w:p>
        </w:tc>
        <w:tc>
          <w:tcPr>
            <w:tcW w:w="399" w:type="pct"/>
            <w:tcBorders>
              <w:top w:val="single" w:sz="4" w:space="0" w:color="auto"/>
              <w:left w:val="single" w:sz="4" w:space="0" w:color="auto"/>
              <w:bottom w:val="single" w:sz="4" w:space="0" w:color="auto"/>
              <w:right w:val="single" w:sz="4" w:space="0" w:color="auto"/>
            </w:tcBorders>
            <w:shd w:val="clear" w:color="auto" w:fill="011C50"/>
            <w:vAlign w:val="center"/>
            <w:hideMark/>
          </w:tcPr>
          <w:p w14:paraId="629573B1"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Total</w:t>
            </w:r>
          </w:p>
        </w:tc>
      </w:tr>
      <w:tr w:rsidR="00167F3C" w:rsidRPr="00167F3C" w14:paraId="0AA37B35" w14:textId="77777777" w:rsidTr="00F55EF4">
        <w:trPr>
          <w:trHeight w:val="305"/>
        </w:trPr>
        <w:tc>
          <w:tcPr>
            <w:tcW w:w="893" w:type="pct"/>
            <w:tcBorders>
              <w:top w:val="single" w:sz="4" w:space="0" w:color="auto"/>
            </w:tcBorders>
            <w:shd w:val="clear" w:color="auto" w:fill="D9D9D9"/>
            <w:vAlign w:val="center"/>
            <w:hideMark/>
          </w:tcPr>
          <w:p w14:paraId="5FE06812"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Aperturas</w:t>
            </w:r>
          </w:p>
        </w:tc>
        <w:tc>
          <w:tcPr>
            <w:tcW w:w="309" w:type="pct"/>
            <w:tcBorders>
              <w:top w:val="single" w:sz="4" w:space="0" w:color="auto"/>
            </w:tcBorders>
            <w:shd w:val="clear" w:color="auto" w:fill="D9D9D9"/>
            <w:vAlign w:val="center"/>
            <w:hideMark/>
          </w:tcPr>
          <w:p w14:paraId="3F055760"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20</w:t>
            </w:r>
          </w:p>
        </w:tc>
        <w:tc>
          <w:tcPr>
            <w:tcW w:w="302" w:type="pct"/>
            <w:tcBorders>
              <w:top w:val="single" w:sz="4" w:space="0" w:color="auto"/>
            </w:tcBorders>
            <w:shd w:val="clear" w:color="auto" w:fill="D9D9D9"/>
            <w:vAlign w:val="center"/>
            <w:hideMark/>
          </w:tcPr>
          <w:p w14:paraId="4AF5D9BD"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25</w:t>
            </w:r>
          </w:p>
        </w:tc>
        <w:tc>
          <w:tcPr>
            <w:tcW w:w="335" w:type="pct"/>
            <w:tcBorders>
              <w:top w:val="single" w:sz="4" w:space="0" w:color="auto"/>
            </w:tcBorders>
            <w:shd w:val="clear" w:color="auto" w:fill="D9D9D9"/>
            <w:vAlign w:val="center"/>
            <w:hideMark/>
          </w:tcPr>
          <w:p w14:paraId="54AEF5A9"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11</w:t>
            </w:r>
          </w:p>
        </w:tc>
        <w:tc>
          <w:tcPr>
            <w:tcW w:w="315" w:type="pct"/>
            <w:tcBorders>
              <w:top w:val="single" w:sz="4" w:space="0" w:color="auto"/>
            </w:tcBorders>
            <w:shd w:val="clear" w:color="auto" w:fill="D9D9D9"/>
            <w:vAlign w:val="center"/>
            <w:hideMark/>
          </w:tcPr>
          <w:p w14:paraId="5713319B"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9</w:t>
            </w:r>
          </w:p>
        </w:tc>
        <w:tc>
          <w:tcPr>
            <w:tcW w:w="342" w:type="pct"/>
            <w:tcBorders>
              <w:top w:val="single" w:sz="4" w:space="0" w:color="auto"/>
            </w:tcBorders>
            <w:shd w:val="clear" w:color="auto" w:fill="D9D9D9"/>
            <w:vAlign w:val="center"/>
            <w:hideMark/>
          </w:tcPr>
          <w:p w14:paraId="1662DFA7"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81</w:t>
            </w:r>
          </w:p>
        </w:tc>
        <w:tc>
          <w:tcPr>
            <w:tcW w:w="302" w:type="pct"/>
            <w:tcBorders>
              <w:top w:val="single" w:sz="4" w:space="0" w:color="auto"/>
            </w:tcBorders>
            <w:shd w:val="clear" w:color="auto" w:fill="D9D9D9"/>
            <w:vAlign w:val="center"/>
            <w:hideMark/>
          </w:tcPr>
          <w:p w14:paraId="6A2AC310"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12</w:t>
            </w:r>
          </w:p>
        </w:tc>
        <w:tc>
          <w:tcPr>
            <w:tcW w:w="289" w:type="pct"/>
            <w:tcBorders>
              <w:top w:val="single" w:sz="4" w:space="0" w:color="auto"/>
            </w:tcBorders>
            <w:shd w:val="clear" w:color="auto" w:fill="D9D9D9"/>
            <w:vAlign w:val="center"/>
            <w:hideMark/>
          </w:tcPr>
          <w:p w14:paraId="058A1BE7"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45</w:t>
            </w:r>
          </w:p>
        </w:tc>
        <w:tc>
          <w:tcPr>
            <w:tcW w:w="315" w:type="pct"/>
            <w:tcBorders>
              <w:top w:val="single" w:sz="4" w:space="0" w:color="auto"/>
            </w:tcBorders>
            <w:shd w:val="clear" w:color="auto" w:fill="D9D9D9"/>
            <w:vAlign w:val="center"/>
            <w:hideMark/>
          </w:tcPr>
          <w:p w14:paraId="1E5D0D4A"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44</w:t>
            </w:r>
          </w:p>
        </w:tc>
        <w:tc>
          <w:tcPr>
            <w:tcW w:w="296" w:type="pct"/>
            <w:tcBorders>
              <w:top w:val="single" w:sz="4" w:space="0" w:color="auto"/>
            </w:tcBorders>
            <w:shd w:val="clear" w:color="auto" w:fill="D9D9D9"/>
            <w:vAlign w:val="center"/>
            <w:hideMark/>
          </w:tcPr>
          <w:p w14:paraId="72D39557"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39</w:t>
            </w:r>
          </w:p>
        </w:tc>
        <w:tc>
          <w:tcPr>
            <w:tcW w:w="296" w:type="pct"/>
            <w:tcBorders>
              <w:top w:val="single" w:sz="4" w:space="0" w:color="auto"/>
            </w:tcBorders>
            <w:shd w:val="clear" w:color="auto" w:fill="D9D9D9"/>
            <w:vAlign w:val="center"/>
          </w:tcPr>
          <w:p w14:paraId="3A15130E"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18</w:t>
            </w:r>
          </w:p>
        </w:tc>
        <w:tc>
          <w:tcPr>
            <w:tcW w:w="315" w:type="pct"/>
            <w:tcBorders>
              <w:top w:val="single" w:sz="4" w:space="0" w:color="auto"/>
            </w:tcBorders>
            <w:shd w:val="clear" w:color="auto" w:fill="D9D9D9"/>
            <w:vAlign w:val="center"/>
          </w:tcPr>
          <w:p w14:paraId="5588E204" w14:textId="77777777" w:rsidR="00D951F2" w:rsidRPr="00167F3C" w:rsidRDefault="00D951F2" w:rsidP="00D64261">
            <w:pPr>
              <w:spacing w:line="360" w:lineRule="auto"/>
              <w:jc w:val="both"/>
              <w:rPr>
                <w:rFonts w:eastAsia="Calibri"/>
                <w:noProof/>
                <w:lang w:val="es-DO"/>
              </w:rPr>
            </w:pPr>
            <w:r w:rsidRPr="00167F3C">
              <w:rPr>
                <w:rFonts w:eastAsia="Calibri"/>
                <w:noProof/>
              </w:rPr>
              <w:t>23</w:t>
            </w:r>
          </w:p>
        </w:tc>
        <w:tc>
          <w:tcPr>
            <w:tcW w:w="289" w:type="pct"/>
            <w:tcBorders>
              <w:top w:val="single" w:sz="4" w:space="0" w:color="auto"/>
            </w:tcBorders>
            <w:shd w:val="clear" w:color="auto" w:fill="D9D9D9"/>
            <w:vAlign w:val="center"/>
          </w:tcPr>
          <w:p w14:paraId="7F539CCC" w14:textId="77777777" w:rsidR="00D951F2" w:rsidRPr="00167F3C" w:rsidRDefault="00D951F2" w:rsidP="00D64261">
            <w:pPr>
              <w:spacing w:line="360" w:lineRule="auto"/>
              <w:jc w:val="both"/>
              <w:rPr>
                <w:rFonts w:eastAsia="Calibri"/>
                <w:noProof/>
                <w:lang w:val="es-DO"/>
              </w:rPr>
            </w:pPr>
            <w:r w:rsidRPr="00167F3C">
              <w:rPr>
                <w:rFonts w:eastAsia="Calibri"/>
                <w:noProof/>
              </w:rPr>
              <w:t>14</w:t>
            </w:r>
          </w:p>
        </w:tc>
        <w:tc>
          <w:tcPr>
            <w:tcW w:w="399" w:type="pct"/>
            <w:tcBorders>
              <w:top w:val="single" w:sz="4" w:space="0" w:color="auto"/>
            </w:tcBorders>
            <w:shd w:val="clear" w:color="auto" w:fill="D9D9D9"/>
            <w:vAlign w:val="center"/>
          </w:tcPr>
          <w:p w14:paraId="45B34D26" w14:textId="77777777" w:rsidR="00D951F2" w:rsidRPr="00167F3C" w:rsidRDefault="00D951F2" w:rsidP="00D64261">
            <w:pPr>
              <w:spacing w:line="360" w:lineRule="auto"/>
              <w:jc w:val="both"/>
              <w:rPr>
                <w:rFonts w:eastAsia="Calibri"/>
                <w:noProof/>
                <w:lang w:val="es-DO"/>
              </w:rPr>
            </w:pPr>
            <w:r w:rsidRPr="00167F3C">
              <w:rPr>
                <w:rFonts w:eastAsia="Calibri"/>
                <w:noProof/>
              </w:rPr>
              <w:t>341</w:t>
            </w:r>
          </w:p>
        </w:tc>
      </w:tr>
      <w:tr w:rsidR="00167F3C" w:rsidRPr="00167F3C" w14:paraId="1C7496D7" w14:textId="77777777" w:rsidTr="00F55EF4">
        <w:trPr>
          <w:trHeight w:val="435"/>
        </w:trPr>
        <w:tc>
          <w:tcPr>
            <w:tcW w:w="893" w:type="pct"/>
            <w:shd w:val="clear" w:color="000000" w:fill="FFFFFF"/>
            <w:vAlign w:val="center"/>
            <w:hideMark/>
          </w:tcPr>
          <w:p w14:paraId="3CBA4FE9"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Registro y Sustitución de firma</w:t>
            </w:r>
          </w:p>
        </w:tc>
        <w:tc>
          <w:tcPr>
            <w:tcW w:w="309" w:type="pct"/>
            <w:shd w:val="clear" w:color="000000" w:fill="FFFFFF"/>
            <w:vAlign w:val="center"/>
            <w:hideMark/>
          </w:tcPr>
          <w:p w14:paraId="52986533"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35</w:t>
            </w:r>
          </w:p>
        </w:tc>
        <w:tc>
          <w:tcPr>
            <w:tcW w:w="302" w:type="pct"/>
            <w:shd w:val="clear" w:color="000000" w:fill="FFFFFF"/>
            <w:vAlign w:val="center"/>
            <w:hideMark/>
          </w:tcPr>
          <w:p w14:paraId="3B6F4146"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90</w:t>
            </w:r>
          </w:p>
        </w:tc>
        <w:tc>
          <w:tcPr>
            <w:tcW w:w="335" w:type="pct"/>
            <w:shd w:val="clear" w:color="000000" w:fill="FFFFFF"/>
            <w:vAlign w:val="center"/>
            <w:hideMark/>
          </w:tcPr>
          <w:p w14:paraId="3627FBEA"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79</w:t>
            </w:r>
          </w:p>
        </w:tc>
        <w:tc>
          <w:tcPr>
            <w:tcW w:w="315" w:type="pct"/>
            <w:shd w:val="clear" w:color="000000" w:fill="FFFFFF"/>
            <w:vAlign w:val="center"/>
            <w:hideMark/>
          </w:tcPr>
          <w:p w14:paraId="36F7FF8C"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162</w:t>
            </w:r>
          </w:p>
        </w:tc>
        <w:tc>
          <w:tcPr>
            <w:tcW w:w="342" w:type="pct"/>
            <w:shd w:val="clear" w:color="000000" w:fill="FFFFFF"/>
            <w:vAlign w:val="center"/>
            <w:hideMark/>
          </w:tcPr>
          <w:p w14:paraId="631378E5"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111</w:t>
            </w:r>
          </w:p>
        </w:tc>
        <w:tc>
          <w:tcPr>
            <w:tcW w:w="302" w:type="pct"/>
            <w:shd w:val="clear" w:color="000000" w:fill="FFFFFF"/>
            <w:vAlign w:val="center"/>
            <w:hideMark/>
          </w:tcPr>
          <w:p w14:paraId="7D11DDA0"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125</w:t>
            </w:r>
          </w:p>
        </w:tc>
        <w:tc>
          <w:tcPr>
            <w:tcW w:w="289" w:type="pct"/>
            <w:shd w:val="clear" w:color="000000" w:fill="FFFFFF"/>
            <w:vAlign w:val="center"/>
            <w:hideMark/>
          </w:tcPr>
          <w:p w14:paraId="31704DAB"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146</w:t>
            </w:r>
          </w:p>
        </w:tc>
        <w:tc>
          <w:tcPr>
            <w:tcW w:w="315" w:type="pct"/>
            <w:shd w:val="clear" w:color="000000" w:fill="FFFFFF"/>
            <w:vAlign w:val="center"/>
            <w:hideMark/>
          </w:tcPr>
          <w:p w14:paraId="3C606D6A"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154</w:t>
            </w:r>
          </w:p>
        </w:tc>
        <w:tc>
          <w:tcPr>
            <w:tcW w:w="296" w:type="pct"/>
            <w:vAlign w:val="center"/>
            <w:hideMark/>
          </w:tcPr>
          <w:p w14:paraId="5A52629C"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248</w:t>
            </w:r>
          </w:p>
        </w:tc>
        <w:tc>
          <w:tcPr>
            <w:tcW w:w="296" w:type="pct"/>
            <w:vAlign w:val="center"/>
          </w:tcPr>
          <w:p w14:paraId="259DD21D"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125</w:t>
            </w:r>
          </w:p>
        </w:tc>
        <w:tc>
          <w:tcPr>
            <w:tcW w:w="315" w:type="pct"/>
            <w:vAlign w:val="center"/>
          </w:tcPr>
          <w:p w14:paraId="32927B67" w14:textId="77777777" w:rsidR="00D951F2" w:rsidRPr="00167F3C" w:rsidRDefault="00D951F2" w:rsidP="00D64261">
            <w:pPr>
              <w:spacing w:line="360" w:lineRule="auto"/>
              <w:jc w:val="both"/>
              <w:rPr>
                <w:rFonts w:eastAsia="Calibri"/>
                <w:noProof/>
                <w:lang w:val="es-DO"/>
              </w:rPr>
            </w:pPr>
            <w:r w:rsidRPr="00167F3C">
              <w:rPr>
                <w:rFonts w:eastAsia="Calibri"/>
                <w:noProof/>
              </w:rPr>
              <w:t>116</w:t>
            </w:r>
          </w:p>
        </w:tc>
        <w:tc>
          <w:tcPr>
            <w:tcW w:w="289" w:type="pct"/>
            <w:vAlign w:val="center"/>
          </w:tcPr>
          <w:p w14:paraId="3894E23B" w14:textId="77777777" w:rsidR="00D951F2" w:rsidRPr="00167F3C" w:rsidRDefault="00D951F2" w:rsidP="00D64261">
            <w:pPr>
              <w:spacing w:line="360" w:lineRule="auto"/>
              <w:jc w:val="both"/>
              <w:rPr>
                <w:rFonts w:eastAsia="Calibri"/>
                <w:noProof/>
                <w:lang w:val="es-DO"/>
              </w:rPr>
            </w:pPr>
            <w:r w:rsidRPr="00167F3C">
              <w:rPr>
                <w:rFonts w:eastAsia="Calibri"/>
                <w:noProof/>
              </w:rPr>
              <w:t>121</w:t>
            </w:r>
          </w:p>
        </w:tc>
        <w:tc>
          <w:tcPr>
            <w:tcW w:w="399" w:type="pct"/>
            <w:shd w:val="clear" w:color="000000" w:fill="FFFFFF"/>
            <w:vAlign w:val="center"/>
          </w:tcPr>
          <w:p w14:paraId="42B7B3AC" w14:textId="77777777" w:rsidR="00D951F2" w:rsidRPr="00167F3C" w:rsidRDefault="00D951F2" w:rsidP="00D64261">
            <w:pPr>
              <w:spacing w:line="360" w:lineRule="auto"/>
              <w:jc w:val="both"/>
              <w:rPr>
                <w:rFonts w:eastAsia="Calibri"/>
                <w:noProof/>
                <w:lang w:val="es-DO"/>
              </w:rPr>
            </w:pPr>
            <w:r w:rsidRPr="00167F3C">
              <w:rPr>
                <w:rFonts w:eastAsia="Calibri"/>
                <w:noProof/>
              </w:rPr>
              <w:t>1,512</w:t>
            </w:r>
          </w:p>
        </w:tc>
      </w:tr>
      <w:tr w:rsidR="00167F3C" w:rsidRPr="00167F3C" w14:paraId="5F9E08FE" w14:textId="77777777" w:rsidTr="00F55EF4">
        <w:trPr>
          <w:trHeight w:val="159"/>
        </w:trPr>
        <w:tc>
          <w:tcPr>
            <w:tcW w:w="893" w:type="pct"/>
            <w:tcBorders>
              <w:top w:val="nil"/>
            </w:tcBorders>
            <w:shd w:val="clear" w:color="auto" w:fill="D9D9D9"/>
            <w:vAlign w:val="center"/>
            <w:hideMark/>
          </w:tcPr>
          <w:p w14:paraId="3FCB8947"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Cierre</w:t>
            </w:r>
          </w:p>
        </w:tc>
        <w:tc>
          <w:tcPr>
            <w:tcW w:w="309" w:type="pct"/>
            <w:tcBorders>
              <w:top w:val="nil"/>
            </w:tcBorders>
            <w:shd w:val="clear" w:color="auto" w:fill="D9D9D9"/>
            <w:vAlign w:val="center"/>
            <w:hideMark/>
          </w:tcPr>
          <w:p w14:paraId="7E5E3418"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8</w:t>
            </w:r>
          </w:p>
        </w:tc>
        <w:tc>
          <w:tcPr>
            <w:tcW w:w="302" w:type="pct"/>
            <w:tcBorders>
              <w:top w:val="nil"/>
            </w:tcBorders>
            <w:shd w:val="clear" w:color="auto" w:fill="D9D9D9"/>
            <w:vAlign w:val="center"/>
            <w:hideMark/>
          </w:tcPr>
          <w:p w14:paraId="7F016B9C"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4</w:t>
            </w:r>
          </w:p>
        </w:tc>
        <w:tc>
          <w:tcPr>
            <w:tcW w:w="335" w:type="pct"/>
            <w:tcBorders>
              <w:top w:val="nil"/>
            </w:tcBorders>
            <w:shd w:val="clear" w:color="auto" w:fill="D9D9D9"/>
            <w:vAlign w:val="center"/>
            <w:hideMark/>
          </w:tcPr>
          <w:p w14:paraId="748A3947"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16</w:t>
            </w:r>
          </w:p>
        </w:tc>
        <w:tc>
          <w:tcPr>
            <w:tcW w:w="315" w:type="pct"/>
            <w:tcBorders>
              <w:top w:val="nil"/>
            </w:tcBorders>
            <w:shd w:val="clear" w:color="auto" w:fill="D9D9D9"/>
            <w:vAlign w:val="center"/>
            <w:hideMark/>
          </w:tcPr>
          <w:p w14:paraId="75C45180"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12</w:t>
            </w:r>
          </w:p>
        </w:tc>
        <w:tc>
          <w:tcPr>
            <w:tcW w:w="342" w:type="pct"/>
            <w:tcBorders>
              <w:top w:val="nil"/>
            </w:tcBorders>
            <w:shd w:val="clear" w:color="auto" w:fill="D9D9D9"/>
            <w:vAlign w:val="center"/>
            <w:hideMark/>
          </w:tcPr>
          <w:p w14:paraId="07778D52"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49</w:t>
            </w:r>
          </w:p>
        </w:tc>
        <w:tc>
          <w:tcPr>
            <w:tcW w:w="302" w:type="pct"/>
            <w:tcBorders>
              <w:top w:val="nil"/>
            </w:tcBorders>
            <w:shd w:val="clear" w:color="auto" w:fill="D9D9D9"/>
            <w:vAlign w:val="center"/>
            <w:hideMark/>
          </w:tcPr>
          <w:p w14:paraId="107532F9"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w:t>
            </w:r>
          </w:p>
        </w:tc>
        <w:tc>
          <w:tcPr>
            <w:tcW w:w="289" w:type="pct"/>
            <w:tcBorders>
              <w:top w:val="nil"/>
            </w:tcBorders>
            <w:shd w:val="clear" w:color="auto" w:fill="D9D9D9"/>
            <w:vAlign w:val="center"/>
            <w:hideMark/>
          </w:tcPr>
          <w:p w14:paraId="7B312610"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8</w:t>
            </w:r>
          </w:p>
        </w:tc>
        <w:tc>
          <w:tcPr>
            <w:tcW w:w="315" w:type="pct"/>
            <w:tcBorders>
              <w:top w:val="nil"/>
            </w:tcBorders>
            <w:shd w:val="clear" w:color="auto" w:fill="D9D9D9"/>
            <w:vAlign w:val="center"/>
            <w:hideMark/>
          </w:tcPr>
          <w:p w14:paraId="278E2914"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6</w:t>
            </w:r>
          </w:p>
        </w:tc>
        <w:tc>
          <w:tcPr>
            <w:tcW w:w="296" w:type="pct"/>
            <w:tcBorders>
              <w:top w:val="nil"/>
            </w:tcBorders>
            <w:shd w:val="clear" w:color="auto" w:fill="D9D9D9"/>
            <w:vAlign w:val="center"/>
            <w:hideMark/>
          </w:tcPr>
          <w:p w14:paraId="13CAA216"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2</w:t>
            </w:r>
          </w:p>
        </w:tc>
        <w:tc>
          <w:tcPr>
            <w:tcW w:w="296" w:type="pct"/>
            <w:tcBorders>
              <w:top w:val="nil"/>
            </w:tcBorders>
            <w:shd w:val="clear" w:color="auto" w:fill="D9D9D9"/>
            <w:vAlign w:val="center"/>
          </w:tcPr>
          <w:p w14:paraId="5FB8D3D9"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4</w:t>
            </w:r>
          </w:p>
        </w:tc>
        <w:tc>
          <w:tcPr>
            <w:tcW w:w="315" w:type="pct"/>
            <w:tcBorders>
              <w:top w:val="nil"/>
            </w:tcBorders>
            <w:shd w:val="clear" w:color="auto" w:fill="D9D9D9"/>
            <w:vAlign w:val="center"/>
          </w:tcPr>
          <w:p w14:paraId="50A40BF7" w14:textId="77777777" w:rsidR="00D951F2" w:rsidRPr="00167F3C" w:rsidRDefault="00D951F2" w:rsidP="00D64261">
            <w:pPr>
              <w:spacing w:line="360" w:lineRule="auto"/>
              <w:jc w:val="both"/>
              <w:rPr>
                <w:rFonts w:eastAsia="Calibri"/>
                <w:noProof/>
                <w:lang w:val="es-DO"/>
              </w:rPr>
            </w:pPr>
            <w:r w:rsidRPr="00167F3C">
              <w:rPr>
                <w:rFonts w:eastAsia="Calibri"/>
                <w:noProof/>
              </w:rPr>
              <w:t>3</w:t>
            </w:r>
          </w:p>
        </w:tc>
        <w:tc>
          <w:tcPr>
            <w:tcW w:w="289" w:type="pct"/>
            <w:tcBorders>
              <w:top w:val="nil"/>
            </w:tcBorders>
            <w:shd w:val="clear" w:color="auto" w:fill="D9D9D9"/>
            <w:vAlign w:val="center"/>
          </w:tcPr>
          <w:p w14:paraId="406BDE4B" w14:textId="77777777" w:rsidR="00D951F2" w:rsidRPr="00167F3C" w:rsidRDefault="00D951F2" w:rsidP="00D64261">
            <w:pPr>
              <w:spacing w:line="360" w:lineRule="auto"/>
              <w:jc w:val="both"/>
              <w:rPr>
                <w:rFonts w:eastAsia="Calibri"/>
                <w:noProof/>
                <w:lang w:val="es-DO"/>
              </w:rPr>
            </w:pPr>
            <w:r w:rsidRPr="00167F3C">
              <w:rPr>
                <w:rFonts w:eastAsia="Calibri"/>
                <w:noProof/>
              </w:rPr>
              <w:t>7</w:t>
            </w:r>
          </w:p>
        </w:tc>
        <w:tc>
          <w:tcPr>
            <w:tcW w:w="399" w:type="pct"/>
            <w:tcBorders>
              <w:top w:val="nil"/>
            </w:tcBorders>
            <w:shd w:val="clear" w:color="auto" w:fill="D9D9D9"/>
            <w:vAlign w:val="center"/>
          </w:tcPr>
          <w:p w14:paraId="053BBBBE" w14:textId="77777777" w:rsidR="00D951F2" w:rsidRPr="00167F3C" w:rsidRDefault="00D951F2" w:rsidP="00D64261">
            <w:pPr>
              <w:spacing w:line="360" w:lineRule="auto"/>
              <w:jc w:val="both"/>
              <w:rPr>
                <w:rFonts w:eastAsia="Calibri"/>
                <w:noProof/>
                <w:lang w:val="es-DO"/>
              </w:rPr>
            </w:pPr>
            <w:r w:rsidRPr="00167F3C">
              <w:rPr>
                <w:rFonts w:eastAsia="Calibri"/>
                <w:noProof/>
              </w:rPr>
              <w:t>120</w:t>
            </w:r>
          </w:p>
        </w:tc>
      </w:tr>
      <w:tr w:rsidR="00167F3C" w:rsidRPr="00167F3C" w14:paraId="3265DF01" w14:textId="77777777" w:rsidTr="00F55EF4">
        <w:trPr>
          <w:trHeight w:val="435"/>
        </w:trPr>
        <w:tc>
          <w:tcPr>
            <w:tcW w:w="893" w:type="pct"/>
            <w:tcBorders>
              <w:top w:val="nil"/>
            </w:tcBorders>
            <w:shd w:val="clear" w:color="000000" w:fill="FFFFFF"/>
            <w:vAlign w:val="center"/>
            <w:hideMark/>
          </w:tcPr>
          <w:p w14:paraId="4CCBCF1D"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Cambio de RNC y/o RS</w:t>
            </w:r>
          </w:p>
        </w:tc>
        <w:tc>
          <w:tcPr>
            <w:tcW w:w="309" w:type="pct"/>
            <w:tcBorders>
              <w:top w:val="nil"/>
            </w:tcBorders>
            <w:shd w:val="clear" w:color="000000" w:fill="FFFFFF"/>
            <w:vAlign w:val="center"/>
            <w:hideMark/>
          </w:tcPr>
          <w:p w14:paraId="41D57961"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4</w:t>
            </w:r>
          </w:p>
        </w:tc>
        <w:tc>
          <w:tcPr>
            <w:tcW w:w="302" w:type="pct"/>
            <w:tcBorders>
              <w:top w:val="nil"/>
            </w:tcBorders>
            <w:shd w:val="clear" w:color="000000" w:fill="FFFFFF"/>
            <w:vAlign w:val="center"/>
            <w:hideMark/>
          </w:tcPr>
          <w:p w14:paraId="359E6305"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3</w:t>
            </w:r>
          </w:p>
        </w:tc>
        <w:tc>
          <w:tcPr>
            <w:tcW w:w="335" w:type="pct"/>
            <w:tcBorders>
              <w:top w:val="nil"/>
            </w:tcBorders>
            <w:shd w:val="clear" w:color="000000" w:fill="FFFFFF"/>
            <w:vAlign w:val="center"/>
            <w:hideMark/>
          </w:tcPr>
          <w:p w14:paraId="1849760F"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0</w:t>
            </w:r>
          </w:p>
        </w:tc>
        <w:tc>
          <w:tcPr>
            <w:tcW w:w="315" w:type="pct"/>
            <w:tcBorders>
              <w:top w:val="nil"/>
            </w:tcBorders>
            <w:shd w:val="clear" w:color="000000" w:fill="FFFFFF"/>
            <w:vAlign w:val="center"/>
            <w:hideMark/>
          </w:tcPr>
          <w:p w14:paraId="5542DC9D"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w:t>
            </w:r>
          </w:p>
        </w:tc>
        <w:tc>
          <w:tcPr>
            <w:tcW w:w="342" w:type="pct"/>
            <w:tcBorders>
              <w:top w:val="nil"/>
            </w:tcBorders>
            <w:shd w:val="clear" w:color="000000" w:fill="FFFFFF"/>
            <w:vAlign w:val="center"/>
            <w:hideMark/>
          </w:tcPr>
          <w:p w14:paraId="01165199"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3</w:t>
            </w:r>
          </w:p>
        </w:tc>
        <w:tc>
          <w:tcPr>
            <w:tcW w:w="302" w:type="pct"/>
            <w:tcBorders>
              <w:top w:val="nil"/>
            </w:tcBorders>
            <w:shd w:val="clear" w:color="000000" w:fill="FFFFFF"/>
            <w:vAlign w:val="center"/>
            <w:hideMark/>
          </w:tcPr>
          <w:p w14:paraId="504516E6"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w:t>
            </w:r>
          </w:p>
        </w:tc>
        <w:tc>
          <w:tcPr>
            <w:tcW w:w="289" w:type="pct"/>
            <w:tcBorders>
              <w:top w:val="nil"/>
            </w:tcBorders>
            <w:shd w:val="clear" w:color="000000" w:fill="FFFFFF"/>
            <w:vAlign w:val="center"/>
            <w:hideMark/>
          </w:tcPr>
          <w:p w14:paraId="058C57DE"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2</w:t>
            </w:r>
          </w:p>
        </w:tc>
        <w:tc>
          <w:tcPr>
            <w:tcW w:w="315" w:type="pct"/>
            <w:tcBorders>
              <w:top w:val="nil"/>
            </w:tcBorders>
            <w:shd w:val="clear" w:color="000000" w:fill="FFFFFF"/>
            <w:vAlign w:val="center"/>
            <w:hideMark/>
          </w:tcPr>
          <w:p w14:paraId="74138436"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w:t>
            </w:r>
          </w:p>
        </w:tc>
        <w:tc>
          <w:tcPr>
            <w:tcW w:w="296" w:type="pct"/>
            <w:tcBorders>
              <w:top w:val="nil"/>
            </w:tcBorders>
            <w:vAlign w:val="center"/>
            <w:hideMark/>
          </w:tcPr>
          <w:p w14:paraId="2BC3FE09"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2</w:t>
            </w:r>
          </w:p>
        </w:tc>
        <w:tc>
          <w:tcPr>
            <w:tcW w:w="296" w:type="pct"/>
            <w:tcBorders>
              <w:top w:val="nil"/>
            </w:tcBorders>
            <w:vAlign w:val="center"/>
          </w:tcPr>
          <w:p w14:paraId="18F560D6"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2</w:t>
            </w:r>
          </w:p>
        </w:tc>
        <w:tc>
          <w:tcPr>
            <w:tcW w:w="315" w:type="pct"/>
            <w:tcBorders>
              <w:top w:val="nil"/>
            </w:tcBorders>
            <w:vAlign w:val="center"/>
          </w:tcPr>
          <w:p w14:paraId="1890A2BF" w14:textId="77777777" w:rsidR="00D951F2" w:rsidRPr="00167F3C" w:rsidRDefault="00D951F2" w:rsidP="00D64261">
            <w:pPr>
              <w:spacing w:line="360" w:lineRule="auto"/>
              <w:jc w:val="both"/>
              <w:rPr>
                <w:rFonts w:eastAsia="Calibri"/>
                <w:noProof/>
                <w:lang w:val="es-DO"/>
              </w:rPr>
            </w:pPr>
            <w:r w:rsidRPr="00167F3C">
              <w:rPr>
                <w:rFonts w:eastAsia="Calibri"/>
                <w:noProof/>
              </w:rPr>
              <w:t>1</w:t>
            </w:r>
          </w:p>
        </w:tc>
        <w:tc>
          <w:tcPr>
            <w:tcW w:w="289" w:type="pct"/>
            <w:tcBorders>
              <w:top w:val="nil"/>
            </w:tcBorders>
            <w:vAlign w:val="center"/>
          </w:tcPr>
          <w:p w14:paraId="7FC04B48" w14:textId="77777777" w:rsidR="00D951F2" w:rsidRPr="00167F3C" w:rsidRDefault="00D951F2" w:rsidP="00D64261">
            <w:pPr>
              <w:spacing w:line="360" w:lineRule="auto"/>
              <w:jc w:val="both"/>
              <w:rPr>
                <w:rFonts w:eastAsia="Calibri"/>
                <w:noProof/>
                <w:lang w:val="es-DO"/>
              </w:rPr>
            </w:pPr>
            <w:r w:rsidRPr="00167F3C">
              <w:rPr>
                <w:rFonts w:eastAsia="Calibri"/>
                <w:noProof/>
              </w:rPr>
              <w:t>1</w:t>
            </w:r>
          </w:p>
        </w:tc>
        <w:tc>
          <w:tcPr>
            <w:tcW w:w="399" w:type="pct"/>
            <w:tcBorders>
              <w:top w:val="nil"/>
            </w:tcBorders>
            <w:shd w:val="clear" w:color="000000" w:fill="FFFFFF"/>
            <w:vAlign w:val="center"/>
          </w:tcPr>
          <w:p w14:paraId="0F14F774" w14:textId="77777777" w:rsidR="00D951F2" w:rsidRPr="00167F3C" w:rsidRDefault="00D951F2" w:rsidP="00D64261">
            <w:pPr>
              <w:spacing w:line="360" w:lineRule="auto"/>
              <w:jc w:val="both"/>
              <w:rPr>
                <w:rFonts w:eastAsia="Calibri"/>
                <w:noProof/>
                <w:lang w:val="es-DO"/>
              </w:rPr>
            </w:pPr>
            <w:r w:rsidRPr="00167F3C">
              <w:rPr>
                <w:rFonts w:eastAsia="Calibri"/>
                <w:noProof/>
              </w:rPr>
              <w:t>21</w:t>
            </w:r>
          </w:p>
        </w:tc>
      </w:tr>
      <w:tr w:rsidR="00167F3C" w:rsidRPr="00167F3C" w14:paraId="506076AB" w14:textId="77777777" w:rsidTr="00F55EF4">
        <w:trPr>
          <w:trHeight w:val="255"/>
        </w:trPr>
        <w:tc>
          <w:tcPr>
            <w:tcW w:w="893" w:type="pct"/>
            <w:shd w:val="clear" w:color="auto" w:fill="D9D9D9"/>
            <w:vAlign w:val="center"/>
            <w:hideMark/>
          </w:tcPr>
          <w:p w14:paraId="0928F63E"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Exclusión</w:t>
            </w:r>
          </w:p>
        </w:tc>
        <w:tc>
          <w:tcPr>
            <w:tcW w:w="309" w:type="pct"/>
            <w:shd w:val="clear" w:color="auto" w:fill="D9D9D9"/>
            <w:vAlign w:val="center"/>
            <w:hideMark/>
          </w:tcPr>
          <w:p w14:paraId="037B69F1"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w:t>
            </w:r>
          </w:p>
        </w:tc>
        <w:tc>
          <w:tcPr>
            <w:tcW w:w="302" w:type="pct"/>
            <w:shd w:val="clear" w:color="auto" w:fill="D9D9D9"/>
            <w:vAlign w:val="center"/>
            <w:hideMark/>
          </w:tcPr>
          <w:p w14:paraId="309BE59E"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3</w:t>
            </w:r>
          </w:p>
        </w:tc>
        <w:tc>
          <w:tcPr>
            <w:tcW w:w="335" w:type="pct"/>
            <w:shd w:val="clear" w:color="auto" w:fill="D9D9D9"/>
            <w:vAlign w:val="center"/>
            <w:hideMark/>
          </w:tcPr>
          <w:p w14:paraId="67C4B889"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7</w:t>
            </w:r>
          </w:p>
        </w:tc>
        <w:tc>
          <w:tcPr>
            <w:tcW w:w="315" w:type="pct"/>
            <w:shd w:val="clear" w:color="auto" w:fill="D9D9D9"/>
            <w:vAlign w:val="center"/>
            <w:hideMark/>
          </w:tcPr>
          <w:p w14:paraId="00E84D52"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2</w:t>
            </w:r>
          </w:p>
        </w:tc>
        <w:tc>
          <w:tcPr>
            <w:tcW w:w="342" w:type="pct"/>
            <w:shd w:val="clear" w:color="auto" w:fill="D9D9D9"/>
            <w:vAlign w:val="center"/>
            <w:hideMark/>
          </w:tcPr>
          <w:p w14:paraId="6AEAE554"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3</w:t>
            </w:r>
          </w:p>
        </w:tc>
        <w:tc>
          <w:tcPr>
            <w:tcW w:w="302" w:type="pct"/>
            <w:shd w:val="clear" w:color="auto" w:fill="D9D9D9"/>
            <w:vAlign w:val="center"/>
            <w:hideMark/>
          </w:tcPr>
          <w:p w14:paraId="506CBD9A"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2</w:t>
            </w:r>
          </w:p>
        </w:tc>
        <w:tc>
          <w:tcPr>
            <w:tcW w:w="289" w:type="pct"/>
            <w:shd w:val="clear" w:color="auto" w:fill="D9D9D9"/>
            <w:vAlign w:val="center"/>
            <w:hideMark/>
          </w:tcPr>
          <w:p w14:paraId="76B2AC83"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5</w:t>
            </w:r>
          </w:p>
        </w:tc>
        <w:tc>
          <w:tcPr>
            <w:tcW w:w="315" w:type="pct"/>
            <w:shd w:val="clear" w:color="auto" w:fill="D9D9D9"/>
            <w:vAlign w:val="center"/>
            <w:hideMark/>
          </w:tcPr>
          <w:p w14:paraId="3F910930"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7</w:t>
            </w:r>
          </w:p>
        </w:tc>
        <w:tc>
          <w:tcPr>
            <w:tcW w:w="296" w:type="pct"/>
            <w:shd w:val="clear" w:color="auto" w:fill="D9D9D9"/>
            <w:vAlign w:val="center"/>
            <w:hideMark/>
          </w:tcPr>
          <w:p w14:paraId="3A1A49FC"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5</w:t>
            </w:r>
          </w:p>
        </w:tc>
        <w:tc>
          <w:tcPr>
            <w:tcW w:w="296" w:type="pct"/>
            <w:shd w:val="clear" w:color="auto" w:fill="D9D9D9"/>
            <w:vAlign w:val="center"/>
          </w:tcPr>
          <w:p w14:paraId="1D951055"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8</w:t>
            </w:r>
          </w:p>
        </w:tc>
        <w:tc>
          <w:tcPr>
            <w:tcW w:w="315" w:type="pct"/>
            <w:shd w:val="clear" w:color="auto" w:fill="D9D9D9"/>
            <w:vAlign w:val="center"/>
          </w:tcPr>
          <w:p w14:paraId="7AA040CD" w14:textId="77777777" w:rsidR="00D951F2" w:rsidRPr="00167F3C" w:rsidRDefault="00D951F2" w:rsidP="00D64261">
            <w:pPr>
              <w:spacing w:line="360" w:lineRule="auto"/>
              <w:jc w:val="both"/>
              <w:rPr>
                <w:rFonts w:eastAsia="Calibri"/>
                <w:noProof/>
                <w:lang w:val="es-DO"/>
              </w:rPr>
            </w:pPr>
            <w:r w:rsidRPr="00167F3C">
              <w:rPr>
                <w:rFonts w:eastAsia="Calibri"/>
                <w:noProof/>
              </w:rPr>
              <w:t>6</w:t>
            </w:r>
          </w:p>
        </w:tc>
        <w:tc>
          <w:tcPr>
            <w:tcW w:w="289" w:type="pct"/>
            <w:shd w:val="clear" w:color="auto" w:fill="D9D9D9"/>
            <w:vAlign w:val="center"/>
          </w:tcPr>
          <w:p w14:paraId="70E2F3F4" w14:textId="77777777" w:rsidR="00D951F2" w:rsidRPr="00167F3C" w:rsidRDefault="00D951F2" w:rsidP="00D64261">
            <w:pPr>
              <w:spacing w:line="360" w:lineRule="auto"/>
              <w:jc w:val="both"/>
              <w:rPr>
                <w:rFonts w:eastAsia="Calibri"/>
                <w:noProof/>
                <w:lang w:val="es-DO"/>
              </w:rPr>
            </w:pPr>
            <w:r w:rsidRPr="00167F3C">
              <w:rPr>
                <w:rFonts w:eastAsia="Calibri"/>
                <w:noProof/>
              </w:rPr>
              <w:t>4</w:t>
            </w:r>
          </w:p>
        </w:tc>
        <w:tc>
          <w:tcPr>
            <w:tcW w:w="399" w:type="pct"/>
            <w:shd w:val="clear" w:color="auto" w:fill="D9D9D9"/>
            <w:vAlign w:val="center"/>
          </w:tcPr>
          <w:p w14:paraId="4DB5BEAB" w14:textId="77777777" w:rsidR="00D951F2" w:rsidRPr="00167F3C" w:rsidRDefault="00D951F2" w:rsidP="00D64261">
            <w:pPr>
              <w:spacing w:line="360" w:lineRule="auto"/>
              <w:jc w:val="both"/>
              <w:rPr>
                <w:rFonts w:eastAsia="Calibri"/>
                <w:noProof/>
                <w:lang w:val="es-DO"/>
              </w:rPr>
            </w:pPr>
            <w:r w:rsidRPr="00167F3C">
              <w:rPr>
                <w:rFonts w:eastAsia="Calibri"/>
                <w:noProof/>
              </w:rPr>
              <w:t>53</w:t>
            </w:r>
          </w:p>
        </w:tc>
      </w:tr>
      <w:tr w:rsidR="00167F3C" w:rsidRPr="00167F3C" w14:paraId="382B305E" w14:textId="77777777" w:rsidTr="00F55EF4">
        <w:trPr>
          <w:trHeight w:val="456"/>
        </w:trPr>
        <w:tc>
          <w:tcPr>
            <w:tcW w:w="893" w:type="pct"/>
            <w:shd w:val="clear" w:color="000000" w:fill="FFFFFF"/>
            <w:vAlign w:val="center"/>
            <w:hideMark/>
          </w:tcPr>
          <w:p w14:paraId="1FB56214"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Total</w:t>
            </w:r>
          </w:p>
        </w:tc>
        <w:tc>
          <w:tcPr>
            <w:tcW w:w="309" w:type="pct"/>
            <w:shd w:val="clear" w:color="000000" w:fill="FFFFFF"/>
            <w:vAlign w:val="center"/>
            <w:hideMark/>
          </w:tcPr>
          <w:p w14:paraId="0C805895"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68</w:t>
            </w:r>
          </w:p>
        </w:tc>
        <w:tc>
          <w:tcPr>
            <w:tcW w:w="302" w:type="pct"/>
            <w:shd w:val="clear" w:color="000000" w:fill="FFFFFF"/>
            <w:vAlign w:val="center"/>
            <w:hideMark/>
          </w:tcPr>
          <w:p w14:paraId="32D31243"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125</w:t>
            </w:r>
          </w:p>
        </w:tc>
        <w:tc>
          <w:tcPr>
            <w:tcW w:w="335" w:type="pct"/>
            <w:shd w:val="clear" w:color="000000" w:fill="FFFFFF"/>
            <w:vAlign w:val="center"/>
            <w:hideMark/>
          </w:tcPr>
          <w:p w14:paraId="66706EC7"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113</w:t>
            </w:r>
          </w:p>
        </w:tc>
        <w:tc>
          <w:tcPr>
            <w:tcW w:w="315" w:type="pct"/>
            <w:shd w:val="clear" w:color="000000" w:fill="FFFFFF"/>
            <w:vAlign w:val="center"/>
            <w:hideMark/>
          </w:tcPr>
          <w:p w14:paraId="0256AB5A"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186</w:t>
            </w:r>
          </w:p>
        </w:tc>
        <w:tc>
          <w:tcPr>
            <w:tcW w:w="342" w:type="pct"/>
            <w:shd w:val="clear" w:color="000000" w:fill="FFFFFF"/>
            <w:vAlign w:val="center"/>
            <w:hideMark/>
          </w:tcPr>
          <w:p w14:paraId="51F8541E"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247</w:t>
            </w:r>
          </w:p>
        </w:tc>
        <w:tc>
          <w:tcPr>
            <w:tcW w:w="302" w:type="pct"/>
            <w:shd w:val="clear" w:color="000000" w:fill="FFFFFF"/>
            <w:vAlign w:val="center"/>
            <w:hideMark/>
          </w:tcPr>
          <w:p w14:paraId="3EBFD420"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141</w:t>
            </w:r>
          </w:p>
        </w:tc>
        <w:tc>
          <w:tcPr>
            <w:tcW w:w="289" w:type="pct"/>
            <w:shd w:val="clear" w:color="000000" w:fill="FFFFFF"/>
            <w:vAlign w:val="center"/>
            <w:hideMark/>
          </w:tcPr>
          <w:p w14:paraId="60399635"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206</w:t>
            </w:r>
          </w:p>
        </w:tc>
        <w:tc>
          <w:tcPr>
            <w:tcW w:w="315" w:type="pct"/>
            <w:shd w:val="clear" w:color="000000" w:fill="FFFFFF"/>
            <w:vAlign w:val="center"/>
            <w:hideMark/>
          </w:tcPr>
          <w:p w14:paraId="1C444D24"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212</w:t>
            </w:r>
          </w:p>
        </w:tc>
        <w:tc>
          <w:tcPr>
            <w:tcW w:w="296" w:type="pct"/>
            <w:vAlign w:val="center"/>
            <w:hideMark/>
          </w:tcPr>
          <w:p w14:paraId="03502869"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296</w:t>
            </w:r>
          </w:p>
        </w:tc>
        <w:tc>
          <w:tcPr>
            <w:tcW w:w="296" w:type="pct"/>
            <w:vAlign w:val="center"/>
          </w:tcPr>
          <w:p w14:paraId="352AFED0"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157</w:t>
            </w:r>
          </w:p>
        </w:tc>
        <w:tc>
          <w:tcPr>
            <w:tcW w:w="315" w:type="pct"/>
            <w:vAlign w:val="center"/>
          </w:tcPr>
          <w:p w14:paraId="4D7E5405" w14:textId="77777777" w:rsidR="00D951F2" w:rsidRPr="00167F3C" w:rsidRDefault="00D951F2" w:rsidP="00D64261">
            <w:pPr>
              <w:spacing w:line="360" w:lineRule="auto"/>
              <w:jc w:val="both"/>
              <w:rPr>
                <w:rFonts w:eastAsia="Calibri"/>
                <w:noProof/>
                <w:lang w:val="es-DO"/>
              </w:rPr>
            </w:pPr>
            <w:r w:rsidRPr="00167F3C">
              <w:rPr>
                <w:rFonts w:eastAsia="Calibri"/>
                <w:noProof/>
              </w:rPr>
              <w:t>149</w:t>
            </w:r>
          </w:p>
        </w:tc>
        <w:tc>
          <w:tcPr>
            <w:tcW w:w="289" w:type="pct"/>
            <w:vAlign w:val="center"/>
          </w:tcPr>
          <w:p w14:paraId="026A2839" w14:textId="77777777" w:rsidR="00D951F2" w:rsidRPr="00167F3C" w:rsidRDefault="00D951F2" w:rsidP="00D64261">
            <w:pPr>
              <w:spacing w:line="360" w:lineRule="auto"/>
              <w:jc w:val="both"/>
              <w:rPr>
                <w:rFonts w:eastAsia="Calibri"/>
                <w:noProof/>
                <w:lang w:val="es-DO"/>
              </w:rPr>
            </w:pPr>
            <w:r w:rsidRPr="00167F3C">
              <w:rPr>
                <w:rFonts w:eastAsia="Calibri"/>
                <w:noProof/>
              </w:rPr>
              <w:t>147</w:t>
            </w:r>
          </w:p>
        </w:tc>
        <w:tc>
          <w:tcPr>
            <w:tcW w:w="399" w:type="pct"/>
            <w:shd w:val="clear" w:color="000000" w:fill="FFFFFF"/>
            <w:vAlign w:val="center"/>
          </w:tcPr>
          <w:p w14:paraId="3D95D578" w14:textId="77777777" w:rsidR="00D951F2" w:rsidRPr="00167F3C" w:rsidRDefault="00D951F2" w:rsidP="00D64261">
            <w:pPr>
              <w:spacing w:line="360" w:lineRule="auto"/>
              <w:jc w:val="both"/>
              <w:rPr>
                <w:rFonts w:eastAsia="Calibri"/>
                <w:noProof/>
                <w:lang w:val="es-DO"/>
              </w:rPr>
            </w:pPr>
            <w:r w:rsidRPr="00167F3C">
              <w:rPr>
                <w:rFonts w:eastAsia="Calibri"/>
                <w:noProof/>
              </w:rPr>
              <w:t>2,047</w:t>
            </w:r>
          </w:p>
        </w:tc>
      </w:tr>
    </w:tbl>
    <w:bookmarkEnd w:id="18"/>
    <w:p w14:paraId="6BEB5379" w14:textId="77777777" w:rsidR="00D951F2" w:rsidRPr="00167F3C" w:rsidRDefault="00D951F2" w:rsidP="00D64261">
      <w:pPr>
        <w:spacing w:line="360" w:lineRule="auto"/>
        <w:jc w:val="both"/>
        <w:rPr>
          <w:rFonts w:eastAsia="Calibri"/>
          <w:bCs/>
          <w:i/>
          <w:iCs/>
          <w:noProof/>
          <w:sz w:val="18"/>
          <w:szCs w:val="18"/>
          <w:lang w:val="es-DO"/>
        </w:rPr>
      </w:pPr>
      <w:r w:rsidRPr="00167F3C">
        <w:rPr>
          <w:rFonts w:eastAsia="Calibri"/>
          <w:bCs/>
          <w:i/>
          <w:iCs/>
          <w:noProof/>
          <w:sz w:val="18"/>
          <w:szCs w:val="18"/>
          <w:lang w:val="es-DO"/>
        </w:rPr>
        <w:t>Fuente: Archivo digital de Comunicaciones de Gestión de Cuentas y Reporte Extenso Estadísticas DNyATI.</w:t>
      </w:r>
    </w:p>
    <w:p w14:paraId="0DA5EC34" w14:textId="77777777" w:rsidR="00B046C6" w:rsidRDefault="00B046C6" w:rsidP="00D64261">
      <w:pPr>
        <w:spacing w:line="360" w:lineRule="auto"/>
        <w:jc w:val="both"/>
        <w:rPr>
          <w:rFonts w:eastAsia="Calibri"/>
          <w:b/>
          <w:noProof/>
          <w:color w:val="4C4747"/>
          <w:lang w:val="es-DO"/>
        </w:rPr>
      </w:pPr>
    </w:p>
    <w:p w14:paraId="37604D29" w14:textId="77777777" w:rsidR="00B26AAB" w:rsidRDefault="00B26AAB" w:rsidP="00D64261">
      <w:pPr>
        <w:spacing w:line="360" w:lineRule="auto"/>
        <w:jc w:val="both"/>
        <w:rPr>
          <w:rFonts w:eastAsia="Calibri"/>
          <w:b/>
          <w:noProof/>
          <w:color w:val="4C4747"/>
          <w:lang w:val="es-DO"/>
        </w:rPr>
      </w:pPr>
    </w:p>
    <w:p w14:paraId="46C8F508" w14:textId="77777777" w:rsidR="00B26AAB" w:rsidRDefault="00B26AAB" w:rsidP="00D64261">
      <w:pPr>
        <w:spacing w:line="360" w:lineRule="auto"/>
        <w:jc w:val="both"/>
        <w:rPr>
          <w:rFonts w:eastAsia="Calibri"/>
          <w:b/>
          <w:noProof/>
          <w:color w:val="4C4747"/>
          <w:lang w:val="es-DO"/>
        </w:rPr>
      </w:pPr>
    </w:p>
    <w:p w14:paraId="426CF646" w14:textId="77777777" w:rsidR="00B26AAB" w:rsidRDefault="00B26AAB" w:rsidP="00D64261">
      <w:pPr>
        <w:spacing w:line="360" w:lineRule="auto"/>
        <w:jc w:val="both"/>
        <w:rPr>
          <w:rFonts w:eastAsia="Calibri"/>
          <w:b/>
          <w:noProof/>
          <w:color w:val="4C4747"/>
          <w:lang w:val="es-DO"/>
        </w:rPr>
      </w:pPr>
    </w:p>
    <w:p w14:paraId="0A14A75C" w14:textId="77777777" w:rsidR="00B26AAB" w:rsidRDefault="00B26AAB" w:rsidP="00D64261">
      <w:pPr>
        <w:spacing w:line="360" w:lineRule="auto"/>
        <w:jc w:val="both"/>
        <w:rPr>
          <w:rFonts w:eastAsia="Calibri"/>
          <w:b/>
          <w:noProof/>
          <w:color w:val="4C4747"/>
          <w:lang w:val="es-DO"/>
        </w:rPr>
      </w:pPr>
    </w:p>
    <w:p w14:paraId="2259EF84" w14:textId="77777777" w:rsidR="00B26AAB" w:rsidRDefault="00B26AAB" w:rsidP="00D64261">
      <w:pPr>
        <w:spacing w:line="360" w:lineRule="auto"/>
        <w:jc w:val="both"/>
        <w:rPr>
          <w:rFonts w:eastAsia="Calibri"/>
          <w:b/>
          <w:noProof/>
          <w:color w:val="4C4747"/>
          <w:lang w:val="es-DO"/>
        </w:rPr>
      </w:pPr>
    </w:p>
    <w:p w14:paraId="7AFE984E" w14:textId="77777777" w:rsidR="00B26AAB" w:rsidRDefault="00B26AAB" w:rsidP="00D64261">
      <w:pPr>
        <w:spacing w:line="360" w:lineRule="auto"/>
        <w:jc w:val="both"/>
        <w:rPr>
          <w:rFonts w:eastAsia="Calibri"/>
          <w:b/>
          <w:noProof/>
          <w:color w:val="4C4747"/>
          <w:lang w:val="es-DO"/>
        </w:rPr>
      </w:pPr>
    </w:p>
    <w:p w14:paraId="0D5C87A0" w14:textId="77777777" w:rsidR="00B26AAB" w:rsidRDefault="00B26AAB" w:rsidP="00D64261">
      <w:pPr>
        <w:spacing w:line="360" w:lineRule="auto"/>
        <w:jc w:val="both"/>
        <w:rPr>
          <w:rFonts w:eastAsia="Calibri"/>
          <w:b/>
          <w:noProof/>
          <w:color w:val="4C4747"/>
          <w:lang w:val="es-DO"/>
        </w:rPr>
      </w:pPr>
    </w:p>
    <w:p w14:paraId="76549FD9" w14:textId="3FEAB017" w:rsidR="00D951F2" w:rsidRPr="00167F3C" w:rsidRDefault="00D951F2" w:rsidP="00D64261">
      <w:pPr>
        <w:spacing w:after="0" w:line="360" w:lineRule="auto"/>
        <w:jc w:val="center"/>
        <w:rPr>
          <w:rFonts w:eastAsia="Calibri"/>
          <w:b/>
          <w:bCs/>
          <w:noProof/>
          <w:lang w:val="es-DO"/>
        </w:rPr>
      </w:pPr>
      <w:r w:rsidRPr="00167F3C">
        <w:rPr>
          <w:rFonts w:eastAsia="Calibri"/>
          <w:b/>
          <w:bCs/>
          <w:noProof/>
          <w:lang w:val="es-DO"/>
        </w:rPr>
        <w:lastRenderedPageBreak/>
        <w:t>Gráfico No. 0</w:t>
      </w:r>
      <w:r w:rsidR="00992D02" w:rsidRPr="00167F3C">
        <w:rPr>
          <w:rFonts w:eastAsia="Calibri"/>
          <w:b/>
          <w:bCs/>
          <w:noProof/>
          <w:lang w:val="es-DO"/>
        </w:rPr>
        <w:t>4</w:t>
      </w:r>
    </w:p>
    <w:p w14:paraId="2785518D" w14:textId="77777777" w:rsidR="00D951F2" w:rsidRPr="00D951F2" w:rsidRDefault="00D951F2" w:rsidP="00D64261">
      <w:pPr>
        <w:spacing w:after="0" w:line="360" w:lineRule="auto"/>
        <w:jc w:val="center"/>
        <w:rPr>
          <w:rFonts w:eastAsia="Calibri"/>
          <w:b/>
          <w:bCs/>
          <w:noProof/>
          <w:color w:val="4C4747"/>
          <w:lang w:val="es-DO"/>
        </w:rPr>
      </w:pPr>
      <w:r w:rsidRPr="00167F3C">
        <w:rPr>
          <w:rFonts w:eastAsia="Calibri"/>
          <w:b/>
          <w:bCs/>
          <w:noProof/>
          <w:lang w:val="es-DO"/>
        </w:rPr>
        <w:t>Tesoreria Nacional</w:t>
      </w:r>
    </w:p>
    <w:p w14:paraId="409662AB" w14:textId="77777777" w:rsidR="00D951F2" w:rsidRPr="00D951F2" w:rsidRDefault="00D951F2" w:rsidP="00D64261">
      <w:pPr>
        <w:spacing w:line="360" w:lineRule="auto"/>
        <w:jc w:val="both"/>
        <w:rPr>
          <w:rFonts w:eastAsia="Calibri"/>
          <w:b/>
          <w:noProof/>
          <w:color w:val="4C4747"/>
          <w:lang w:val="es-DO"/>
        </w:rPr>
      </w:pPr>
      <w:r w:rsidRPr="00D951F2">
        <w:rPr>
          <w:rFonts w:eastAsia="Calibri"/>
          <w:noProof/>
          <w:color w:val="4C4747"/>
        </w:rPr>
        <w:drawing>
          <wp:inline distT="0" distB="0" distL="0" distR="0" wp14:anchorId="23705E0D" wp14:editId="6DB80637">
            <wp:extent cx="5029200" cy="2470067"/>
            <wp:effectExtent l="0" t="0" r="0" b="6985"/>
            <wp:docPr id="340718828" name="Gráfico 1">
              <a:extLst xmlns:a="http://schemas.openxmlformats.org/drawingml/2006/main">
                <a:ext uri="{FF2B5EF4-FFF2-40B4-BE49-F238E27FC236}">
                  <a16:creationId xmlns:a16="http://schemas.microsoft.com/office/drawing/2014/main" id="{31FC7542-7C2D-4EAC-A47C-874AFF3D5B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45408CB" w14:textId="77777777" w:rsidR="00D951F2" w:rsidRPr="00167F3C" w:rsidRDefault="00D951F2" w:rsidP="00D64261">
      <w:pPr>
        <w:spacing w:line="360" w:lineRule="auto"/>
        <w:jc w:val="both"/>
        <w:rPr>
          <w:rFonts w:eastAsia="Calibri"/>
          <w:bCs/>
          <w:i/>
          <w:iCs/>
          <w:noProof/>
          <w:sz w:val="18"/>
          <w:szCs w:val="18"/>
          <w:lang w:val="es-DO"/>
        </w:rPr>
      </w:pPr>
      <w:r w:rsidRPr="00167F3C">
        <w:rPr>
          <w:rFonts w:eastAsia="Calibri"/>
          <w:bCs/>
          <w:i/>
          <w:iCs/>
          <w:noProof/>
          <w:sz w:val="18"/>
          <w:szCs w:val="18"/>
          <w:lang w:val="es-DO"/>
        </w:rPr>
        <w:t>Fuente: Archivo digital de Comunicaciones de Gestión de Cuentas y Reporte Extenso Estadísticas DNyATI</w:t>
      </w:r>
    </w:p>
    <w:p w14:paraId="06E24950" w14:textId="77777777" w:rsidR="00D951F2" w:rsidRPr="00D951F2" w:rsidRDefault="00D951F2" w:rsidP="00D64261">
      <w:pPr>
        <w:spacing w:line="360" w:lineRule="auto"/>
        <w:jc w:val="both"/>
        <w:rPr>
          <w:rFonts w:eastAsia="Calibri"/>
          <w:b/>
          <w:noProof/>
          <w:color w:val="4C4747"/>
          <w:lang w:val="es-DO"/>
        </w:rPr>
      </w:pPr>
    </w:p>
    <w:p w14:paraId="0BC12132" w14:textId="31634622" w:rsidR="00D951F2" w:rsidRPr="00167F3C" w:rsidRDefault="00D951F2" w:rsidP="00D64261">
      <w:pPr>
        <w:spacing w:line="360" w:lineRule="auto"/>
        <w:jc w:val="both"/>
        <w:rPr>
          <w:rFonts w:eastAsia="Calibri"/>
          <w:b/>
          <w:noProof/>
          <w:lang w:val="es-DO"/>
        </w:rPr>
      </w:pPr>
      <w:r w:rsidRPr="00167F3C">
        <w:rPr>
          <w:rFonts w:eastAsia="Calibri"/>
          <w:b/>
          <w:noProof/>
          <w:lang w:val="es-DO"/>
        </w:rPr>
        <w:t>Incorporaciones de instituciones del SPNF a la CUT</w:t>
      </w:r>
    </w:p>
    <w:p w14:paraId="67EB1FBF" w14:textId="48864584" w:rsidR="00F55EF4" w:rsidRPr="00167F3C" w:rsidRDefault="00D951F2" w:rsidP="00D64261">
      <w:pPr>
        <w:spacing w:line="360" w:lineRule="auto"/>
        <w:jc w:val="both"/>
        <w:rPr>
          <w:rFonts w:eastAsia="Calibri"/>
          <w:noProof/>
          <w:lang w:val="es-419"/>
        </w:rPr>
      </w:pPr>
      <w:r w:rsidRPr="00167F3C">
        <w:rPr>
          <w:rFonts w:eastAsia="Calibri"/>
          <w:bCs/>
          <w:noProof/>
          <w:lang w:val="es-ES"/>
        </w:rPr>
        <w:t xml:space="preserve">Siendo la  la Cuenta Única del Tesoro (CUT), una herramienta que permite transparentar los recursos del Estado, donde la incorporación de las  entidades públicas a operar dentro de la CUT se mantiene como un objetivo para su funcionamiento; este año fue agregada la </w:t>
      </w:r>
      <w:r w:rsidRPr="00167F3C">
        <w:rPr>
          <w:rFonts w:eastAsia="Calibri"/>
          <w:noProof/>
          <w:lang w:val="es-419"/>
        </w:rPr>
        <w:t>Dirección de Infraestructura Escolar, para un total de 229 operando en Cuenta Única.</w:t>
      </w:r>
    </w:p>
    <w:p w14:paraId="0BFB0442" w14:textId="7F2E4B18" w:rsidR="00D951F2" w:rsidRPr="00167F3C" w:rsidRDefault="00D951F2" w:rsidP="00D64261">
      <w:pPr>
        <w:spacing w:after="0" w:line="360" w:lineRule="auto"/>
        <w:jc w:val="center"/>
        <w:rPr>
          <w:rFonts w:eastAsia="Calibri"/>
          <w:b/>
          <w:bCs/>
          <w:noProof/>
          <w:lang w:val="es-DO"/>
        </w:rPr>
      </w:pPr>
      <w:r w:rsidRPr="00167F3C">
        <w:rPr>
          <w:rFonts w:eastAsia="Calibri"/>
          <w:b/>
          <w:bCs/>
          <w:noProof/>
          <w:lang w:val="es-DO"/>
        </w:rPr>
        <w:t xml:space="preserve">Cuadro No. </w:t>
      </w:r>
      <w:r w:rsidR="008D7279" w:rsidRPr="00167F3C">
        <w:rPr>
          <w:rFonts w:eastAsia="Calibri"/>
          <w:b/>
          <w:bCs/>
          <w:noProof/>
          <w:lang w:val="es-DO"/>
        </w:rPr>
        <w:t>13</w:t>
      </w:r>
    </w:p>
    <w:p w14:paraId="37DF150B" w14:textId="77777777" w:rsidR="00D951F2" w:rsidRPr="00167F3C" w:rsidRDefault="00D951F2" w:rsidP="00D64261">
      <w:pPr>
        <w:spacing w:after="0" w:line="360" w:lineRule="auto"/>
        <w:jc w:val="center"/>
        <w:rPr>
          <w:rFonts w:eastAsia="Calibri"/>
          <w:b/>
          <w:bCs/>
          <w:noProof/>
          <w:lang w:val="es-DO"/>
        </w:rPr>
      </w:pPr>
      <w:r w:rsidRPr="00167F3C">
        <w:rPr>
          <w:rFonts w:eastAsia="Calibri"/>
          <w:b/>
          <w:bCs/>
          <w:noProof/>
          <w:lang w:val="es-DO"/>
        </w:rPr>
        <w:t>Tesorería Nacional</w:t>
      </w:r>
    </w:p>
    <w:p w14:paraId="04372243" w14:textId="77777777" w:rsidR="00D951F2" w:rsidRPr="00167F3C" w:rsidRDefault="00D951F2" w:rsidP="00D64261">
      <w:pPr>
        <w:spacing w:after="0" w:line="360" w:lineRule="auto"/>
        <w:jc w:val="center"/>
        <w:rPr>
          <w:rFonts w:eastAsia="Calibri"/>
          <w:b/>
          <w:bCs/>
          <w:noProof/>
          <w:lang w:val="es-DO"/>
        </w:rPr>
      </w:pPr>
      <w:r w:rsidRPr="00167F3C">
        <w:rPr>
          <w:rFonts w:eastAsia="Calibri"/>
          <w:b/>
          <w:bCs/>
          <w:noProof/>
          <w:lang w:val="es-DO"/>
        </w:rPr>
        <w:t>Incorporación de instituciones del SPNF a la CUT</w:t>
      </w:r>
    </w:p>
    <w:p w14:paraId="522A20F5" w14:textId="77777777" w:rsidR="00D951F2" w:rsidRPr="00167F3C" w:rsidRDefault="00D951F2" w:rsidP="00D64261">
      <w:pPr>
        <w:spacing w:after="0" w:line="360" w:lineRule="auto"/>
        <w:jc w:val="center"/>
        <w:rPr>
          <w:rFonts w:eastAsia="Calibri"/>
          <w:b/>
          <w:bCs/>
          <w:noProof/>
          <w:lang w:val="es-DO"/>
        </w:rPr>
      </w:pPr>
      <w:r w:rsidRPr="00167F3C">
        <w:rPr>
          <w:rFonts w:eastAsia="Calibri"/>
          <w:b/>
          <w:bCs/>
          <w:noProof/>
          <w:lang w:val="es-DO"/>
        </w:rPr>
        <w:t xml:space="preserve"> (ene-dic 2025)</w:t>
      </w:r>
    </w:p>
    <w:tbl>
      <w:tblPr>
        <w:tblW w:w="7938" w:type="dxa"/>
        <w:jc w:val="center"/>
        <w:tblCellMar>
          <w:left w:w="70" w:type="dxa"/>
          <w:right w:w="70" w:type="dxa"/>
        </w:tblCellMar>
        <w:tblLook w:val="04A0" w:firstRow="1" w:lastRow="0" w:firstColumn="1" w:lastColumn="0" w:noHBand="0" w:noVBand="1"/>
      </w:tblPr>
      <w:tblGrid>
        <w:gridCol w:w="1701"/>
        <w:gridCol w:w="6237"/>
      </w:tblGrid>
      <w:tr w:rsidR="00D951F2" w:rsidRPr="00D951F2" w14:paraId="533C336B" w14:textId="77777777" w:rsidTr="006D3422">
        <w:trPr>
          <w:trHeight w:val="383"/>
          <w:jc w:val="center"/>
        </w:trPr>
        <w:tc>
          <w:tcPr>
            <w:tcW w:w="1701" w:type="dxa"/>
            <w:tcBorders>
              <w:top w:val="single" w:sz="4" w:space="0" w:color="auto"/>
              <w:left w:val="single" w:sz="4" w:space="0" w:color="auto"/>
              <w:bottom w:val="single" w:sz="4" w:space="0" w:color="auto"/>
              <w:right w:val="single" w:sz="4" w:space="0" w:color="auto"/>
            </w:tcBorders>
            <w:shd w:val="clear" w:color="auto" w:fill="142F62"/>
            <w:vAlign w:val="center"/>
          </w:tcPr>
          <w:p w14:paraId="353F2ED2" w14:textId="77777777" w:rsidR="00D951F2" w:rsidRPr="00D951F2" w:rsidRDefault="00D951F2" w:rsidP="00D64261">
            <w:pPr>
              <w:spacing w:line="360" w:lineRule="auto"/>
              <w:jc w:val="both"/>
              <w:rPr>
                <w:rFonts w:eastAsia="Calibri"/>
                <w:b/>
                <w:noProof/>
                <w:color w:val="FFFFFF" w:themeColor="background1"/>
                <w:lang w:val="es-419"/>
              </w:rPr>
            </w:pPr>
            <w:r w:rsidRPr="00D951F2">
              <w:rPr>
                <w:rFonts w:eastAsia="Calibri"/>
                <w:noProof/>
                <w:color w:val="FFFFFF" w:themeColor="background1"/>
                <w:lang w:val="es-419"/>
              </w:rPr>
              <w:t>No.</w:t>
            </w:r>
          </w:p>
        </w:tc>
        <w:tc>
          <w:tcPr>
            <w:tcW w:w="6237" w:type="dxa"/>
            <w:tcBorders>
              <w:top w:val="single" w:sz="4" w:space="0" w:color="auto"/>
              <w:left w:val="nil"/>
              <w:bottom w:val="single" w:sz="4" w:space="0" w:color="auto"/>
              <w:right w:val="single" w:sz="4" w:space="0" w:color="auto"/>
            </w:tcBorders>
            <w:shd w:val="clear" w:color="auto" w:fill="142F62"/>
            <w:vAlign w:val="center"/>
          </w:tcPr>
          <w:p w14:paraId="53F403A2" w14:textId="77777777" w:rsidR="00D951F2" w:rsidRPr="00D951F2" w:rsidRDefault="00D951F2" w:rsidP="00D64261">
            <w:pPr>
              <w:spacing w:line="360" w:lineRule="auto"/>
              <w:jc w:val="both"/>
              <w:rPr>
                <w:rFonts w:eastAsia="Calibri"/>
                <w:noProof/>
                <w:color w:val="FFFFFF" w:themeColor="background1"/>
                <w:lang w:val="es-419"/>
              </w:rPr>
            </w:pPr>
            <w:r w:rsidRPr="00D951F2">
              <w:rPr>
                <w:rFonts w:eastAsia="Calibri"/>
                <w:noProof/>
                <w:color w:val="FFFFFF" w:themeColor="background1"/>
                <w:lang w:val="es-419"/>
              </w:rPr>
              <w:t>INCORPORADAS-2025</w:t>
            </w:r>
          </w:p>
        </w:tc>
      </w:tr>
      <w:tr w:rsidR="00D951F2" w:rsidRPr="00D951F2" w14:paraId="78C1BE7F" w14:textId="77777777" w:rsidTr="006D3422">
        <w:trPr>
          <w:trHeight w:val="455"/>
          <w:jc w:val="center"/>
        </w:trPr>
        <w:tc>
          <w:tcPr>
            <w:tcW w:w="1701" w:type="dxa"/>
            <w:tcBorders>
              <w:top w:val="nil"/>
              <w:left w:val="single" w:sz="4" w:space="0" w:color="auto"/>
              <w:bottom w:val="single" w:sz="4" w:space="0" w:color="auto"/>
              <w:right w:val="single" w:sz="4" w:space="0" w:color="auto"/>
            </w:tcBorders>
            <w:vAlign w:val="center"/>
            <w:hideMark/>
          </w:tcPr>
          <w:p w14:paraId="478D7A58" w14:textId="77777777" w:rsidR="00D951F2" w:rsidRPr="00167F3C" w:rsidRDefault="00D951F2" w:rsidP="00D64261">
            <w:pPr>
              <w:spacing w:line="360" w:lineRule="auto"/>
              <w:jc w:val="both"/>
              <w:rPr>
                <w:rFonts w:eastAsia="Calibri"/>
                <w:b/>
                <w:noProof/>
                <w:lang w:val="es-419"/>
              </w:rPr>
            </w:pPr>
            <w:r w:rsidRPr="00167F3C">
              <w:rPr>
                <w:rFonts w:eastAsia="Calibri"/>
                <w:b/>
                <w:noProof/>
                <w:lang w:val="es-419"/>
              </w:rPr>
              <w:t>1</w:t>
            </w:r>
          </w:p>
        </w:tc>
        <w:tc>
          <w:tcPr>
            <w:tcW w:w="6237" w:type="dxa"/>
            <w:tcBorders>
              <w:top w:val="nil"/>
              <w:left w:val="nil"/>
              <w:bottom w:val="single" w:sz="4" w:space="0" w:color="auto"/>
              <w:right w:val="single" w:sz="4" w:space="0" w:color="auto"/>
            </w:tcBorders>
            <w:shd w:val="clear" w:color="auto" w:fill="F2F2F2" w:themeFill="background1" w:themeFillShade="F2"/>
            <w:vAlign w:val="center"/>
            <w:hideMark/>
          </w:tcPr>
          <w:p w14:paraId="199B6015" w14:textId="77777777" w:rsidR="00D951F2" w:rsidRPr="00167F3C" w:rsidRDefault="00D951F2" w:rsidP="00D64261">
            <w:pPr>
              <w:spacing w:line="360" w:lineRule="auto"/>
              <w:jc w:val="both"/>
              <w:rPr>
                <w:rFonts w:eastAsia="Calibri"/>
                <w:bCs/>
                <w:noProof/>
                <w:lang w:val="es-419"/>
              </w:rPr>
            </w:pPr>
            <w:r w:rsidRPr="00167F3C">
              <w:rPr>
                <w:rFonts w:eastAsia="Calibri"/>
                <w:noProof/>
                <w:lang w:val="es-419"/>
              </w:rPr>
              <w:t>Dirección de Infraestructura Escolar</w:t>
            </w:r>
          </w:p>
        </w:tc>
      </w:tr>
    </w:tbl>
    <w:p w14:paraId="518A9A5A" w14:textId="77777777" w:rsidR="00D951F2" w:rsidRPr="00D951F2" w:rsidRDefault="00D951F2" w:rsidP="00D64261">
      <w:pPr>
        <w:spacing w:line="360" w:lineRule="auto"/>
        <w:jc w:val="both"/>
        <w:rPr>
          <w:rFonts w:eastAsia="Calibri"/>
          <w:b/>
          <w:noProof/>
          <w:color w:val="4C4747"/>
          <w:lang w:val="es-DO"/>
        </w:rPr>
      </w:pPr>
      <w:bookmarkStart w:id="19" w:name="_Hlk171601539"/>
    </w:p>
    <w:bookmarkEnd w:id="19"/>
    <w:p w14:paraId="1A9FB118" w14:textId="6225B783" w:rsidR="00D951F2" w:rsidRPr="00167F3C" w:rsidRDefault="00D951F2" w:rsidP="00D64261">
      <w:pPr>
        <w:spacing w:line="360" w:lineRule="auto"/>
        <w:jc w:val="both"/>
        <w:rPr>
          <w:rFonts w:eastAsia="Calibri"/>
          <w:b/>
          <w:noProof/>
          <w:lang w:val="es-DO"/>
        </w:rPr>
      </w:pPr>
      <w:r w:rsidRPr="00167F3C">
        <w:rPr>
          <w:rFonts w:eastAsia="Calibri"/>
          <w:b/>
          <w:noProof/>
          <w:lang w:val="es-DO"/>
        </w:rPr>
        <w:lastRenderedPageBreak/>
        <w:t>Incorporaciones de Proyectos Financiados por Recursos Erxternos y Donaciones</w:t>
      </w:r>
    </w:p>
    <w:p w14:paraId="3742C5BE" w14:textId="200B7838" w:rsidR="00D951F2" w:rsidRPr="00167F3C" w:rsidRDefault="00D951F2" w:rsidP="00D64261">
      <w:pPr>
        <w:spacing w:line="360" w:lineRule="auto"/>
        <w:jc w:val="both"/>
        <w:rPr>
          <w:rFonts w:eastAsia="Calibri"/>
          <w:noProof/>
          <w:lang w:val="es-DO"/>
        </w:rPr>
      </w:pPr>
      <w:r w:rsidRPr="00167F3C">
        <w:rPr>
          <w:rFonts w:eastAsia="Calibri"/>
          <w:noProof/>
          <w:lang w:val="es-DO"/>
        </w:rPr>
        <w:t xml:space="preserve">En este periodo 2025, producto de la coordinación del Viceministerio del Tesoro, el Viceministerio de Cooperación Internacional del Ministerio de Economía Planificación y Desarrollo, la Dirección General de Presupuesto (DIGEPRES), la Dirección General de Contabilidad Gubernamental (DIGECOG) y la Tesorería Nacional, es importante resaltar que se logró la habilitación los primeros proyectos financiados con donaciones que operaban en el Subsistema UEPEX para ejecutar sus pagos en SIGEF a través de libramientos. </w:t>
      </w:r>
    </w:p>
    <w:p w14:paraId="17A8D9FA"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 xml:space="preserve">Luego de alcanzado este estándar, donde los primeros tres (3) Proyectos puestos a ejecutar en esta modalidad fueron los pertenecientes al Ministerio de la Mujer y la Policía Nacional, posteriormente, fueron incluidos cuatro (4) proyectos nuevos para operar bajo libramientos. </w:t>
      </w:r>
    </w:p>
    <w:p w14:paraId="330B0B5B" w14:textId="730FAE18" w:rsidR="00B046C6" w:rsidRPr="00167F3C" w:rsidRDefault="00D951F2" w:rsidP="00D64261">
      <w:pPr>
        <w:spacing w:line="360" w:lineRule="auto"/>
        <w:jc w:val="both"/>
        <w:rPr>
          <w:rFonts w:eastAsia="Calibri"/>
          <w:noProof/>
          <w:lang w:val="es-DO"/>
        </w:rPr>
      </w:pPr>
      <w:r w:rsidRPr="00167F3C">
        <w:rPr>
          <w:rFonts w:eastAsia="Calibri"/>
          <w:noProof/>
          <w:lang w:val="es-DO"/>
        </w:rPr>
        <w:t>En este 2025, se incluyeron cinco (5) proyectos adicionales, correspondientes a Ministerio de Administración Pública (MAP), EDENORTE, EDEESTE y al Ministerio de Agricultura, añadidos a 19 incorporaciones dentro del funcionamento tradicional para un total de 24 Proyectos-UEPEX habilitados durante el periodo enero-dic 2025, listados a continuación:</w:t>
      </w:r>
    </w:p>
    <w:p w14:paraId="214E1F59" w14:textId="77777777" w:rsidR="00443736" w:rsidRPr="00167F3C" w:rsidRDefault="00443736" w:rsidP="00D64261">
      <w:pPr>
        <w:spacing w:line="360" w:lineRule="auto"/>
        <w:jc w:val="both"/>
        <w:rPr>
          <w:rFonts w:eastAsia="Calibri"/>
          <w:noProof/>
          <w:lang w:val="es-DO"/>
        </w:rPr>
      </w:pPr>
    </w:p>
    <w:p w14:paraId="6F33A097" w14:textId="77777777" w:rsidR="00B26AAB" w:rsidRPr="00167F3C" w:rsidRDefault="00B26AAB" w:rsidP="00D64261">
      <w:pPr>
        <w:spacing w:line="360" w:lineRule="auto"/>
        <w:jc w:val="both"/>
        <w:rPr>
          <w:rFonts w:eastAsia="Calibri"/>
          <w:noProof/>
          <w:lang w:val="es-DO"/>
        </w:rPr>
      </w:pPr>
    </w:p>
    <w:p w14:paraId="0A72F219" w14:textId="77777777" w:rsidR="00B26AAB" w:rsidRPr="00167F3C" w:rsidRDefault="00B26AAB" w:rsidP="00D64261">
      <w:pPr>
        <w:spacing w:line="360" w:lineRule="auto"/>
        <w:jc w:val="both"/>
        <w:rPr>
          <w:rFonts w:eastAsia="Calibri"/>
          <w:noProof/>
          <w:lang w:val="es-DO"/>
        </w:rPr>
      </w:pPr>
    </w:p>
    <w:p w14:paraId="008FC483" w14:textId="77777777" w:rsidR="00B26AAB" w:rsidRPr="00167F3C" w:rsidRDefault="00B26AAB" w:rsidP="00D64261">
      <w:pPr>
        <w:spacing w:line="360" w:lineRule="auto"/>
        <w:jc w:val="both"/>
        <w:rPr>
          <w:rFonts w:eastAsia="Calibri"/>
          <w:noProof/>
          <w:lang w:val="es-DO"/>
        </w:rPr>
      </w:pPr>
    </w:p>
    <w:p w14:paraId="1379DD6C" w14:textId="77777777" w:rsidR="00B26AAB" w:rsidRPr="00167F3C" w:rsidRDefault="00B26AAB" w:rsidP="00D64261">
      <w:pPr>
        <w:spacing w:line="360" w:lineRule="auto"/>
        <w:jc w:val="both"/>
        <w:rPr>
          <w:rFonts w:eastAsia="Calibri"/>
          <w:noProof/>
          <w:lang w:val="es-DO"/>
        </w:rPr>
      </w:pPr>
    </w:p>
    <w:p w14:paraId="62C09598" w14:textId="77777777" w:rsidR="00B26AAB" w:rsidRPr="00167F3C" w:rsidRDefault="00B26AAB" w:rsidP="00D64261">
      <w:pPr>
        <w:spacing w:line="360" w:lineRule="auto"/>
        <w:jc w:val="both"/>
        <w:rPr>
          <w:rFonts w:eastAsia="Calibri"/>
          <w:noProof/>
          <w:lang w:val="es-DO"/>
        </w:rPr>
      </w:pPr>
    </w:p>
    <w:p w14:paraId="364BFC27" w14:textId="35BE2C6A" w:rsidR="00D951F2" w:rsidRPr="00167F3C" w:rsidRDefault="00D951F2" w:rsidP="00D64261">
      <w:pPr>
        <w:spacing w:after="0" w:line="360" w:lineRule="auto"/>
        <w:jc w:val="center"/>
        <w:rPr>
          <w:rFonts w:eastAsia="Calibri"/>
          <w:b/>
          <w:bCs/>
          <w:noProof/>
          <w:lang w:val="es-DO"/>
        </w:rPr>
      </w:pPr>
      <w:r w:rsidRPr="00167F3C">
        <w:rPr>
          <w:rFonts w:eastAsia="Calibri"/>
          <w:b/>
          <w:bCs/>
          <w:noProof/>
          <w:lang w:val="es-DO"/>
        </w:rPr>
        <w:lastRenderedPageBreak/>
        <w:t xml:space="preserve">Cuadro No. </w:t>
      </w:r>
      <w:r w:rsidR="008D7279" w:rsidRPr="00167F3C">
        <w:rPr>
          <w:rFonts w:eastAsia="Calibri"/>
          <w:b/>
          <w:bCs/>
          <w:noProof/>
          <w:lang w:val="es-DO"/>
        </w:rPr>
        <w:t>14</w:t>
      </w:r>
    </w:p>
    <w:p w14:paraId="7488B4F3" w14:textId="2FD171B6" w:rsidR="00D951F2" w:rsidRPr="00D951F2" w:rsidRDefault="00D951F2" w:rsidP="00D64261">
      <w:pPr>
        <w:spacing w:after="0" w:line="360" w:lineRule="auto"/>
        <w:jc w:val="center"/>
        <w:rPr>
          <w:rFonts w:eastAsia="Calibri"/>
          <w:b/>
          <w:bCs/>
          <w:noProof/>
          <w:color w:val="4C4747"/>
          <w:lang w:val="es-DO"/>
        </w:rPr>
      </w:pPr>
      <w:r w:rsidRPr="00167F3C">
        <w:rPr>
          <w:rFonts w:eastAsia="Calibri"/>
          <w:b/>
          <w:bCs/>
          <w:noProof/>
          <w:lang w:val="es-DO"/>
        </w:rPr>
        <w:t>Tesoreria Nacional</w:t>
      </w:r>
    </w:p>
    <w:tbl>
      <w:tblPr>
        <w:tblStyle w:val="Estilo1"/>
        <w:tblW w:w="5459" w:type="pct"/>
        <w:tblLayout w:type="fixed"/>
        <w:tblLook w:val="04A0" w:firstRow="1" w:lastRow="0" w:firstColumn="1" w:lastColumn="0" w:noHBand="0" w:noVBand="1"/>
      </w:tblPr>
      <w:tblGrid>
        <w:gridCol w:w="520"/>
        <w:gridCol w:w="4298"/>
        <w:gridCol w:w="1985"/>
        <w:gridCol w:w="1844"/>
      </w:tblGrid>
      <w:tr w:rsidR="00D951F2" w:rsidRPr="00D951F2" w14:paraId="743DF2DF" w14:textId="77777777" w:rsidTr="00443736">
        <w:trPr>
          <w:trHeight w:val="412"/>
          <w:tblHeader/>
        </w:trPr>
        <w:tc>
          <w:tcPr>
            <w:tcW w:w="301" w:type="pct"/>
            <w:shd w:val="clear" w:color="auto" w:fill="011C50"/>
            <w:vAlign w:val="center"/>
          </w:tcPr>
          <w:p w14:paraId="3B92C471" w14:textId="77777777" w:rsidR="00D951F2" w:rsidRPr="00D951F2" w:rsidRDefault="00D951F2" w:rsidP="00D64261">
            <w:pPr>
              <w:spacing w:after="160" w:line="360" w:lineRule="auto"/>
              <w:jc w:val="both"/>
              <w:rPr>
                <w:rFonts w:eastAsia="Calibri"/>
                <w:b/>
                <w:bCs/>
                <w:noProof/>
                <w:color w:val="FFFFFF" w:themeColor="background1"/>
                <w:lang w:val="es-DO"/>
              </w:rPr>
            </w:pPr>
          </w:p>
        </w:tc>
        <w:tc>
          <w:tcPr>
            <w:tcW w:w="2485" w:type="pct"/>
            <w:shd w:val="clear" w:color="auto" w:fill="011C50"/>
            <w:vAlign w:val="center"/>
            <w:hideMark/>
          </w:tcPr>
          <w:p w14:paraId="0886E7C4" w14:textId="77777777" w:rsidR="00D951F2" w:rsidRPr="00D951F2" w:rsidRDefault="00D951F2" w:rsidP="00D64261">
            <w:pPr>
              <w:spacing w:after="160"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 xml:space="preserve">Proyectos Habilitados para Ejecutar Pagos por </w:t>
            </w:r>
            <w:r w:rsidRPr="00D951F2">
              <w:rPr>
                <w:rFonts w:eastAsia="Calibri"/>
                <w:b/>
                <w:bCs/>
                <w:noProof/>
                <w:color w:val="FFFFFF" w:themeColor="background1"/>
                <w:u w:val="single"/>
                <w:lang w:val="es-DO"/>
              </w:rPr>
              <w:t>Libramientos</w:t>
            </w:r>
            <w:r w:rsidRPr="00D951F2">
              <w:rPr>
                <w:rFonts w:eastAsia="Calibri"/>
                <w:b/>
                <w:bCs/>
                <w:noProof/>
                <w:color w:val="FFFFFF" w:themeColor="background1"/>
                <w:lang w:val="es-DO"/>
              </w:rPr>
              <w:t xml:space="preserve"> en el 2025</w:t>
            </w:r>
          </w:p>
        </w:tc>
        <w:tc>
          <w:tcPr>
            <w:tcW w:w="1148" w:type="pct"/>
            <w:shd w:val="clear" w:color="auto" w:fill="011C50"/>
            <w:vAlign w:val="center"/>
            <w:hideMark/>
          </w:tcPr>
          <w:p w14:paraId="3A75ECF8" w14:textId="77777777" w:rsidR="00D951F2" w:rsidRPr="00D951F2" w:rsidRDefault="00D951F2" w:rsidP="00D64261">
            <w:pPr>
              <w:spacing w:after="160" w:line="360" w:lineRule="auto"/>
              <w:jc w:val="both"/>
              <w:rPr>
                <w:rFonts w:eastAsia="Calibri"/>
                <w:b/>
                <w:bCs/>
                <w:noProof/>
                <w:color w:val="FFFFFF" w:themeColor="background1"/>
                <w:lang w:val="es-ES"/>
              </w:rPr>
            </w:pPr>
            <w:r w:rsidRPr="00D951F2">
              <w:rPr>
                <w:rFonts w:eastAsia="Calibri"/>
                <w:b/>
                <w:bCs/>
                <w:noProof/>
                <w:color w:val="FFFFFF" w:themeColor="background1"/>
                <w:lang w:val="es-ES"/>
              </w:rPr>
              <w:t>Institución</w:t>
            </w:r>
          </w:p>
        </w:tc>
        <w:tc>
          <w:tcPr>
            <w:tcW w:w="1066" w:type="pct"/>
            <w:shd w:val="clear" w:color="auto" w:fill="011C50"/>
            <w:vAlign w:val="center"/>
            <w:hideMark/>
          </w:tcPr>
          <w:p w14:paraId="5910CAB9" w14:textId="77777777" w:rsidR="00D951F2" w:rsidRPr="00D951F2" w:rsidRDefault="00D951F2" w:rsidP="00D64261">
            <w:pPr>
              <w:spacing w:after="160" w:line="360" w:lineRule="auto"/>
              <w:jc w:val="both"/>
              <w:rPr>
                <w:rFonts w:eastAsia="Calibri"/>
                <w:b/>
                <w:bCs/>
                <w:noProof/>
                <w:color w:val="FFFFFF" w:themeColor="background1"/>
                <w:lang w:val="es-ES"/>
              </w:rPr>
            </w:pPr>
            <w:r w:rsidRPr="00D951F2">
              <w:rPr>
                <w:rFonts w:eastAsia="Calibri"/>
                <w:b/>
                <w:bCs/>
                <w:noProof/>
                <w:color w:val="FFFFFF" w:themeColor="background1"/>
                <w:lang w:val="es-ES"/>
              </w:rPr>
              <w:t>Fuente Específica</w:t>
            </w:r>
          </w:p>
        </w:tc>
      </w:tr>
      <w:tr w:rsidR="00167F3C" w:rsidRPr="00167F3C" w14:paraId="517CC94E" w14:textId="77777777" w:rsidTr="006F7E31">
        <w:trPr>
          <w:trHeight w:val="1213"/>
        </w:trPr>
        <w:tc>
          <w:tcPr>
            <w:tcW w:w="301" w:type="pct"/>
            <w:vAlign w:val="center"/>
          </w:tcPr>
          <w:p w14:paraId="079B42C9" w14:textId="77777777" w:rsidR="00D951F2" w:rsidRPr="00167F3C" w:rsidRDefault="00D951F2" w:rsidP="004C2709">
            <w:pPr>
              <w:numPr>
                <w:ilvl w:val="0"/>
                <w:numId w:val="12"/>
              </w:numPr>
              <w:spacing w:after="160" w:line="360" w:lineRule="auto"/>
              <w:jc w:val="both"/>
              <w:rPr>
                <w:rFonts w:eastAsia="Calibri"/>
                <w:bCs/>
                <w:noProof/>
                <w:color w:val="767171"/>
                <w:lang w:val="es-DO"/>
              </w:rPr>
            </w:pPr>
          </w:p>
        </w:tc>
        <w:tc>
          <w:tcPr>
            <w:tcW w:w="2485" w:type="pct"/>
            <w:vAlign w:val="center"/>
          </w:tcPr>
          <w:p w14:paraId="6A5DD08A" w14:textId="77777777" w:rsidR="00D951F2" w:rsidRPr="00167F3C" w:rsidRDefault="00D951F2" w:rsidP="00D64261">
            <w:pPr>
              <w:spacing w:after="160" w:line="360" w:lineRule="auto"/>
              <w:jc w:val="both"/>
              <w:rPr>
                <w:rFonts w:eastAsia="Calibri"/>
                <w:bCs/>
                <w:noProof/>
                <w:color w:val="767171"/>
                <w:lang w:val="es-DO"/>
              </w:rPr>
            </w:pPr>
            <w:r w:rsidRPr="00167F3C">
              <w:rPr>
                <w:rFonts w:eastAsia="Calibri"/>
                <w:bCs/>
                <w:noProof/>
                <w:color w:val="767171"/>
                <w:lang w:val="es-DO"/>
              </w:rPr>
              <w:t>Proyecto de Apoyo a la Implementación del Plan de Reforma y Modernización del Estado</w:t>
            </w:r>
          </w:p>
        </w:tc>
        <w:tc>
          <w:tcPr>
            <w:tcW w:w="1148" w:type="pct"/>
            <w:noWrap/>
          </w:tcPr>
          <w:p w14:paraId="2C162ED4" w14:textId="77777777" w:rsidR="00D951F2" w:rsidRPr="00167F3C" w:rsidRDefault="00D951F2" w:rsidP="00D64261">
            <w:pPr>
              <w:spacing w:after="160" w:line="360" w:lineRule="auto"/>
              <w:jc w:val="both"/>
              <w:rPr>
                <w:rFonts w:eastAsia="Calibri"/>
                <w:bCs/>
                <w:noProof/>
                <w:color w:val="767171"/>
                <w:lang w:val="es-DO"/>
              </w:rPr>
            </w:pPr>
            <w:r w:rsidRPr="00167F3C">
              <w:rPr>
                <w:rFonts w:eastAsia="Calibri"/>
                <w:bCs/>
                <w:noProof/>
                <w:color w:val="767171"/>
                <w:lang w:val="es-DO"/>
              </w:rPr>
              <w:t>Ministerio de Administración Pública (MAP)/</w:t>
            </w:r>
          </w:p>
          <w:p w14:paraId="6A0F35AF" w14:textId="77777777" w:rsidR="00D951F2" w:rsidRPr="00167F3C" w:rsidRDefault="00D951F2" w:rsidP="00D64261">
            <w:pPr>
              <w:spacing w:after="160" w:line="360" w:lineRule="auto"/>
              <w:jc w:val="both"/>
              <w:rPr>
                <w:rFonts w:eastAsia="Calibri"/>
                <w:bCs/>
                <w:noProof/>
                <w:color w:val="767171"/>
                <w:lang w:val="es-DO"/>
              </w:rPr>
            </w:pPr>
            <w:r w:rsidRPr="00167F3C">
              <w:rPr>
                <w:rFonts w:eastAsia="Calibri"/>
                <w:bCs/>
                <w:noProof/>
                <w:color w:val="767171"/>
                <w:lang w:val="es-DO"/>
              </w:rPr>
              <w:t>Libramiento</w:t>
            </w:r>
          </w:p>
        </w:tc>
        <w:tc>
          <w:tcPr>
            <w:tcW w:w="1066" w:type="pct"/>
            <w:noWrap/>
            <w:vAlign w:val="center"/>
          </w:tcPr>
          <w:p w14:paraId="648B5D07" w14:textId="77777777" w:rsidR="00D951F2" w:rsidRPr="00167F3C" w:rsidRDefault="00D951F2" w:rsidP="00D64261">
            <w:pPr>
              <w:spacing w:after="160" w:line="360" w:lineRule="auto"/>
              <w:jc w:val="both"/>
              <w:rPr>
                <w:rFonts w:eastAsia="Calibri"/>
                <w:bCs/>
                <w:noProof/>
                <w:color w:val="767171"/>
                <w:lang w:val="es-DO"/>
              </w:rPr>
            </w:pPr>
            <w:r w:rsidRPr="00167F3C">
              <w:rPr>
                <w:rFonts w:eastAsia="Calibri"/>
                <w:bCs/>
                <w:noProof/>
                <w:color w:val="767171"/>
                <w:lang w:val="es-DO"/>
              </w:rPr>
              <w:t>22623101000300</w:t>
            </w:r>
          </w:p>
        </w:tc>
      </w:tr>
      <w:tr w:rsidR="00167F3C" w:rsidRPr="00167F3C" w14:paraId="7F785E20" w14:textId="77777777" w:rsidTr="006F7E31">
        <w:trPr>
          <w:trHeight w:val="243"/>
        </w:trPr>
        <w:tc>
          <w:tcPr>
            <w:tcW w:w="301" w:type="pct"/>
            <w:shd w:val="clear" w:color="auto" w:fill="D9D9D9"/>
            <w:vAlign w:val="center"/>
          </w:tcPr>
          <w:p w14:paraId="3B43A787" w14:textId="77777777" w:rsidR="00D951F2" w:rsidRPr="00167F3C" w:rsidRDefault="00D951F2" w:rsidP="004C2709">
            <w:pPr>
              <w:numPr>
                <w:ilvl w:val="0"/>
                <w:numId w:val="12"/>
              </w:numPr>
              <w:spacing w:after="160" w:line="360" w:lineRule="auto"/>
              <w:jc w:val="both"/>
              <w:rPr>
                <w:rFonts w:eastAsia="Calibri"/>
                <w:bCs/>
                <w:noProof/>
                <w:color w:val="767171"/>
                <w:lang w:val="es-DO"/>
              </w:rPr>
            </w:pPr>
          </w:p>
        </w:tc>
        <w:tc>
          <w:tcPr>
            <w:tcW w:w="2485" w:type="pct"/>
            <w:shd w:val="clear" w:color="auto" w:fill="D9D9D9"/>
          </w:tcPr>
          <w:p w14:paraId="2D7EB8FD" w14:textId="77777777" w:rsidR="00D951F2" w:rsidRPr="00167F3C" w:rsidRDefault="00D951F2" w:rsidP="00D64261">
            <w:pPr>
              <w:spacing w:after="160" w:line="360" w:lineRule="auto"/>
              <w:jc w:val="both"/>
              <w:rPr>
                <w:rFonts w:eastAsia="Calibri"/>
                <w:bCs/>
                <w:noProof/>
                <w:color w:val="767171"/>
                <w:lang w:val="es-DO"/>
              </w:rPr>
            </w:pPr>
            <w:r w:rsidRPr="00167F3C">
              <w:rPr>
                <w:rFonts w:eastAsia="Calibri"/>
                <w:bCs/>
                <w:noProof/>
                <w:color w:val="767171"/>
                <w:lang w:val="es-DO"/>
              </w:rPr>
              <w:t>Programa De Mejoramiento De Los Sistemas Nacionales De Distribución Contrato de Préstamo OFID 15216p y 15217p</w:t>
            </w:r>
          </w:p>
        </w:tc>
        <w:tc>
          <w:tcPr>
            <w:tcW w:w="1148" w:type="pct"/>
            <w:shd w:val="clear" w:color="auto" w:fill="D9D9D9"/>
            <w:noWrap/>
            <w:vAlign w:val="center"/>
          </w:tcPr>
          <w:p w14:paraId="718B9EAB" w14:textId="77777777" w:rsidR="00D951F2" w:rsidRPr="00167F3C" w:rsidRDefault="00D951F2" w:rsidP="00D64261">
            <w:pPr>
              <w:spacing w:after="160" w:line="360" w:lineRule="auto"/>
              <w:jc w:val="both"/>
              <w:rPr>
                <w:rFonts w:eastAsia="Calibri"/>
                <w:bCs/>
                <w:noProof/>
                <w:color w:val="767171"/>
                <w:lang w:val="es-DO"/>
              </w:rPr>
            </w:pPr>
            <w:r w:rsidRPr="00167F3C">
              <w:rPr>
                <w:rFonts w:eastAsia="Calibri"/>
                <w:bCs/>
                <w:noProof/>
                <w:color w:val="767171"/>
                <w:lang w:val="es-DO"/>
              </w:rPr>
              <w:t>EDENORTE/</w:t>
            </w:r>
          </w:p>
          <w:p w14:paraId="14530162" w14:textId="77777777" w:rsidR="00D951F2" w:rsidRPr="00167F3C" w:rsidRDefault="00D951F2" w:rsidP="00D64261">
            <w:pPr>
              <w:spacing w:after="160" w:line="360" w:lineRule="auto"/>
              <w:jc w:val="both"/>
              <w:rPr>
                <w:rFonts w:eastAsia="Calibri"/>
                <w:bCs/>
                <w:noProof/>
                <w:color w:val="767171"/>
                <w:lang w:val="es-DO"/>
              </w:rPr>
            </w:pPr>
            <w:r w:rsidRPr="00167F3C">
              <w:rPr>
                <w:rFonts w:eastAsia="Calibri"/>
                <w:bCs/>
                <w:noProof/>
                <w:color w:val="767171"/>
                <w:lang w:val="es-DO"/>
              </w:rPr>
              <w:t>Libramiento</w:t>
            </w:r>
          </w:p>
        </w:tc>
        <w:tc>
          <w:tcPr>
            <w:tcW w:w="1066" w:type="pct"/>
            <w:shd w:val="clear" w:color="auto" w:fill="D9D9D9"/>
            <w:noWrap/>
            <w:vAlign w:val="center"/>
          </w:tcPr>
          <w:p w14:paraId="4F68B86F" w14:textId="77777777" w:rsidR="00D951F2" w:rsidRPr="00167F3C" w:rsidRDefault="00D951F2" w:rsidP="00D64261">
            <w:pPr>
              <w:spacing w:after="160" w:line="360" w:lineRule="auto"/>
              <w:jc w:val="both"/>
              <w:rPr>
                <w:rFonts w:eastAsia="Calibri"/>
                <w:bCs/>
                <w:noProof/>
                <w:color w:val="767171"/>
                <w:lang w:val="es-DO"/>
              </w:rPr>
            </w:pPr>
            <w:r w:rsidRPr="00167F3C">
              <w:rPr>
                <w:rFonts w:eastAsia="Calibri"/>
                <w:bCs/>
                <w:noProof/>
                <w:color w:val="767171"/>
                <w:lang w:val="es-DO"/>
              </w:rPr>
              <w:t>22623101000301</w:t>
            </w:r>
          </w:p>
        </w:tc>
      </w:tr>
      <w:tr w:rsidR="00167F3C" w:rsidRPr="00167F3C" w14:paraId="3C89CAA6" w14:textId="77777777" w:rsidTr="006F7E31">
        <w:trPr>
          <w:trHeight w:val="243"/>
        </w:trPr>
        <w:tc>
          <w:tcPr>
            <w:tcW w:w="301" w:type="pct"/>
            <w:vAlign w:val="center"/>
          </w:tcPr>
          <w:p w14:paraId="47BFEFBB" w14:textId="77777777" w:rsidR="00D951F2" w:rsidRPr="00167F3C" w:rsidRDefault="00D951F2" w:rsidP="004C2709">
            <w:pPr>
              <w:numPr>
                <w:ilvl w:val="0"/>
                <w:numId w:val="12"/>
              </w:numPr>
              <w:spacing w:after="160" w:line="360" w:lineRule="auto"/>
              <w:jc w:val="both"/>
              <w:rPr>
                <w:rFonts w:eastAsia="Calibri"/>
                <w:bCs/>
                <w:noProof/>
                <w:color w:val="767171"/>
                <w:lang w:val="es-DO"/>
              </w:rPr>
            </w:pPr>
          </w:p>
        </w:tc>
        <w:tc>
          <w:tcPr>
            <w:tcW w:w="2485" w:type="pct"/>
          </w:tcPr>
          <w:p w14:paraId="295CA763" w14:textId="77777777" w:rsidR="00D951F2" w:rsidRPr="00167F3C" w:rsidRDefault="00D951F2" w:rsidP="00D64261">
            <w:pPr>
              <w:spacing w:after="160" w:line="360" w:lineRule="auto"/>
              <w:jc w:val="both"/>
              <w:rPr>
                <w:rFonts w:eastAsia="Calibri"/>
                <w:bCs/>
                <w:noProof/>
                <w:color w:val="767171"/>
                <w:lang w:val="es-419"/>
              </w:rPr>
            </w:pPr>
            <w:r w:rsidRPr="00167F3C">
              <w:rPr>
                <w:rFonts w:eastAsia="Calibri"/>
                <w:bCs/>
                <w:noProof/>
                <w:color w:val="767171"/>
                <w:lang w:val="es-DO"/>
              </w:rPr>
              <w:t>Programa de Mejoramiento de los Sistemas Nacionales de Distribución Contrato De Préstamo OFID 15216p y 15217p</w:t>
            </w:r>
          </w:p>
        </w:tc>
        <w:tc>
          <w:tcPr>
            <w:tcW w:w="1148" w:type="pct"/>
            <w:noWrap/>
            <w:vAlign w:val="center"/>
          </w:tcPr>
          <w:p w14:paraId="628E3B42" w14:textId="77777777" w:rsidR="00D951F2" w:rsidRPr="00167F3C" w:rsidRDefault="00D951F2" w:rsidP="00D64261">
            <w:pPr>
              <w:spacing w:after="160" w:line="360" w:lineRule="auto"/>
              <w:jc w:val="both"/>
              <w:rPr>
                <w:rFonts w:eastAsia="Calibri"/>
                <w:bCs/>
                <w:noProof/>
                <w:color w:val="767171"/>
                <w:lang w:val="es-DO"/>
              </w:rPr>
            </w:pPr>
            <w:r w:rsidRPr="00167F3C">
              <w:rPr>
                <w:rFonts w:eastAsia="Calibri"/>
                <w:bCs/>
                <w:noProof/>
                <w:color w:val="767171"/>
                <w:lang w:val="es-DO"/>
              </w:rPr>
              <w:t>EDEESTE/ Libramiento</w:t>
            </w:r>
          </w:p>
        </w:tc>
        <w:tc>
          <w:tcPr>
            <w:tcW w:w="1066" w:type="pct"/>
            <w:noWrap/>
            <w:vAlign w:val="center"/>
          </w:tcPr>
          <w:p w14:paraId="058438F5" w14:textId="77777777" w:rsidR="00D951F2" w:rsidRPr="00167F3C" w:rsidRDefault="00D951F2" w:rsidP="00D64261">
            <w:pPr>
              <w:spacing w:after="160" w:line="360" w:lineRule="auto"/>
              <w:jc w:val="both"/>
              <w:rPr>
                <w:rFonts w:eastAsia="Calibri"/>
                <w:bCs/>
                <w:noProof/>
                <w:color w:val="767171"/>
                <w:lang w:val="es-DO"/>
              </w:rPr>
            </w:pPr>
            <w:r w:rsidRPr="00167F3C">
              <w:rPr>
                <w:rFonts w:eastAsia="Calibri"/>
                <w:bCs/>
                <w:noProof/>
                <w:color w:val="767171"/>
                <w:lang w:val="es-DO"/>
              </w:rPr>
              <w:t>22623101000302</w:t>
            </w:r>
          </w:p>
        </w:tc>
      </w:tr>
      <w:tr w:rsidR="00167F3C" w:rsidRPr="00167F3C" w14:paraId="7907C717" w14:textId="77777777" w:rsidTr="006F7E31">
        <w:trPr>
          <w:trHeight w:val="243"/>
        </w:trPr>
        <w:tc>
          <w:tcPr>
            <w:tcW w:w="301" w:type="pct"/>
            <w:shd w:val="clear" w:color="auto" w:fill="D9D9D9"/>
            <w:vAlign w:val="center"/>
          </w:tcPr>
          <w:p w14:paraId="0D300C43" w14:textId="77777777" w:rsidR="00D951F2" w:rsidRPr="00167F3C" w:rsidRDefault="00D951F2" w:rsidP="004C2709">
            <w:pPr>
              <w:numPr>
                <w:ilvl w:val="0"/>
                <w:numId w:val="12"/>
              </w:numPr>
              <w:spacing w:after="160" w:line="360" w:lineRule="auto"/>
              <w:jc w:val="both"/>
              <w:rPr>
                <w:rFonts w:eastAsia="Calibri"/>
                <w:bCs/>
                <w:noProof/>
                <w:color w:val="767171"/>
                <w:lang w:val="es-DO"/>
              </w:rPr>
            </w:pPr>
          </w:p>
        </w:tc>
        <w:tc>
          <w:tcPr>
            <w:tcW w:w="2485" w:type="pct"/>
            <w:shd w:val="clear" w:color="auto" w:fill="D9D9D9"/>
          </w:tcPr>
          <w:p w14:paraId="07532489" w14:textId="77777777" w:rsidR="00D951F2" w:rsidRPr="00167F3C" w:rsidRDefault="00D951F2" w:rsidP="00D64261">
            <w:pPr>
              <w:spacing w:after="160" w:line="360" w:lineRule="auto"/>
              <w:jc w:val="both"/>
              <w:rPr>
                <w:rFonts w:eastAsia="Calibri"/>
                <w:bCs/>
                <w:noProof/>
                <w:color w:val="767171"/>
                <w:lang w:val="es-419"/>
              </w:rPr>
            </w:pPr>
            <w:r w:rsidRPr="00167F3C">
              <w:rPr>
                <w:rFonts w:eastAsia="Calibri"/>
                <w:bCs/>
                <w:noProof/>
                <w:color w:val="767171"/>
                <w:lang w:val="es-DO"/>
              </w:rPr>
              <w:t>Programa de Financiamiento de Inversiones Sostenibles y Mejora de la Productividad en el Sector Agrícola de la República Dominica.</w:t>
            </w:r>
          </w:p>
        </w:tc>
        <w:tc>
          <w:tcPr>
            <w:tcW w:w="1148" w:type="pct"/>
            <w:shd w:val="clear" w:color="auto" w:fill="D9D9D9"/>
            <w:noWrap/>
            <w:vAlign w:val="center"/>
          </w:tcPr>
          <w:p w14:paraId="1BAD461B" w14:textId="77777777" w:rsidR="00D951F2" w:rsidRPr="00167F3C" w:rsidRDefault="00D951F2" w:rsidP="00D64261">
            <w:pPr>
              <w:spacing w:after="160" w:line="360" w:lineRule="auto"/>
              <w:jc w:val="both"/>
              <w:rPr>
                <w:rFonts w:eastAsia="Calibri"/>
                <w:bCs/>
                <w:noProof/>
                <w:color w:val="767171"/>
                <w:lang w:val="es-DO"/>
              </w:rPr>
            </w:pPr>
            <w:r w:rsidRPr="00167F3C">
              <w:rPr>
                <w:rFonts w:eastAsia="Calibri"/>
                <w:bCs/>
                <w:noProof/>
                <w:color w:val="767171"/>
                <w:lang w:val="es-DO"/>
              </w:rPr>
              <w:t>Ministerio de Agricultura/</w:t>
            </w:r>
          </w:p>
          <w:p w14:paraId="61674556" w14:textId="77777777" w:rsidR="00D951F2" w:rsidRPr="00167F3C" w:rsidRDefault="00D951F2" w:rsidP="00D64261">
            <w:pPr>
              <w:spacing w:after="160" w:line="360" w:lineRule="auto"/>
              <w:jc w:val="both"/>
              <w:rPr>
                <w:rFonts w:eastAsia="Calibri"/>
                <w:bCs/>
                <w:noProof/>
                <w:color w:val="767171"/>
                <w:lang w:val="es-DO"/>
              </w:rPr>
            </w:pPr>
            <w:r w:rsidRPr="00167F3C">
              <w:rPr>
                <w:rFonts w:eastAsia="Calibri"/>
                <w:bCs/>
                <w:noProof/>
                <w:color w:val="767171"/>
                <w:lang w:val="es-DO"/>
              </w:rPr>
              <w:t>Libramiento</w:t>
            </w:r>
          </w:p>
        </w:tc>
        <w:tc>
          <w:tcPr>
            <w:tcW w:w="1066" w:type="pct"/>
            <w:shd w:val="clear" w:color="auto" w:fill="D9D9D9"/>
            <w:noWrap/>
            <w:vAlign w:val="center"/>
          </w:tcPr>
          <w:p w14:paraId="51DBD1AD" w14:textId="77777777" w:rsidR="00D951F2" w:rsidRPr="00167F3C" w:rsidRDefault="00D951F2" w:rsidP="00D64261">
            <w:pPr>
              <w:spacing w:after="160" w:line="360" w:lineRule="auto"/>
              <w:jc w:val="both"/>
              <w:rPr>
                <w:rFonts w:eastAsia="Calibri"/>
                <w:bCs/>
                <w:noProof/>
                <w:color w:val="767171"/>
                <w:lang w:val="es-DO"/>
              </w:rPr>
            </w:pPr>
            <w:r w:rsidRPr="00167F3C">
              <w:rPr>
                <w:rFonts w:eastAsia="Calibri"/>
                <w:bCs/>
                <w:noProof/>
                <w:color w:val="767171"/>
                <w:lang w:val="es-DO"/>
              </w:rPr>
              <w:t>22623101000303</w:t>
            </w:r>
          </w:p>
        </w:tc>
      </w:tr>
      <w:tr w:rsidR="00D951F2" w:rsidRPr="00167F3C" w14:paraId="66A1D3F4" w14:textId="77777777" w:rsidTr="006F7E31">
        <w:trPr>
          <w:trHeight w:val="243"/>
        </w:trPr>
        <w:tc>
          <w:tcPr>
            <w:tcW w:w="301" w:type="pct"/>
            <w:vAlign w:val="center"/>
          </w:tcPr>
          <w:p w14:paraId="3A6DB71D" w14:textId="77777777" w:rsidR="00D951F2" w:rsidRPr="00167F3C" w:rsidRDefault="00D951F2" w:rsidP="004C2709">
            <w:pPr>
              <w:numPr>
                <w:ilvl w:val="0"/>
                <w:numId w:val="12"/>
              </w:numPr>
              <w:spacing w:after="160" w:line="360" w:lineRule="auto"/>
              <w:jc w:val="both"/>
              <w:rPr>
                <w:rFonts w:eastAsia="Calibri"/>
                <w:bCs/>
                <w:noProof/>
                <w:color w:val="767171"/>
                <w:lang w:val="es-DO"/>
              </w:rPr>
            </w:pPr>
          </w:p>
        </w:tc>
        <w:tc>
          <w:tcPr>
            <w:tcW w:w="2485" w:type="pct"/>
          </w:tcPr>
          <w:p w14:paraId="1E16B3D2" w14:textId="77777777" w:rsidR="00D951F2" w:rsidRPr="00167F3C" w:rsidRDefault="00D951F2" w:rsidP="00D64261">
            <w:pPr>
              <w:spacing w:after="160" w:line="360" w:lineRule="auto"/>
              <w:jc w:val="both"/>
              <w:rPr>
                <w:rFonts w:eastAsia="Calibri"/>
                <w:bCs/>
                <w:noProof/>
                <w:color w:val="767171"/>
                <w:lang w:val="es-419"/>
              </w:rPr>
            </w:pPr>
            <w:r w:rsidRPr="00167F3C">
              <w:rPr>
                <w:rFonts w:eastAsia="Calibri"/>
                <w:bCs/>
                <w:noProof/>
                <w:color w:val="767171"/>
                <w:lang w:val="es-DO"/>
              </w:rPr>
              <w:t>Programa de Financiación de Inversiones Sostenibles y Mejora de la Productividad en el Sector Agrícola de la República Dominicana”</w:t>
            </w:r>
          </w:p>
        </w:tc>
        <w:tc>
          <w:tcPr>
            <w:tcW w:w="1148" w:type="pct"/>
            <w:noWrap/>
            <w:vAlign w:val="center"/>
          </w:tcPr>
          <w:p w14:paraId="67FD426C" w14:textId="77777777" w:rsidR="00D951F2" w:rsidRPr="00167F3C" w:rsidRDefault="00D951F2" w:rsidP="00D64261">
            <w:pPr>
              <w:spacing w:after="160" w:line="360" w:lineRule="auto"/>
              <w:jc w:val="both"/>
              <w:rPr>
                <w:rFonts w:eastAsia="Calibri"/>
                <w:bCs/>
                <w:noProof/>
                <w:color w:val="767171"/>
                <w:lang w:val="es-DO"/>
              </w:rPr>
            </w:pPr>
            <w:r w:rsidRPr="00167F3C">
              <w:rPr>
                <w:rFonts w:eastAsia="Calibri"/>
                <w:bCs/>
                <w:noProof/>
                <w:color w:val="767171"/>
                <w:lang w:val="es-DO"/>
              </w:rPr>
              <w:t>Ministerio de Agricultura/</w:t>
            </w:r>
          </w:p>
          <w:p w14:paraId="79EA1FD8" w14:textId="77777777" w:rsidR="00D951F2" w:rsidRPr="00167F3C" w:rsidRDefault="00D951F2" w:rsidP="00D64261">
            <w:pPr>
              <w:spacing w:after="160" w:line="360" w:lineRule="auto"/>
              <w:jc w:val="both"/>
              <w:rPr>
                <w:rFonts w:eastAsia="Calibri"/>
                <w:bCs/>
                <w:noProof/>
                <w:color w:val="767171"/>
                <w:lang w:val="es-DO"/>
              </w:rPr>
            </w:pPr>
            <w:r w:rsidRPr="00167F3C">
              <w:rPr>
                <w:rFonts w:eastAsia="Calibri"/>
                <w:bCs/>
                <w:noProof/>
                <w:color w:val="767171"/>
                <w:lang w:val="es-DO"/>
              </w:rPr>
              <w:t>Libramiento</w:t>
            </w:r>
          </w:p>
        </w:tc>
        <w:tc>
          <w:tcPr>
            <w:tcW w:w="1066" w:type="pct"/>
            <w:noWrap/>
            <w:vAlign w:val="center"/>
          </w:tcPr>
          <w:p w14:paraId="25D48FEA" w14:textId="77777777" w:rsidR="00D951F2" w:rsidRPr="00167F3C" w:rsidRDefault="00D951F2" w:rsidP="00D64261">
            <w:pPr>
              <w:spacing w:after="160" w:line="360" w:lineRule="auto"/>
              <w:jc w:val="both"/>
              <w:rPr>
                <w:rFonts w:eastAsia="Calibri"/>
                <w:bCs/>
                <w:noProof/>
                <w:color w:val="767171"/>
                <w:lang w:val="es-DO"/>
              </w:rPr>
            </w:pPr>
            <w:r w:rsidRPr="00167F3C">
              <w:rPr>
                <w:rFonts w:eastAsia="Calibri"/>
                <w:bCs/>
                <w:noProof/>
                <w:color w:val="767171"/>
                <w:lang w:val="es-DO"/>
              </w:rPr>
              <w:t>22623101000304</w:t>
            </w:r>
          </w:p>
        </w:tc>
      </w:tr>
      <w:bookmarkEnd w:id="7"/>
    </w:tbl>
    <w:p w14:paraId="45DA39E0" w14:textId="77777777" w:rsidR="00F55EF4" w:rsidRPr="00167F3C" w:rsidRDefault="00F55EF4" w:rsidP="00D64261">
      <w:pPr>
        <w:spacing w:line="360" w:lineRule="auto"/>
        <w:jc w:val="both"/>
        <w:rPr>
          <w:rFonts w:eastAsia="Calibri"/>
          <w:bCs/>
          <w:noProof/>
          <w:lang w:val="es-DO"/>
        </w:rPr>
      </w:pPr>
    </w:p>
    <w:p w14:paraId="1F29BE13" w14:textId="77777777" w:rsidR="00D951F2" w:rsidRPr="00167F3C" w:rsidRDefault="00D951F2" w:rsidP="00D64261">
      <w:pPr>
        <w:spacing w:line="360" w:lineRule="auto"/>
        <w:jc w:val="both"/>
        <w:rPr>
          <w:rFonts w:eastAsia="Calibri"/>
          <w:b/>
          <w:noProof/>
          <w:lang w:val="es-DO"/>
        </w:rPr>
      </w:pPr>
      <w:r w:rsidRPr="00167F3C">
        <w:rPr>
          <w:rFonts w:eastAsia="Calibri"/>
          <w:b/>
          <w:noProof/>
          <w:lang w:val="es-DO"/>
        </w:rPr>
        <w:lastRenderedPageBreak/>
        <w:t>Proyectos UEPEX incorporados dentro del funcionamiento tradicional:</w:t>
      </w:r>
    </w:p>
    <w:p w14:paraId="1F6DAF27" w14:textId="14F9D397" w:rsidR="00D951F2" w:rsidRPr="00167F3C" w:rsidRDefault="00D951F2" w:rsidP="00D64261">
      <w:pPr>
        <w:spacing w:after="0" w:line="360" w:lineRule="auto"/>
        <w:jc w:val="center"/>
        <w:rPr>
          <w:rFonts w:eastAsia="Calibri"/>
          <w:b/>
          <w:bCs/>
          <w:noProof/>
          <w:lang w:val="es-DO"/>
        </w:rPr>
      </w:pPr>
      <w:r w:rsidRPr="00167F3C">
        <w:rPr>
          <w:rFonts w:eastAsia="Calibri"/>
          <w:b/>
          <w:bCs/>
          <w:noProof/>
          <w:lang w:val="es-DO"/>
        </w:rPr>
        <w:t xml:space="preserve">Cuadro No. </w:t>
      </w:r>
      <w:r w:rsidR="008D7279" w:rsidRPr="00167F3C">
        <w:rPr>
          <w:rFonts w:eastAsia="Calibri"/>
          <w:b/>
          <w:bCs/>
          <w:noProof/>
          <w:lang w:val="es-DO"/>
        </w:rPr>
        <w:t>15</w:t>
      </w:r>
    </w:p>
    <w:p w14:paraId="6CEBEE0C" w14:textId="7349D93B" w:rsidR="00D951F2" w:rsidRPr="00167F3C" w:rsidRDefault="00D951F2" w:rsidP="00D64261">
      <w:pPr>
        <w:spacing w:after="0" w:line="360" w:lineRule="auto"/>
        <w:jc w:val="center"/>
        <w:rPr>
          <w:rFonts w:eastAsia="Calibri"/>
          <w:b/>
          <w:bCs/>
          <w:noProof/>
          <w:lang w:val="es-DO"/>
        </w:rPr>
      </w:pPr>
      <w:r w:rsidRPr="00167F3C">
        <w:rPr>
          <w:rFonts w:eastAsia="Calibri"/>
          <w:b/>
          <w:bCs/>
          <w:noProof/>
          <w:lang w:val="es-DO"/>
        </w:rPr>
        <w:t>Tesoreria Nacional</w:t>
      </w:r>
    </w:p>
    <w:tbl>
      <w:tblPr>
        <w:tblW w:w="5460" w:type="pct"/>
        <w:tblInd w:w="5" w:type="dxa"/>
        <w:tblLayout w:type="fixed"/>
        <w:tblCellMar>
          <w:left w:w="70" w:type="dxa"/>
          <w:right w:w="70" w:type="dxa"/>
        </w:tblCellMar>
        <w:tblLook w:val="04A0" w:firstRow="1" w:lastRow="0" w:firstColumn="1" w:lastColumn="0" w:noHBand="0" w:noVBand="1"/>
      </w:tblPr>
      <w:tblGrid>
        <w:gridCol w:w="556"/>
        <w:gridCol w:w="4537"/>
        <w:gridCol w:w="1702"/>
        <w:gridCol w:w="1843"/>
      </w:tblGrid>
      <w:tr w:rsidR="00D951F2" w:rsidRPr="00D951F2" w14:paraId="6490E495" w14:textId="77777777" w:rsidTr="00F55EF4">
        <w:trPr>
          <w:trHeight w:val="185"/>
          <w:tblHeader/>
        </w:trPr>
        <w:tc>
          <w:tcPr>
            <w:tcW w:w="5000" w:type="pct"/>
            <w:gridSpan w:val="4"/>
            <w:tcBorders>
              <w:top w:val="single" w:sz="4" w:space="0" w:color="auto"/>
              <w:left w:val="single" w:sz="4" w:space="0" w:color="auto"/>
              <w:right w:val="single" w:sz="4" w:space="0" w:color="auto"/>
            </w:tcBorders>
            <w:shd w:val="clear" w:color="auto" w:fill="011C50"/>
            <w:noWrap/>
            <w:vAlign w:val="center"/>
            <w:hideMark/>
          </w:tcPr>
          <w:p w14:paraId="32182D5C" w14:textId="77777777" w:rsidR="00D951F2" w:rsidRPr="00D951F2" w:rsidRDefault="00D951F2" w:rsidP="00D64261">
            <w:pPr>
              <w:spacing w:line="360" w:lineRule="auto"/>
              <w:jc w:val="both"/>
              <w:rPr>
                <w:rFonts w:eastAsia="Calibri"/>
                <w:b/>
                <w:noProof/>
                <w:color w:val="FFFFFF" w:themeColor="background1"/>
                <w:lang w:val="es-DO"/>
              </w:rPr>
            </w:pPr>
            <w:r w:rsidRPr="00D951F2">
              <w:rPr>
                <w:rFonts w:eastAsia="Calibri"/>
                <w:b/>
                <w:noProof/>
                <w:color w:val="FFFFFF" w:themeColor="background1"/>
                <w:lang w:val="es-DO"/>
              </w:rPr>
              <w:t>Proyectos Activos Período 2025</w:t>
            </w:r>
          </w:p>
        </w:tc>
      </w:tr>
      <w:tr w:rsidR="00D951F2" w:rsidRPr="00D951F2" w14:paraId="0B261C9A" w14:textId="77777777" w:rsidTr="006F7E31">
        <w:trPr>
          <w:trHeight w:val="479"/>
          <w:tblHeader/>
        </w:trPr>
        <w:tc>
          <w:tcPr>
            <w:tcW w:w="322" w:type="pct"/>
            <w:shd w:val="clear" w:color="auto" w:fill="011C50"/>
            <w:vAlign w:val="center"/>
            <w:hideMark/>
          </w:tcPr>
          <w:p w14:paraId="259E10E1" w14:textId="77777777" w:rsidR="00D951F2" w:rsidRPr="00D951F2" w:rsidRDefault="00D951F2" w:rsidP="00D64261">
            <w:pPr>
              <w:spacing w:line="360" w:lineRule="auto"/>
              <w:jc w:val="both"/>
              <w:rPr>
                <w:rFonts w:eastAsia="Calibri"/>
                <w:b/>
                <w:noProof/>
                <w:color w:val="FFFFFF" w:themeColor="background1"/>
                <w:lang w:val="es-DO"/>
              </w:rPr>
            </w:pPr>
            <w:r w:rsidRPr="00D951F2">
              <w:rPr>
                <w:rFonts w:eastAsia="Calibri"/>
                <w:b/>
                <w:noProof/>
                <w:color w:val="FFFFFF" w:themeColor="background1"/>
                <w:lang w:val="es-DO"/>
              </w:rPr>
              <w:t>No.</w:t>
            </w:r>
          </w:p>
        </w:tc>
        <w:tc>
          <w:tcPr>
            <w:tcW w:w="2626" w:type="pct"/>
            <w:shd w:val="clear" w:color="auto" w:fill="011C50"/>
            <w:vAlign w:val="center"/>
            <w:hideMark/>
          </w:tcPr>
          <w:p w14:paraId="3BFA5F08" w14:textId="77777777" w:rsidR="00D951F2" w:rsidRPr="00D951F2" w:rsidRDefault="00D951F2" w:rsidP="00D64261">
            <w:pPr>
              <w:spacing w:line="360" w:lineRule="auto"/>
              <w:jc w:val="both"/>
              <w:rPr>
                <w:rFonts w:eastAsia="Calibri"/>
                <w:b/>
                <w:noProof/>
                <w:color w:val="FFFFFF" w:themeColor="background1"/>
                <w:lang w:val="es-DO"/>
              </w:rPr>
            </w:pPr>
            <w:r w:rsidRPr="00D951F2">
              <w:rPr>
                <w:rFonts w:eastAsia="Calibri"/>
                <w:b/>
                <w:noProof/>
                <w:color w:val="FFFFFF" w:themeColor="background1"/>
                <w:lang w:val="es-DO"/>
              </w:rPr>
              <w:t>Nombre del Proyecto</w:t>
            </w:r>
          </w:p>
        </w:tc>
        <w:tc>
          <w:tcPr>
            <w:tcW w:w="985" w:type="pct"/>
            <w:shd w:val="clear" w:color="auto" w:fill="011C50"/>
            <w:vAlign w:val="center"/>
            <w:hideMark/>
          </w:tcPr>
          <w:p w14:paraId="0F1C80D6" w14:textId="77777777" w:rsidR="00D951F2" w:rsidRPr="00D951F2" w:rsidRDefault="00D951F2" w:rsidP="00D64261">
            <w:pPr>
              <w:spacing w:line="360" w:lineRule="auto"/>
              <w:jc w:val="both"/>
              <w:rPr>
                <w:rFonts w:eastAsia="Calibri"/>
                <w:b/>
                <w:noProof/>
                <w:color w:val="FFFFFF" w:themeColor="background1"/>
                <w:lang w:val="es-DO"/>
              </w:rPr>
            </w:pPr>
            <w:r w:rsidRPr="00D951F2">
              <w:rPr>
                <w:rFonts w:eastAsia="Calibri"/>
                <w:b/>
                <w:noProof/>
                <w:color w:val="FFFFFF" w:themeColor="background1"/>
                <w:lang w:val="es-DO"/>
              </w:rPr>
              <w:t>Institución</w:t>
            </w:r>
          </w:p>
        </w:tc>
        <w:tc>
          <w:tcPr>
            <w:tcW w:w="1067" w:type="pct"/>
            <w:shd w:val="clear" w:color="auto" w:fill="011C50"/>
            <w:vAlign w:val="center"/>
            <w:hideMark/>
          </w:tcPr>
          <w:p w14:paraId="53875DCB" w14:textId="77777777" w:rsidR="00D951F2" w:rsidRPr="00D951F2" w:rsidRDefault="00D951F2" w:rsidP="00D64261">
            <w:pPr>
              <w:spacing w:line="360" w:lineRule="auto"/>
              <w:jc w:val="both"/>
              <w:rPr>
                <w:rFonts w:eastAsia="Calibri"/>
                <w:b/>
                <w:noProof/>
                <w:color w:val="FFFFFF" w:themeColor="background1"/>
                <w:lang w:val="es-DO"/>
              </w:rPr>
            </w:pPr>
            <w:r w:rsidRPr="00D951F2">
              <w:rPr>
                <w:rFonts w:eastAsia="Calibri"/>
                <w:b/>
                <w:noProof/>
                <w:color w:val="FFFFFF" w:themeColor="background1"/>
                <w:lang w:val="es-DO"/>
              </w:rPr>
              <w:t>Cuenta Bancaria</w:t>
            </w:r>
          </w:p>
        </w:tc>
      </w:tr>
      <w:tr w:rsidR="00D951F2" w:rsidRPr="00D951F2" w14:paraId="04F47D61" w14:textId="77777777" w:rsidTr="006F7E31">
        <w:trPr>
          <w:trHeight w:val="705"/>
        </w:trPr>
        <w:tc>
          <w:tcPr>
            <w:tcW w:w="322" w:type="pct"/>
            <w:vAlign w:val="center"/>
          </w:tcPr>
          <w:p w14:paraId="5023E9FB" w14:textId="77777777" w:rsidR="00D951F2" w:rsidRPr="00D951F2" w:rsidRDefault="00D951F2" w:rsidP="004C2709">
            <w:pPr>
              <w:numPr>
                <w:ilvl w:val="0"/>
                <w:numId w:val="13"/>
              </w:numPr>
              <w:spacing w:line="360" w:lineRule="auto"/>
              <w:jc w:val="both"/>
              <w:rPr>
                <w:rFonts w:eastAsia="Calibri"/>
                <w:noProof/>
                <w:color w:val="4C4747"/>
                <w:lang w:val="es-DO"/>
              </w:rPr>
            </w:pPr>
          </w:p>
        </w:tc>
        <w:tc>
          <w:tcPr>
            <w:tcW w:w="2626" w:type="pct"/>
            <w:vAlign w:val="center"/>
            <w:hideMark/>
          </w:tcPr>
          <w:p w14:paraId="0CD41834"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Fortalecimiento de las Capacidades de los Pequeños y Medianos Productores de Vegetales Oriental, Frutas y Hortalizas.</w:t>
            </w:r>
          </w:p>
        </w:tc>
        <w:tc>
          <w:tcPr>
            <w:tcW w:w="985" w:type="pct"/>
            <w:vAlign w:val="center"/>
            <w:hideMark/>
          </w:tcPr>
          <w:p w14:paraId="3FB14A73"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Ministerio de Agricultura</w:t>
            </w:r>
          </w:p>
        </w:tc>
        <w:tc>
          <w:tcPr>
            <w:tcW w:w="1067" w:type="pct"/>
            <w:vAlign w:val="center"/>
            <w:hideMark/>
          </w:tcPr>
          <w:p w14:paraId="0F81E32A"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22623101000296</w:t>
            </w:r>
          </w:p>
        </w:tc>
      </w:tr>
      <w:tr w:rsidR="00D951F2" w:rsidRPr="00D951F2" w14:paraId="14A9AC83" w14:textId="77777777" w:rsidTr="006F7E31">
        <w:trPr>
          <w:trHeight w:val="424"/>
        </w:trPr>
        <w:tc>
          <w:tcPr>
            <w:tcW w:w="322" w:type="pct"/>
            <w:shd w:val="clear" w:color="auto" w:fill="D9D9D9"/>
            <w:vAlign w:val="center"/>
          </w:tcPr>
          <w:p w14:paraId="327AB1C7" w14:textId="77777777" w:rsidR="00D951F2" w:rsidRPr="00D951F2" w:rsidRDefault="00D951F2" w:rsidP="004C2709">
            <w:pPr>
              <w:numPr>
                <w:ilvl w:val="0"/>
                <w:numId w:val="13"/>
              </w:numPr>
              <w:spacing w:line="360" w:lineRule="auto"/>
              <w:jc w:val="both"/>
              <w:rPr>
                <w:rFonts w:eastAsia="Calibri"/>
                <w:noProof/>
                <w:color w:val="4C4747"/>
                <w:lang w:val="es-DO"/>
              </w:rPr>
            </w:pPr>
          </w:p>
        </w:tc>
        <w:tc>
          <w:tcPr>
            <w:tcW w:w="2626" w:type="pct"/>
            <w:shd w:val="clear" w:color="auto" w:fill="D9D9D9"/>
            <w:vAlign w:val="center"/>
            <w:hideMark/>
          </w:tcPr>
          <w:p w14:paraId="2802FA55"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Programa de Becas Bicentenario</w:t>
            </w:r>
          </w:p>
        </w:tc>
        <w:tc>
          <w:tcPr>
            <w:tcW w:w="985" w:type="pct"/>
            <w:shd w:val="clear" w:color="auto" w:fill="D9D9D9"/>
            <w:vAlign w:val="center"/>
            <w:hideMark/>
          </w:tcPr>
          <w:p w14:paraId="154A5CF5"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Programa Supérate</w:t>
            </w:r>
          </w:p>
        </w:tc>
        <w:tc>
          <w:tcPr>
            <w:tcW w:w="1067" w:type="pct"/>
            <w:shd w:val="clear" w:color="auto" w:fill="D9D9D9"/>
            <w:vAlign w:val="center"/>
            <w:hideMark/>
          </w:tcPr>
          <w:p w14:paraId="60DCE0D1"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22623101000297</w:t>
            </w:r>
          </w:p>
        </w:tc>
      </w:tr>
      <w:tr w:rsidR="00D951F2" w:rsidRPr="00D951F2" w14:paraId="5ABE7F92" w14:textId="77777777" w:rsidTr="006F7E31">
        <w:trPr>
          <w:trHeight w:val="705"/>
        </w:trPr>
        <w:tc>
          <w:tcPr>
            <w:tcW w:w="322" w:type="pct"/>
            <w:vAlign w:val="center"/>
          </w:tcPr>
          <w:p w14:paraId="4C4BD75C" w14:textId="77777777" w:rsidR="00D951F2" w:rsidRPr="00D951F2" w:rsidRDefault="00D951F2" w:rsidP="004C2709">
            <w:pPr>
              <w:numPr>
                <w:ilvl w:val="0"/>
                <w:numId w:val="13"/>
              </w:numPr>
              <w:spacing w:line="360" w:lineRule="auto"/>
              <w:jc w:val="both"/>
              <w:rPr>
                <w:rFonts w:eastAsia="Calibri"/>
                <w:noProof/>
                <w:color w:val="4C4747"/>
                <w:lang w:val="es-DO"/>
              </w:rPr>
            </w:pPr>
          </w:p>
        </w:tc>
        <w:tc>
          <w:tcPr>
            <w:tcW w:w="2626" w:type="pct"/>
            <w:vAlign w:val="center"/>
            <w:hideMark/>
          </w:tcPr>
          <w:p w14:paraId="1491BFFD"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Proyecto de Apoyo al Fortalecimiento del Sistema Nacional de Salud</w:t>
            </w:r>
          </w:p>
        </w:tc>
        <w:tc>
          <w:tcPr>
            <w:tcW w:w="985" w:type="pct"/>
            <w:vAlign w:val="center"/>
            <w:hideMark/>
          </w:tcPr>
          <w:p w14:paraId="367EFF0A"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Ministerio de Salud Pública y Asistencia Social</w:t>
            </w:r>
          </w:p>
        </w:tc>
        <w:tc>
          <w:tcPr>
            <w:tcW w:w="1067" w:type="pct"/>
            <w:vAlign w:val="center"/>
            <w:hideMark/>
          </w:tcPr>
          <w:p w14:paraId="410AE9F7"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22623101000298</w:t>
            </w:r>
          </w:p>
        </w:tc>
      </w:tr>
      <w:tr w:rsidR="00D951F2" w:rsidRPr="00D951F2" w14:paraId="48DF99E9" w14:textId="77777777" w:rsidTr="006F7E31">
        <w:trPr>
          <w:trHeight w:val="705"/>
        </w:trPr>
        <w:tc>
          <w:tcPr>
            <w:tcW w:w="322" w:type="pct"/>
            <w:shd w:val="clear" w:color="auto" w:fill="D9D9D9"/>
            <w:vAlign w:val="center"/>
          </w:tcPr>
          <w:p w14:paraId="5930F1E2" w14:textId="77777777" w:rsidR="00D951F2" w:rsidRPr="00D951F2" w:rsidRDefault="00D951F2" w:rsidP="004C2709">
            <w:pPr>
              <w:numPr>
                <w:ilvl w:val="0"/>
                <w:numId w:val="13"/>
              </w:numPr>
              <w:spacing w:line="360" w:lineRule="auto"/>
              <w:jc w:val="both"/>
              <w:rPr>
                <w:rFonts w:eastAsia="Calibri"/>
                <w:noProof/>
                <w:color w:val="4C4747"/>
                <w:lang w:val="es-DO"/>
              </w:rPr>
            </w:pPr>
          </w:p>
        </w:tc>
        <w:tc>
          <w:tcPr>
            <w:tcW w:w="2626" w:type="pct"/>
            <w:shd w:val="clear" w:color="auto" w:fill="D9D9D9"/>
            <w:vAlign w:val="center"/>
            <w:hideMark/>
          </w:tcPr>
          <w:p w14:paraId="45BC4FE1"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Programa Fortalecimiento de la Infraestructura Sanitaria del Sistema Nacional de Salud en R.D</w:t>
            </w:r>
          </w:p>
        </w:tc>
        <w:tc>
          <w:tcPr>
            <w:tcW w:w="985" w:type="pct"/>
            <w:shd w:val="clear" w:color="auto" w:fill="D9D9D9"/>
            <w:vAlign w:val="center"/>
            <w:hideMark/>
          </w:tcPr>
          <w:p w14:paraId="64515057"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Ministerio de Vivienda, Hábitat y Edificaciones (MIVHED)</w:t>
            </w:r>
          </w:p>
        </w:tc>
        <w:tc>
          <w:tcPr>
            <w:tcW w:w="1067" w:type="pct"/>
            <w:shd w:val="clear" w:color="auto" w:fill="D9D9D9"/>
            <w:vAlign w:val="center"/>
            <w:hideMark/>
          </w:tcPr>
          <w:p w14:paraId="1E83FF23"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22623101000299</w:t>
            </w:r>
          </w:p>
        </w:tc>
      </w:tr>
      <w:tr w:rsidR="00D951F2" w:rsidRPr="00D951F2" w14:paraId="2F61867A" w14:textId="77777777" w:rsidTr="006F7E31">
        <w:trPr>
          <w:trHeight w:val="705"/>
        </w:trPr>
        <w:tc>
          <w:tcPr>
            <w:tcW w:w="322" w:type="pct"/>
            <w:vAlign w:val="center"/>
          </w:tcPr>
          <w:p w14:paraId="45206253" w14:textId="77777777" w:rsidR="00D951F2" w:rsidRPr="00D951F2" w:rsidRDefault="00D951F2" w:rsidP="004C2709">
            <w:pPr>
              <w:numPr>
                <w:ilvl w:val="0"/>
                <w:numId w:val="13"/>
              </w:numPr>
              <w:spacing w:line="360" w:lineRule="auto"/>
              <w:jc w:val="both"/>
              <w:rPr>
                <w:rFonts w:eastAsia="Calibri"/>
                <w:noProof/>
                <w:color w:val="4C4747"/>
                <w:lang w:val="es-DO"/>
              </w:rPr>
            </w:pPr>
          </w:p>
        </w:tc>
        <w:tc>
          <w:tcPr>
            <w:tcW w:w="2626" w:type="pct"/>
            <w:vAlign w:val="center"/>
            <w:hideMark/>
          </w:tcPr>
          <w:p w14:paraId="0668EC76"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 xml:space="preserve">Programa de Mejoramiento de Redes Media y Baja Tensión y Normalización de Clientes de las Empresas Distribuidoras de </w:t>
            </w:r>
            <w:r w:rsidRPr="00167F3C">
              <w:rPr>
                <w:rFonts w:eastAsia="Calibri"/>
                <w:bCs/>
                <w:noProof/>
                <w:lang w:val="es-DO"/>
              </w:rPr>
              <w:lastRenderedPageBreak/>
              <w:t>Electricidad a Nivel Nacional, Contrato de Préstamo BIRF 9624-DO</w:t>
            </w:r>
          </w:p>
        </w:tc>
        <w:tc>
          <w:tcPr>
            <w:tcW w:w="985" w:type="pct"/>
            <w:vAlign w:val="center"/>
            <w:hideMark/>
          </w:tcPr>
          <w:p w14:paraId="02442A56"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lastRenderedPageBreak/>
              <w:t>EDEESTE</w:t>
            </w:r>
          </w:p>
        </w:tc>
        <w:tc>
          <w:tcPr>
            <w:tcW w:w="1067" w:type="pct"/>
            <w:vAlign w:val="center"/>
            <w:hideMark/>
          </w:tcPr>
          <w:p w14:paraId="0C18D2F4"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22623101000305</w:t>
            </w:r>
          </w:p>
        </w:tc>
      </w:tr>
      <w:tr w:rsidR="00D951F2" w:rsidRPr="00D951F2" w14:paraId="564AD0A7" w14:textId="77777777" w:rsidTr="006F7E31">
        <w:trPr>
          <w:trHeight w:val="705"/>
        </w:trPr>
        <w:tc>
          <w:tcPr>
            <w:tcW w:w="322" w:type="pct"/>
            <w:shd w:val="clear" w:color="auto" w:fill="D9D9D9" w:themeFill="background1" w:themeFillShade="D9"/>
            <w:vAlign w:val="center"/>
          </w:tcPr>
          <w:p w14:paraId="4B70CAC1" w14:textId="77777777" w:rsidR="00D951F2" w:rsidRPr="00D951F2" w:rsidRDefault="00D951F2" w:rsidP="004C2709">
            <w:pPr>
              <w:numPr>
                <w:ilvl w:val="0"/>
                <w:numId w:val="13"/>
              </w:numPr>
              <w:spacing w:line="360" w:lineRule="auto"/>
              <w:jc w:val="both"/>
              <w:rPr>
                <w:rFonts w:eastAsia="Calibri"/>
                <w:noProof/>
                <w:color w:val="4C4747"/>
                <w:lang w:val="es-DO"/>
              </w:rPr>
            </w:pPr>
          </w:p>
        </w:tc>
        <w:tc>
          <w:tcPr>
            <w:tcW w:w="2626" w:type="pct"/>
            <w:shd w:val="clear" w:color="auto" w:fill="D9D9D9" w:themeFill="background1" w:themeFillShade="D9"/>
            <w:vAlign w:val="center"/>
            <w:hideMark/>
          </w:tcPr>
          <w:p w14:paraId="411F33E7"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Programa de Mejoramiento de Redes Media y Baja Tensión y Normalización de Clientes de las Empresas Distribuidoras de Electricidad a Nivel Nacional, Contrato de Préstamo BIRF 9624-DO</w:t>
            </w:r>
          </w:p>
        </w:tc>
        <w:tc>
          <w:tcPr>
            <w:tcW w:w="985" w:type="pct"/>
            <w:shd w:val="clear" w:color="auto" w:fill="D9D9D9" w:themeFill="background1" w:themeFillShade="D9"/>
            <w:vAlign w:val="center"/>
            <w:hideMark/>
          </w:tcPr>
          <w:p w14:paraId="651708B8"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EDESUR</w:t>
            </w:r>
          </w:p>
        </w:tc>
        <w:tc>
          <w:tcPr>
            <w:tcW w:w="1067" w:type="pct"/>
            <w:shd w:val="clear" w:color="auto" w:fill="D9D9D9" w:themeFill="background1" w:themeFillShade="D9"/>
            <w:vAlign w:val="center"/>
            <w:hideMark/>
          </w:tcPr>
          <w:p w14:paraId="3FB678F3"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22623101000306</w:t>
            </w:r>
          </w:p>
        </w:tc>
      </w:tr>
      <w:tr w:rsidR="00D951F2" w:rsidRPr="00D951F2" w14:paraId="2F95C818" w14:textId="77777777" w:rsidTr="006F7E31">
        <w:trPr>
          <w:trHeight w:val="705"/>
        </w:trPr>
        <w:tc>
          <w:tcPr>
            <w:tcW w:w="322" w:type="pct"/>
            <w:vAlign w:val="center"/>
          </w:tcPr>
          <w:p w14:paraId="0F33705C" w14:textId="77777777" w:rsidR="00D951F2" w:rsidRPr="00D951F2" w:rsidRDefault="00D951F2" w:rsidP="004C2709">
            <w:pPr>
              <w:numPr>
                <w:ilvl w:val="0"/>
                <w:numId w:val="13"/>
              </w:numPr>
              <w:spacing w:line="360" w:lineRule="auto"/>
              <w:jc w:val="both"/>
              <w:rPr>
                <w:rFonts w:eastAsia="Calibri"/>
                <w:noProof/>
                <w:color w:val="4C4747"/>
                <w:lang w:val="es-DO"/>
              </w:rPr>
            </w:pPr>
          </w:p>
        </w:tc>
        <w:tc>
          <w:tcPr>
            <w:tcW w:w="2626" w:type="pct"/>
            <w:vAlign w:val="center"/>
            <w:hideMark/>
          </w:tcPr>
          <w:p w14:paraId="436A3D28"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Proyecto de Respuesta a Emergencias y Resiliencia de la República Dominicana</w:t>
            </w:r>
          </w:p>
        </w:tc>
        <w:tc>
          <w:tcPr>
            <w:tcW w:w="985" w:type="pct"/>
            <w:vAlign w:val="center"/>
            <w:hideMark/>
          </w:tcPr>
          <w:p w14:paraId="5DB90929"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Ministerio de la Presidencia</w:t>
            </w:r>
          </w:p>
        </w:tc>
        <w:tc>
          <w:tcPr>
            <w:tcW w:w="1067" w:type="pct"/>
            <w:vAlign w:val="center"/>
            <w:hideMark/>
          </w:tcPr>
          <w:p w14:paraId="1EA15DBC"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22623101000307</w:t>
            </w:r>
          </w:p>
        </w:tc>
      </w:tr>
      <w:tr w:rsidR="00D951F2" w:rsidRPr="00D951F2" w14:paraId="0667DB48" w14:textId="77777777" w:rsidTr="006F7E31">
        <w:trPr>
          <w:trHeight w:val="860"/>
        </w:trPr>
        <w:tc>
          <w:tcPr>
            <w:tcW w:w="322" w:type="pct"/>
            <w:shd w:val="clear" w:color="auto" w:fill="D9D9D9" w:themeFill="background1" w:themeFillShade="D9"/>
            <w:vAlign w:val="center"/>
          </w:tcPr>
          <w:p w14:paraId="202A0F8C" w14:textId="77777777" w:rsidR="00D951F2" w:rsidRPr="00D951F2" w:rsidRDefault="00D951F2" w:rsidP="004C2709">
            <w:pPr>
              <w:numPr>
                <w:ilvl w:val="0"/>
                <w:numId w:val="13"/>
              </w:numPr>
              <w:spacing w:line="360" w:lineRule="auto"/>
              <w:jc w:val="both"/>
              <w:rPr>
                <w:rFonts w:eastAsia="Calibri"/>
                <w:noProof/>
                <w:color w:val="4C4747"/>
                <w:lang w:val="es-DO"/>
              </w:rPr>
            </w:pPr>
          </w:p>
        </w:tc>
        <w:tc>
          <w:tcPr>
            <w:tcW w:w="2626" w:type="pct"/>
            <w:shd w:val="clear" w:color="auto" w:fill="D9D9D9" w:themeFill="background1" w:themeFillShade="D9"/>
            <w:vAlign w:val="center"/>
            <w:hideMark/>
          </w:tcPr>
          <w:p w14:paraId="08A324A3"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Proyecto de Respuesta A Emergencias y Resiliencia de la República Dominicana</w:t>
            </w:r>
          </w:p>
        </w:tc>
        <w:tc>
          <w:tcPr>
            <w:tcW w:w="985" w:type="pct"/>
            <w:shd w:val="clear" w:color="auto" w:fill="D9D9D9" w:themeFill="background1" w:themeFillShade="D9"/>
            <w:vAlign w:val="center"/>
            <w:hideMark/>
          </w:tcPr>
          <w:p w14:paraId="75C12C39"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Ministerio de Economía Planificación y Desarrollo (MEPYD)</w:t>
            </w:r>
          </w:p>
        </w:tc>
        <w:tc>
          <w:tcPr>
            <w:tcW w:w="1067" w:type="pct"/>
            <w:shd w:val="clear" w:color="auto" w:fill="D9D9D9" w:themeFill="background1" w:themeFillShade="D9"/>
            <w:vAlign w:val="center"/>
            <w:hideMark/>
          </w:tcPr>
          <w:p w14:paraId="0ECA6A97"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22623101000308</w:t>
            </w:r>
          </w:p>
        </w:tc>
      </w:tr>
      <w:tr w:rsidR="00D951F2" w:rsidRPr="00D951F2" w14:paraId="7A070D85" w14:textId="77777777" w:rsidTr="006F7E31">
        <w:trPr>
          <w:trHeight w:val="705"/>
        </w:trPr>
        <w:tc>
          <w:tcPr>
            <w:tcW w:w="322" w:type="pct"/>
            <w:vAlign w:val="center"/>
          </w:tcPr>
          <w:p w14:paraId="59540404" w14:textId="77777777" w:rsidR="00D951F2" w:rsidRPr="00D951F2" w:rsidRDefault="00D951F2" w:rsidP="004C2709">
            <w:pPr>
              <w:numPr>
                <w:ilvl w:val="0"/>
                <w:numId w:val="13"/>
              </w:numPr>
              <w:spacing w:line="360" w:lineRule="auto"/>
              <w:jc w:val="both"/>
              <w:rPr>
                <w:rFonts w:eastAsia="Calibri"/>
                <w:noProof/>
                <w:color w:val="4C4747"/>
                <w:lang w:val="es-DO"/>
              </w:rPr>
            </w:pPr>
          </w:p>
        </w:tc>
        <w:tc>
          <w:tcPr>
            <w:tcW w:w="2626" w:type="pct"/>
            <w:vAlign w:val="center"/>
            <w:hideMark/>
          </w:tcPr>
          <w:p w14:paraId="072AE366"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Programa de Mejoramiento de los Sistemas Nacionales de Distribución Contrato de Préstamo OFID 15217p</w:t>
            </w:r>
          </w:p>
        </w:tc>
        <w:tc>
          <w:tcPr>
            <w:tcW w:w="985" w:type="pct"/>
            <w:vAlign w:val="center"/>
            <w:hideMark/>
          </w:tcPr>
          <w:p w14:paraId="136280A5"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EDEESTE</w:t>
            </w:r>
          </w:p>
        </w:tc>
        <w:tc>
          <w:tcPr>
            <w:tcW w:w="1067" w:type="pct"/>
            <w:vAlign w:val="center"/>
            <w:hideMark/>
          </w:tcPr>
          <w:p w14:paraId="44EE0372"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22623101000309</w:t>
            </w:r>
          </w:p>
        </w:tc>
      </w:tr>
      <w:tr w:rsidR="00D951F2" w:rsidRPr="00D951F2" w14:paraId="1FF48F33" w14:textId="77777777" w:rsidTr="006F7E31">
        <w:trPr>
          <w:trHeight w:val="465"/>
        </w:trPr>
        <w:tc>
          <w:tcPr>
            <w:tcW w:w="322" w:type="pct"/>
            <w:shd w:val="clear" w:color="auto" w:fill="D9D9D9"/>
            <w:vAlign w:val="center"/>
          </w:tcPr>
          <w:p w14:paraId="7B9E90BD" w14:textId="77777777" w:rsidR="00D951F2" w:rsidRPr="00D951F2" w:rsidRDefault="00D951F2" w:rsidP="004C2709">
            <w:pPr>
              <w:numPr>
                <w:ilvl w:val="0"/>
                <w:numId w:val="13"/>
              </w:numPr>
              <w:spacing w:line="360" w:lineRule="auto"/>
              <w:jc w:val="both"/>
              <w:rPr>
                <w:rFonts w:eastAsia="Calibri"/>
                <w:noProof/>
                <w:color w:val="4C4747"/>
                <w:lang w:val="es-DO"/>
              </w:rPr>
            </w:pPr>
          </w:p>
        </w:tc>
        <w:tc>
          <w:tcPr>
            <w:tcW w:w="2626" w:type="pct"/>
            <w:shd w:val="clear" w:color="auto" w:fill="D9D9D9"/>
            <w:vAlign w:val="center"/>
            <w:hideMark/>
          </w:tcPr>
          <w:p w14:paraId="0D239262"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 xml:space="preserve">Programa de Mejoramiento de Redes Media y Baja Tensión y Normalización de Clientes de las Empresas Distribuidoras de </w:t>
            </w:r>
            <w:r w:rsidRPr="00167F3C">
              <w:rPr>
                <w:rFonts w:eastAsia="Calibri"/>
                <w:bCs/>
                <w:noProof/>
                <w:lang w:val="es-DO"/>
              </w:rPr>
              <w:lastRenderedPageBreak/>
              <w:t>Electricidad a Nivel Nacional, Contrato de Préstamo Birf 9624-Do</w:t>
            </w:r>
          </w:p>
        </w:tc>
        <w:tc>
          <w:tcPr>
            <w:tcW w:w="985" w:type="pct"/>
            <w:shd w:val="clear" w:color="auto" w:fill="D9D9D9"/>
            <w:vAlign w:val="center"/>
            <w:hideMark/>
          </w:tcPr>
          <w:p w14:paraId="28B3667C"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lastRenderedPageBreak/>
              <w:t>EDENORTE</w:t>
            </w:r>
          </w:p>
        </w:tc>
        <w:tc>
          <w:tcPr>
            <w:tcW w:w="1067" w:type="pct"/>
            <w:shd w:val="clear" w:color="auto" w:fill="D9D9D9"/>
            <w:vAlign w:val="center"/>
            <w:hideMark/>
          </w:tcPr>
          <w:p w14:paraId="056F7552"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22623101000311</w:t>
            </w:r>
          </w:p>
        </w:tc>
      </w:tr>
      <w:tr w:rsidR="00D951F2" w:rsidRPr="00D951F2" w14:paraId="7FEDDACF" w14:textId="77777777" w:rsidTr="006F7E31">
        <w:trPr>
          <w:trHeight w:val="520"/>
        </w:trPr>
        <w:tc>
          <w:tcPr>
            <w:tcW w:w="322" w:type="pct"/>
            <w:vAlign w:val="center"/>
          </w:tcPr>
          <w:p w14:paraId="04266B27" w14:textId="77777777" w:rsidR="00D951F2" w:rsidRPr="00D951F2" w:rsidRDefault="00D951F2" w:rsidP="004C2709">
            <w:pPr>
              <w:numPr>
                <w:ilvl w:val="0"/>
                <w:numId w:val="13"/>
              </w:numPr>
              <w:spacing w:line="360" w:lineRule="auto"/>
              <w:jc w:val="both"/>
              <w:rPr>
                <w:rFonts w:eastAsia="Calibri"/>
                <w:noProof/>
                <w:color w:val="4C4747"/>
                <w:lang w:val="es-DO"/>
              </w:rPr>
            </w:pPr>
          </w:p>
        </w:tc>
        <w:tc>
          <w:tcPr>
            <w:tcW w:w="2626" w:type="pct"/>
            <w:vAlign w:val="center"/>
            <w:hideMark/>
          </w:tcPr>
          <w:p w14:paraId="50E95F8E"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Proyecto de Gestión Costera Sostenible Préstamo No. 5745/OC-DR”,</w:t>
            </w:r>
          </w:p>
        </w:tc>
        <w:tc>
          <w:tcPr>
            <w:tcW w:w="985" w:type="pct"/>
            <w:vAlign w:val="center"/>
            <w:hideMark/>
          </w:tcPr>
          <w:p w14:paraId="2403A0C1"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Ministerio de Turismo</w:t>
            </w:r>
          </w:p>
        </w:tc>
        <w:tc>
          <w:tcPr>
            <w:tcW w:w="1067" w:type="pct"/>
            <w:vAlign w:val="center"/>
            <w:hideMark/>
          </w:tcPr>
          <w:p w14:paraId="3A3AE19B"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22623101000312</w:t>
            </w:r>
          </w:p>
        </w:tc>
      </w:tr>
      <w:tr w:rsidR="00D951F2" w:rsidRPr="00D951F2" w14:paraId="3EC68465" w14:textId="77777777" w:rsidTr="006F7E31">
        <w:trPr>
          <w:trHeight w:val="705"/>
        </w:trPr>
        <w:tc>
          <w:tcPr>
            <w:tcW w:w="322" w:type="pct"/>
            <w:shd w:val="clear" w:color="auto" w:fill="D9D9D9"/>
            <w:vAlign w:val="center"/>
          </w:tcPr>
          <w:p w14:paraId="62F03FCB" w14:textId="77777777" w:rsidR="00D951F2" w:rsidRPr="00D951F2" w:rsidRDefault="00D951F2" w:rsidP="004C2709">
            <w:pPr>
              <w:numPr>
                <w:ilvl w:val="0"/>
                <w:numId w:val="13"/>
              </w:numPr>
              <w:spacing w:line="360" w:lineRule="auto"/>
              <w:jc w:val="both"/>
              <w:rPr>
                <w:rFonts w:eastAsia="Calibri"/>
                <w:noProof/>
                <w:color w:val="4C4747"/>
                <w:lang w:val="es-DO"/>
              </w:rPr>
            </w:pPr>
          </w:p>
        </w:tc>
        <w:tc>
          <w:tcPr>
            <w:tcW w:w="2626" w:type="pct"/>
            <w:shd w:val="clear" w:color="auto" w:fill="D9D9D9"/>
            <w:vAlign w:val="center"/>
            <w:hideMark/>
          </w:tcPr>
          <w:p w14:paraId="35CC2DAE"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Proyecto de Fortalecimiento del Sistema de Salud para la Prevención y Gestión de Enfermedades Crónica No Transmisibles (Ecnt): Diabetes y Enfermedades Cardiovasculares</w:t>
            </w:r>
          </w:p>
        </w:tc>
        <w:tc>
          <w:tcPr>
            <w:tcW w:w="985" w:type="pct"/>
            <w:shd w:val="clear" w:color="auto" w:fill="D9D9D9"/>
            <w:vAlign w:val="center"/>
            <w:hideMark/>
          </w:tcPr>
          <w:p w14:paraId="75014B5E"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Ministerio de Salud Pública y Asistencia Social</w:t>
            </w:r>
          </w:p>
        </w:tc>
        <w:tc>
          <w:tcPr>
            <w:tcW w:w="1067" w:type="pct"/>
            <w:shd w:val="clear" w:color="auto" w:fill="D9D9D9"/>
            <w:vAlign w:val="center"/>
            <w:hideMark/>
          </w:tcPr>
          <w:p w14:paraId="4DB54936"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22623101000313</w:t>
            </w:r>
          </w:p>
        </w:tc>
      </w:tr>
      <w:tr w:rsidR="00D951F2" w:rsidRPr="00D951F2" w14:paraId="0CEDE7AA" w14:textId="77777777" w:rsidTr="006F7E31">
        <w:trPr>
          <w:trHeight w:val="705"/>
        </w:trPr>
        <w:tc>
          <w:tcPr>
            <w:tcW w:w="322" w:type="pct"/>
            <w:vAlign w:val="center"/>
          </w:tcPr>
          <w:p w14:paraId="60D1E01F" w14:textId="77777777" w:rsidR="00D951F2" w:rsidRPr="00D951F2" w:rsidRDefault="00D951F2" w:rsidP="004C2709">
            <w:pPr>
              <w:numPr>
                <w:ilvl w:val="0"/>
                <w:numId w:val="13"/>
              </w:numPr>
              <w:spacing w:line="360" w:lineRule="auto"/>
              <w:jc w:val="both"/>
              <w:rPr>
                <w:rFonts w:eastAsia="Calibri"/>
                <w:noProof/>
                <w:color w:val="4C4747"/>
                <w:lang w:val="es-DO"/>
              </w:rPr>
            </w:pPr>
          </w:p>
        </w:tc>
        <w:tc>
          <w:tcPr>
            <w:tcW w:w="2626" w:type="pct"/>
            <w:vAlign w:val="center"/>
            <w:hideMark/>
          </w:tcPr>
          <w:p w14:paraId="6E8FDF66"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Proyecto de Fortalecimiento del Sistema de Salud para la Prevención y Gestión de Enfermedades Crónicas No Transmisibles (Ecnt): Diabetes y Enfermedades Cardiovasculares</w:t>
            </w:r>
          </w:p>
        </w:tc>
        <w:tc>
          <w:tcPr>
            <w:tcW w:w="985" w:type="pct"/>
            <w:vAlign w:val="center"/>
            <w:hideMark/>
          </w:tcPr>
          <w:p w14:paraId="207A399A"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Servicio Nacional De Salud (SNS)</w:t>
            </w:r>
          </w:p>
        </w:tc>
        <w:tc>
          <w:tcPr>
            <w:tcW w:w="1067" w:type="pct"/>
            <w:vAlign w:val="center"/>
            <w:hideMark/>
          </w:tcPr>
          <w:p w14:paraId="0C009201"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22623101000314</w:t>
            </w:r>
          </w:p>
        </w:tc>
      </w:tr>
      <w:tr w:rsidR="00D951F2" w:rsidRPr="00D951F2" w14:paraId="686B1B6C" w14:textId="77777777" w:rsidTr="006F7E31">
        <w:trPr>
          <w:trHeight w:val="705"/>
        </w:trPr>
        <w:tc>
          <w:tcPr>
            <w:tcW w:w="322" w:type="pct"/>
            <w:shd w:val="clear" w:color="auto" w:fill="D9D9D9"/>
            <w:vAlign w:val="center"/>
          </w:tcPr>
          <w:p w14:paraId="1DDD1A2F" w14:textId="77777777" w:rsidR="00D951F2" w:rsidRPr="00D951F2" w:rsidRDefault="00D951F2" w:rsidP="004C2709">
            <w:pPr>
              <w:numPr>
                <w:ilvl w:val="0"/>
                <w:numId w:val="13"/>
              </w:numPr>
              <w:spacing w:line="360" w:lineRule="auto"/>
              <w:jc w:val="both"/>
              <w:rPr>
                <w:rFonts w:eastAsia="Calibri"/>
                <w:noProof/>
                <w:color w:val="4C4747"/>
                <w:lang w:val="es-DO"/>
              </w:rPr>
            </w:pPr>
          </w:p>
        </w:tc>
        <w:tc>
          <w:tcPr>
            <w:tcW w:w="2626" w:type="pct"/>
            <w:shd w:val="clear" w:color="auto" w:fill="D9D9D9"/>
            <w:vAlign w:val="center"/>
            <w:hideMark/>
          </w:tcPr>
          <w:p w14:paraId="4642441B"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Programa De Saneamiento Universal En Localidades Costeras Y Turísticas De La R.D, SNIP 15143</w:t>
            </w:r>
          </w:p>
        </w:tc>
        <w:tc>
          <w:tcPr>
            <w:tcW w:w="985" w:type="pct"/>
            <w:shd w:val="clear" w:color="auto" w:fill="D9D9D9"/>
            <w:vAlign w:val="center"/>
            <w:hideMark/>
          </w:tcPr>
          <w:p w14:paraId="773BA123"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Instituto Nacional de Aguas Potables y Alcantarillados (INAPA)</w:t>
            </w:r>
          </w:p>
        </w:tc>
        <w:tc>
          <w:tcPr>
            <w:tcW w:w="1067" w:type="pct"/>
            <w:shd w:val="clear" w:color="auto" w:fill="D9D9D9"/>
            <w:vAlign w:val="center"/>
            <w:hideMark/>
          </w:tcPr>
          <w:p w14:paraId="45A1BA0B"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22623101000315</w:t>
            </w:r>
          </w:p>
        </w:tc>
      </w:tr>
      <w:tr w:rsidR="00D951F2" w:rsidRPr="00D951F2" w14:paraId="40735DE8" w14:textId="77777777" w:rsidTr="006F7E31">
        <w:trPr>
          <w:trHeight w:val="391"/>
        </w:trPr>
        <w:tc>
          <w:tcPr>
            <w:tcW w:w="322" w:type="pct"/>
            <w:vAlign w:val="center"/>
          </w:tcPr>
          <w:p w14:paraId="7007FFDC" w14:textId="77777777" w:rsidR="00D951F2" w:rsidRPr="00D951F2" w:rsidRDefault="00D951F2" w:rsidP="004C2709">
            <w:pPr>
              <w:numPr>
                <w:ilvl w:val="0"/>
                <w:numId w:val="13"/>
              </w:numPr>
              <w:spacing w:line="360" w:lineRule="auto"/>
              <w:jc w:val="both"/>
              <w:rPr>
                <w:rFonts w:eastAsia="Calibri"/>
                <w:noProof/>
                <w:color w:val="4C4747"/>
                <w:lang w:val="es-DO"/>
              </w:rPr>
            </w:pPr>
          </w:p>
        </w:tc>
        <w:tc>
          <w:tcPr>
            <w:tcW w:w="2626" w:type="pct"/>
            <w:vAlign w:val="center"/>
            <w:hideMark/>
          </w:tcPr>
          <w:p w14:paraId="7DEF7DE6"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Programa de Rehabilitación de Redes de Distribución y Reducción de Pérdidas</w:t>
            </w:r>
          </w:p>
        </w:tc>
        <w:tc>
          <w:tcPr>
            <w:tcW w:w="985" w:type="pct"/>
            <w:vAlign w:val="center"/>
            <w:hideMark/>
          </w:tcPr>
          <w:p w14:paraId="67BDDECF"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EDESUR</w:t>
            </w:r>
          </w:p>
        </w:tc>
        <w:tc>
          <w:tcPr>
            <w:tcW w:w="1067" w:type="pct"/>
            <w:vAlign w:val="center"/>
            <w:hideMark/>
          </w:tcPr>
          <w:p w14:paraId="7A198795"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22623101000316</w:t>
            </w:r>
          </w:p>
        </w:tc>
      </w:tr>
      <w:tr w:rsidR="00D951F2" w:rsidRPr="00D951F2" w14:paraId="435CAB79" w14:textId="77777777" w:rsidTr="006F7E31">
        <w:trPr>
          <w:trHeight w:val="541"/>
        </w:trPr>
        <w:tc>
          <w:tcPr>
            <w:tcW w:w="322" w:type="pct"/>
            <w:shd w:val="clear" w:color="auto" w:fill="D9D9D9"/>
            <w:vAlign w:val="center"/>
          </w:tcPr>
          <w:p w14:paraId="24E67403" w14:textId="77777777" w:rsidR="00D951F2" w:rsidRPr="00D951F2" w:rsidRDefault="00D951F2" w:rsidP="004C2709">
            <w:pPr>
              <w:numPr>
                <w:ilvl w:val="0"/>
                <w:numId w:val="13"/>
              </w:numPr>
              <w:spacing w:line="360" w:lineRule="auto"/>
              <w:jc w:val="both"/>
              <w:rPr>
                <w:rFonts w:eastAsia="Calibri"/>
                <w:noProof/>
                <w:color w:val="4C4747"/>
                <w:lang w:val="es-DO"/>
              </w:rPr>
            </w:pPr>
          </w:p>
        </w:tc>
        <w:tc>
          <w:tcPr>
            <w:tcW w:w="2626" w:type="pct"/>
            <w:shd w:val="clear" w:color="auto" w:fill="D9D9D9"/>
            <w:vAlign w:val="center"/>
            <w:hideMark/>
          </w:tcPr>
          <w:p w14:paraId="37FD4BB1"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Programa de Rehabilitación de Redes de Distribución y Reducción De Pérdidas</w:t>
            </w:r>
          </w:p>
        </w:tc>
        <w:tc>
          <w:tcPr>
            <w:tcW w:w="985" w:type="pct"/>
            <w:shd w:val="clear" w:color="auto" w:fill="D9D9D9"/>
            <w:vAlign w:val="center"/>
            <w:hideMark/>
          </w:tcPr>
          <w:p w14:paraId="0B4D8C69"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EDENORTE</w:t>
            </w:r>
          </w:p>
        </w:tc>
        <w:tc>
          <w:tcPr>
            <w:tcW w:w="1067" w:type="pct"/>
            <w:shd w:val="clear" w:color="auto" w:fill="D9D9D9"/>
            <w:vAlign w:val="center"/>
            <w:hideMark/>
          </w:tcPr>
          <w:p w14:paraId="39105A15"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22623101000317</w:t>
            </w:r>
          </w:p>
        </w:tc>
      </w:tr>
      <w:tr w:rsidR="00D951F2" w:rsidRPr="00D951F2" w14:paraId="441B78A8" w14:textId="77777777" w:rsidTr="006F7E31">
        <w:trPr>
          <w:trHeight w:val="309"/>
        </w:trPr>
        <w:tc>
          <w:tcPr>
            <w:tcW w:w="322" w:type="pct"/>
            <w:vAlign w:val="center"/>
          </w:tcPr>
          <w:p w14:paraId="552B249C" w14:textId="77777777" w:rsidR="00D951F2" w:rsidRPr="00D951F2" w:rsidRDefault="00D951F2" w:rsidP="004C2709">
            <w:pPr>
              <w:numPr>
                <w:ilvl w:val="0"/>
                <w:numId w:val="13"/>
              </w:numPr>
              <w:spacing w:line="360" w:lineRule="auto"/>
              <w:jc w:val="both"/>
              <w:rPr>
                <w:rFonts w:eastAsia="Calibri"/>
                <w:noProof/>
                <w:color w:val="4C4747"/>
                <w:lang w:val="es-DO"/>
              </w:rPr>
            </w:pPr>
          </w:p>
        </w:tc>
        <w:tc>
          <w:tcPr>
            <w:tcW w:w="2626" w:type="pct"/>
            <w:vAlign w:val="center"/>
            <w:hideMark/>
          </w:tcPr>
          <w:p w14:paraId="732864D6"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Programa de Rehabilitación de Redes de Distribución de Perdidas</w:t>
            </w:r>
          </w:p>
        </w:tc>
        <w:tc>
          <w:tcPr>
            <w:tcW w:w="985" w:type="pct"/>
            <w:vAlign w:val="center"/>
            <w:hideMark/>
          </w:tcPr>
          <w:p w14:paraId="6FB162B8"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EDEESTE</w:t>
            </w:r>
          </w:p>
        </w:tc>
        <w:tc>
          <w:tcPr>
            <w:tcW w:w="1067" w:type="pct"/>
            <w:vAlign w:val="center"/>
            <w:hideMark/>
          </w:tcPr>
          <w:p w14:paraId="03252C27"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22623101000318</w:t>
            </w:r>
          </w:p>
        </w:tc>
      </w:tr>
      <w:tr w:rsidR="00D951F2" w:rsidRPr="00D951F2" w14:paraId="1E3B9DB9" w14:textId="77777777" w:rsidTr="006F7E31">
        <w:trPr>
          <w:trHeight w:val="705"/>
        </w:trPr>
        <w:tc>
          <w:tcPr>
            <w:tcW w:w="322" w:type="pct"/>
            <w:shd w:val="clear" w:color="auto" w:fill="D9D9D9"/>
            <w:vAlign w:val="center"/>
          </w:tcPr>
          <w:p w14:paraId="6CF0B07A" w14:textId="77777777" w:rsidR="00D951F2" w:rsidRPr="00D951F2" w:rsidRDefault="00D951F2" w:rsidP="004C2709">
            <w:pPr>
              <w:numPr>
                <w:ilvl w:val="0"/>
                <w:numId w:val="13"/>
              </w:numPr>
              <w:spacing w:line="360" w:lineRule="auto"/>
              <w:jc w:val="both"/>
              <w:rPr>
                <w:rFonts w:eastAsia="Calibri"/>
                <w:noProof/>
                <w:color w:val="4C4747"/>
                <w:lang w:val="es-DO"/>
              </w:rPr>
            </w:pPr>
          </w:p>
        </w:tc>
        <w:tc>
          <w:tcPr>
            <w:tcW w:w="2626" w:type="pct"/>
            <w:shd w:val="clear" w:color="auto" w:fill="D9D9D9"/>
            <w:vAlign w:val="center"/>
            <w:hideMark/>
          </w:tcPr>
          <w:p w14:paraId="68AF3B4B" w14:textId="6272AF8D" w:rsidR="00D951F2" w:rsidRPr="00167F3C" w:rsidRDefault="00D951F2" w:rsidP="00D64261">
            <w:pPr>
              <w:spacing w:line="360" w:lineRule="auto"/>
              <w:jc w:val="both"/>
              <w:rPr>
                <w:rFonts w:eastAsia="Calibri"/>
                <w:bCs/>
                <w:noProof/>
                <w:lang w:val="es-DO"/>
              </w:rPr>
            </w:pPr>
            <w:r w:rsidRPr="00167F3C">
              <w:rPr>
                <w:rFonts w:eastAsia="Calibri"/>
                <w:bCs/>
                <w:noProof/>
                <w:lang w:val="es-DO"/>
              </w:rPr>
              <w:t>Mejora de la Empleabilidad de Poblaciones vulnerables Mediante Formación del Capital Humano en el Sector de Energías Renovables, en el Contexto del Sistema Nacional de cualificaciones</w:t>
            </w:r>
            <w:r w:rsidR="00443736" w:rsidRPr="00167F3C">
              <w:rPr>
                <w:rFonts w:eastAsia="Calibri"/>
                <w:bCs/>
                <w:noProof/>
                <w:lang w:val="es-DO"/>
              </w:rPr>
              <w:t>.</w:t>
            </w:r>
          </w:p>
        </w:tc>
        <w:tc>
          <w:tcPr>
            <w:tcW w:w="985" w:type="pct"/>
            <w:shd w:val="clear" w:color="auto" w:fill="D9D9D9"/>
            <w:vAlign w:val="center"/>
            <w:hideMark/>
          </w:tcPr>
          <w:p w14:paraId="25829992"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INFOTEP</w:t>
            </w:r>
          </w:p>
        </w:tc>
        <w:tc>
          <w:tcPr>
            <w:tcW w:w="1067" w:type="pct"/>
            <w:shd w:val="clear" w:color="auto" w:fill="D9D9D9"/>
            <w:vAlign w:val="center"/>
            <w:hideMark/>
          </w:tcPr>
          <w:p w14:paraId="1E4A2A0B"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Cuenta en BR</w:t>
            </w:r>
          </w:p>
        </w:tc>
      </w:tr>
      <w:tr w:rsidR="00D951F2" w:rsidRPr="00D951F2" w14:paraId="7038011B" w14:textId="77777777" w:rsidTr="006F7E31">
        <w:trPr>
          <w:trHeight w:val="705"/>
        </w:trPr>
        <w:tc>
          <w:tcPr>
            <w:tcW w:w="322" w:type="pct"/>
            <w:vAlign w:val="center"/>
          </w:tcPr>
          <w:p w14:paraId="701E7EBF" w14:textId="77777777" w:rsidR="00D951F2" w:rsidRPr="00D951F2" w:rsidRDefault="00D951F2" w:rsidP="004C2709">
            <w:pPr>
              <w:numPr>
                <w:ilvl w:val="0"/>
                <w:numId w:val="13"/>
              </w:numPr>
              <w:spacing w:line="360" w:lineRule="auto"/>
              <w:jc w:val="both"/>
              <w:rPr>
                <w:rFonts w:eastAsia="Calibri"/>
                <w:noProof/>
                <w:color w:val="4C4747"/>
                <w:lang w:val="es-DO"/>
              </w:rPr>
            </w:pPr>
          </w:p>
        </w:tc>
        <w:tc>
          <w:tcPr>
            <w:tcW w:w="2626" w:type="pct"/>
            <w:vAlign w:val="center"/>
            <w:hideMark/>
          </w:tcPr>
          <w:p w14:paraId="5CF15C99"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Proyecto de Fortalecimiento de la Red de Atención Oncológica de la República Dominicana</w:t>
            </w:r>
          </w:p>
        </w:tc>
        <w:tc>
          <w:tcPr>
            <w:tcW w:w="985" w:type="pct"/>
            <w:vAlign w:val="center"/>
            <w:hideMark/>
          </w:tcPr>
          <w:p w14:paraId="327A331F"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Ministerio de Economía Planificación y Desarrollo</w:t>
            </w:r>
          </w:p>
        </w:tc>
        <w:tc>
          <w:tcPr>
            <w:tcW w:w="1067" w:type="pct"/>
            <w:vAlign w:val="center"/>
            <w:hideMark/>
          </w:tcPr>
          <w:p w14:paraId="1508086D" w14:textId="77777777" w:rsidR="00D951F2" w:rsidRPr="00167F3C" w:rsidRDefault="00D951F2" w:rsidP="00D64261">
            <w:pPr>
              <w:spacing w:line="360" w:lineRule="auto"/>
              <w:jc w:val="both"/>
              <w:rPr>
                <w:rFonts w:eastAsia="Calibri"/>
                <w:bCs/>
                <w:noProof/>
                <w:lang w:val="es-DO"/>
              </w:rPr>
            </w:pPr>
            <w:r w:rsidRPr="00167F3C">
              <w:rPr>
                <w:rFonts w:eastAsia="Calibri"/>
                <w:bCs/>
                <w:noProof/>
                <w:lang w:val="es-DO"/>
              </w:rPr>
              <w:t>En la CUT</w:t>
            </w:r>
          </w:p>
        </w:tc>
      </w:tr>
    </w:tbl>
    <w:p w14:paraId="2F8F5BE6" w14:textId="77777777" w:rsidR="00D951F2" w:rsidRPr="00D951F2" w:rsidRDefault="00D951F2" w:rsidP="00D64261">
      <w:pPr>
        <w:spacing w:line="360" w:lineRule="auto"/>
        <w:jc w:val="both"/>
        <w:rPr>
          <w:rFonts w:eastAsia="Calibri"/>
          <w:b/>
          <w:noProof/>
          <w:color w:val="4C4747"/>
          <w:lang w:val="es-DO"/>
        </w:rPr>
      </w:pPr>
    </w:p>
    <w:p w14:paraId="29C56065" w14:textId="77777777" w:rsidR="00D951F2" w:rsidRPr="00167F3C" w:rsidRDefault="00D951F2" w:rsidP="00D64261">
      <w:pPr>
        <w:spacing w:line="360" w:lineRule="auto"/>
        <w:jc w:val="both"/>
        <w:rPr>
          <w:rFonts w:eastAsia="Calibri"/>
          <w:b/>
          <w:noProof/>
          <w:lang w:val="es-DO"/>
        </w:rPr>
      </w:pPr>
      <w:bookmarkStart w:id="20" w:name="_Toc170469619"/>
      <w:r w:rsidRPr="00167F3C">
        <w:rPr>
          <w:rFonts w:eastAsia="Calibri"/>
          <w:b/>
          <w:noProof/>
          <w:lang w:val="es-DO"/>
        </w:rPr>
        <w:t>Gestión para requerimientos de Asignación de Roles TI (Tesorero Institucional) y UEPEX</w:t>
      </w:r>
      <w:bookmarkEnd w:id="20"/>
      <w:r w:rsidRPr="00167F3C">
        <w:rPr>
          <w:rFonts w:eastAsia="Calibri"/>
          <w:b/>
          <w:noProof/>
          <w:lang w:val="es-DO"/>
        </w:rPr>
        <w:t xml:space="preserve"> (Tesorero Proyectos Externos)</w:t>
      </w:r>
    </w:p>
    <w:p w14:paraId="57B8ECC0" w14:textId="64C58DFC" w:rsidR="00F55EF4" w:rsidRPr="00167F3C" w:rsidRDefault="00D951F2" w:rsidP="00D64261">
      <w:pPr>
        <w:spacing w:line="360" w:lineRule="auto"/>
        <w:jc w:val="both"/>
        <w:rPr>
          <w:rFonts w:eastAsia="Calibri"/>
          <w:bCs/>
          <w:noProof/>
          <w:lang w:val="es-DO"/>
        </w:rPr>
      </w:pPr>
      <w:r w:rsidRPr="00167F3C">
        <w:rPr>
          <w:rFonts w:eastAsia="Calibri"/>
          <w:bCs/>
          <w:noProof/>
          <w:lang w:val="es-DO"/>
        </w:rPr>
        <w:t>La Tesorería Nacional gestionó 122 solicitudes para la asignación de Roles de Tesorero Institucional y Tesorero UEPEX, ante la Dirección de Gestión del Sistema Integrado de Administración Financiera del Estado (DIGES).</w:t>
      </w:r>
    </w:p>
    <w:p w14:paraId="2E7C7D8C" w14:textId="77777777" w:rsidR="00443736" w:rsidRPr="00167F3C" w:rsidRDefault="00443736" w:rsidP="00D64261">
      <w:pPr>
        <w:spacing w:line="360" w:lineRule="auto"/>
        <w:jc w:val="both"/>
        <w:rPr>
          <w:rFonts w:eastAsia="Calibri"/>
          <w:bCs/>
          <w:noProof/>
          <w:lang w:val="es-DO"/>
        </w:rPr>
      </w:pPr>
    </w:p>
    <w:p w14:paraId="18E76272" w14:textId="77777777" w:rsidR="00B26AAB" w:rsidRPr="00167F3C" w:rsidRDefault="00B26AAB" w:rsidP="00D64261">
      <w:pPr>
        <w:spacing w:line="360" w:lineRule="auto"/>
        <w:jc w:val="both"/>
        <w:rPr>
          <w:rFonts w:eastAsia="Calibri"/>
          <w:bCs/>
          <w:noProof/>
          <w:lang w:val="es-DO"/>
        </w:rPr>
      </w:pPr>
    </w:p>
    <w:p w14:paraId="3E52CD2D" w14:textId="270301CC" w:rsidR="00D951F2" w:rsidRPr="00167F3C" w:rsidRDefault="00D951F2" w:rsidP="00D64261">
      <w:pPr>
        <w:spacing w:after="0" w:line="360" w:lineRule="auto"/>
        <w:jc w:val="center"/>
        <w:rPr>
          <w:rFonts w:eastAsia="Calibri"/>
          <w:b/>
          <w:bCs/>
          <w:noProof/>
          <w:lang w:val="es-DO"/>
        </w:rPr>
      </w:pPr>
      <w:r w:rsidRPr="00167F3C">
        <w:rPr>
          <w:rFonts w:eastAsia="Calibri"/>
          <w:b/>
          <w:bCs/>
          <w:noProof/>
          <w:lang w:val="es-DO"/>
        </w:rPr>
        <w:lastRenderedPageBreak/>
        <w:t xml:space="preserve">Cuadro No. </w:t>
      </w:r>
      <w:r w:rsidR="008D7279" w:rsidRPr="00167F3C">
        <w:rPr>
          <w:rFonts w:eastAsia="Calibri"/>
          <w:b/>
          <w:bCs/>
          <w:noProof/>
          <w:lang w:val="es-DO"/>
        </w:rPr>
        <w:t>16</w:t>
      </w:r>
    </w:p>
    <w:p w14:paraId="09960594" w14:textId="77777777" w:rsidR="00D951F2" w:rsidRPr="00167F3C" w:rsidRDefault="00D951F2" w:rsidP="00D64261">
      <w:pPr>
        <w:spacing w:after="0" w:line="360" w:lineRule="auto"/>
        <w:jc w:val="center"/>
        <w:rPr>
          <w:rFonts w:eastAsia="Calibri"/>
          <w:b/>
          <w:bCs/>
          <w:noProof/>
          <w:lang w:val="es-DO"/>
        </w:rPr>
      </w:pPr>
      <w:r w:rsidRPr="00167F3C">
        <w:rPr>
          <w:rFonts w:eastAsia="Calibri"/>
          <w:b/>
          <w:bCs/>
          <w:noProof/>
          <w:lang w:val="es-DO"/>
        </w:rPr>
        <w:t>Tesoreria Nacional</w:t>
      </w:r>
    </w:p>
    <w:tbl>
      <w:tblPr>
        <w:tblW w:w="5000" w:type="pct"/>
        <w:jc w:val="center"/>
        <w:tblCellMar>
          <w:left w:w="70" w:type="dxa"/>
          <w:right w:w="70" w:type="dxa"/>
        </w:tblCellMar>
        <w:tblLook w:val="04A0" w:firstRow="1" w:lastRow="0" w:firstColumn="1" w:lastColumn="0" w:noHBand="0" w:noVBand="1"/>
      </w:tblPr>
      <w:tblGrid>
        <w:gridCol w:w="1285"/>
        <w:gridCol w:w="502"/>
        <w:gridCol w:w="491"/>
        <w:gridCol w:w="543"/>
        <w:gridCol w:w="512"/>
        <w:gridCol w:w="554"/>
        <w:gridCol w:w="491"/>
        <w:gridCol w:w="439"/>
        <w:gridCol w:w="512"/>
        <w:gridCol w:w="481"/>
        <w:gridCol w:w="481"/>
        <w:gridCol w:w="512"/>
        <w:gridCol w:w="459"/>
        <w:gridCol w:w="648"/>
      </w:tblGrid>
      <w:tr w:rsidR="00D951F2" w:rsidRPr="00B47076" w14:paraId="0F6040B2" w14:textId="77777777" w:rsidTr="006D3422">
        <w:trPr>
          <w:trHeight w:val="273"/>
          <w:tblHeader/>
          <w:jc w:val="center"/>
        </w:trPr>
        <w:tc>
          <w:tcPr>
            <w:tcW w:w="782" w:type="pct"/>
            <w:vMerge w:val="restart"/>
            <w:tcBorders>
              <w:top w:val="single" w:sz="4" w:space="0" w:color="auto"/>
              <w:left w:val="single" w:sz="4" w:space="0" w:color="auto"/>
              <w:right w:val="single" w:sz="4" w:space="0" w:color="auto"/>
            </w:tcBorders>
            <w:shd w:val="clear" w:color="auto" w:fill="011C50"/>
            <w:vAlign w:val="center"/>
          </w:tcPr>
          <w:p w14:paraId="5B60A427"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Tipos de Roles</w:t>
            </w:r>
          </w:p>
        </w:tc>
        <w:tc>
          <w:tcPr>
            <w:tcW w:w="3637" w:type="pct"/>
            <w:gridSpan w:val="12"/>
            <w:tcBorders>
              <w:top w:val="single" w:sz="4" w:space="0" w:color="auto"/>
              <w:left w:val="nil"/>
              <w:bottom w:val="single" w:sz="4" w:space="0" w:color="auto"/>
              <w:right w:val="single" w:sz="4" w:space="0" w:color="auto"/>
            </w:tcBorders>
            <w:shd w:val="clear" w:color="auto" w:fill="011C50"/>
            <w:vAlign w:val="center"/>
          </w:tcPr>
          <w:p w14:paraId="25865E83"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noProof/>
                <w:color w:val="FFFFFF" w:themeColor="background1"/>
                <w:lang w:val="es-DO"/>
              </w:rPr>
              <w:t>Gestión de Roles TI y UEPEX</w:t>
            </w:r>
            <w:r w:rsidRPr="00D951F2">
              <w:rPr>
                <w:rFonts w:eastAsia="Calibri"/>
                <w:b/>
                <w:bCs/>
                <w:noProof/>
                <w:color w:val="FFFFFF" w:themeColor="background1"/>
                <w:lang w:val="es-DO"/>
              </w:rPr>
              <w:t xml:space="preserve"> 2025</w:t>
            </w:r>
          </w:p>
        </w:tc>
        <w:tc>
          <w:tcPr>
            <w:tcW w:w="581" w:type="pct"/>
            <w:tcBorders>
              <w:top w:val="single" w:sz="4" w:space="0" w:color="auto"/>
              <w:left w:val="nil"/>
              <w:bottom w:val="nil"/>
              <w:right w:val="single" w:sz="4" w:space="0" w:color="auto"/>
            </w:tcBorders>
            <w:shd w:val="clear" w:color="auto" w:fill="011C50"/>
            <w:vAlign w:val="center"/>
          </w:tcPr>
          <w:p w14:paraId="2EE4821C" w14:textId="77777777" w:rsidR="00D951F2" w:rsidRPr="00D951F2" w:rsidRDefault="00D951F2" w:rsidP="00D64261">
            <w:pPr>
              <w:spacing w:line="360" w:lineRule="auto"/>
              <w:jc w:val="both"/>
              <w:rPr>
                <w:rFonts w:eastAsia="Calibri"/>
                <w:b/>
                <w:bCs/>
                <w:noProof/>
                <w:color w:val="4C4747"/>
                <w:lang w:val="es-DO"/>
              </w:rPr>
            </w:pPr>
          </w:p>
        </w:tc>
      </w:tr>
      <w:tr w:rsidR="00D951F2" w:rsidRPr="00D951F2" w14:paraId="60B7126B" w14:textId="77777777" w:rsidTr="006D3422">
        <w:trPr>
          <w:trHeight w:val="273"/>
          <w:tblHeader/>
          <w:jc w:val="center"/>
        </w:trPr>
        <w:tc>
          <w:tcPr>
            <w:tcW w:w="782" w:type="pct"/>
            <w:vMerge/>
            <w:tcBorders>
              <w:left w:val="single" w:sz="4" w:space="0" w:color="auto"/>
              <w:bottom w:val="single" w:sz="4" w:space="0" w:color="auto"/>
              <w:right w:val="single" w:sz="4" w:space="0" w:color="auto"/>
            </w:tcBorders>
            <w:shd w:val="clear" w:color="auto" w:fill="011C50"/>
            <w:vAlign w:val="center"/>
            <w:hideMark/>
          </w:tcPr>
          <w:p w14:paraId="7A9E9BF1" w14:textId="77777777" w:rsidR="00D951F2" w:rsidRPr="00D951F2" w:rsidRDefault="00D951F2" w:rsidP="00D64261">
            <w:pPr>
              <w:spacing w:line="360" w:lineRule="auto"/>
              <w:jc w:val="both"/>
              <w:rPr>
                <w:rFonts w:eastAsia="Calibri"/>
                <w:b/>
                <w:bCs/>
                <w:noProof/>
                <w:color w:val="FFFFFF" w:themeColor="background1"/>
                <w:lang w:val="es-DO"/>
              </w:rPr>
            </w:pPr>
          </w:p>
        </w:tc>
        <w:tc>
          <w:tcPr>
            <w:tcW w:w="305" w:type="pct"/>
            <w:tcBorders>
              <w:top w:val="single" w:sz="4" w:space="0" w:color="auto"/>
              <w:left w:val="nil"/>
              <w:bottom w:val="single" w:sz="4" w:space="0" w:color="auto"/>
              <w:right w:val="single" w:sz="4" w:space="0" w:color="auto"/>
            </w:tcBorders>
            <w:shd w:val="clear" w:color="auto" w:fill="011C50"/>
            <w:vAlign w:val="center"/>
            <w:hideMark/>
          </w:tcPr>
          <w:p w14:paraId="31D15DFE"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Ene</w:t>
            </w:r>
          </w:p>
        </w:tc>
        <w:tc>
          <w:tcPr>
            <w:tcW w:w="299" w:type="pct"/>
            <w:tcBorders>
              <w:top w:val="single" w:sz="4" w:space="0" w:color="auto"/>
              <w:left w:val="nil"/>
              <w:bottom w:val="single" w:sz="4" w:space="0" w:color="auto"/>
              <w:right w:val="single" w:sz="4" w:space="0" w:color="auto"/>
            </w:tcBorders>
            <w:shd w:val="clear" w:color="auto" w:fill="011C50"/>
            <w:vAlign w:val="center"/>
            <w:hideMark/>
          </w:tcPr>
          <w:p w14:paraId="480FB369"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Feb</w:t>
            </w:r>
          </w:p>
        </w:tc>
        <w:tc>
          <w:tcPr>
            <w:tcW w:w="330" w:type="pct"/>
            <w:tcBorders>
              <w:top w:val="single" w:sz="4" w:space="0" w:color="auto"/>
              <w:left w:val="nil"/>
              <w:bottom w:val="single" w:sz="4" w:space="0" w:color="auto"/>
              <w:right w:val="single" w:sz="4" w:space="0" w:color="auto"/>
            </w:tcBorders>
            <w:shd w:val="clear" w:color="auto" w:fill="011C50"/>
            <w:vAlign w:val="center"/>
            <w:hideMark/>
          </w:tcPr>
          <w:p w14:paraId="1D62B0B1"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Mar</w:t>
            </w:r>
          </w:p>
        </w:tc>
        <w:tc>
          <w:tcPr>
            <w:tcW w:w="312" w:type="pct"/>
            <w:tcBorders>
              <w:top w:val="single" w:sz="4" w:space="0" w:color="auto"/>
              <w:left w:val="nil"/>
              <w:bottom w:val="single" w:sz="4" w:space="0" w:color="auto"/>
              <w:right w:val="single" w:sz="4" w:space="0" w:color="auto"/>
            </w:tcBorders>
            <w:shd w:val="clear" w:color="auto" w:fill="011C50"/>
            <w:vAlign w:val="center"/>
            <w:hideMark/>
          </w:tcPr>
          <w:p w14:paraId="6E213F34"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Abr</w:t>
            </w:r>
          </w:p>
        </w:tc>
        <w:tc>
          <w:tcPr>
            <w:tcW w:w="337" w:type="pct"/>
            <w:tcBorders>
              <w:top w:val="single" w:sz="4" w:space="0" w:color="auto"/>
              <w:left w:val="nil"/>
              <w:bottom w:val="single" w:sz="4" w:space="0" w:color="auto"/>
              <w:right w:val="single" w:sz="4" w:space="0" w:color="auto"/>
            </w:tcBorders>
            <w:shd w:val="clear" w:color="auto" w:fill="011C50"/>
            <w:vAlign w:val="center"/>
            <w:hideMark/>
          </w:tcPr>
          <w:p w14:paraId="0C82A3FB"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May</w:t>
            </w:r>
          </w:p>
        </w:tc>
        <w:tc>
          <w:tcPr>
            <w:tcW w:w="299" w:type="pct"/>
            <w:tcBorders>
              <w:top w:val="single" w:sz="4" w:space="0" w:color="auto"/>
              <w:left w:val="nil"/>
              <w:bottom w:val="single" w:sz="4" w:space="0" w:color="auto"/>
              <w:right w:val="single" w:sz="4" w:space="0" w:color="auto"/>
            </w:tcBorders>
            <w:shd w:val="clear" w:color="auto" w:fill="011C50"/>
            <w:vAlign w:val="center"/>
            <w:hideMark/>
          </w:tcPr>
          <w:p w14:paraId="0AD991DA"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Jun</w:t>
            </w:r>
          </w:p>
        </w:tc>
        <w:tc>
          <w:tcPr>
            <w:tcW w:w="267" w:type="pct"/>
            <w:tcBorders>
              <w:top w:val="single" w:sz="4" w:space="0" w:color="auto"/>
              <w:left w:val="nil"/>
              <w:bottom w:val="single" w:sz="4" w:space="0" w:color="auto"/>
              <w:right w:val="single" w:sz="4" w:space="0" w:color="auto"/>
            </w:tcBorders>
            <w:shd w:val="clear" w:color="auto" w:fill="011C50"/>
            <w:vAlign w:val="center"/>
            <w:hideMark/>
          </w:tcPr>
          <w:p w14:paraId="57BD1E7A"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Jul</w:t>
            </w:r>
          </w:p>
        </w:tc>
        <w:tc>
          <w:tcPr>
            <w:tcW w:w="312" w:type="pct"/>
            <w:tcBorders>
              <w:top w:val="single" w:sz="4" w:space="0" w:color="auto"/>
              <w:left w:val="nil"/>
              <w:bottom w:val="single" w:sz="4" w:space="0" w:color="auto"/>
              <w:right w:val="single" w:sz="4" w:space="0" w:color="auto"/>
            </w:tcBorders>
            <w:shd w:val="clear" w:color="auto" w:fill="011C50"/>
            <w:vAlign w:val="center"/>
            <w:hideMark/>
          </w:tcPr>
          <w:p w14:paraId="0D4716B3"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Ago</w:t>
            </w:r>
          </w:p>
        </w:tc>
        <w:tc>
          <w:tcPr>
            <w:tcW w:w="293" w:type="pct"/>
            <w:tcBorders>
              <w:top w:val="single" w:sz="4" w:space="0" w:color="auto"/>
              <w:left w:val="nil"/>
              <w:bottom w:val="single" w:sz="4" w:space="0" w:color="auto"/>
              <w:right w:val="single" w:sz="4" w:space="0" w:color="auto"/>
            </w:tcBorders>
            <w:shd w:val="clear" w:color="auto" w:fill="011C50"/>
            <w:vAlign w:val="center"/>
            <w:hideMark/>
          </w:tcPr>
          <w:p w14:paraId="7B3E8579"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Sep</w:t>
            </w:r>
          </w:p>
        </w:tc>
        <w:tc>
          <w:tcPr>
            <w:tcW w:w="293" w:type="pct"/>
            <w:tcBorders>
              <w:top w:val="single" w:sz="4" w:space="0" w:color="auto"/>
              <w:left w:val="nil"/>
              <w:bottom w:val="single" w:sz="4" w:space="0" w:color="auto"/>
              <w:right w:val="single" w:sz="4" w:space="0" w:color="auto"/>
            </w:tcBorders>
            <w:shd w:val="clear" w:color="auto" w:fill="011C50"/>
            <w:vAlign w:val="center"/>
            <w:hideMark/>
          </w:tcPr>
          <w:p w14:paraId="289378DB"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Oct</w:t>
            </w:r>
          </w:p>
        </w:tc>
        <w:tc>
          <w:tcPr>
            <w:tcW w:w="312" w:type="pct"/>
            <w:tcBorders>
              <w:top w:val="single" w:sz="4" w:space="0" w:color="auto"/>
              <w:left w:val="nil"/>
              <w:bottom w:val="single" w:sz="4" w:space="0" w:color="auto"/>
              <w:right w:val="single" w:sz="4" w:space="0" w:color="auto"/>
            </w:tcBorders>
            <w:shd w:val="clear" w:color="auto" w:fill="011C50"/>
            <w:vAlign w:val="center"/>
            <w:hideMark/>
          </w:tcPr>
          <w:p w14:paraId="3C9033D0"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Nov</w:t>
            </w:r>
          </w:p>
        </w:tc>
        <w:tc>
          <w:tcPr>
            <w:tcW w:w="279" w:type="pct"/>
            <w:tcBorders>
              <w:top w:val="single" w:sz="4" w:space="0" w:color="auto"/>
              <w:left w:val="nil"/>
              <w:bottom w:val="single" w:sz="4" w:space="0" w:color="auto"/>
              <w:right w:val="single" w:sz="4" w:space="0" w:color="auto"/>
            </w:tcBorders>
            <w:shd w:val="clear" w:color="auto" w:fill="011C50"/>
            <w:vAlign w:val="center"/>
            <w:hideMark/>
          </w:tcPr>
          <w:p w14:paraId="03208CA1" w14:textId="77777777" w:rsidR="00D951F2" w:rsidRPr="00D951F2" w:rsidRDefault="00D951F2" w:rsidP="00D64261">
            <w:pPr>
              <w:spacing w:line="360" w:lineRule="auto"/>
              <w:jc w:val="both"/>
              <w:rPr>
                <w:rFonts w:eastAsia="Calibri"/>
                <w:b/>
                <w:bCs/>
                <w:noProof/>
                <w:color w:val="FFFFFF" w:themeColor="background1"/>
                <w:lang w:val="es-DO"/>
              </w:rPr>
            </w:pPr>
            <w:r w:rsidRPr="00D951F2">
              <w:rPr>
                <w:rFonts w:eastAsia="Calibri"/>
                <w:b/>
                <w:bCs/>
                <w:noProof/>
                <w:color w:val="FFFFFF" w:themeColor="background1"/>
                <w:lang w:val="es-DO"/>
              </w:rPr>
              <w:t>Dic</w:t>
            </w:r>
          </w:p>
        </w:tc>
        <w:tc>
          <w:tcPr>
            <w:tcW w:w="581" w:type="pct"/>
            <w:tcBorders>
              <w:top w:val="single" w:sz="4" w:space="0" w:color="auto"/>
              <w:left w:val="nil"/>
              <w:bottom w:val="single" w:sz="4" w:space="0" w:color="auto"/>
              <w:right w:val="single" w:sz="4" w:space="0" w:color="auto"/>
            </w:tcBorders>
            <w:shd w:val="clear" w:color="auto" w:fill="D9D9D9"/>
            <w:vAlign w:val="center"/>
            <w:hideMark/>
          </w:tcPr>
          <w:p w14:paraId="12BFBCB4" w14:textId="77777777" w:rsidR="00D951F2" w:rsidRPr="00D951F2" w:rsidRDefault="00D951F2" w:rsidP="00D64261">
            <w:pPr>
              <w:spacing w:line="360" w:lineRule="auto"/>
              <w:jc w:val="both"/>
              <w:rPr>
                <w:rFonts w:eastAsia="Calibri"/>
                <w:b/>
                <w:bCs/>
                <w:noProof/>
                <w:color w:val="4C4747"/>
                <w:lang w:val="es-DO"/>
              </w:rPr>
            </w:pPr>
            <w:r w:rsidRPr="00167F3C">
              <w:rPr>
                <w:rFonts w:eastAsia="Calibri"/>
                <w:b/>
                <w:bCs/>
                <w:noProof/>
                <w:lang w:val="es-DO"/>
              </w:rPr>
              <w:t>Total</w:t>
            </w:r>
          </w:p>
        </w:tc>
      </w:tr>
      <w:tr w:rsidR="00D951F2" w:rsidRPr="00D951F2" w14:paraId="51AFC0B4" w14:textId="77777777" w:rsidTr="006D3422">
        <w:trPr>
          <w:trHeight w:val="565"/>
          <w:jc w:val="center"/>
        </w:trPr>
        <w:tc>
          <w:tcPr>
            <w:tcW w:w="782" w:type="pct"/>
            <w:tcBorders>
              <w:top w:val="single" w:sz="4" w:space="0" w:color="auto"/>
            </w:tcBorders>
            <w:shd w:val="clear" w:color="000000" w:fill="FFFFFF"/>
            <w:vAlign w:val="center"/>
          </w:tcPr>
          <w:p w14:paraId="6A4A7939" w14:textId="77777777" w:rsidR="00D951F2" w:rsidRPr="00167F3C" w:rsidRDefault="00D951F2" w:rsidP="00D64261">
            <w:pPr>
              <w:spacing w:line="360" w:lineRule="auto"/>
              <w:jc w:val="both"/>
              <w:rPr>
                <w:rFonts w:eastAsia="Calibri"/>
                <w:noProof/>
                <w:lang w:val="es-DO"/>
              </w:rPr>
            </w:pPr>
            <w:r w:rsidRPr="00167F3C">
              <w:rPr>
                <w:rFonts w:eastAsia="Calibri"/>
                <w:bCs/>
                <w:noProof/>
                <w:lang w:val="es-DO"/>
              </w:rPr>
              <w:t>Roles Tesorero Institucional</w:t>
            </w:r>
          </w:p>
        </w:tc>
        <w:tc>
          <w:tcPr>
            <w:tcW w:w="305" w:type="pct"/>
            <w:tcBorders>
              <w:top w:val="single" w:sz="4" w:space="0" w:color="auto"/>
            </w:tcBorders>
            <w:shd w:val="clear" w:color="000000" w:fill="FFFFFF"/>
            <w:vAlign w:val="center"/>
          </w:tcPr>
          <w:p w14:paraId="46195E31"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8</w:t>
            </w:r>
          </w:p>
        </w:tc>
        <w:tc>
          <w:tcPr>
            <w:tcW w:w="299" w:type="pct"/>
            <w:tcBorders>
              <w:top w:val="single" w:sz="4" w:space="0" w:color="auto"/>
            </w:tcBorders>
            <w:shd w:val="clear" w:color="000000" w:fill="FFFFFF"/>
            <w:vAlign w:val="center"/>
          </w:tcPr>
          <w:p w14:paraId="563F5983"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8</w:t>
            </w:r>
          </w:p>
        </w:tc>
        <w:tc>
          <w:tcPr>
            <w:tcW w:w="330" w:type="pct"/>
            <w:tcBorders>
              <w:top w:val="single" w:sz="4" w:space="0" w:color="auto"/>
            </w:tcBorders>
            <w:shd w:val="clear" w:color="000000" w:fill="FFFFFF"/>
            <w:vAlign w:val="center"/>
          </w:tcPr>
          <w:p w14:paraId="5759DD04"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14</w:t>
            </w:r>
          </w:p>
        </w:tc>
        <w:tc>
          <w:tcPr>
            <w:tcW w:w="312" w:type="pct"/>
            <w:tcBorders>
              <w:top w:val="single" w:sz="4" w:space="0" w:color="auto"/>
            </w:tcBorders>
            <w:shd w:val="clear" w:color="000000" w:fill="FFFFFF"/>
            <w:vAlign w:val="center"/>
          </w:tcPr>
          <w:p w14:paraId="2D80C7E8"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0</w:t>
            </w:r>
          </w:p>
        </w:tc>
        <w:tc>
          <w:tcPr>
            <w:tcW w:w="337" w:type="pct"/>
            <w:tcBorders>
              <w:top w:val="single" w:sz="4" w:space="0" w:color="auto"/>
            </w:tcBorders>
            <w:shd w:val="clear" w:color="000000" w:fill="FFFFFF"/>
            <w:vAlign w:val="center"/>
          </w:tcPr>
          <w:p w14:paraId="4081E6DF"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5</w:t>
            </w:r>
          </w:p>
        </w:tc>
        <w:tc>
          <w:tcPr>
            <w:tcW w:w="299" w:type="pct"/>
            <w:tcBorders>
              <w:top w:val="single" w:sz="4" w:space="0" w:color="auto"/>
            </w:tcBorders>
            <w:shd w:val="clear" w:color="000000" w:fill="FFFFFF"/>
            <w:vAlign w:val="center"/>
          </w:tcPr>
          <w:p w14:paraId="5282DFD0"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7</w:t>
            </w:r>
          </w:p>
        </w:tc>
        <w:tc>
          <w:tcPr>
            <w:tcW w:w="267" w:type="pct"/>
            <w:tcBorders>
              <w:top w:val="single" w:sz="4" w:space="0" w:color="auto"/>
            </w:tcBorders>
            <w:shd w:val="clear" w:color="000000" w:fill="FFFFFF"/>
            <w:vAlign w:val="center"/>
          </w:tcPr>
          <w:p w14:paraId="01D1107F"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6</w:t>
            </w:r>
          </w:p>
        </w:tc>
        <w:tc>
          <w:tcPr>
            <w:tcW w:w="312" w:type="pct"/>
            <w:tcBorders>
              <w:top w:val="single" w:sz="4" w:space="0" w:color="auto"/>
            </w:tcBorders>
            <w:vAlign w:val="center"/>
          </w:tcPr>
          <w:p w14:paraId="4C729B1F"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15</w:t>
            </w:r>
          </w:p>
        </w:tc>
        <w:tc>
          <w:tcPr>
            <w:tcW w:w="293" w:type="pct"/>
            <w:tcBorders>
              <w:top w:val="single" w:sz="4" w:space="0" w:color="auto"/>
            </w:tcBorders>
            <w:vAlign w:val="center"/>
          </w:tcPr>
          <w:p w14:paraId="63B5DCF0"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8</w:t>
            </w:r>
          </w:p>
        </w:tc>
        <w:tc>
          <w:tcPr>
            <w:tcW w:w="293" w:type="pct"/>
            <w:tcBorders>
              <w:top w:val="single" w:sz="4" w:space="0" w:color="auto"/>
            </w:tcBorders>
            <w:shd w:val="clear" w:color="000000" w:fill="FFFFFF"/>
            <w:vAlign w:val="center"/>
          </w:tcPr>
          <w:p w14:paraId="52E9CA83"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8</w:t>
            </w:r>
          </w:p>
        </w:tc>
        <w:tc>
          <w:tcPr>
            <w:tcW w:w="312" w:type="pct"/>
            <w:tcBorders>
              <w:top w:val="single" w:sz="4" w:space="0" w:color="auto"/>
            </w:tcBorders>
            <w:vAlign w:val="center"/>
          </w:tcPr>
          <w:p w14:paraId="6E0AEFEF"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5</w:t>
            </w:r>
          </w:p>
        </w:tc>
        <w:tc>
          <w:tcPr>
            <w:tcW w:w="279" w:type="pct"/>
            <w:tcBorders>
              <w:top w:val="single" w:sz="4" w:space="0" w:color="auto"/>
            </w:tcBorders>
            <w:vAlign w:val="center"/>
          </w:tcPr>
          <w:p w14:paraId="34A396B1"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7</w:t>
            </w:r>
          </w:p>
        </w:tc>
        <w:tc>
          <w:tcPr>
            <w:tcW w:w="581" w:type="pct"/>
            <w:tcBorders>
              <w:top w:val="single" w:sz="4" w:space="0" w:color="auto"/>
            </w:tcBorders>
            <w:shd w:val="clear" w:color="000000" w:fill="FFFFFF"/>
            <w:vAlign w:val="center"/>
          </w:tcPr>
          <w:p w14:paraId="02D8C950" w14:textId="77777777" w:rsidR="00D951F2" w:rsidRPr="00167F3C" w:rsidRDefault="00D951F2" w:rsidP="00D64261">
            <w:pPr>
              <w:spacing w:line="360" w:lineRule="auto"/>
              <w:jc w:val="both"/>
              <w:rPr>
                <w:rFonts w:eastAsia="Calibri"/>
                <w:b/>
                <w:bCs/>
                <w:noProof/>
                <w:lang w:val="es-DO"/>
              </w:rPr>
            </w:pPr>
            <w:r w:rsidRPr="00167F3C">
              <w:rPr>
                <w:rFonts w:eastAsia="Calibri"/>
                <w:b/>
                <w:bCs/>
                <w:noProof/>
                <w:lang w:val="es-DO"/>
              </w:rPr>
              <w:t>91</w:t>
            </w:r>
          </w:p>
        </w:tc>
      </w:tr>
      <w:tr w:rsidR="00D951F2" w:rsidRPr="00D951F2" w14:paraId="7A6B55E6" w14:textId="77777777" w:rsidTr="006D3422">
        <w:trPr>
          <w:trHeight w:val="501"/>
          <w:jc w:val="center"/>
        </w:trPr>
        <w:tc>
          <w:tcPr>
            <w:tcW w:w="782" w:type="pct"/>
            <w:tcBorders>
              <w:bottom w:val="single" w:sz="4" w:space="0" w:color="auto"/>
            </w:tcBorders>
            <w:shd w:val="clear" w:color="auto" w:fill="D9D9D9"/>
            <w:vAlign w:val="center"/>
          </w:tcPr>
          <w:p w14:paraId="5E808D89" w14:textId="77777777" w:rsidR="00D951F2" w:rsidRPr="00167F3C" w:rsidRDefault="00D951F2" w:rsidP="00D64261">
            <w:pPr>
              <w:spacing w:line="360" w:lineRule="auto"/>
              <w:jc w:val="both"/>
              <w:rPr>
                <w:rFonts w:eastAsia="Calibri"/>
                <w:noProof/>
                <w:lang w:val="es-DO"/>
              </w:rPr>
            </w:pPr>
            <w:r w:rsidRPr="00167F3C">
              <w:rPr>
                <w:rFonts w:eastAsia="Calibri"/>
                <w:bCs/>
                <w:noProof/>
                <w:lang w:val="es-DO"/>
              </w:rPr>
              <w:t>Roles Torero UEPEX</w:t>
            </w:r>
          </w:p>
        </w:tc>
        <w:tc>
          <w:tcPr>
            <w:tcW w:w="305" w:type="pct"/>
            <w:tcBorders>
              <w:bottom w:val="single" w:sz="4" w:space="0" w:color="auto"/>
            </w:tcBorders>
            <w:shd w:val="clear" w:color="auto" w:fill="D9D9D9"/>
            <w:vAlign w:val="center"/>
          </w:tcPr>
          <w:p w14:paraId="04C2B0F1"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2</w:t>
            </w:r>
          </w:p>
        </w:tc>
        <w:tc>
          <w:tcPr>
            <w:tcW w:w="299" w:type="pct"/>
            <w:tcBorders>
              <w:bottom w:val="single" w:sz="4" w:space="0" w:color="auto"/>
            </w:tcBorders>
            <w:shd w:val="clear" w:color="auto" w:fill="D9D9D9"/>
            <w:vAlign w:val="center"/>
          </w:tcPr>
          <w:p w14:paraId="3C0ABDCE"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w:t>
            </w:r>
          </w:p>
        </w:tc>
        <w:tc>
          <w:tcPr>
            <w:tcW w:w="330" w:type="pct"/>
            <w:tcBorders>
              <w:bottom w:val="single" w:sz="4" w:space="0" w:color="auto"/>
            </w:tcBorders>
            <w:shd w:val="clear" w:color="auto" w:fill="D9D9D9"/>
            <w:vAlign w:val="center"/>
          </w:tcPr>
          <w:p w14:paraId="032060C8"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3</w:t>
            </w:r>
          </w:p>
        </w:tc>
        <w:tc>
          <w:tcPr>
            <w:tcW w:w="312" w:type="pct"/>
            <w:tcBorders>
              <w:bottom w:val="single" w:sz="4" w:space="0" w:color="auto"/>
            </w:tcBorders>
            <w:shd w:val="clear" w:color="auto" w:fill="D9D9D9"/>
            <w:vAlign w:val="center"/>
          </w:tcPr>
          <w:p w14:paraId="0C2D7D13"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3</w:t>
            </w:r>
          </w:p>
        </w:tc>
        <w:tc>
          <w:tcPr>
            <w:tcW w:w="337" w:type="pct"/>
            <w:tcBorders>
              <w:bottom w:val="single" w:sz="4" w:space="0" w:color="auto"/>
            </w:tcBorders>
            <w:shd w:val="clear" w:color="auto" w:fill="D9D9D9"/>
            <w:vAlign w:val="center"/>
          </w:tcPr>
          <w:p w14:paraId="48240005"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4</w:t>
            </w:r>
          </w:p>
        </w:tc>
        <w:tc>
          <w:tcPr>
            <w:tcW w:w="299" w:type="pct"/>
            <w:tcBorders>
              <w:bottom w:val="single" w:sz="4" w:space="0" w:color="auto"/>
            </w:tcBorders>
            <w:shd w:val="clear" w:color="auto" w:fill="D9D9D9"/>
            <w:vAlign w:val="center"/>
          </w:tcPr>
          <w:p w14:paraId="2821A08B"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5</w:t>
            </w:r>
          </w:p>
        </w:tc>
        <w:tc>
          <w:tcPr>
            <w:tcW w:w="267" w:type="pct"/>
            <w:tcBorders>
              <w:bottom w:val="single" w:sz="4" w:space="0" w:color="auto"/>
            </w:tcBorders>
            <w:shd w:val="clear" w:color="auto" w:fill="D9D9D9"/>
            <w:vAlign w:val="center"/>
          </w:tcPr>
          <w:p w14:paraId="2D18ABCB"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w:t>
            </w:r>
          </w:p>
        </w:tc>
        <w:tc>
          <w:tcPr>
            <w:tcW w:w="312" w:type="pct"/>
            <w:tcBorders>
              <w:bottom w:val="single" w:sz="4" w:space="0" w:color="auto"/>
            </w:tcBorders>
            <w:shd w:val="clear" w:color="auto" w:fill="D9D9D9"/>
            <w:vAlign w:val="center"/>
          </w:tcPr>
          <w:p w14:paraId="26836689"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2</w:t>
            </w:r>
          </w:p>
        </w:tc>
        <w:tc>
          <w:tcPr>
            <w:tcW w:w="293" w:type="pct"/>
            <w:tcBorders>
              <w:bottom w:val="single" w:sz="4" w:space="0" w:color="auto"/>
            </w:tcBorders>
            <w:shd w:val="clear" w:color="auto" w:fill="D9D9D9"/>
            <w:vAlign w:val="center"/>
          </w:tcPr>
          <w:p w14:paraId="1A015CCE"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2</w:t>
            </w:r>
          </w:p>
        </w:tc>
        <w:tc>
          <w:tcPr>
            <w:tcW w:w="293" w:type="pct"/>
            <w:tcBorders>
              <w:bottom w:val="single" w:sz="4" w:space="0" w:color="auto"/>
            </w:tcBorders>
            <w:shd w:val="clear" w:color="auto" w:fill="D9D9D9"/>
            <w:vAlign w:val="center"/>
          </w:tcPr>
          <w:p w14:paraId="415205CE"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1</w:t>
            </w:r>
          </w:p>
        </w:tc>
        <w:tc>
          <w:tcPr>
            <w:tcW w:w="312" w:type="pct"/>
            <w:tcBorders>
              <w:bottom w:val="single" w:sz="4" w:space="0" w:color="auto"/>
            </w:tcBorders>
            <w:shd w:val="clear" w:color="auto" w:fill="D9D9D9"/>
            <w:vAlign w:val="center"/>
          </w:tcPr>
          <w:p w14:paraId="02B587CE"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2</w:t>
            </w:r>
          </w:p>
        </w:tc>
        <w:tc>
          <w:tcPr>
            <w:tcW w:w="279" w:type="pct"/>
            <w:tcBorders>
              <w:bottom w:val="single" w:sz="4" w:space="0" w:color="auto"/>
            </w:tcBorders>
            <w:shd w:val="clear" w:color="auto" w:fill="D9D9D9"/>
            <w:vAlign w:val="center"/>
          </w:tcPr>
          <w:p w14:paraId="0927A6C2" w14:textId="77777777" w:rsidR="00D951F2" w:rsidRPr="00167F3C" w:rsidRDefault="00D951F2" w:rsidP="00D64261">
            <w:pPr>
              <w:spacing w:line="360" w:lineRule="auto"/>
              <w:jc w:val="both"/>
              <w:rPr>
                <w:rFonts w:eastAsia="Calibri"/>
                <w:noProof/>
                <w:lang w:val="es-DO"/>
              </w:rPr>
            </w:pPr>
            <w:r w:rsidRPr="00167F3C">
              <w:rPr>
                <w:rFonts w:eastAsia="Calibri"/>
                <w:noProof/>
                <w:lang w:val="es-DO"/>
              </w:rPr>
              <w:t>5</w:t>
            </w:r>
          </w:p>
        </w:tc>
        <w:tc>
          <w:tcPr>
            <w:tcW w:w="581" w:type="pct"/>
            <w:tcBorders>
              <w:bottom w:val="single" w:sz="4" w:space="0" w:color="auto"/>
            </w:tcBorders>
            <w:shd w:val="clear" w:color="auto" w:fill="D9D9D9"/>
            <w:vAlign w:val="center"/>
          </w:tcPr>
          <w:p w14:paraId="51350771" w14:textId="77777777" w:rsidR="00D951F2" w:rsidRPr="00167F3C" w:rsidRDefault="00D951F2" w:rsidP="00D64261">
            <w:pPr>
              <w:spacing w:line="360" w:lineRule="auto"/>
              <w:jc w:val="both"/>
              <w:rPr>
                <w:rFonts w:eastAsia="Calibri"/>
                <w:b/>
                <w:bCs/>
                <w:noProof/>
                <w:lang w:val="es-DO"/>
              </w:rPr>
            </w:pPr>
            <w:r w:rsidRPr="00167F3C">
              <w:rPr>
                <w:rFonts w:eastAsia="Calibri"/>
                <w:b/>
                <w:bCs/>
                <w:noProof/>
                <w:lang w:val="es-DO"/>
              </w:rPr>
              <w:t>31</w:t>
            </w:r>
          </w:p>
        </w:tc>
      </w:tr>
      <w:tr w:rsidR="00D951F2" w:rsidRPr="00B47076" w14:paraId="4FC808D3" w14:textId="77777777" w:rsidTr="006D3422">
        <w:trPr>
          <w:trHeight w:val="296"/>
          <w:jc w:val="center"/>
        </w:trPr>
        <w:tc>
          <w:tcPr>
            <w:tcW w:w="5000" w:type="pct"/>
            <w:gridSpan w:val="14"/>
            <w:tcBorders>
              <w:top w:val="single" w:sz="4" w:space="0" w:color="auto"/>
              <w:left w:val="single" w:sz="4" w:space="0" w:color="auto"/>
              <w:bottom w:val="single" w:sz="4" w:space="0" w:color="auto"/>
              <w:right w:val="single" w:sz="4" w:space="0" w:color="auto"/>
            </w:tcBorders>
            <w:shd w:val="clear" w:color="auto" w:fill="011C50"/>
            <w:vAlign w:val="center"/>
          </w:tcPr>
          <w:p w14:paraId="02CB6400" w14:textId="77777777" w:rsidR="00D951F2" w:rsidRPr="00D951F2" w:rsidRDefault="00D951F2" w:rsidP="00D64261">
            <w:pPr>
              <w:spacing w:line="360" w:lineRule="auto"/>
              <w:jc w:val="both"/>
              <w:rPr>
                <w:rFonts w:eastAsia="Calibri"/>
                <w:b/>
                <w:bCs/>
                <w:noProof/>
                <w:color w:val="4C4747"/>
                <w:lang w:val="es-DO"/>
              </w:rPr>
            </w:pPr>
            <w:r w:rsidRPr="00D951F2">
              <w:rPr>
                <w:rFonts w:eastAsia="Calibri"/>
                <w:b/>
                <w:bCs/>
                <w:noProof/>
                <w:color w:val="FFFFFF" w:themeColor="background1"/>
                <w:lang w:val="es-DO"/>
              </w:rPr>
              <w:t>122 Roles TI y UEPEX gestionados</w:t>
            </w:r>
          </w:p>
        </w:tc>
      </w:tr>
    </w:tbl>
    <w:p w14:paraId="480762AB" w14:textId="77777777" w:rsidR="00D951F2" w:rsidRPr="006D506C" w:rsidRDefault="00D951F2" w:rsidP="00D64261">
      <w:pPr>
        <w:spacing w:line="360" w:lineRule="auto"/>
        <w:jc w:val="both"/>
        <w:rPr>
          <w:rFonts w:eastAsia="Calibri"/>
          <w:bCs/>
          <w:i/>
          <w:iCs/>
          <w:noProof/>
          <w:sz w:val="18"/>
          <w:szCs w:val="18"/>
          <w:lang w:val="es-DO"/>
        </w:rPr>
      </w:pPr>
      <w:r w:rsidRPr="006D506C">
        <w:rPr>
          <w:rFonts w:eastAsia="Calibri"/>
          <w:bCs/>
          <w:i/>
          <w:iCs/>
          <w:noProof/>
          <w:sz w:val="18"/>
          <w:szCs w:val="18"/>
          <w:lang w:val="es-DO"/>
        </w:rPr>
        <w:t>Fuente: Archivo digital comunicaciones de gestión de roles y Reporte Extenso Estadísticas DNyATI  2025.</w:t>
      </w:r>
    </w:p>
    <w:p w14:paraId="75B5C435" w14:textId="77777777" w:rsidR="00F55EF4" w:rsidRDefault="00F55EF4" w:rsidP="00D64261">
      <w:pPr>
        <w:spacing w:line="360" w:lineRule="auto"/>
        <w:jc w:val="both"/>
        <w:rPr>
          <w:rFonts w:eastAsia="Calibri"/>
          <w:b/>
          <w:noProof/>
          <w:color w:val="4C4747"/>
          <w:lang w:val="es-DO"/>
        </w:rPr>
      </w:pPr>
    </w:p>
    <w:p w14:paraId="5E0A2C70" w14:textId="77777777" w:rsidR="00B046C6" w:rsidRDefault="00B046C6" w:rsidP="00D64261">
      <w:pPr>
        <w:spacing w:line="360" w:lineRule="auto"/>
        <w:jc w:val="both"/>
        <w:rPr>
          <w:rFonts w:eastAsia="Calibri"/>
          <w:b/>
          <w:noProof/>
          <w:color w:val="4C4747"/>
          <w:lang w:val="es-DO"/>
        </w:rPr>
      </w:pPr>
    </w:p>
    <w:p w14:paraId="2524E265" w14:textId="77777777" w:rsidR="00443736" w:rsidRDefault="00443736" w:rsidP="00D64261">
      <w:pPr>
        <w:spacing w:line="360" w:lineRule="auto"/>
        <w:jc w:val="both"/>
        <w:rPr>
          <w:rFonts w:eastAsia="Calibri"/>
          <w:b/>
          <w:noProof/>
          <w:color w:val="4C4747"/>
          <w:lang w:val="es-DO"/>
        </w:rPr>
      </w:pPr>
    </w:p>
    <w:p w14:paraId="19CBE766" w14:textId="77777777" w:rsidR="00443736" w:rsidRDefault="00443736" w:rsidP="00D64261">
      <w:pPr>
        <w:spacing w:line="360" w:lineRule="auto"/>
        <w:jc w:val="both"/>
        <w:rPr>
          <w:rFonts w:eastAsia="Calibri"/>
          <w:b/>
          <w:noProof/>
          <w:color w:val="4C4747"/>
          <w:lang w:val="es-DO"/>
        </w:rPr>
      </w:pPr>
    </w:p>
    <w:p w14:paraId="54EEDC6F" w14:textId="77777777" w:rsidR="00B26AAB" w:rsidRDefault="00B26AAB" w:rsidP="00D64261">
      <w:pPr>
        <w:spacing w:line="360" w:lineRule="auto"/>
        <w:jc w:val="both"/>
        <w:rPr>
          <w:rFonts w:eastAsia="Calibri"/>
          <w:b/>
          <w:noProof/>
          <w:color w:val="4C4747"/>
          <w:lang w:val="es-DO"/>
        </w:rPr>
      </w:pPr>
    </w:p>
    <w:p w14:paraId="04A2FCD8" w14:textId="77777777" w:rsidR="00B26AAB" w:rsidRDefault="00B26AAB" w:rsidP="00D64261">
      <w:pPr>
        <w:spacing w:line="360" w:lineRule="auto"/>
        <w:jc w:val="both"/>
        <w:rPr>
          <w:rFonts w:eastAsia="Calibri"/>
          <w:b/>
          <w:noProof/>
          <w:color w:val="4C4747"/>
          <w:lang w:val="es-DO"/>
        </w:rPr>
      </w:pPr>
    </w:p>
    <w:p w14:paraId="254E3348" w14:textId="77777777" w:rsidR="00B26AAB" w:rsidRDefault="00B26AAB" w:rsidP="00D64261">
      <w:pPr>
        <w:spacing w:line="360" w:lineRule="auto"/>
        <w:jc w:val="both"/>
        <w:rPr>
          <w:rFonts w:eastAsia="Calibri"/>
          <w:b/>
          <w:noProof/>
          <w:color w:val="4C4747"/>
          <w:lang w:val="es-DO"/>
        </w:rPr>
      </w:pPr>
    </w:p>
    <w:p w14:paraId="035100A1" w14:textId="77777777" w:rsidR="00B26AAB" w:rsidRDefault="00B26AAB" w:rsidP="00D64261">
      <w:pPr>
        <w:spacing w:line="360" w:lineRule="auto"/>
        <w:jc w:val="both"/>
        <w:rPr>
          <w:rFonts w:eastAsia="Calibri"/>
          <w:b/>
          <w:noProof/>
          <w:color w:val="4C4747"/>
          <w:lang w:val="es-DO"/>
        </w:rPr>
      </w:pPr>
    </w:p>
    <w:p w14:paraId="5718B56C" w14:textId="77777777" w:rsidR="00B26AAB" w:rsidRDefault="00B26AAB" w:rsidP="00D64261">
      <w:pPr>
        <w:spacing w:line="360" w:lineRule="auto"/>
        <w:jc w:val="both"/>
        <w:rPr>
          <w:rFonts w:eastAsia="Calibri"/>
          <w:b/>
          <w:noProof/>
          <w:color w:val="4C4747"/>
          <w:lang w:val="es-DO"/>
        </w:rPr>
      </w:pPr>
    </w:p>
    <w:p w14:paraId="6DBFBAAB" w14:textId="77777777" w:rsidR="00B26AAB" w:rsidRDefault="00B26AAB" w:rsidP="00D64261">
      <w:pPr>
        <w:spacing w:line="360" w:lineRule="auto"/>
        <w:jc w:val="both"/>
        <w:rPr>
          <w:rFonts w:eastAsia="Calibri"/>
          <w:b/>
          <w:noProof/>
          <w:color w:val="4C4747"/>
          <w:lang w:val="es-DO"/>
        </w:rPr>
      </w:pPr>
    </w:p>
    <w:p w14:paraId="5E6106B2" w14:textId="7C3769B0" w:rsidR="00D951F2" w:rsidRPr="006D506C" w:rsidRDefault="00D951F2" w:rsidP="00D64261">
      <w:pPr>
        <w:spacing w:after="0" w:line="360" w:lineRule="auto"/>
        <w:jc w:val="center"/>
        <w:rPr>
          <w:rFonts w:eastAsia="Calibri"/>
          <w:b/>
          <w:bCs/>
          <w:noProof/>
          <w:lang w:val="es-DO"/>
        </w:rPr>
      </w:pPr>
      <w:r w:rsidRPr="006D506C">
        <w:rPr>
          <w:rFonts w:eastAsia="Calibri"/>
          <w:b/>
          <w:bCs/>
          <w:noProof/>
          <w:lang w:val="es-DO"/>
        </w:rPr>
        <w:lastRenderedPageBreak/>
        <w:t>Gráfico No. 0</w:t>
      </w:r>
      <w:r w:rsidR="00992D02" w:rsidRPr="006D506C">
        <w:rPr>
          <w:rFonts w:eastAsia="Calibri"/>
          <w:b/>
          <w:bCs/>
          <w:noProof/>
          <w:lang w:val="es-DO"/>
        </w:rPr>
        <w:t>5</w:t>
      </w:r>
    </w:p>
    <w:p w14:paraId="4B4ACCEE" w14:textId="3FF25718" w:rsidR="00D951F2" w:rsidRPr="006D506C" w:rsidRDefault="00D951F2" w:rsidP="00D64261">
      <w:pPr>
        <w:spacing w:after="0" w:line="360" w:lineRule="auto"/>
        <w:jc w:val="center"/>
        <w:rPr>
          <w:rFonts w:eastAsia="Calibri"/>
          <w:b/>
          <w:noProof/>
          <w:lang w:val="es-DO"/>
        </w:rPr>
      </w:pPr>
      <w:r w:rsidRPr="006D506C">
        <w:rPr>
          <w:rFonts w:eastAsia="Calibri"/>
          <w:b/>
          <w:bCs/>
          <w:noProof/>
          <w:lang w:val="es-DO"/>
        </w:rPr>
        <w:drawing>
          <wp:anchor distT="0" distB="0" distL="114300" distR="114300" simplePos="0" relativeHeight="251728896" behindDoc="0" locked="0" layoutInCell="1" allowOverlap="1" wp14:anchorId="09A17010" wp14:editId="658AE9E0">
            <wp:simplePos x="0" y="0"/>
            <wp:positionH relativeFrom="margin">
              <wp:posOffset>2850515</wp:posOffset>
            </wp:positionH>
            <wp:positionV relativeFrom="paragraph">
              <wp:posOffset>282575</wp:posOffset>
            </wp:positionV>
            <wp:extent cx="2635250" cy="2990850"/>
            <wp:effectExtent l="0" t="0" r="12700" b="0"/>
            <wp:wrapSquare wrapText="bothSides"/>
            <wp:docPr id="1520403078" name="Gráfico 2">
              <a:extLst xmlns:a="http://schemas.openxmlformats.org/drawingml/2006/main">
                <a:ext uri="{FF2B5EF4-FFF2-40B4-BE49-F238E27FC236}">
                  <a16:creationId xmlns:a16="http://schemas.microsoft.com/office/drawing/2014/main" id="{221BD5FC-D59F-4712-1C20-7EDBB4E98B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Pr="006D506C">
        <w:rPr>
          <w:rFonts w:eastAsia="Calibri"/>
          <w:b/>
          <w:bCs/>
          <w:noProof/>
          <w:lang w:val="es-DO"/>
        </w:rPr>
        <w:t>Tesorer</w:t>
      </w:r>
      <w:r w:rsidR="00443736" w:rsidRPr="006D506C">
        <w:rPr>
          <w:rFonts w:eastAsia="Calibri"/>
          <w:b/>
          <w:bCs/>
          <w:noProof/>
          <w:lang w:val="es-DO"/>
        </w:rPr>
        <w:t>í</w:t>
      </w:r>
      <w:r w:rsidRPr="006D506C">
        <w:rPr>
          <w:rFonts w:eastAsia="Calibri"/>
          <w:b/>
          <w:bCs/>
          <w:noProof/>
          <w:lang w:val="es-DO"/>
        </w:rPr>
        <w:t>a Nacional</w:t>
      </w:r>
    </w:p>
    <w:p w14:paraId="0FA4A061" w14:textId="77777777" w:rsidR="00D951F2" w:rsidRPr="006D506C" w:rsidRDefault="00D951F2" w:rsidP="00D64261">
      <w:pPr>
        <w:spacing w:line="360" w:lineRule="auto"/>
        <w:jc w:val="both"/>
        <w:rPr>
          <w:rFonts w:eastAsia="Calibri"/>
          <w:noProof/>
          <w:sz w:val="18"/>
          <w:szCs w:val="18"/>
          <w:lang w:val="es-DO"/>
        </w:rPr>
      </w:pPr>
      <w:r w:rsidRPr="006D506C">
        <w:rPr>
          <w:rFonts w:eastAsia="Calibri"/>
          <w:noProof/>
          <w:sz w:val="18"/>
          <w:szCs w:val="18"/>
        </w:rPr>
        <w:drawing>
          <wp:anchor distT="0" distB="0" distL="114300" distR="114300" simplePos="0" relativeHeight="251727872" behindDoc="0" locked="0" layoutInCell="1" allowOverlap="1" wp14:anchorId="7A98C620" wp14:editId="4189D0FC">
            <wp:simplePos x="0" y="0"/>
            <wp:positionH relativeFrom="margin">
              <wp:posOffset>0</wp:posOffset>
            </wp:positionH>
            <wp:positionV relativeFrom="paragraph">
              <wp:posOffset>17780</wp:posOffset>
            </wp:positionV>
            <wp:extent cx="2882900" cy="2990850"/>
            <wp:effectExtent l="0" t="0" r="12700" b="0"/>
            <wp:wrapSquare wrapText="bothSides"/>
            <wp:docPr id="468307761" name="Gráfico 1">
              <a:extLst xmlns:a="http://schemas.openxmlformats.org/drawingml/2006/main">
                <a:ext uri="{FF2B5EF4-FFF2-40B4-BE49-F238E27FC236}">
                  <a16:creationId xmlns:a16="http://schemas.microsoft.com/office/drawing/2014/main" id="{CAFB18B7-66C6-47C0-BAA0-A194AF61C3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Pr="006D506C">
        <w:rPr>
          <w:rFonts w:eastAsia="Calibri"/>
          <w:bCs/>
          <w:i/>
          <w:iCs/>
          <w:noProof/>
          <w:sz w:val="18"/>
          <w:szCs w:val="18"/>
          <w:lang w:val="es-DO"/>
        </w:rPr>
        <w:t>Fuente: Archivo digital comunicaciones de gestión de roles y Reporte Extenso Estadísticas DNyATI 2025.</w:t>
      </w:r>
    </w:p>
    <w:p w14:paraId="46747AEA" w14:textId="77777777" w:rsidR="00FD5077" w:rsidRPr="006D506C" w:rsidRDefault="00FD5077" w:rsidP="00D64261">
      <w:pPr>
        <w:spacing w:line="360" w:lineRule="auto"/>
        <w:rPr>
          <w:rFonts w:eastAsia="Calibri"/>
          <w:noProof/>
          <w:highlight w:val="yellow"/>
          <w:lang w:val="es-DO"/>
        </w:rPr>
      </w:pPr>
    </w:p>
    <w:p w14:paraId="2CA365C5" w14:textId="77777777" w:rsidR="00285FD4" w:rsidRPr="006D506C" w:rsidRDefault="00285FD4" w:rsidP="00D64261">
      <w:pPr>
        <w:spacing w:line="360" w:lineRule="auto"/>
        <w:jc w:val="both"/>
        <w:rPr>
          <w:rFonts w:eastAsia="Calibri"/>
          <w:b/>
          <w:bCs/>
          <w:noProof/>
          <w:lang w:val="es-DO"/>
        </w:rPr>
      </w:pPr>
      <w:r w:rsidRPr="006D506C">
        <w:rPr>
          <w:rFonts w:eastAsia="Calibri"/>
          <w:b/>
          <w:bCs/>
          <w:noProof/>
          <w:lang w:val="es-DO"/>
        </w:rPr>
        <w:t xml:space="preserve">Gestión y Captación de Ingresos </w:t>
      </w:r>
    </w:p>
    <w:p w14:paraId="488544D9" w14:textId="6B89C8FA" w:rsidR="00285FD4" w:rsidRPr="006D506C" w:rsidRDefault="00285FD4" w:rsidP="00D64261">
      <w:pPr>
        <w:spacing w:line="360" w:lineRule="auto"/>
        <w:jc w:val="both"/>
        <w:rPr>
          <w:rFonts w:eastAsia="Calibri"/>
          <w:noProof/>
          <w:lang w:val="es-DO"/>
        </w:rPr>
      </w:pPr>
      <w:r w:rsidRPr="006D506C">
        <w:rPr>
          <w:rFonts w:eastAsia="Calibri"/>
          <w:noProof/>
          <w:lang w:val="es-DO"/>
        </w:rPr>
        <w:t xml:space="preserve">Para el periodo enero – diciembre 2025 los recursos administrados por la Tesorería Nacional ascendieron a RD$1,615,635,637,186.13 (Un billón seiscientos quince mil seiscientos treinta y cinco millones seiscientos treinta y siete mil ciento ochenta y seis pesos con trece centavos), de los cuales RD$1,252,002,927,575.46 corresponden al total de los ingresos internos, este ultimo monto está compuesto en: RD$911,526,531,952.50 de la de Dirección General de Impuestos Internos (DGII) representanto el 56.4%; la Dirección General de Aduanas (DGA) con el 16.59% con una recaudación de </w:t>
      </w:r>
      <w:r w:rsidR="00AD4B79" w:rsidRPr="006D506C">
        <w:rPr>
          <w:rFonts w:eastAsia="Calibri"/>
          <w:noProof/>
          <w:lang w:val="es-DO"/>
        </w:rPr>
        <w:t xml:space="preserve">RD$267,976,229,107.72 </w:t>
      </w:r>
      <w:r w:rsidRPr="006D506C">
        <w:rPr>
          <w:rFonts w:eastAsia="Calibri"/>
          <w:noProof/>
          <w:lang w:val="es-DO"/>
        </w:rPr>
        <w:t xml:space="preserve">y la Tesoreria Nacional con RD$72,500,166,515.24 equivalente al 3.67% y un 0.82% de recursos de Capatación Directa-CUT ascendente a RD$13,243,992,868.21 </w:t>
      </w:r>
    </w:p>
    <w:p w14:paraId="3BAF06E8" w14:textId="48D91C78" w:rsidR="00285FD4" w:rsidRPr="006D506C" w:rsidRDefault="00285FD4" w:rsidP="00D64261">
      <w:pPr>
        <w:spacing w:after="0" w:line="360" w:lineRule="auto"/>
        <w:jc w:val="center"/>
        <w:rPr>
          <w:rFonts w:eastAsia="Calibri"/>
          <w:b/>
          <w:bCs/>
          <w:noProof/>
          <w:lang w:val="es-DO"/>
        </w:rPr>
      </w:pPr>
      <w:r w:rsidRPr="006D506C">
        <w:rPr>
          <w:rFonts w:eastAsia="Calibri"/>
          <w:b/>
          <w:bCs/>
          <w:noProof/>
          <w:lang w:val="es-DO"/>
        </w:rPr>
        <w:lastRenderedPageBreak/>
        <w:t xml:space="preserve">Cuadro No. </w:t>
      </w:r>
      <w:r w:rsidR="008D7279" w:rsidRPr="006D506C">
        <w:rPr>
          <w:rFonts w:eastAsia="Calibri"/>
          <w:b/>
          <w:bCs/>
          <w:noProof/>
          <w:lang w:val="es-DO"/>
        </w:rPr>
        <w:t>17</w:t>
      </w:r>
    </w:p>
    <w:p w14:paraId="44A8D676" w14:textId="77777777" w:rsidR="00285FD4" w:rsidRPr="006D506C" w:rsidRDefault="00285FD4" w:rsidP="00D64261">
      <w:pPr>
        <w:spacing w:after="0" w:line="360" w:lineRule="auto"/>
        <w:jc w:val="center"/>
        <w:rPr>
          <w:rFonts w:eastAsia="Calibri"/>
          <w:b/>
          <w:bCs/>
          <w:noProof/>
          <w:lang w:val="es-DO"/>
        </w:rPr>
      </w:pPr>
      <w:r w:rsidRPr="006D506C">
        <w:rPr>
          <w:rFonts w:eastAsia="Calibri"/>
          <w:b/>
          <w:bCs/>
          <w:noProof/>
          <w:lang w:val="es-DO"/>
        </w:rPr>
        <w:t>Tesorería Nacional</w:t>
      </w:r>
    </w:p>
    <w:p w14:paraId="1C384117" w14:textId="1430C652" w:rsidR="00285FD4" w:rsidRPr="006D506C" w:rsidRDefault="00285FD4" w:rsidP="00D64261">
      <w:pPr>
        <w:spacing w:after="0" w:line="360" w:lineRule="auto"/>
        <w:jc w:val="center"/>
        <w:rPr>
          <w:rFonts w:eastAsia="Calibri"/>
          <w:b/>
          <w:bCs/>
          <w:noProof/>
          <w:lang w:val="es-DO"/>
        </w:rPr>
      </w:pPr>
      <w:r w:rsidRPr="006D506C">
        <w:rPr>
          <w:rFonts w:eastAsia="Calibri"/>
          <w:b/>
          <w:bCs/>
          <w:noProof/>
          <w:lang w:val="es-DO"/>
        </w:rPr>
        <w:t xml:space="preserve">Ingresos Captados por Unidad recaudadora y por Concepto </w:t>
      </w:r>
      <w:r w:rsidR="00D64261" w:rsidRPr="006D506C">
        <w:rPr>
          <w:rFonts w:eastAsia="Calibri"/>
          <w:b/>
          <w:bCs/>
          <w:noProof/>
          <w:lang w:val="es-DO"/>
        </w:rPr>
        <w:t>E</w:t>
      </w:r>
      <w:r w:rsidRPr="006D506C">
        <w:rPr>
          <w:rFonts w:eastAsia="Calibri"/>
          <w:b/>
          <w:bCs/>
          <w:noProof/>
          <w:lang w:val="es-DO"/>
        </w:rPr>
        <w:t>nero</w:t>
      </w:r>
      <w:r w:rsidR="00D64261" w:rsidRPr="006D506C">
        <w:rPr>
          <w:rFonts w:eastAsia="Calibri"/>
          <w:b/>
          <w:bCs/>
          <w:noProof/>
          <w:lang w:val="es-DO"/>
        </w:rPr>
        <w:t xml:space="preserve"> </w:t>
      </w:r>
      <w:r w:rsidRPr="006D506C">
        <w:rPr>
          <w:rFonts w:eastAsia="Calibri"/>
          <w:b/>
          <w:bCs/>
          <w:noProof/>
          <w:lang w:val="es-DO"/>
        </w:rPr>
        <w:t xml:space="preserve">- </w:t>
      </w:r>
      <w:r w:rsidR="00D64261" w:rsidRPr="006D506C">
        <w:rPr>
          <w:rFonts w:eastAsia="Calibri"/>
          <w:b/>
          <w:bCs/>
          <w:noProof/>
          <w:lang w:val="es-DO"/>
        </w:rPr>
        <w:t>D</w:t>
      </w:r>
      <w:r w:rsidRPr="006D506C">
        <w:rPr>
          <w:rFonts w:eastAsia="Calibri"/>
          <w:b/>
          <w:bCs/>
          <w:noProof/>
          <w:lang w:val="es-DO"/>
        </w:rPr>
        <w:t>iciembre 2025</w:t>
      </w:r>
    </w:p>
    <w:p w14:paraId="05A1AC31" w14:textId="15B7F9D0" w:rsidR="00285FD4" w:rsidRPr="006D506C" w:rsidRDefault="00D64261" w:rsidP="00D64261">
      <w:pPr>
        <w:spacing w:line="360" w:lineRule="auto"/>
        <w:jc w:val="both"/>
        <w:rPr>
          <w:rFonts w:eastAsia="Calibri"/>
          <w:b/>
          <w:bCs/>
          <w:noProof/>
          <w:lang w:val="es-DO"/>
        </w:rPr>
      </w:pPr>
      <w:r w:rsidRPr="006D506C">
        <w:rPr>
          <w:rFonts w:eastAsia="Calibri"/>
          <w:noProof/>
        </w:rPr>
        <w:drawing>
          <wp:inline distT="0" distB="0" distL="0" distR="0" wp14:anchorId="659037D6" wp14:editId="39EB6FD9">
            <wp:extent cx="5029200" cy="3284220"/>
            <wp:effectExtent l="0" t="0" r="0" b="0"/>
            <wp:docPr id="1707099532"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099532" name="Picture 1" descr="A table with numbers and text&#10;&#10;AI-generated content may be incorrect."/>
                    <pic:cNvPicPr/>
                  </pic:nvPicPr>
                  <pic:blipFill>
                    <a:blip r:embed="rId23"/>
                    <a:stretch>
                      <a:fillRect/>
                    </a:stretch>
                  </pic:blipFill>
                  <pic:spPr>
                    <a:xfrm>
                      <a:off x="0" y="0"/>
                      <a:ext cx="5029200" cy="3284220"/>
                    </a:xfrm>
                    <a:prstGeom prst="rect">
                      <a:avLst/>
                    </a:prstGeom>
                  </pic:spPr>
                </pic:pic>
              </a:graphicData>
            </a:graphic>
          </wp:inline>
        </w:drawing>
      </w:r>
    </w:p>
    <w:p w14:paraId="65F57F9D" w14:textId="77777777" w:rsidR="00F55EF4" w:rsidRPr="006D506C" w:rsidRDefault="00F55EF4" w:rsidP="00D64261">
      <w:pPr>
        <w:spacing w:line="360" w:lineRule="auto"/>
        <w:jc w:val="both"/>
        <w:rPr>
          <w:rFonts w:eastAsia="Calibri"/>
          <w:b/>
          <w:bCs/>
          <w:noProof/>
          <w:lang w:val="es-DO"/>
        </w:rPr>
      </w:pPr>
    </w:p>
    <w:p w14:paraId="1F72BC97" w14:textId="77777777" w:rsidR="00285FD4" w:rsidRPr="006D506C" w:rsidRDefault="00285FD4" w:rsidP="00D64261">
      <w:pPr>
        <w:spacing w:line="360" w:lineRule="auto"/>
        <w:jc w:val="both"/>
        <w:rPr>
          <w:rFonts w:eastAsia="Calibri"/>
          <w:b/>
          <w:bCs/>
          <w:noProof/>
          <w:lang w:val="es-DO"/>
        </w:rPr>
      </w:pPr>
      <w:r w:rsidRPr="006D506C">
        <w:rPr>
          <w:rFonts w:eastAsia="Calibri"/>
          <w:b/>
          <w:bCs/>
          <w:noProof/>
          <w:lang w:val="es-DO"/>
        </w:rPr>
        <w:t>Sistema de Recaudación de Ingresos del Tesoro (SIRITE)</w:t>
      </w:r>
    </w:p>
    <w:p w14:paraId="0FB9B457" w14:textId="77777777" w:rsidR="00285FD4" w:rsidRPr="006D506C" w:rsidRDefault="00285FD4" w:rsidP="00D64261">
      <w:pPr>
        <w:spacing w:line="360" w:lineRule="auto"/>
        <w:jc w:val="both"/>
        <w:rPr>
          <w:rFonts w:eastAsia="Calibri"/>
          <w:noProof/>
          <w:lang w:val="es-DO"/>
        </w:rPr>
      </w:pPr>
      <w:r w:rsidRPr="006D506C">
        <w:rPr>
          <w:rFonts w:eastAsia="Calibri"/>
          <w:noProof/>
          <w:lang w:val="es-DO"/>
        </w:rPr>
        <w:t>El Sistema de Recaudación de Ingresos del Tesoro (SIRITE) para el periodo enero - diciembre 2025 recaudó RD$2,343,147,406.89 y generó 1,012,009 transacciones de ventas de bienes y servicios.</w:t>
      </w:r>
    </w:p>
    <w:p w14:paraId="6C178F4F" w14:textId="24824511" w:rsidR="00F55EF4" w:rsidRPr="006D506C" w:rsidRDefault="00285FD4" w:rsidP="00D64261">
      <w:pPr>
        <w:spacing w:line="360" w:lineRule="auto"/>
        <w:jc w:val="both"/>
        <w:rPr>
          <w:rFonts w:eastAsia="Calibri"/>
          <w:noProof/>
          <w:lang w:val="es-DO"/>
        </w:rPr>
      </w:pPr>
      <w:r w:rsidRPr="006D506C">
        <w:rPr>
          <w:rFonts w:eastAsia="Calibri"/>
          <w:noProof/>
          <w:lang w:val="es-DO"/>
        </w:rPr>
        <w:t>La Tesorería Nacional tiene en operación 67 centros de recaudación, en los cuales están registrados 1,109 servicios disponibles a la ciudadanía a través del botón de pago. Entre estos centros se incluye la ventanilla Única Educativa con 22 universidades, bajo la dirección del Ministerio de Educación Superior y Ciencia y Tecnología, además de 19 instituciones que se encuentran incluidas en la ventanilla Única de la Construcción que encabeza el Ministerio De La Vivienda, Hábitat Y Edificaciones (MIVHED).</w:t>
      </w:r>
    </w:p>
    <w:p w14:paraId="7F220B7B" w14:textId="028C9044" w:rsidR="00285FD4" w:rsidRPr="006D506C" w:rsidRDefault="00285FD4" w:rsidP="00D64261">
      <w:pPr>
        <w:spacing w:after="0" w:line="360" w:lineRule="auto"/>
        <w:jc w:val="center"/>
        <w:rPr>
          <w:rFonts w:eastAsia="Calibri"/>
          <w:b/>
          <w:bCs/>
          <w:noProof/>
          <w:lang w:val="es-DO"/>
        </w:rPr>
      </w:pPr>
      <w:r w:rsidRPr="006D506C">
        <w:rPr>
          <w:rFonts w:eastAsia="Calibri"/>
          <w:b/>
          <w:bCs/>
          <w:noProof/>
          <w:lang w:val="es-DO"/>
        </w:rPr>
        <w:lastRenderedPageBreak/>
        <w:t xml:space="preserve">Cuadro No. </w:t>
      </w:r>
      <w:r w:rsidR="008D7279" w:rsidRPr="006D506C">
        <w:rPr>
          <w:rFonts w:eastAsia="Calibri"/>
          <w:b/>
          <w:bCs/>
          <w:noProof/>
          <w:lang w:val="es-DO"/>
        </w:rPr>
        <w:t>18</w:t>
      </w:r>
    </w:p>
    <w:p w14:paraId="581F753A" w14:textId="77777777" w:rsidR="00285FD4" w:rsidRPr="006D506C" w:rsidRDefault="00285FD4" w:rsidP="00D64261">
      <w:pPr>
        <w:spacing w:after="0" w:line="360" w:lineRule="auto"/>
        <w:jc w:val="center"/>
        <w:rPr>
          <w:rFonts w:eastAsia="Calibri"/>
          <w:b/>
          <w:bCs/>
          <w:noProof/>
          <w:lang w:val="es-DO"/>
        </w:rPr>
      </w:pPr>
      <w:r w:rsidRPr="006D506C">
        <w:rPr>
          <w:rFonts w:eastAsia="Calibri"/>
          <w:b/>
          <w:bCs/>
          <w:noProof/>
          <w:lang w:val="es-DO"/>
        </w:rPr>
        <w:t>Tesorería Nacional</w:t>
      </w:r>
    </w:p>
    <w:p w14:paraId="24CAE6DD" w14:textId="6F6926B5" w:rsidR="00D64261" w:rsidRPr="006D506C" w:rsidRDefault="00285FD4" w:rsidP="00B26AAB">
      <w:pPr>
        <w:spacing w:after="0" w:line="360" w:lineRule="auto"/>
        <w:jc w:val="center"/>
        <w:rPr>
          <w:rFonts w:eastAsia="Calibri"/>
          <w:b/>
          <w:bCs/>
          <w:noProof/>
          <w:lang w:val="es-DO"/>
        </w:rPr>
      </w:pPr>
      <w:r w:rsidRPr="006D506C">
        <w:rPr>
          <w:rFonts w:eastAsia="Calibri"/>
          <w:b/>
          <w:bCs/>
          <w:noProof/>
          <w:lang w:val="es-DO"/>
        </w:rPr>
        <w:t>Recaudación de Recursos a Traves del (SIRITE)</w:t>
      </w:r>
    </w:p>
    <w:p w14:paraId="0439D6CD" w14:textId="65DE8616" w:rsidR="00285FD4" w:rsidRPr="006D506C" w:rsidRDefault="00285FD4" w:rsidP="00D64261">
      <w:pPr>
        <w:spacing w:after="0" w:line="360" w:lineRule="auto"/>
        <w:jc w:val="center"/>
        <w:rPr>
          <w:rFonts w:eastAsia="Calibri"/>
          <w:b/>
          <w:bCs/>
          <w:noProof/>
          <w:lang w:val="es-DO"/>
        </w:rPr>
      </w:pPr>
      <w:r w:rsidRPr="006D506C">
        <w:rPr>
          <w:rFonts w:eastAsia="Calibri"/>
          <w:b/>
          <w:bCs/>
          <w:noProof/>
          <w:lang w:val="es-DO"/>
        </w:rPr>
        <w:drawing>
          <wp:inline distT="0" distB="0" distL="0" distR="0" wp14:anchorId="41472C47" wp14:editId="4933DE28">
            <wp:extent cx="5029200" cy="5581497"/>
            <wp:effectExtent l="0" t="0" r="0" b="635"/>
            <wp:docPr id="1115354677"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b="2779"/>
                    <a:stretch>
                      <a:fillRect/>
                    </a:stretch>
                  </pic:blipFill>
                  <pic:spPr bwMode="auto">
                    <a:xfrm>
                      <a:off x="0" y="0"/>
                      <a:ext cx="5029200" cy="5581497"/>
                    </a:xfrm>
                    <a:prstGeom prst="rect">
                      <a:avLst/>
                    </a:prstGeom>
                    <a:noFill/>
                    <a:ln>
                      <a:noFill/>
                    </a:ln>
                    <a:extLst>
                      <a:ext uri="{53640926-AAD7-44D8-BBD7-CCE9431645EC}">
                        <a14:shadowObscured xmlns:a14="http://schemas.microsoft.com/office/drawing/2010/main"/>
                      </a:ext>
                    </a:extLst>
                  </pic:spPr>
                </pic:pic>
              </a:graphicData>
            </a:graphic>
          </wp:inline>
        </w:drawing>
      </w:r>
    </w:p>
    <w:p w14:paraId="4B0230A5" w14:textId="77777777" w:rsidR="00285FD4" w:rsidRPr="006D506C" w:rsidRDefault="00285FD4" w:rsidP="00D64261">
      <w:pPr>
        <w:spacing w:line="360" w:lineRule="auto"/>
        <w:jc w:val="both"/>
        <w:rPr>
          <w:rFonts w:eastAsia="Calibri"/>
          <w:b/>
          <w:bCs/>
          <w:noProof/>
          <w:lang w:val="es-DO"/>
        </w:rPr>
      </w:pPr>
    </w:p>
    <w:p w14:paraId="4DB95481" w14:textId="77777777" w:rsidR="00B046C6" w:rsidRPr="006D506C" w:rsidRDefault="00B046C6" w:rsidP="00D64261">
      <w:pPr>
        <w:spacing w:line="360" w:lineRule="auto"/>
        <w:jc w:val="both"/>
        <w:rPr>
          <w:rFonts w:eastAsia="Calibri"/>
          <w:b/>
          <w:bCs/>
          <w:noProof/>
          <w:lang w:val="es-DO"/>
        </w:rPr>
      </w:pPr>
    </w:p>
    <w:p w14:paraId="16413058" w14:textId="77777777" w:rsidR="00D64261" w:rsidRPr="006D506C" w:rsidRDefault="00D64261" w:rsidP="00D64261">
      <w:pPr>
        <w:spacing w:line="360" w:lineRule="auto"/>
        <w:jc w:val="both"/>
        <w:rPr>
          <w:rFonts w:eastAsia="Calibri"/>
          <w:b/>
          <w:bCs/>
          <w:noProof/>
          <w:lang w:val="es-DO"/>
        </w:rPr>
      </w:pPr>
    </w:p>
    <w:p w14:paraId="73EAF7AA" w14:textId="77777777" w:rsidR="00861F62" w:rsidRPr="006D506C" w:rsidRDefault="00861F62" w:rsidP="00D64261">
      <w:pPr>
        <w:spacing w:line="360" w:lineRule="auto"/>
        <w:jc w:val="both"/>
        <w:rPr>
          <w:rFonts w:eastAsia="Calibri"/>
          <w:b/>
          <w:bCs/>
          <w:noProof/>
          <w:lang w:val="es-DO"/>
        </w:rPr>
      </w:pPr>
    </w:p>
    <w:p w14:paraId="6EE24230" w14:textId="77777777" w:rsidR="00861F62" w:rsidRPr="006D506C" w:rsidRDefault="00861F62" w:rsidP="00D64261">
      <w:pPr>
        <w:spacing w:line="360" w:lineRule="auto"/>
        <w:jc w:val="both"/>
        <w:rPr>
          <w:rFonts w:eastAsia="Calibri"/>
          <w:b/>
          <w:bCs/>
          <w:noProof/>
          <w:lang w:val="es-DO"/>
        </w:rPr>
      </w:pPr>
    </w:p>
    <w:p w14:paraId="2E110D4C" w14:textId="77777777" w:rsidR="00285FD4" w:rsidRPr="006D506C" w:rsidRDefault="00285FD4" w:rsidP="00D64261">
      <w:pPr>
        <w:spacing w:line="360" w:lineRule="auto"/>
        <w:jc w:val="both"/>
        <w:rPr>
          <w:rFonts w:eastAsia="Calibri"/>
          <w:b/>
          <w:bCs/>
          <w:noProof/>
          <w:lang w:val="es-DO"/>
        </w:rPr>
      </w:pPr>
      <w:bookmarkStart w:id="21" w:name="_Hlk170133411"/>
      <w:r w:rsidRPr="006D506C">
        <w:rPr>
          <w:rFonts w:eastAsia="Calibri"/>
          <w:b/>
          <w:bCs/>
          <w:noProof/>
          <w:lang w:val="es-DO"/>
        </w:rPr>
        <w:lastRenderedPageBreak/>
        <w:t xml:space="preserve">Gestión activa de caja </w:t>
      </w:r>
    </w:p>
    <w:bookmarkEnd w:id="21"/>
    <w:p w14:paraId="5F37F0E7" w14:textId="29860F73" w:rsidR="00285FD4" w:rsidRPr="006D506C" w:rsidRDefault="00285FD4" w:rsidP="00D64261">
      <w:pPr>
        <w:spacing w:line="360" w:lineRule="auto"/>
        <w:jc w:val="both"/>
        <w:rPr>
          <w:rFonts w:eastAsia="Calibri"/>
          <w:noProof/>
          <w:lang w:val="es-DO"/>
        </w:rPr>
      </w:pPr>
      <w:r w:rsidRPr="006D506C">
        <w:rPr>
          <w:rFonts w:eastAsia="Calibri"/>
          <w:noProof/>
          <w:lang w:val="es-DO"/>
        </w:rPr>
        <w:t>La Tesorería Nacional dió cumplimiento a un mandado establecido en su marco legal para la gestión de su portafolio de inversión de activos y pasivos de corto plazo, con la estrategia de gestión acti</w:t>
      </w:r>
      <w:r w:rsidR="00D9261F" w:rsidRPr="006D506C">
        <w:rPr>
          <w:rFonts w:eastAsia="Calibri"/>
          <w:noProof/>
          <w:lang w:val="es-DO"/>
        </w:rPr>
        <w:t>v</w:t>
      </w:r>
      <w:r w:rsidRPr="006D506C">
        <w:rPr>
          <w:rFonts w:eastAsia="Calibri"/>
          <w:noProof/>
          <w:lang w:val="es-DO"/>
        </w:rPr>
        <w:t xml:space="preserve">a de caja, en el periodo enero-diciembre 2025, ejecutó las siguientes operaciones financieras: </w:t>
      </w:r>
    </w:p>
    <w:p w14:paraId="282A5842" w14:textId="2FFEDFDF" w:rsidR="00285FD4" w:rsidRPr="006D506C" w:rsidRDefault="00285FD4" w:rsidP="00D64261">
      <w:pPr>
        <w:spacing w:line="360" w:lineRule="auto"/>
        <w:jc w:val="both"/>
        <w:rPr>
          <w:rFonts w:eastAsia="Calibri"/>
          <w:noProof/>
          <w:lang w:val="es-DO"/>
        </w:rPr>
      </w:pPr>
      <w:r w:rsidRPr="006D506C">
        <w:rPr>
          <w:rFonts w:eastAsia="Calibri"/>
          <w:noProof/>
          <w:lang w:val="es-DO"/>
        </w:rPr>
        <w:t xml:space="preserve"> </w:t>
      </w:r>
      <w:r w:rsidRPr="006D506C">
        <w:rPr>
          <w:rFonts w:eastAsia="Calibri"/>
          <w:noProof/>
          <w:lang w:val="es-419"/>
        </w:rPr>
        <w:t xml:space="preserve">Invertidos y reinvertidos en certificados financieros en dólares con el Banco de Reservas, la suma de US600,000,000.00 millones. </w:t>
      </w:r>
      <w:r w:rsidRPr="006D506C">
        <w:rPr>
          <w:rFonts w:eastAsia="Calibri"/>
          <w:noProof/>
          <w:lang w:val="es-DO"/>
        </w:rPr>
        <w:t>Del monto total de inversiones en dólares, producto de esas inversiones en el período citado, generó rendimientos ascendentes a US$5,269,177.88 millones, esto con la finalidad de maximizar la disponibilidad de caja y disminuir el costo del financiamiento.</w:t>
      </w:r>
    </w:p>
    <w:p w14:paraId="7B88B4D7" w14:textId="77777777" w:rsidR="00285FD4" w:rsidRPr="006D506C" w:rsidRDefault="00285FD4" w:rsidP="00D64261">
      <w:pPr>
        <w:spacing w:line="360" w:lineRule="auto"/>
        <w:jc w:val="both"/>
        <w:rPr>
          <w:rFonts w:eastAsia="Calibri"/>
          <w:noProof/>
          <w:lang w:val="es-DO"/>
        </w:rPr>
      </w:pPr>
      <w:r w:rsidRPr="006D506C">
        <w:rPr>
          <w:rFonts w:eastAsia="Calibri"/>
          <w:noProof/>
          <w:lang w:val="es-DO"/>
        </w:rPr>
        <w:t xml:space="preserve">El total de recursos generados por certificados en dólares convertidos a pesos en el Banco de Reservas ascendió a RD$335,229,312.17 millones.  </w:t>
      </w:r>
    </w:p>
    <w:p w14:paraId="468E94AA" w14:textId="2ABC8D50" w:rsidR="00285FD4" w:rsidRPr="006D506C" w:rsidRDefault="00285FD4" w:rsidP="00D64261">
      <w:pPr>
        <w:spacing w:after="0" w:line="360" w:lineRule="auto"/>
        <w:jc w:val="center"/>
        <w:rPr>
          <w:rFonts w:eastAsia="Calibri"/>
          <w:b/>
          <w:bCs/>
          <w:noProof/>
          <w:lang w:val="es-DO"/>
        </w:rPr>
      </w:pPr>
      <w:r w:rsidRPr="006D506C">
        <w:rPr>
          <w:rFonts w:eastAsia="Calibri"/>
          <w:b/>
          <w:bCs/>
          <w:noProof/>
          <w:lang w:val="es-DO"/>
        </w:rPr>
        <w:t xml:space="preserve">Cuadro No. </w:t>
      </w:r>
      <w:r w:rsidR="008D7279" w:rsidRPr="006D506C">
        <w:rPr>
          <w:rFonts w:eastAsia="Calibri"/>
          <w:b/>
          <w:bCs/>
          <w:noProof/>
          <w:lang w:val="es-DO"/>
        </w:rPr>
        <w:t>19</w:t>
      </w:r>
    </w:p>
    <w:p w14:paraId="3BE56100" w14:textId="13F53C9A" w:rsidR="002C762F" w:rsidRPr="006D506C" w:rsidRDefault="002C762F" w:rsidP="00D64261">
      <w:pPr>
        <w:spacing w:after="0" w:line="360" w:lineRule="auto"/>
        <w:jc w:val="center"/>
        <w:rPr>
          <w:rFonts w:eastAsia="Calibri"/>
          <w:b/>
          <w:bCs/>
          <w:noProof/>
          <w:lang w:val="es-DO"/>
        </w:rPr>
      </w:pPr>
      <w:r w:rsidRPr="006D506C">
        <w:rPr>
          <w:rFonts w:eastAsia="Calibri"/>
          <w:b/>
          <w:bCs/>
          <w:noProof/>
          <w:lang w:val="es-DO"/>
        </w:rPr>
        <w:t>Tesorería Nacional</w:t>
      </w:r>
    </w:p>
    <w:p w14:paraId="66EA21A3" w14:textId="601B828E" w:rsidR="00285FD4" w:rsidRPr="006D506C" w:rsidRDefault="00285FD4" w:rsidP="00D64261">
      <w:pPr>
        <w:spacing w:after="0" w:line="360" w:lineRule="auto"/>
        <w:jc w:val="center"/>
        <w:rPr>
          <w:rFonts w:eastAsia="Calibri"/>
          <w:b/>
          <w:bCs/>
          <w:noProof/>
          <w:lang w:val="es-DO"/>
        </w:rPr>
      </w:pPr>
      <w:r w:rsidRPr="006D506C">
        <w:rPr>
          <w:rFonts w:eastAsia="Calibri"/>
          <w:b/>
          <w:bCs/>
          <w:noProof/>
          <w:lang w:val="es-DO"/>
        </w:rPr>
        <w:t>Certificados Cancelados en dólares Banco de Reservas</w:t>
      </w:r>
    </w:p>
    <w:p w14:paraId="3F1948ED" w14:textId="77777777" w:rsidR="00285FD4" w:rsidRPr="006D506C" w:rsidRDefault="00285FD4" w:rsidP="00D64261">
      <w:pPr>
        <w:spacing w:after="0" w:line="360" w:lineRule="auto"/>
        <w:jc w:val="center"/>
        <w:rPr>
          <w:rFonts w:eastAsia="Calibri"/>
          <w:noProof/>
          <w:lang w:val="es-DO"/>
        </w:rPr>
      </w:pPr>
      <w:r w:rsidRPr="006D506C">
        <w:rPr>
          <w:rFonts w:eastAsia="Calibri"/>
          <w:noProof/>
        </w:rPr>
        <w:drawing>
          <wp:inline distT="0" distB="0" distL="0" distR="0" wp14:anchorId="0C6012A5" wp14:editId="5CB7F073">
            <wp:extent cx="5272644" cy="890092"/>
            <wp:effectExtent l="0" t="0" r="4445" b="5715"/>
            <wp:docPr id="1160851928"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09396" cy="896296"/>
                    </a:xfrm>
                    <a:prstGeom prst="rect">
                      <a:avLst/>
                    </a:prstGeom>
                    <a:noFill/>
                    <a:ln>
                      <a:noFill/>
                    </a:ln>
                  </pic:spPr>
                </pic:pic>
              </a:graphicData>
            </a:graphic>
          </wp:inline>
        </w:drawing>
      </w:r>
    </w:p>
    <w:p w14:paraId="480F765A" w14:textId="77777777" w:rsidR="00285FD4" w:rsidRPr="006D506C" w:rsidRDefault="00285FD4" w:rsidP="00D64261">
      <w:pPr>
        <w:spacing w:after="0" w:line="360" w:lineRule="auto"/>
        <w:jc w:val="center"/>
        <w:rPr>
          <w:rFonts w:eastAsia="Calibri"/>
          <w:b/>
          <w:bCs/>
          <w:noProof/>
          <w:lang w:val="es-DO"/>
        </w:rPr>
      </w:pPr>
    </w:p>
    <w:p w14:paraId="40C6657D" w14:textId="77777777" w:rsidR="00B046C6" w:rsidRPr="006D506C" w:rsidRDefault="00B046C6" w:rsidP="00D64261">
      <w:pPr>
        <w:spacing w:line="360" w:lineRule="auto"/>
        <w:jc w:val="both"/>
        <w:rPr>
          <w:rFonts w:eastAsia="Calibri"/>
          <w:b/>
          <w:bCs/>
          <w:noProof/>
          <w:lang w:val="es-DO"/>
        </w:rPr>
      </w:pPr>
    </w:p>
    <w:p w14:paraId="11C35FAB" w14:textId="77777777" w:rsidR="00B26AAB" w:rsidRPr="006D506C" w:rsidRDefault="00B26AAB" w:rsidP="00D64261">
      <w:pPr>
        <w:spacing w:line="360" w:lineRule="auto"/>
        <w:jc w:val="both"/>
        <w:rPr>
          <w:rFonts w:eastAsia="Calibri"/>
          <w:b/>
          <w:bCs/>
          <w:noProof/>
          <w:lang w:val="es-DO"/>
        </w:rPr>
      </w:pPr>
    </w:p>
    <w:p w14:paraId="37804D8D" w14:textId="77777777" w:rsidR="00B26AAB" w:rsidRPr="006D506C" w:rsidRDefault="00B26AAB" w:rsidP="00D64261">
      <w:pPr>
        <w:spacing w:line="360" w:lineRule="auto"/>
        <w:jc w:val="both"/>
        <w:rPr>
          <w:rFonts w:eastAsia="Calibri"/>
          <w:b/>
          <w:bCs/>
          <w:noProof/>
          <w:lang w:val="es-DO"/>
        </w:rPr>
      </w:pPr>
    </w:p>
    <w:p w14:paraId="3E817B0A" w14:textId="77777777" w:rsidR="00B26AAB" w:rsidRPr="006D506C" w:rsidRDefault="00B26AAB" w:rsidP="00D64261">
      <w:pPr>
        <w:spacing w:line="360" w:lineRule="auto"/>
        <w:jc w:val="both"/>
        <w:rPr>
          <w:rFonts w:eastAsia="Calibri"/>
          <w:b/>
          <w:bCs/>
          <w:noProof/>
          <w:lang w:val="es-DO"/>
        </w:rPr>
      </w:pPr>
    </w:p>
    <w:p w14:paraId="02290E71" w14:textId="77777777" w:rsidR="00B26AAB" w:rsidRPr="006D506C" w:rsidRDefault="00B26AAB" w:rsidP="00D64261">
      <w:pPr>
        <w:spacing w:line="360" w:lineRule="auto"/>
        <w:jc w:val="both"/>
        <w:rPr>
          <w:rFonts w:eastAsia="Calibri"/>
          <w:b/>
          <w:bCs/>
          <w:noProof/>
          <w:lang w:val="es-DO"/>
        </w:rPr>
      </w:pPr>
    </w:p>
    <w:p w14:paraId="78CEBA16" w14:textId="0DF78AFE" w:rsidR="00285FD4" w:rsidRPr="006D506C" w:rsidRDefault="00285FD4" w:rsidP="00D64261">
      <w:pPr>
        <w:spacing w:after="0" w:line="360" w:lineRule="auto"/>
        <w:jc w:val="center"/>
        <w:rPr>
          <w:rFonts w:eastAsia="Calibri"/>
          <w:b/>
          <w:bCs/>
          <w:noProof/>
          <w:lang w:val="es-DO"/>
        </w:rPr>
      </w:pPr>
      <w:r w:rsidRPr="006D506C">
        <w:rPr>
          <w:rFonts w:eastAsia="Calibri"/>
          <w:b/>
          <w:bCs/>
          <w:noProof/>
          <w:lang w:val="es-DO"/>
        </w:rPr>
        <w:lastRenderedPageBreak/>
        <w:t xml:space="preserve">Cuadro No. </w:t>
      </w:r>
      <w:r w:rsidR="008D7279" w:rsidRPr="006D506C">
        <w:rPr>
          <w:rFonts w:eastAsia="Calibri"/>
          <w:b/>
          <w:bCs/>
          <w:noProof/>
          <w:lang w:val="es-DO"/>
        </w:rPr>
        <w:t>20</w:t>
      </w:r>
    </w:p>
    <w:p w14:paraId="43A0F882" w14:textId="3F86788E" w:rsidR="002C762F" w:rsidRPr="006D506C" w:rsidRDefault="002C762F" w:rsidP="00D64261">
      <w:pPr>
        <w:spacing w:after="0" w:line="360" w:lineRule="auto"/>
        <w:jc w:val="center"/>
        <w:rPr>
          <w:rFonts w:eastAsia="Calibri"/>
          <w:b/>
          <w:bCs/>
          <w:noProof/>
          <w:lang w:val="es-DO"/>
        </w:rPr>
      </w:pPr>
      <w:r w:rsidRPr="006D506C">
        <w:rPr>
          <w:rFonts w:eastAsia="Calibri"/>
          <w:b/>
          <w:bCs/>
          <w:noProof/>
          <w:lang w:val="es-DO"/>
        </w:rPr>
        <w:t>Tesorería Nacional</w:t>
      </w:r>
    </w:p>
    <w:p w14:paraId="2DC5CA6A" w14:textId="3D3FBBD2" w:rsidR="00285FD4" w:rsidRPr="006D506C" w:rsidRDefault="00285FD4" w:rsidP="00D64261">
      <w:pPr>
        <w:spacing w:after="0" w:line="360" w:lineRule="auto"/>
        <w:jc w:val="center"/>
        <w:rPr>
          <w:rFonts w:eastAsia="Calibri"/>
          <w:b/>
          <w:bCs/>
          <w:noProof/>
          <w:lang w:val="es-DO"/>
        </w:rPr>
      </w:pPr>
      <w:r w:rsidRPr="006D506C">
        <w:rPr>
          <w:rFonts w:eastAsia="Calibri"/>
          <w:b/>
          <w:bCs/>
          <w:noProof/>
          <w:lang w:val="es-DO"/>
        </w:rPr>
        <w:t>Certificados Vigentes en Dólares Banco de Reservas</w:t>
      </w:r>
    </w:p>
    <w:p w14:paraId="17F3180E" w14:textId="77777777" w:rsidR="00285FD4" w:rsidRPr="006D506C" w:rsidRDefault="00285FD4" w:rsidP="00D64261">
      <w:pPr>
        <w:spacing w:after="0" w:line="360" w:lineRule="auto"/>
        <w:jc w:val="center"/>
        <w:rPr>
          <w:rFonts w:eastAsia="Calibri"/>
          <w:noProof/>
          <w:lang w:val="es-DO"/>
        </w:rPr>
      </w:pPr>
      <w:r w:rsidRPr="006D506C">
        <w:rPr>
          <w:rFonts w:eastAsia="Calibri"/>
          <w:noProof/>
        </w:rPr>
        <w:drawing>
          <wp:inline distT="0" distB="0" distL="0" distR="0" wp14:anchorId="17904193" wp14:editId="1430570F">
            <wp:extent cx="5029200" cy="1362075"/>
            <wp:effectExtent l="0" t="0" r="0" b="9525"/>
            <wp:docPr id="31523258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29200" cy="1362075"/>
                    </a:xfrm>
                    <a:prstGeom prst="rect">
                      <a:avLst/>
                    </a:prstGeom>
                    <a:noFill/>
                    <a:ln>
                      <a:noFill/>
                    </a:ln>
                  </pic:spPr>
                </pic:pic>
              </a:graphicData>
            </a:graphic>
          </wp:inline>
        </w:drawing>
      </w:r>
    </w:p>
    <w:p w14:paraId="63EE98DE" w14:textId="77777777" w:rsidR="00285FD4" w:rsidRPr="006D506C" w:rsidRDefault="00285FD4" w:rsidP="00D64261">
      <w:pPr>
        <w:spacing w:line="360" w:lineRule="auto"/>
        <w:jc w:val="both"/>
        <w:rPr>
          <w:rFonts w:eastAsia="Calibri"/>
          <w:noProof/>
          <w:lang w:val="es-DO"/>
        </w:rPr>
      </w:pPr>
    </w:p>
    <w:p w14:paraId="536B56F0" w14:textId="77777777" w:rsidR="00285FD4" w:rsidRPr="006D506C" w:rsidRDefault="00285FD4" w:rsidP="004C2709">
      <w:pPr>
        <w:numPr>
          <w:ilvl w:val="0"/>
          <w:numId w:val="14"/>
        </w:numPr>
        <w:spacing w:line="360" w:lineRule="auto"/>
        <w:jc w:val="both"/>
        <w:rPr>
          <w:rFonts w:eastAsia="Calibri"/>
          <w:noProof/>
          <w:lang w:val="es-DO"/>
        </w:rPr>
      </w:pPr>
      <w:r w:rsidRPr="006D506C">
        <w:rPr>
          <w:rFonts w:eastAsia="Calibri"/>
          <w:noProof/>
          <w:lang w:val="es-DO"/>
        </w:rPr>
        <w:t>Como resultado de las negociaciones entre el Banco de Reservas y la Tesorería Nacional hasta diciembre 2025, el monto de los rendimientos derivados de las remuneraciones por saldo en la cuenta de Pesos ascendió a RD$129,938,090.97</w:t>
      </w:r>
    </w:p>
    <w:p w14:paraId="57F30A4E" w14:textId="77777777" w:rsidR="00285FD4" w:rsidRPr="006D506C" w:rsidRDefault="00285FD4" w:rsidP="00D64261">
      <w:pPr>
        <w:spacing w:line="360" w:lineRule="auto"/>
        <w:jc w:val="both"/>
        <w:rPr>
          <w:rFonts w:eastAsia="Calibri"/>
          <w:noProof/>
          <w:lang w:val="es-DO"/>
        </w:rPr>
      </w:pPr>
    </w:p>
    <w:p w14:paraId="21DF395D" w14:textId="3611F565" w:rsidR="00285FD4" w:rsidRPr="006D506C" w:rsidRDefault="00285FD4" w:rsidP="00D64261">
      <w:pPr>
        <w:spacing w:after="0" w:line="360" w:lineRule="auto"/>
        <w:jc w:val="center"/>
        <w:rPr>
          <w:rFonts w:eastAsia="Calibri"/>
          <w:b/>
          <w:bCs/>
          <w:noProof/>
          <w:lang w:val="es-DO"/>
        </w:rPr>
      </w:pPr>
      <w:r w:rsidRPr="006D506C">
        <w:rPr>
          <w:rFonts w:eastAsia="Calibri"/>
          <w:b/>
          <w:bCs/>
          <w:noProof/>
          <w:lang w:val="es-DO"/>
        </w:rPr>
        <w:t xml:space="preserve">Cuadro No. </w:t>
      </w:r>
      <w:r w:rsidR="008D7279" w:rsidRPr="006D506C">
        <w:rPr>
          <w:rFonts w:eastAsia="Calibri"/>
          <w:b/>
          <w:bCs/>
          <w:noProof/>
          <w:lang w:val="es-DO"/>
        </w:rPr>
        <w:t>21</w:t>
      </w:r>
    </w:p>
    <w:p w14:paraId="506FDAB5" w14:textId="49017C4A" w:rsidR="002C762F" w:rsidRPr="006D506C" w:rsidRDefault="002C762F" w:rsidP="00D64261">
      <w:pPr>
        <w:spacing w:after="0" w:line="360" w:lineRule="auto"/>
        <w:jc w:val="center"/>
        <w:rPr>
          <w:rFonts w:eastAsia="Calibri"/>
          <w:b/>
          <w:bCs/>
          <w:noProof/>
          <w:lang w:val="es-DO"/>
        </w:rPr>
      </w:pPr>
      <w:r w:rsidRPr="006D506C">
        <w:rPr>
          <w:rFonts w:eastAsia="Calibri"/>
          <w:b/>
          <w:bCs/>
          <w:noProof/>
          <w:lang w:val="es-DO"/>
        </w:rPr>
        <w:t>Tesorería Nacional</w:t>
      </w:r>
    </w:p>
    <w:p w14:paraId="0BA87543" w14:textId="77777777" w:rsidR="00285FD4" w:rsidRPr="006D506C" w:rsidRDefault="00285FD4" w:rsidP="00D64261">
      <w:pPr>
        <w:spacing w:after="0" w:line="360" w:lineRule="auto"/>
        <w:jc w:val="center"/>
        <w:rPr>
          <w:rFonts w:eastAsia="Calibri"/>
          <w:b/>
          <w:bCs/>
          <w:noProof/>
          <w:lang w:val="es-DO"/>
        </w:rPr>
      </w:pPr>
      <w:r w:rsidRPr="006D506C">
        <w:rPr>
          <w:rFonts w:eastAsia="Calibri"/>
          <w:b/>
          <w:bCs/>
          <w:noProof/>
          <w:lang w:val="es-DO"/>
        </w:rPr>
        <w:t>Remuneración por saldo cuenta pesos BR</w:t>
      </w:r>
    </w:p>
    <w:p w14:paraId="574CE633" w14:textId="1775CFCF" w:rsidR="00285FD4" w:rsidRPr="006D506C" w:rsidRDefault="00285FD4" w:rsidP="00D64261">
      <w:pPr>
        <w:spacing w:after="0" w:line="360" w:lineRule="auto"/>
        <w:jc w:val="center"/>
        <w:rPr>
          <w:rFonts w:eastAsia="Calibri"/>
          <w:b/>
          <w:bCs/>
          <w:noProof/>
          <w:lang w:val="es-DO"/>
        </w:rPr>
      </w:pPr>
      <w:r w:rsidRPr="006D506C">
        <w:rPr>
          <w:rFonts w:eastAsia="Calibri"/>
          <w:b/>
          <w:bCs/>
          <w:noProof/>
          <w:lang w:val="es-DO"/>
        </w:rPr>
        <w:drawing>
          <wp:inline distT="0" distB="0" distL="0" distR="0" wp14:anchorId="1D8885D6" wp14:editId="19831CBD">
            <wp:extent cx="3609975" cy="3010535"/>
            <wp:effectExtent l="0" t="0" r="9525" b="0"/>
            <wp:docPr id="12430840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9975" cy="3010535"/>
                    </a:xfrm>
                    <a:prstGeom prst="rect">
                      <a:avLst/>
                    </a:prstGeom>
                    <a:noFill/>
                    <a:ln>
                      <a:noFill/>
                    </a:ln>
                  </pic:spPr>
                </pic:pic>
              </a:graphicData>
            </a:graphic>
          </wp:inline>
        </w:drawing>
      </w:r>
    </w:p>
    <w:p w14:paraId="3C2803FA" w14:textId="77777777" w:rsidR="00285FD4" w:rsidRPr="006D506C" w:rsidRDefault="00285FD4" w:rsidP="004C2709">
      <w:pPr>
        <w:numPr>
          <w:ilvl w:val="0"/>
          <w:numId w:val="14"/>
        </w:numPr>
        <w:spacing w:line="360" w:lineRule="auto"/>
        <w:jc w:val="both"/>
        <w:rPr>
          <w:rFonts w:eastAsia="Calibri"/>
          <w:noProof/>
          <w:lang w:val="es-DO"/>
        </w:rPr>
      </w:pPr>
      <w:r w:rsidRPr="006D506C">
        <w:rPr>
          <w:rFonts w:eastAsia="Calibri"/>
          <w:noProof/>
          <w:lang w:val="es-DO"/>
        </w:rPr>
        <w:lastRenderedPageBreak/>
        <w:t xml:space="preserve">Dadas las negociaciones entre el Banco Central y la Tesorería Nacional, recibió en el período enero-diciembre 2025, la suma de RD$ 133,089,408.31. </w:t>
      </w:r>
    </w:p>
    <w:p w14:paraId="662D524E" w14:textId="77777777" w:rsidR="00285FD4" w:rsidRPr="006D506C" w:rsidRDefault="00285FD4" w:rsidP="00D64261">
      <w:pPr>
        <w:spacing w:line="360" w:lineRule="auto"/>
        <w:jc w:val="both"/>
        <w:rPr>
          <w:rFonts w:eastAsia="Calibri"/>
          <w:noProof/>
          <w:lang w:val="es-DO"/>
        </w:rPr>
      </w:pPr>
    </w:p>
    <w:p w14:paraId="73BB54EC" w14:textId="75E646F4" w:rsidR="00285FD4" w:rsidRPr="006D506C" w:rsidRDefault="00285FD4" w:rsidP="00D64261">
      <w:pPr>
        <w:spacing w:after="0" w:line="360" w:lineRule="auto"/>
        <w:jc w:val="center"/>
        <w:rPr>
          <w:rFonts w:eastAsia="Calibri"/>
          <w:b/>
          <w:bCs/>
          <w:noProof/>
          <w:lang w:val="es-DO"/>
        </w:rPr>
      </w:pPr>
      <w:r w:rsidRPr="006D506C">
        <w:rPr>
          <w:rFonts w:eastAsia="Calibri"/>
          <w:b/>
          <w:bCs/>
          <w:noProof/>
          <w:lang w:val="es-DO"/>
        </w:rPr>
        <w:t xml:space="preserve">Cuadro No. </w:t>
      </w:r>
      <w:r w:rsidR="008D7279" w:rsidRPr="006D506C">
        <w:rPr>
          <w:rFonts w:eastAsia="Calibri"/>
          <w:b/>
          <w:bCs/>
          <w:noProof/>
          <w:lang w:val="es-DO"/>
        </w:rPr>
        <w:t>22</w:t>
      </w:r>
    </w:p>
    <w:p w14:paraId="7F072D6E" w14:textId="3930A485" w:rsidR="002C762F" w:rsidRPr="006D506C" w:rsidRDefault="002C762F" w:rsidP="00D64261">
      <w:pPr>
        <w:spacing w:after="0" w:line="360" w:lineRule="auto"/>
        <w:jc w:val="center"/>
        <w:rPr>
          <w:rFonts w:eastAsia="Calibri"/>
          <w:b/>
          <w:bCs/>
          <w:noProof/>
          <w:lang w:val="es-DO"/>
        </w:rPr>
      </w:pPr>
      <w:r w:rsidRPr="006D506C">
        <w:rPr>
          <w:rFonts w:eastAsia="Calibri"/>
          <w:b/>
          <w:bCs/>
          <w:noProof/>
          <w:lang w:val="es-DO"/>
        </w:rPr>
        <w:t>Tesorería Nacional</w:t>
      </w:r>
    </w:p>
    <w:p w14:paraId="74B5D2B9" w14:textId="77777777" w:rsidR="00285FD4" w:rsidRPr="006D506C" w:rsidRDefault="00285FD4" w:rsidP="00D64261">
      <w:pPr>
        <w:spacing w:after="0" w:line="360" w:lineRule="auto"/>
        <w:jc w:val="center"/>
        <w:rPr>
          <w:rFonts w:eastAsia="Calibri"/>
          <w:b/>
          <w:bCs/>
          <w:noProof/>
          <w:lang w:val="es-DO"/>
        </w:rPr>
      </w:pPr>
      <w:r w:rsidRPr="006D506C">
        <w:rPr>
          <w:rFonts w:eastAsia="Calibri"/>
          <w:b/>
          <w:bCs/>
          <w:noProof/>
          <w:lang w:val="es-DO"/>
        </w:rPr>
        <w:t>Remuneración por Saldo cuenta pesos BC</w:t>
      </w:r>
    </w:p>
    <w:p w14:paraId="7E62001C" w14:textId="77777777" w:rsidR="00285FD4" w:rsidRPr="006D506C" w:rsidRDefault="00285FD4" w:rsidP="00D64261">
      <w:pPr>
        <w:spacing w:after="0" w:line="360" w:lineRule="auto"/>
        <w:jc w:val="center"/>
        <w:rPr>
          <w:rFonts w:eastAsia="Calibri"/>
          <w:b/>
          <w:bCs/>
          <w:noProof/>
          <w:lang w:val="es-DO"/>
        </w:rPr>
      </w:pPr>
      <w:r w:rsidRPr="006D506C">
        <w:rPr>
          <w:rFonts w:eastAsia="Calibri"/>
          <w:b/>
          <w:bCs/>
          <w:noProof/>
          <w:lang w:val="es-DO"/>
        </w:rPr>
        <w:drawing>
          <wp:inline distT="0" distB="0" distL="0" distR="0" wp14:anchorId="55F248C3" wp14:editId="4ADE5354">
            <wp:extent cx="3609975" cy="3010535"/>
            <wp:effectExtent l="0" t="0" r="9525" b="0"/>
            <wp:docPr id="46068923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9975" cy="3010535"/>
                    </a:xfrm>
                    <a:prstGeom prst="rect">
                      <a:avLst/>
                    </a:prstGeom>
                    <a:noFill/>
                    <a:ln>
                      <a:noFill/>
                    </a:ln>
                  </pic:spPr>
                </pic:pic>
              </a:graphicData>
            </a:graphic>
          </wp:inline>
        </w:drawing>
      </w:r>
    </w:p>
    <w:p w14:paraId="10AB2A96" w14:textId="77777777" w:rsidR="00285FD4" w:rsidRPr="006D506C" w:rsidRDefault="00285FD4" w:rsidP="00D64261">
      <w:pPr>
        <w:spacing w:line="360" w:lineRule="auto"/>
        <w:jc w:val="both"/>
        <w:rPr>
          <w:rFonts w:eastAsia="Calibri"/>
          <w:b/>
          <w:bCs/>
          <w:noProof/>
          <w:lang w:val="es-DO"/>
        </w:rPr>
      </w:pPr>
    </w:p>
    <w:p w14:paraId="118D6C13" w14:textId="77777777" w:rsidR="00285FD4" w:rsidRPr="006D506C" w:rsidRDefault="00285FD4" w:rsidP="004C2709">
      <w:pPr>
        <w:numPr>
          <w:ilvl w:val="0"/>
          <w:numId w:val="14"/>
        </w:numPr>
        <w:spacing w:line="360" w:lineRule="auto"/>
        <w:jc w:val="both"/>
        <w:rPr>
          <w:rFonts w:eastAsia="Calibri"/>
          <w:b/>
          <w:bCs/>
          <w:noProof/>
          <w:lang w:val="es-DO"/>
        </w:rPr>
      </w:pPr>
      <w:r w:rsidRPr="006D506C">
        <w:rPr>
          <w:rFonts w:eastAsia="Calibri"/>
          <w:noProof/>
          <w:lang w:val="es-DO"/>
        </w:rPr>
        <w:t>Dadas las negociaciones entre el Banco Agrícola y la Tesorería Nacional, recibió en el período enero-diciembre 2025, la suma de RD7,612,883.90</w:t>
      </w:r>
    </w:p>
    <w:p w14:paraId="7977D57D" w14:textId="77777777" w:rsidR="00285FD4" w:rsidRPr="006D506C" w:rsidRDefault="00285FD4" w:rsidP="00D64261">
      <w:pPr>
        <w:spacing w:line="360" w:lineRule="auto"/>
        <w:jc w:val="both"/>
        <w:rPr>
          <w:rFonts w:eastAsia="Calibri"/>
          <w:b/>
          <w:bCs/>
          <w:noProof/>
          <w:lang w:val="es-DO"/>
        </w:rPr>
      </w:pPr>
    </w:p>
    <w:p w14:paraId="05460C48" w14:textId="77777777" w:rsidR="00285FD4" w:rsidRPr="006D506C" w:rsidRDefault="00285FD4" w:rsidP="00D64261">
      <w:pPr>
        <w:spacing w:line="360" w:lineRule="auto"/>
        <w:jc w:val="both"/>
        <w:rPr>
          <w:rFonts w:eastAsia="Calibri"/>
          <w:b/>
          <w:bCs/>
          <w:noProof/>
          <w:lang w:val="es-DO"/>
        </w:rPr>
      </w:pPr>
    </w:p>
    <w:p w14:paraId="6B899C1D" w14:textId="77777777" w:rsidR="00285FD4" w:rsidRPr="006D506C" w:rsidRDefault="00285FD4" w:rsidP="00D64261">
      <w:pPr>
        <w:spacing w:line="360" w:lineRule="auto"/>
        <w:jc w:val="both"/>
        <w:rPr>
          <w:rFonts w:eastAsia="Calibri"/>
          <w:b/>
          <w:bCs/>
          <w:noProof/>
          <w:lang w:val="es-DO"/>
        </w:rPr>
      </w:pPr>
    </w:p>
    <w:p w14:paraId="193704D1" w14:textId="77777777" w:rsidR="00285FD4" w:rsidRPr="006D506C" w:rsidRDefault="00285FD4" w:rsidP="00D64261">
      <w:pPr>
        <w:spacing w:line="360" w:lineRule="auto"/>
        <w:jc w:val="both"/>
        <w:rPr>
          <w:rFonts w:eastAsia="Calibri"/>
          <w:b/>
          <w:bCs/>
          <w:noProof/>
          <w:lang w:val="es-DO"/>
        </w:rPr>
      </w:pPr>
    </w:p>
    <w:p w14:paraId="6EC07833" w14:textId="77777777" w:rsidR="00285FD4" w:rsidRPr="006D506C" w:rsidRDefault="00285FD4" w:rsidP="00D64261">
      <w:pPr>
        <w:spacing w:line="360" w:lineRule="auto"/>
        <w:jc w:val="both"/>
        <w:rPr>
          <w:rFonts w:eastAsia="Calibri"/>
          <w:b/>
          <w:bCs/>
          <w:noProof/>
          <w:lang w:val="es-DO"/>
        </w:rPr>
      </w:pPr>
    </w:p>
    <w:p w14:paraId="68D03828" w14:textId="1ABA62C6" w:rsidR="00285FD4" w:rsidRPr="006D506C" w:rsidRDefault="00285FD4" w:rsidP="00D64261">
      <w:pPr>
        <w:spacing w:after="0" w:line="360" w:lineRule="auto"/>
        <w:jc w:val="center"/>
        <w:rPr>
          <w:rFonts w:eastAsia="Calibri"/>
          <w:b/>
          <w:bCs/>
          <w:noProof/>
          <w:lang w:val="es-DO"/>
        </w:rPr>
      </w:pPr>
      <w:r w:rsidRPr="006D506C">
        <w:rPr>
          <w:rFonts w:eastAsia="Calibri"/>
          <w:b/>
          <w:bCs/>
          <w:noProof/>
          <w:lang w:val="es-DO"/>
        </w:rPr>
        <w:lastRenderedPageBreak/>
        <w:t xml:space="preserve">Cuadro No. </w:t>
      </w:r>
      <w:r w:rsidR="008D7279" w:rsidRPr="006D506C">
        <w:rPr>
          <w:rFonts w:eastAsia="Calibri"/>
          <w:b/>
          <w:bCs/>
          <w:noProof/>
          <w:lang w:val="es-DO"/>
        </w:rPr>
        <w:t>23</w:t>
      </w:r>
    </w:p>
    <w:p w14:paraId="001C2B81" w14:textId="48E89DC6" w:rsidR="002C762F" w:rsidRPr="006D506C" w:rsidRDefault="002C762F" w:rsidP="00D64261">
      <w:pPr>
        <w:spacing w:after="0" w:line="360" w:lineRule="auto"/>
        <w:jc w:val="center"/>
        <w:rPr>
          <w:rFonts w:eastAsia="Calibri"/>
          <w:b/>
          <w:bCs/>
          <w:noProof/>
          <w:lang w:val="es-DO"/>
        </w:rPr>
      </w:pPr>
      <w:r w:rsidRPr="006D506C">
        <w:rPr>
          <w:rFonts w:eastAsia="Calibri"/>
          <w:b/>
          <w:bCs/>
          <w:noProof/>
          <w:lang w:val="es-DO"/>
        </w:rPr>
        <w:t>Tesorería Nacional</w:t>
      </w:r>
    </w:p>
    <w:p w14:paraId="17074BA6" w14:textId="77777777" w:rsidR="00285FD4" w:rsidRPr="006D506C" w:rsidRDefault="00285FD4" w:rsidP="00D64261">
      <w:pPr>
        <w:spacing w:after="0" w:line="360" w:lineRule="auto"/>
        <w:jc w:val="center"/>
        <w:rPr>
          <w:rFonts w:eastAsia="Calibri"/>
          <w:b/>
          <w:bCs/>
          <w:noProof/>
          <w:lang w:val="es-DO"/>
        </w:rPr>
      </w:pPr>
      <w:r w:rsidRPr="006D506C">
        <w:rPr>
          <w:rFonts w:eastAsia="Calibri"/>
          <w:b/>
          <w:bCs/>
          <w:noProof/>
          <w:lang w:val="es-DO"/>
        </w:rPr>
        <w:t>Remuneración por Saldo cuenta pesos BC</w:t>
      </w:r>
    </w:p>
    <w:p w14:paraId="0DEDCF1D" w14:textId="77777777" w:rsidR="00285FD4" w:rsidRPr="006D506C" w:rsidRDefault="00285FD4" w:rsidP="00D64261">
      <w:pPr>
        <w:spacing w:after="0" w:line="360" w:lineRule="auto"/>
        <w:jc w:val="center"/>
        <w:rPr>
          <w:rFonts w:eastAsia="Calibri"/>
          <w:b/>
          <w:bCs/>
          <w:noProof/>
          <w:lang w:val="es-MX"/>
        </w:rPr>
      </w:pPr>
      <w:r w:rsidRPr="006D506C">
        <w:rPr>
          <w:rFonts w:eastAsia="Calibri"/>
          <w:noProof/>
        </w:rPr>
        <w:drawing>
          <wp:inline distT="0" distB="0" distL="0" distR="0" wp14:anchorId="4E2FAC56" wp14:editId="15F32B86">
            <wp:extent cx="3609975" cy="3010535"/>
            <wp:effectExtent l="0" t="0" r="9525" b="0"/>
            <wp:docPr id="28679097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9975" cy="3010535"/>
                    </a:xfrm>
                    <a:prstGeom prst="rect">
                      <a:avLst/>
                    </a:prstGeom>
                    <a:noFill/>
                    <a:ln>
                      <a:noFill/>
                    </a:ln>
                  </pic:spPr>
                </pic:pic>
              </a:graphicData>
            </a:graphic>
          </wp:inline>
        </w:drawing>
      </w:r>
    </w:p>
    <w:p w14:paraId="772F3AA9" w14:textId="77777777" w:rsidR="00285FD4" w:rsidRPr="006D506C" w:rsidRDefault="00285FD4" w:rsidP="00D64261">
      <w:pPr>
        <w:spacing w:line="360" w:lineRule="auto"/>
        <w:jc w:val="both"/>
        <w:rPr>
          <w:rFonts w:eastAsia="Calibri"/>
          <w:b/>
          <w:bCs/>
          <w:noProof/>
          <w:lang w:val="es-DO"/>
        </w:rPr>
      </w:pPr>
    </w:p>
    <w:p w14:paraId="69EA6F43" w14:textId="77777777" w:rsidR="00285FD4" w:rsidRPr="006D506C" w:rsidRDefault="00285FD4" w:rsidP="00D64261">
      <w:pPr>
        <w:spacing w:line="360" w:lineRule="auto"/>
        <w:jc w:val="both"/>
        <w:rPr>
          <w:rFonts w:eastAsia="Calibri"/>
          <w:noProof/>
          <w:lang w:val="es-DO"/>
        </w:rPr>
      </w:pPr>
      <w:r w:rsidRPr="006D506C">
        <w:rPr>
          <w:rFonts w:eastAsia="Calibri"/>
          <w:noProof/>
          <w:lang w:val="es-DO"/>
        </w:rPr>
        <w:t>Partiendo de la estrategia de negocio implementada por la Tesorería para el período analizado enero-diciembre 2025, el monto consolidado de los diferentes instrumentos utilizados ascendió a RD$605,869,695.35</w:t>
      </w:r>
    </w:p>
    <w:p w14:paraId="5A9E2CC1" w14:textId="77777777" w:rsidR="00861F62" w:rsidRPr="006D506C" w:rsidRDefault="00861F62" w:rsidP="00D64261">
      <w:pPr>
        <w:spacing w:line="360" w:lineRule="auto"/>
        <w:jc w:val="both"/>
        <w:rPr>
          <w:rFonts w:eastAsia="Calibri"/>
          <w:noProof/>
          <w:lang w:val="es-DO"/>
        </w:rPr>
      </w:pPr>
    </w:p>
    <w:p w14:paraId="61BB3F92" w14:textId="67B0DAB1" w:rsidR="00285FD4" w:rsidRPr="006D506C" w:rsidRDefault="00285FD4" w:rsidP="00D64261">
      <w:pPr>
        <w:spacing w:after="0" w:line="360" w:lineRule="auto"/>
        <w:jc w:val="center"/>
        <w:rPr>
          <w:rFonts w:eastAsia="Calibri"/>
          <w:b/>
          <w:bCs/>
          <w:noProof/>
          <w:lang w:val="es-DO"/>
        </w:rPr>
      </w:pPr>
      <w:r w:rsidRPr="006D506C">
        <w:rPr>
          <w:rFonts w:eastAsia="Calibri"/>
          <w:b/>
          <w:bCs/>
          <w:noProof/>
          <w:lang w:val="es-DO"/>
        </w:rPr>
        <w:t xml:space="preserve">Cuadro No. </w:t>
      </w:r>
      <w:r w:rsidR="008D7279" w:rsidRPr="006D506C">
        <w:rPr>
          <w:rFonts w:eastAsia="Calibri"/>
          <w:b/>
          <w:bCs/>
          <w:noProof/>
          <w:lang w:val="es-DO"/>
        </w:rPr>
        <w:t>24</w:t>
      </w:r>
    </w:p>
    <w:p w14:paraId="5757B6A6" w14:textId="5C5919FC" w:rsidR="002C762F" w:rsidRPr="006D506C" w:rsidRDefault="002C762F" w:rsidP="00D64261">
      <w:pPr>
        <w:spacing w:after="0" w:line="360" w:lineRule="auto"/>
        <w:jc w:val="center"/>
        <w:rPr>
          <w:rFonts w:eastAsia="Calibri"/>
          <w:b/>
          <w:bCs/>
          <w:noProof/>
          <w:lang w:val="es-DO"/>
        </w:rPr>
      </w:pPr>
      <w:r w:rsidRPr="006D506C">
        <w:rPr>
          <w:rFonts w:eastAsia="Calibri"/>
          <w:b/>
          <w:bCs/>
          <w:noProof/>
          <w:lang w:val="es-DO"/>
        </w:rPr>
        <w:t>Tesorería Nacional</w:t>
      </w:r>
    </w:p>
    <w:p w14:paraId="6782A2E5" w14:textId="6146B216" w:rsidR="00285FD4" w:rsidRPr="006D506C" w:rsidRDefault="00285FD4" w:rsidP="00D64261">
      <w:pPr>
        <w:spacing w:after="0" w:line="360" w:lineRule="auto"/>
        <w:jc w:val="center"/>
        <w:rPr>
          <w:rFonts w:eastAsia="Calibri"/>
          <w:b/>
          <w:bCs/>
          <w:noProof/>
          <w:lang w:val="es-DO"/>
        </w:rPr>
      </w:pPr>
      <w:r w:rsidRPr="006D506C">
        <w:rPr>
          <w:rFonts w:eastAsia="Calibri"/>
          <w:b/>
          <w:bCs/>
          <w:noProof/>
          <w:lang w:val="es-DO"/>
        </w:rPr>
        <w:t>Consolidado de rendimientos BC, BR Y BA</w:t>
      </w:r>
    </w:p>
    <w:p w14:paraId="707E1694" w14:textId="19948246" w:rsidR="00285FD4" w:rsidRPr="006D506C" w:rsidRDefault="00285FD4" w:rsidP="00D64261">
      <w:pPr>
        <w:spacing w:line="360" w:lineRule="auto"/>
        <w:jc w:val="both"/>
        <w:rPr>
          <w:rFonts w:eastAsia="Calibri"/>
          <w:b/>
          <w:bCs/>
          <w:noProof/>
          <w:lang w:val="es-DO"/>
        </w:rPr>
      </w:pPr>
      <w:r w:rsidRPr="006D506C">
        <w:rPr>
          <w:rFonts w:eastAsia="Calibri"/>
          <w:noProof/>
        </w:rPr>
        <w:drawing>
          <wp:inline distT="0" distB="0" distL="0" distR="0" wp14:anchorId="2CD963B6" wp14:editId="2AD30127">
            <wp:extent cx="4906645" cy="1564640"/>
            <wp:effectExtent l="0" t="0" r="8255" b="0"/>
            <wp:docPr id="8790727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06645" cy="1564640"/>
                    </a:xfrm>
                    <a:prstGeom prst="rect">
                      <a:avLst/>
                    </a:prstGeom>
                    <a:noFill/>
                    <a:ln>
                      <a:noFill/>
                    </a:ln>
                  </pic:spPr>
                </pic:pic>
              </a:graphicData>
            </a:graphic>
          </wp:inline>
        </w:drawing>
      </w:r>
    </w:p>
    <w:p w14:paraId="3035181D" w14:textId="77777777" w:rsidR="00285FD4" w:rsidRPr="006D506C" w:rsidRDefault="00285FD4" w:rsidP="00D64261">
      <w:pPr>
        <w:spacing w:line="360" w:lineRule="auto"/>
        <w:jc w:val="both"/>
        <w:rPr>
          <w:rFonts w:eastAsia="Calibri"/>
          <w:b/>
          <w:noProof/>
          <w:lang w:val="es-DO"/>
        </w:rPr>
      </w:pPr>
      <w:r w:rsidRPr="006D506C">
        <w:rPr>
          <w:rFonts w:eastAsia="Calibri"/>
          <w:b/>
          <w:noProof/>
          <w:lang w:val="es-DO"/>
        </w:rPr>
        <w:lastRenderedPageBreak/>
        <w:t>Valores emitidos y puestos bajo responsabilidad.</w:t>
      </w:r>
    </w:p>
    <w:p w14:paraId="7FEADD2F" w14:textId="77777777" w:rsidR="00285FD4" w:rsidRPr="006D506C" w:rsidRDefault="00285FD4" w:rsidP="00D64261">
      <w:pPr>
        <w:spacing w:line="360" w:lineRule="auto"/>
        <w:jc w:val="both"/>
        <w:rPr>
          <w:rFonts w:eastAsia="Calibri"/>
          <w:noProof/>
          <w:lang w:val="es-DO"/>
        </w:rPr>
      </w:pPr>
      <w:r w:rsidRPr="006D506C">
        <w:rPr>
          <w:rFonts w:eastAsia="Calibri"/>
          <w:noProof/>
          <w:lang w:val="es-DO"/>
        </w:rPr>
        <w:t xml:space="preserve">La Tesorería Nacional producto del proceso de transformación que ha venido experimentando, tanto en su infraestructura como en su institucionalidad, y en atención a la confianza generada en el ámbito gubernamental, en el mes de enero de 2025 suscribió un convenio con el </w:t>
      </w:r>
      <w:r w:rsidRPr="006D506C">
        <w:rPr>
          <w:rFonts w:eastAsia="Calibri"/>
          <w:b/>
          <w:bCs/>
          <w:noProof/>
          <w:lang w:val="es-DO"/>
        </w:rPr>
        <w:t>Instituto Nacional de Bienes Incautados, Decomisados y Extinción de Dominio (INCABIDE)</w:t>
      </w:r>
      <w:r w:rsidRPr="006D506C">
        <w:rPr>
          <w:rFonts w:eastAsia="Calibri"/>
          <w:noProof/>
          <w:lang w:val="es-DO"/>
        </w:rPr>
        <w:t>.</w:t>
      </w:r>
    </w:p>
    <w:p w14:paraId="70344D4E" w14:textId="77777777" w:rsidR="00285FD4" w:rsidRPr="006D506C" w:rsidRDefault="00285FD4" w:rsidP="00D64261">
      <w:pPr>
        <w:spacing w:line="360" w:lineRule="auto"/>
        <w:jc w:val="both"/>
        <w:rPr>
          <w:rFonts w:eastAsia="Calibri"/>
          <w:noProof/>
          <w:lang w:val="es-DO"/>
        </w:rPr>
      </w:pPr>
      <w:r w:rsidRPr="006D506C">
        <w:rPr>
          <w:rFonts w:eastAsia="Calibri"/>
          <w:noProof/>
          <w:lang w:val="es-DO"/>
        </w:rPr>
        <w:t>Mediante este acuerdo, la Tesorería Nacional asumió el compromiso de resguardar las prendas incautadas provenientes de actividades ilícitas. Este paso constituye una demostración más de la confianza alcanzada a partir de un esfuerzo colectivo orientado a fortalecer la transparencia y la gestión pública.</w:t>
      </w:r>
    </w:p>
    <w:p w14:paraId="2186A5A5" w14:textId="77777777" w:rsidR="00285FD4" w:rsidRPr="006D506C" w:rsidRDefault="00285FD4" w:rsidP="00D64261">
      <w:pPr>
        <w:spacing w:line="360" w:lineRule="auto"/>
        <w:jc w:val="both"/>
        <w:rPr>
          <w:rFonts w:eastAsia="Calibri"/>
          <w:noProof/>
          <w:lang w:val="es-DO"/>
        </w:rPr>
      </w:pPr>
      <w:r w:rsidRPr="006D506C">
        <w:rPr>
          <w:rFonts w:eastAsia="Calibri"/>
          <w:noProof/>
          <w:lang w:val="es-DO"/>
        </w:rPr>
        <w:t>La Tesorería Nacional recibió en el mes de abril las primeras prendas valoradas en RD$ 7,032,648, Joyas estas que han quedado bajo custodia de la TN, como parte de este acuerdo.</w:t>
      </w:r>
    </w:p>
    <w:p w14:paraId="458D6B9B" w14:textId="77777777" w:rsidR="00285FD4" w:rsidRPr="006D506C" w:rsidRDefault="00285FD4" w:rsidP="00D64261">
      <w:pPr>
        <w:spacing w:line="360" w:lineRule="auto"/>
        <w:jc w:val="both"/>
        <w:rPr>
          <w:rFonts w:eastAsia="Calibri"/>
          <w:noProof/>
          <w:lang w:val="es-DO"/>
        </w:rPr>
      </w:pPr>
      <w:r w:rsidRPr="006D506C">
        <w:rPr>
          <w:rFonts w:eastAsia="Calibri"/>
          <w:noProof/>
          <w:lang w:val="es-DO"/>
        </w:rPr>
        <w:t>En cuanto al movimiento de entrada y salida de las Especies   Timbradas durante el año 2025, desglosado en la siguiente matriz   muestra el informe de actividades, el cual está elaborado hasta 31 de diciembre del año 2025.</w:t>
      </w:r>
    </w:p>
    <w:p w14:paraId="5D65E9C8" w14:textId="77777777" w:rsidR="00285FD4" w:rsidRPr="00285FD4" w:rsidRDefault="00285FD4" w:rsidP="00D64261">
      <w:pPr>
        <w:spacing w:line="360" w:lineRule="auto"/>
        <w:jc w:val="both"/>
        <w:rPr>
          <w:rFonts w:eastAsia="Calibri"/>
          <w:b/>
          <w:noProof/>
          <w:color w:val="4C4747"/>
          <w:lang w:val="es-DO"/>
        </w:rPr>
      </w:pPr>
    </w:p>
    <w:p w14:paraId="29C67AA5" w14:textId="77777777" w:rsidR="00285FD4" w:rsidRPr="00285FD4" w:rsidRDefault="00285FD4" w:rsidP="00D64261">
      <w:pPr>
        <w:spacing w:line="360" w:lineRule="auto"/>
        <w:jc w:val="both"/>
        <w:rPr>
          <w:rFonts w:eastAsia="Calibri"/>
          <w:b/>
          <w:noProof/>
          <w:color w:val="4C4747"/>
          <w:lang w:val="es-DO"/>
        </w:rPr>
      </w:pPr>
    </w:p>
    <w:p w14:paraId="3E5BCF61" w14:textId="77777777" w:rsidR="00285FD4" w:rsidRPr="00285FD4" w:rsidRDefault="00285FD4" w:rsidP="00D64261">
      <w:pPr>
        <w:spacing w:line="360" w:lineRule="auto"/>
        <w:jc w:val="both"/>
        <w:rPr>
          <w:rFonts w:eastAsia="Calibri"/>
          <w:b/>
          <w:noProof/>
          <w:color w:val="4C4747"/>
          <w:lang w:val="es-DO"/>
        </w:rPr>
      </w:pPr>
    </w:p>
    <w:p w14:paraId="632F81FF" w14:textId="77777777" w:rsidR="00285FD4" w:rsidRPr="00285FD4" w:rsidRDefault="00285FD4" w:rsidP="00D64261">
      <w:pPr>
        <w:spacing w:line="360" w:lineRule="auto"/>
        <w:jc w:val="both"/>
        <w:rPr>
          <w:rFonts w:eastAsia="Calibri"/>
          <w:b/>
          <w:noProof/>
          <w:color w:val="4C4747"/>
          <w:lang w:val="es-DO"/>
        </w:rPr>
      </w:pPr>
    </w:p>
    <w:p w14:paraId="309AF199" w14:textId="77777777" w:rsidR="00285FD4" w:rsidRPr="00285FD4" w:rsidRDefault="00285FD4" w:rsidP="00D64261">
      <w:pPr>
        <w:spacing w:line="360" w:lineRule="auto"/>
        <w:jc w:val="both"/>
        <w:rPr>
          <w:rFonts w:eastAsia="Calibri"/>
          <w:b/>
          <w:noProof/>
          <w:color w:val="4C4747"/>
          <w:lang w:val="es-DO"/>
        </w:rPr>
      </w:pPr>
    </w:p>
    <w:p w14:paraId="2549A656" w14:textId="77777777" w:rsidR="00285FD4" w:rsidRDefault="00285FD4" w:rsidP="00D64261">
      <w:pPr>
        <w:spacing w:line="360" w:lineRule="auto"/>
        <w:jc w:val="both"/>
        <w:rPr>
          <w:rFonts w:eastAsia="Calibri"/>
          <w:b/>
          <w:noProof/>
          <w:color w:val="4C4747"/>
          <w:lang w:val="es-DO"/>
        </w:rPr>
      </w:pPr>
    </w:p>
    <w:p w14:paraId="4DBF3C9D" w14:textId="77777777" w:rsidR="00F55EF4" w:rsidRPr="00285FD4" w:rsidRDefault="00F55EF4" w:rsidP="00D64261">
      <w:pPr>
        <w:spacing w:line="360" w:lineRule="auto"/>
        <w:jc w:val="both"/>
        <w:rPr>
          <w:rFonts w:eastAsia="Calibri"/>
          <w:b/>
          <w:noProof/>
          <w:color w:val="4C4747"/>
          <w:lang w:val="es-DO"/>
        </w:rPr>
      </w:pPr>
    </w:p>
    <w:p w14:paraId="2BC3BE0E" w14:textId="53F4E3C4" w:rsidR="002C762F" w:rsidRPr="006D506C" w:rsidRDefault="002C762F" w:rsidP="00D64261">
      <w:pPr>
        <w:spacing w:after="0" w:line="360" w:lineRule="auto"/>
        <w:jc w:val="center"/>
        <w:rPr>
          <w:rFonts w:eastAsia="Calibri"/>
          <w:b/>
          <w:noProof/>
          <w:lang w:val="es-DO"/>
        </w:rPr>
      </w:pPr>
      <w:r w:rsidRPr="006D506C">
        <w:rPr>
          <w:rFonts w:eastAsia="Calibri"/>
          <w:b/>
          <w:noProof/>
          <w:lang w:val="es-DO"/>
        </w:rPr>
        <w:lastRenderedPageBreak/>
        <w:t>Cuadro No.</w:t>
      </w:r>
      <w:r w:rsidR="008D7279" w:rsidRPr="006D506C">
        <w:rPr>
          <w:rFonts w:eastAsia="Calibri"/>
          <w:b/>
          <w:noProof/>
          <w:lang w:val="es-DO"/>
        </w:rPr>
        <w:t xml:space="preserve"> 25</w:t>
      </w:r>
    </w:p>
    <w:p w14:paraId="157EFC66" w14:textId="2B4C5E20" w:rsidR="00285FD4" w:rsidRPr="006D506C" w:rsidRDefault="00285FD4" w:rsidP="00D64261">
      <w:pPr>
        <w:spacing w:after="0" w:line="360" w:lineRule="auto"/>
        <w:jc w:val="center"/>
        <w:rPr>
          <w:rFonts w:eastAsia="Calibri"/>
          <w:b/>
          <w:noProof/>
          <w:lang w:val="es-DO"/>
        </w:rPr>
      </w:pPr>
      <w:r w:rsidRPr="006D506C">
        <w:rPr>
          <w:rFonts w:eastAsia="Calibri"/>
          <w:b/>
          <w:noProof/>
          <w:lang w:val="es-DO"/>
        </w:rPr>
        <w:t>Tesorería Nacional</w:t>
      </w:r>
    </w:p>
    <w:p w14:paraId="4184AECB" w14:textId="33ADBD85" w:rsidR="00285FD4" w:rsidRPr="006D506C" w:rsidRDefault="00285FD4" w:rsidP="00D64261">
      <w:pPr>
        <w:spacing w:after="0" w:line="360" w:lineRule="auto"/>
        <w:jc w:val="center"/>
        <w:rPr>
          <w:rFonts w:eastAsia="Calibri"/>
          <w:b/>
          <w:noProof/>
          <w:lang w:val="es-DO"/>
        </w:rPr>
      </w:pPr>
      <w:r w:rsidRPr="006D506C">
        <w:rPr>
          <w:rFonts w:eastAsia="Calibri"/>
          <w:b/>
          <w:noProof/>
          <w:lang w:val="es-DO"/>
        </w:rPr>
        <w:t>Cuadro Comparativo sobre la recepción y</w:t>
      </w:r>
      <w:r w:rsidR="002C762F" w:rsidRPr="006D506C">
        <w:rPr>
          <w:rFonts w:eastAsia="Calibri"/>
          <w:b/>
          <w:noProof/>
          <w:lang w:val="es-DO"/>
        </w:rPr>
        <w:t xml:space="preserve"> </w:t>
      </w:r>
      <w:r w:rsidRPr="006D506C">
        <w:rPr>
          <w:rFonts w:eastAsia="Calibri"/>
          <w:b/>
          <w:noProof/>
          <w:lang w:val="es-DO"/>
        </w:rPr>
        <w:t>Despacho de Especies Timbradas</w:t>
      </w:r>
    </w:p>
    <w:p w14:paraId="1A327345" w14:textId="77777777" w:rsidR="00285FD4" w:rsidRPr="006D506C" w:rsidRDefault="00285FD4" w:rsidP="00D64261">
      <w:pPr>
        <w:spacing w:after="0" w:line="360" w:lineRule="auto"/>
        <w:jc w:val="center"/>
        <w:rPr>
          <w:rFonts w:eastAsia="Calibri"/>
          <w:b/>
          <w:noProof/>
          <w:lang w:val="es-DO"/>
        </w:rPr>
      </w:pPr>
      <w:r w:rsidRPr="006D506C">
        <w:rPr>
          <w:rFonts w:eastAsia="Calibri"/>
          <w:b/>
          <w:noProof/>
          <w:lang w:val="es-DO"/>
        </w:rPr>
        <w:t>Periodo 01 enero al 31 de diciembre 202</w:t>
      </w:r>
      <w:r w:rsidRPr="006D506C">
        <w:rPr>
          <w:rFonts w:eastAsia="Calibri"/>
          <w:b/>
          <w:noProof/>
          <w:lang w:val="es-ES"/>
        </w:rPr>
        <w:t>5</w:t>
      </w:r>
      <w:r w:rsidRPr="006D506C">
        <w:rPr>
          <w:rFonts w:eastAsia="Calibri"/>
          <w:b/>
          <w:noProof/>
          <w:lang w:val="es-DO"/>
        </w:rPr>
        <w:t>.</w:t>
      </w:r>
    </w:p>
    <w:p w14:paraId="1C7CE986" w14:textId="77777777" w:rsidR="00285FD4" w:rsidRPr="006D506C" w:rsidRDefault="00285FD4" w:rsidP="00D64261">
      <w:pPr>
        <w:spacing w:line="360" w:lineRule="auto"/>
        <w:jc w:val="both"/>
        <w:rPr>
          <w:rFonts w:eastAsia="Calibri"/>
          <w:i/>
          <w:iCs/>
          <w:noProof/>
          <w:vertAlign w:val="subscript"/>
          <w:lang w:val="es-DO"/>
        </w:rPr>
      </w:pPr>
      <w:r w:rsidRPr="006D506C">
        <w:rPr>
          <w:rFonts w:eastAsia="Calibri"/>
          <w:noProof/>
        </w:rPr>
        <w:drawing>
          <wp:inline distT="0" distB="0" distL="0" distR="0" wp14:anchorId="7BE00C4E" wp14:editId="61690118">
            <wp:extent cx="4988966" cy="1289787"/>
            <wp:effectExtent l="0" t="0" r="2540" b="5715"/>
            <wp:docPr id="20427680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11139" cy="1295519"/>
                    </a:xfrm>
                    <a:prstGeom prst="rect">
                      <a:avLst/>
                    </a:prstGeom>
                    <a:noFill/>
                    <a:ln>
                      <a:noFill/>
                    </a:ln>
                  </pic:spPr>
                </pic:pic>
              </a:graphicData>
            </a:graphic>
          </wp:inline>
        </w:drawing>
      </w:r>
      <w:r w:rsidRPr="006D506C">
        <w:rPr>
          <w:rFonts w:eastAsia="Calibri"/>
          <w:i/>
          <w:iCs/>
          <w:noProof/>
          <w:vertAlign w:val="subscript"/>
          <w:lang w:val="es-DO"/>
        </w:rPr>
        <w:t xml:space="preserve">Información suministrada por </w:t>
      </w:r>
      <w:r w:rsidRPr="006D506C">
        <w:rPr>
          <w:rFonts w:eastAsia="Calibri"/>
          <w:b/>
          <w:i/>
          <w:iCs/>
          <w:noProof/>
          <w:vertAlign w:val="subscript"/>
          <w:lang w:val="es-DO"/>
        </w:rPr>
        <w:t>SITNA</w:t>
      </w:r>
    </w:p>
    <w:p w14:paraId="6C13D6CE" w14:textId="77777777" w:rsidR="00FD5077" w:rsidRPr="006D506C" w:rsidRDefault="00FD5077" w:rsidP="00D64261">
      <w:pPr>
        <w:spacing w:line="360" w:lineRule="auto"/>
        <w:rPr>
          <w:rFonts w:eastAsia="Calibri"/>
          <w:noProof/>
          <w:highlight w:val="yellow"/>
          <w:lang w:val="es-DO"/>
        </w:rPr>
      </w:pPr>
    </w:p>
    <w:p w14:paraId="78794BDE" w14:textId="364DE394" w:rsidR="00285FD4" w:rsidRPr="006D506C" w:rsidRDefault="00285FD4" w:rsidP="004C2709">
      <w:pPr>
        <w:numPr>
          <w:ilvl w:val="0"/>
          <w:numId w:val="17"/>
        </w:numPr>
        <w:spacing w:line="360" w:lineRule="auto"/>
        <w:jc w:val="both"/>
        <w:rPr>
          <w:rFonts w:eastAsia="Calibri"/>
          <w:noProof/>
          <w:lang w:val="es-ES"/>
        </w:rPr>
      </w:pPr>
      <w:r w:rsidRPr="006D506C">
        <w:rPr>
          <w:rFonts w:eastAsia="Calibri"/>
          <w:noProof/>
          <w:lang w:val="es-ES"/>
        </w:rPr>
        <w:t>Seguimiento de los Ingresos</w:t>
      </w:r>
    </w:p>
    <w:p w14:paraId="60608BCB" w14:textId="77777777" w:rsidR="00285FD4" w:rsidRPr="006D506C" w:rsidRDefault="00285FD4" w:rsidP="00D64261">
      <w:pPr>
        <w:spacing w:line="360" w:lineRule="auto"/>
        <w:jc w:val="both"/>
        <w:rPr>
          <w:rFonts w:eastAsia="Calibri"/>
          <w:noProof/>
          <w:lang w:val="es-DO"/>
        </w:rPr>
      </w:pPr>
      <w:r w:rsidRPr="006D506C">
        <w:rPr>
          <w:rFonts w:eastAsia="Calibri"/>
          <w:noProof/>
          <w:lang w:val="es-DO"/>
        </w:rPr>
        <w:t>La Tesorería Nacional recibió las Estimaciones de Ingresos, 4  (Cuatro) trimestrales y 10 (Diez) mensuales, de las entidades recaudadoras (Dirección General de Impuestos Internos, Dirección General de Aduanas y Tesorería Nacional) elaboradas por la Dirección General de Política y Legislación Tributaria (DGPLT),  estas informaciones junto al histórico de los ingresos efectivamente percibidos en la caja nos permitió realizar las 10 (Diez)  proyecciones de Ingresos correspondiente al año  2025.</w:t>
      </w:r>
    </w:p>
    <w:p w14:paraId="72DFC63B" w14:textId="77777777" w:rsidR="00285FD4" w:rsidRPr="006D506C" w:rsidRDefault="00285FD4" w:rsidP="004C2709">
      <w:pPr>
        <w:numPr>
          <w:ilvl w:val="0"/>
          <w:numId w:val="16"/>
        </w:numPr>
        <w:spacing w:line="360" w:lineRule="auto"/>
        <w:jc w:val="both"/>
        <w:rPr>
          <w:rFonts w:eastAsia="Calibri"/>
          <w:noProof/>
          <w:lang w:val="es-ES"/>
        </w:rPr>
      </w:pPr>
      <w:r w:rsidRPr="006D506C">
        <w:rPr>
          <w:rFonts w:eastAsia="Calibri"/>
          <w:noProof/>
          <w:lang w:val="es-ES"/>
        </w:rPr>
        <w:t>Programación de Caja</w:t>
      </w:r>
    </w:p>
    <w:p w14:paraId="0DC4BD52" w14:textId="77777777" w:rsidR="00285FD4" w:rsidRPr="006D506C" w:rsidRDefault="00285FD4" w:rsidP="00D64261">
      <w:pPr>
        <w:spacing w:line="360" w:lineRule="auto"/>
        <w:jc w:val="both"/>
        <w:rPr>
          <w:rFonts w:eastAsia="Calibri"/>
          <w:noProof/>
          <w:lang w:val="es-DO"/>
        </w:rPr>
      </w:pPr>
      <w:r w:rsidRPr="006D506C">
        <w:rPr>
          <w:rFonts w:eastAsia="Calibri"/>
          <w:noProof/>
          <w:lang w:val="es-DO"/>
        </w:rPr>
        <w:t xml:space="preserve">Para cumplir con este objetivo se desarrollan varias actividades como son: la consolidación de los ingresos por unidad recaudadora; consolidación de los gastos de acuerdo con el nuevo clasificador presupuestario; consolidación de las fuentes de financiamiento por tipos; las asignaciones de cuotas de pago mensual y diaria; el registro de la programación de ingresos y gastos de las tesorerías institucionales incluidas en la fase I del proyecto de implementación </w:t>
      </w:r>
      <w:r w:rsidRPr="006D506C">
        <w:rPr>
          <w:rFonts w:eastAsia="Calibri"/>
          <w:noProof/>
          <w:lang w:val="es-DO"/>
        </w:rPr>
        <w:lastRenderedPageBreak/>
        <w:t>de la CUT. Los resultados de estas actividades se resumen en la entrega de un producto: La Programación de Caja.</w:t>
      </w:r>
    </w:p>
    <w:p w14:paraId="4F9FBE3E" w14:textId="77777777" w:rsidR="00285FD4" w:rsidRPr="006D506C" w:rsidRDefault="00285FD4" w:rsidP="00D64261">
      <w:pPr>
        <w:spacing w:line="360" w:lineRule="auto"/>
        <w:jc w:val="both"/>
        <w:rPr>
          <w:rFonts w:eastAsia="Calibri"/>
          <w:noProof/>
          <w:lang w:val="es-DO"/>
        </w:rPr>
      </w:pPr>
      <w:r w:rsidRPr="006D506C">
        <w:rPr>
          <w:rFonts w:eastAsia="Calibri"/>
          <w:noProof/>
          <w:lang w:val="es-DO"/>
        </w:rPr>
        <w:t xml:space="preserve">A partir de la implementación de la Cuenta Única del Tesoro, todos los pagos gestionados por la Tesorería Nacional deben tener una previa asignación de cuota de pago diaria y mensual. </w:t>
      </w:r>
    </w:p>
    <w:p w14:paraId="3E5226FE" w14:textId="77777777" w:rsidR="00285FD4" w:rsidRPr="006D506C" w:rsidRDefault="00285FD4" w:rsidP="00D64261">
      <w:pPr>
        <w:spacing w:line="360" w:lineRule="auto"/>
        <w:jc w:val="both"/>
        <w:rPr>
          <w:rFonts w:eastAsia="Calibri"/>
          <w:noProof/>
          <w:lang w:val="es-DO"/>
        </w:rPr>
      </w:pPr>
      <w:r w:rsidRPr="006D506C">
        <w:rPr>
          <w:rFonts w:eastAsia="Calibri"/>
          <w:noProof/>
          <w:lang w:val="es-DO"/>
        </w:rPr>
        <w:t>Las asignaciones de cuota mensual sirven de referencia como monto máximo de gasto mensual y las cuotas de pago diarias sirven de control, ya que son el tope máximo de pago diario. Estos nuevos elementos se añadieron para fortalecer la programación de caja.</w:t>
      </w:r>
    </w:p>
    <w:p w14:paraId="70AEA946" w14:textId="77777777" w:rsidR="00285FD4" w:rsidRPr="006D506C" w:rsidRDefault="00285FD4" w:rsidP="00D64261">
      <w:pPr>
        <w:spacing w:line="360" w:lineRule="auto"/>
        <w:jc w:val="both"/>
        <w:rPr>
          <w:rFonts w:eastAsia="Calibri"/>
          <w:noProof/>
          <w:lang w:val="es-DO"/>
        </w:rPr>
      </w:pPr>
      <w:r w:rsidRPr="006D506C">
        <w:rPr>
          <w:rFonts w:eastAsia="Calibri"/>
          <w:noProof/>
          <w:lang w:val="es-DO"/>
        </w:rPr>
        <w:t>Los insumos utilizados para la Programación Financiera anual parte de lo aprobado en el Presupuesto General de Estado, consolidando las variables Ingresos, Gastos y Financiamiento. A partir de la desagregación temporal de estas variables la Tesorería Nacional prepara una Programación de Caja, la que para el período comprendido entre el 1ro de enero y el 31 de octubre, con proyección de los meses de noviembre y diciembre, muestra los siguientes resultados:</w:t>
      </w:r>
    </w:p>
    <w:p w14:paraId="01A2E02E" w14:textId="77777777" w:rsidR="00992D02" w:rsidRPr="006D506C" w:rsidRDefault="00992D02" w:rsidP="00D64261">
      <w:pPr>
        <w:spacing w:line="360" w:lineRule="auto"/>
        <w:jc w:val="both"/>
        <w:rPr>
          <w:rFonts w:eastAsia="Calibri"/>
          <w:noProof/>
          <w:lang w:val="es-DO"/>
        </w:rPr>
      </w:pPr>
    </w:p>
    <w:p w14:paraId="0296B485" w14:textId="77777777" w:rsidR="00992D02" w:rsidRPr="006D506C" w:rsidRDefault="00992D02" w:rsidP="00D64261">
      <w:pPr>
        <w:spacing w:line="360" w:lineRule="auto"/>
        <w:jc w:val="both"/>
        <w:rPr>
          <w:rFonts w:eastAsia="Calibri"/>
          <w:noProof/>
          <w:lang w:val="es-DO"/>
        </w:rPr>
      </w:pPr>
    </w:p>
    <w:p w14:paraId="64095B18" w14:textId="77777777" w:rsidR="00992D02" w:rsidRPr="006D506C" w:rsidRDefault="00992D02" w:rsidP="00D64261">
      <w:pPr>
        <w:spacing w:line="360" w:lineRule="auto"/>
        <w:jc w:val="both"/>
        <w:rPr>
          <w:rFonts w:eastAsia="Calibri"/>
          <w:noProof/>
          <w:lang w:val="es-DO"/>
        </w:rPr>
      </w:pPr>
    </w:p>
    <w:p w14:paraId="3A38B4FE" w14:textId="77777777" w:rsidR="00992D02" w:rsidRPr="006D506C" w:rsidRDefault="00992D02" w:rsidP="00D64261">
      <w:pPr>
        <w:spacing w:line="360" w:lineRule="auto"/>
        <w:jc w:val="both"/>
        <w:rPr>
          <w:rFonts w:eastAsia="Calibri"/>
          <w:noProof/>
          <w:lang w:val="es-DO"/>
        </w:rPr>
      </w:pPr>
    </w:p>
    <w:p w14:paraId="68B2F75B" w14:textId="77777777" w:rsidR="00992D02" w:rsidRPr="006D506C" w:rsidRDefault="00992D02" w:rsidP="00D64261">
      <w:pPr>
        <w:spacing w:line="360" w:lineRule="auto"/>
        <w:jc w:val="both"/>
        <w:rPr>
          <w:rFonts w:eastAsia="Calibri"/>
          <w:noProof/>
          <w:lang w:val="es-DO"/>
        </w:rPr>
      </w:pPr>
    </w:p>
    <w:p w14:paraId="015455E0" w14:textId="77777777" w:rsidR="00992D02" w:rsidRPr="006D506C" w:rsidRDefault="00992D02" w:rsidP="00D64261">
      <w:pPr>
        <w:spacing w:line="360" w:lineRule="auto"/>
        <w:jc w:val="both"/>
        <w:rPr>
          <w:rFonts w:eastAsia="Calibri"/>
          <w:noProof/>
          <w:lang w:val="es-DO"/>
        </w:rPr>
      </w:pPr>
    </w:p>
    <w:p w14:paraId="126AC99B" w14:textId="77777777" w:rsidR="00992D02" w:rsidRPr="006D506C" w:rsidRDefault="00992D02" w:rsidP="00D64261">
      <w:pPr>
        <w:spacing w:line="360" w:lineRule="auto"/>
        <w:jc w:val="both"/>
        <w:rPr>
          <w:rFonts w:eastAsia="Calibri"/>
          <w:noProof/>
          <w:lang w:val="es-DO"/>
        </w:rPr>
      </w:pPr>
    </w:p>
    <w:p w14:paraId="06AACEDE" w14:textId="77777777" w:rsidR="00992D02" w:rsidRPr="006D506C" w:rsidRDefault="00992D02" w:rsidP="00D64261">
      <w:pPr>
        <w:spacing w:line="360" w:lineRule="auto"/>
        <w:jc w:val="both"/>
        <w:rPr>
          <w:rFonts w:eastAsia="Calibri"/>
          <w:noProof/>
          <w:lang w:val="es-DO"/>
        </w:rPr>
      </w:pPr>
    </w:p>
    <w:p w14:paraId="221C6847" w14:textId="77777777" w:rsidR="004C0D17" w:rsidRPr="006D506C" w:rsidRDefault="004C0D17" w:rsidP="00D64261">
      <w:pPr>
        <w:spacing w:line="360" w:lineRule="auto"/>
        <w:jc w:val="both"/>
        <w:rPr>
          <w:rFonts w:eastAsia="Calibri"/>
          <w:noProof/>
          <w:lang w:val="es-DO"/>
        </w:rPr>
      </w:pPr>
    </w:p>
    <w:p w14:paraId="77A0DBCF" w14:textId="274C77D1" w:rsidR="00285FD4" w:rsidRPr="006D506C" w:rsidRDefault="00992D02" w:rsidP="00D64261">
      <w:pPr>
        <w:spacing w:after="0" w:line="360" w:lineRule="auto"/>
        <w:jc w:val="center"/>
        <w:rPr>
          <w:rFonts w:eastAsia="Calibri"/>
          <w:b/>
          <w:bCs/>
          <w:noProof/>
          <w:lang w:val="es-DO"/>
        </w:rPr>
      </w:pPr>
      <w:r w:rsidRPr="006D506C">
        <w:rPr>
          <w:rFonts w:eastAsia="Calibri"/>
          <w:b/>
          <w:bCs/>
          <w:noProof/>
          <w:lang w:val="es-DO"/>
        </w:rPr>
        <w:lastRenderedPageBreak/>
        <w:t>Gr</w:t>
      </w:r>
      <w:r w:rsidR="007F0A9B" w:rsidRPr="006D506C">
        <w:rPr>
          <w:rFonts w:eastAsia="Calibri"/>
          <w:b/>
          <w:bCs/>
          <w:noProof/>
          <w:lang w:val="es-DO"/>
        </w:rPr>
        <w:t>á</w:t>
      </w:r>
      <w:r w:rsidRPr="006D506C">
        <w:rPr>
          <w:rFonts w:eastAsia="Calibri"/>
          <w:b/>
          <w:bCs/>
          <w:noProof/>
          <w:lang w:val="es-DO"/>
        </w:rPr>
        <w:t>fico No. 06</w:t>
      </w:r>
    </w:p>
    <w:p w14:paraId="0926E024" w14:textId="2B681DD6" w:rsidR="00992D02" w:rsidRPr="006D506C" w:rsidRDefault="00992D02" w:rsidP="00D64261">
      <w:pPr>
        <w:spacing w:after="0" w:line="360" w:lineRule="auto"/>
        <w:jc w:val="center"/>
        <w:rPr>
          <w:rFonts w:eastAsia="Calibri"/>
          <w:noProof/>
          <w:lang w:val="es-DO"/>
        </w:rPr>
      </w:pPr>
      <w:r w:rsidRPr="006D506C">
        <w:rPr>
          <w:rFonts w:eastAsia="Calibri"/>
          <w:b/>
          <w:bCs/>
          <w:noProof/>
          <w:lang w:val="es-DO"/>
        </w:rPr>
        <w:t>Tesorería Nacional</w:t>
      </w:r>
    </w:p>
    <w:p w14:paraId="766F3C1C" w14:textId="19FA47F9" w:rsidR="00992D02" w:rsidRPr="006D506C" w:rsidRDefault="00285FD4" w:rsidP="00D64261">
      <w:pPr>
        <w:spacing w:after="0" w:line="360" w:lineRule="auto"/>
        <w:jc w:val="center"/>
        <w:rPr>
          <w:rFonts w:eastAsia="Calibri"/>
          <w:noProof/>
          <w:lang w:val="es-DO"/>
        </w:rPr>
      </w:pPr>
      <w:r w:rsidRPr="006D506C">
        <w:rPr>
          <w:rFonts w:eastAsia="Calibri"/>
          <w:noProof/>
          <w:lang w:val="es-DO"/>
        </w:rPr>
        <w:drawing>
          <wp:inline distT="0" distB="0" distL="0" distR="0" wp14:anchorId="11376E1B" wp14:editId="61FDC6A5">
            <wp:extent cx="3371354" cy="2695492"/>
            <wp:effectExtent l="0" t="0" r="635" b="10160"/>
            <wp:docPr id="382660728" name="Gráfico 1">
              <a:extLst xmlns:a="http://schemas.openxmlformats.org/drawingml/2006/main">
                <a:ext uri="{FF2B5EF4-FFF2-40B4-BE49-F238E27FC236}">
                  <a16:creationId xmlns:a16="http://schemas.microsoft.com/office/drawing/2014/main" id="{D7536B85-A24D-4556-A977-46A5E7FCA5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A26F91E" w14:textId="77777777" w:rsidR="007F0A9B" w:rsidRPr="006D506C" w:rsidRDefault="007F0A9B" w:rsidP="00D64261">
      <w:pPr>
        <w:spacing w:after="0" w:line="360" w:lineRule="auto"/>
        <w:jc w:val="center"/>
        <w:rPr>
          <w:rFonts w:eastAsia="Calibri"/>
          <w:noProof/>
          <w:lang w:val="es-DO"/>
        </w:rPr>
      </w:pPr>
    </w:p>
    <w:p w14:paraId="781FD288" w14:textId="36EB904C" w:rsidR="00992D02" w:rsidRPr="006D506C" w:rsidRDefault="007F0A9B" w:rsidP="00D64261">
      <w:pPr>
        <w:spacing w:after="0" w:line="360" w:lineRule="auto"/>
        <w:jc w:val="center"/>
        <w:rPr>
          <w:rFonts w:eastAsia="Calibri"/>
          <w:b/>
          <w:bCs/>
          <w:noProof/>
          <w:lang w:val="es-DO"/>
        </w:rPr>
      </w:pPr>
      <w:r w:rsidRPr="006D506C">
        <w:rPr>
          <w:rFonts w:eastAsia="Calibri"/>
          <w:b/>
          <w:bCs/>
          <w:noProof/>
          <w:lang w:val="es-DO"/>
        </w:rPr>
        <w:t xml:space="preserve">Gráfico </w:t>
      </w:r>
      <w:r w:rsidR="00992D02" w:rsidRPr="006D506C">
        <w:rPr>
          <w:rFonts w:eastAsia="Calibri"/>
          <w:b/>
          <w:bCs/>
          <w:noProof/>
          <w:lang w:val="es-DO"/>
        </w:rPr>
        <w:t>No. 07</w:t>
      </w:r>
    </w:p>
    <w:p w14:paraId="03D562F0" w14:textId="77777777" w:rsidR="00992D02" w:rsidRPr="006D506C" w:rsidRDefault="00992D02" w:rsidP="00D64261">
      <w:pPr>
        <w:spacing w:after="0" w:line="360" w:lineRule="auto"/>
        <w:jc w:val="center"/>
        <w:rPr>
          <w:rFonts w:eastAsia="Calibri"/>
          <w:b/>
          <w:bCs/>
          <w:noProof/>
          <w:lang w:val="es-DO"/>
        </w:rPr>
      </w:pPr>
      <w:r w:rsidRPr="006D506C">
        <w:rPr>
          <w:rFonts w:eastAsia="Calibri"/>
          <w:b/>
          <w:bCs/>
          <w:noProof/>
          <w:lang w:val="es-DO"/>
        </w:rPr>
        <w:t>Tesorería Nacional</w:t>
      </w:r>
    </w:p>
    <w:p w14:paraId="45C2646E" w14:textId="394315C9" w:rsidR="007F0A9B" w:rsidRPr="006D506C" w:rsidRDefault="007F0A9B" w:rsidP="00D64261">
      <w:pPr>
        <w:spacing w:after="0" w:line="360" w:lineRule="auto"/>
        <w:jc w:val="center"/>
        <w:rPr>
          <w:rFonts w:eastAsia="Calibri"/>
          <w:noProof/>
          <w:lang w:val="es-DO"/>
        </w:rPr>
      </w:pPr>
      <w:r w:rsidRPr="006D506C">
        <w:rPr>
          <w:rFonts w:eastAsia="Calibri"/>
          <w:noProof/>
          <w:lang w:val="es-DO"/>
        </w:rPr>
        <w:drawing>
          <wp:inline distT="0" distB="0" distL="0" distR="0" wp14:anchorId="5DA79BF4" wp14:editId="524224A6">
            <wp:extent cx="3379305" cy="2878372"/>
            <wp:effectExtent l="0" t="0" r="12065" b="17780"/>
            <wp:docPr id="1158147942" name="Gráfico 1">
              <a:extLst xmlns:a="http://schemas.openxmlformats.org/drawingml/2006/main">
                <a:ext uri="{FF2B5EF4-FFF2-40B4-BE49-F238E27FC236}">
                  <a16:creationId xmlns:a16="http://schemas.microsoft.com/office/drawing/2014/main" id="{781577C6-01DF-47FF-ABE2-52C3A523EB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4E605CA" w14:textId="77777777" w:rsidR="007F0A9B" w:rsidRPr="006D506C" w:rsidRDefault="007F0A9B" w:rsidP="00D64261">
      <w:pPr>
        <w:spacing w:after="0" w:line="360" w:lineRule="auto"/>
        <w:jc w:val="center"/>
        <w:rPr>
          <w:rFonts w:eastAsia="Calibri"/>
          <w:b/>
          <w:bCs/>
          <w:noProof/>
          <w:lang w:val="es-DO"/>
        </w:rPr>
      </w:pPr>
    </w:p>
    <w:p w14:paraId="3F38565B" w14:textId="77777777" w:rsidR="007F0A9B" w:rsidRPr="006D506C" w:rsidRDefault="007F0A9B" w:rsidP="00D64261">
      <w:pPr>
        <w:spacing w:after="0" w:line="360" w:lineRule="auto"/>
        <w:jc w:val="center"/>
        <w:rPr>
          <w:rFonts w:eastAsia="Calibri"/>
          <w:b/>
          <w:bCs/>
          <w:noProof/>
          <w:lang w:val="es-DO"/>
        </w:rPr>
      </w:pPr>
    </w:p>
    <w:p w14:paraId="43AE40BB" w14:textId="77777777" w:rsidR="007F0A9B" w:rsidRPr="006D506C" w:rsidRDefault="007F0A9B" w:rsidP="00D64261">
      <w:pPr>
        <w:spacing w:after="0" w:line="360" w:lineRule="auto"/>
        <w:jc w:val="center"/>
        <w:rPr>
          <w:rFonts w:eastAsia="Calibri"/>
          <w:b/>
          <w:bCs/>
          <w:noProof/>
          <w:lang w:val="es-DO"/>
        </w:rPr>
      </w:pPr>
    </w:p>
    <w:p w14:paraId="13FCB74B" w14:textId="77777777" w:rsidR="007F0A9B" w:rsidRPr="006D506C" w:rsidRDefault="007F0A9B" w:rsidP="00D64261">
      <w:pPr>
        <w:spacing w:after="0" w:line="360" w:lineRule="auto"/>
        <w:jc w:val="center"/>
        <w:rPr>
          <w:rFonts w:eastAsia="Calibri"/>
          <w:b/>
          <w:bCs/>
          <w:noProof/>
          <w:lang w:val="es-DO"/>
        </w:rPr>
      </w:pPr>
    </w:p>
    <w:p w14:paraId="35414723" w14:textId="0010F690" w:rsidR="007F0A9B" w:rsidRPr="006D506C" w:rsidRDefault="007F0A9B" w:rsidP="00D64261">
      <w:pPr>
        <w:spacing w:after="0" w:line="360" w:lineRule="auto"/>
        <w:jc w:val="center"/>
        <w:rPr>
          <w:rFonts w:eastAsia="Calibri"/>
          <w:b/>
          <w:bCs/>
          <w:noProof/>
          <w:lang w:val="es-DO"/>
        </w:rPr>
      </w:pPr>
      <w:r w:rsidRPr="006D506C">
        <w:rPr>
          <w:rFonts w:eastAsia="Calibri"/>
          <w:b/>
          <w:bCs/>
          <w:noProof/>
          <w:lang w:val="es-DO"/>
        </w:rPr>
        <w:lastRenderedPageBreak/>
        <w:t>Gráfico No. 08</w:t>
      </w:r>
    </w:p>
    <w:p w14:paraId="76CD18E7" w14:textId="2452CEE0" w:rsidR="007F0A9B" w:rsidRPr="006D506C" w:rsidRDefault="007F0A9B" w:rsidP="00D64261">
      <w:pPr>
        <w:spacing w:after="0" w:line="360" w:lineRule="auto"/>
        <w:jc w:val="center"/>
        <w:rPr>
          <w:rFonts w:eastAsia="Calibri"/>
          <w:noProof/>
          <w:lang w:val="es-DO"/>
        </w:rPr>
      </w:pPr>
      <w:r w:rsidRPr="006D506C">
        <w:rPr>
          <w:rFonts w:eastAsia="Calibri"/>
          <w:b/>
          <w:bCs/>
          <w:noProof/>
          <w:lang w:val="es-DO"/>
        </w:rPr>
        <w:t>Tesorería Nacional</w:t>
      </w:r>
    </w:p>
    <w:p w14:paraId="711D9E4A" w14:textId="3812ECE5" w:rsidR="00285FD4" w:rsidRPr="006D506C" w:rsidRDefault="00285FD4" w:rsidP="00D64261">
      <w:pPr>
        <w:spacing w:after="0" w:line="360" w:lineRule="auto"/>
        <w:jc w:val="center"/>
        <w:rPr>
          <w:rFonts w:eastAsia="Calibri"/>
          <w:noProof/>
          <w:lang w:val="es-DO"/>
        </w:rPr>
      </w:pPr>
      <w:r w:rsidRPr="006D506C">
        <w:rPr>
          <w:rFonts w:eastAsia="Calibri"/>
          <w:noProof/>
          <w:lang w:val="es-DO"/>
        </w:rPr>
        <w:drawing>
          <wp:inline distT="0" distB="0" distL="0" distR="0" wp14:anchorId="2EF0671D" wp14:editId="4916D08D">
            <wp:extent cx="3776870" cy="3445454"/>
            <wp:effectExtent l="0" t="0" r="14605" b="3175"/>
            <wp:docPr id="639723654" name="Gráfico 1">
              <a:extLst xmlns:a="http://schemas.openxmlformats.org/drawingml/2006/main">
                <a:ext uri="{FF2B5EF4-FFF2-40B4-BE49-F238E27FC236}">
                  <a16:creationId xmlns:a16="http://schemas.microsoft.com/office/drawing/2014/main" id="{ACA66F05-A8C4-40DB-B38E-25B9281343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FD47939" w14:textId="77777777" w:rsidR="007F0A9B" w:rsidRPr="006D506C" w:rsidRDefault="007F0A9B" w:rsidP="00D64261">
      <w:pPr>
        <w:spacing w:after="0" w:line="360" w:lineRule="auto"/>
        <w:jc w:val="center"/>
        <w:rPr>
          <w:rFonts w:eastAsia="Calibri"/>
          <w:b/>
          <w:bCs/>
          <w:noProof/>
          <w:lang w:val="es-DO"/>
        </w:rPr>
      </w:pPr>
    </w:p>
    <w:p w14:paraId="61107576" w14:textId="29CD4B6C" w:rsidR="007F0A9B" w:rsidRPr="006D506C" w:rsidRDefault="007F0A9B" w:rsidP="00D64261">
      <w:pPr>
        <w:spacing w:after="0" w:line="360" w:lineRule="auto"/>
        <w:jc w:val="center"/>
        <w:rPr>
          <w:rFonts w:eastAsia="Calibri"/>
          <w:b/>
          <w:bCs/>
          <w:noProof/>
          <w:lang w:val="es-DO"/>
        </w:rPr>
      </w:pPr>
      <w:r w:rsidRPr="006D506C">
        <w:rPr>
          <w:rFonts w:eastAsia="Calibri"/>
          <w:b/>
          <w:bCs/>
          <w:noProof/>
          <w:lang w:val="es-DO"/>
        </w:rPr>
        <w:t>Gráfico No. 09</w:t>
      </w:r>
    </w:p>
    <w:p w14:paraId="184E7419" w14:textId="4F771911" w:rsidR="00285FD4" w:rsidRPr="006D506C" w:rsidRDefault="007F0A9B" w:rsidP="00D64261">
      <w:pPr>
        <w:spacing w:line="360" w:lineRule="auto"/>
        <w:jc w:val="center"/>
        <w:rPr>
          <w:rFonts w:eastAsia="Calibri"/>
          <w:noProof/>
          <w:lang w:val="es-DO"/>
        </w:rPr>
      </w:pPr>
      <w:r w:rsidRPr="006D506C">
        <w:rPr>
          <w:rFonts w:eastAsia="Calibri"/>
          <w:b/>
          <w:bCs/>
          <w:noProof/>
          <w:lang w:val="es-DO"/>
        </w:rPr>
        <w:t>Tesorería Nacional</w:t>
      </w:r>
    </w:p>
    <w:p w14:paraId="14C89643" w14:textId="77777777" w:rsidR="00285FD4" w:rsidRPr="006D506C" w:rsidRDefault="00285FD4" w:rsidP="00D64261">
      <w:pPr>
        <w:spacing w:line="360" w:lineRule="auto"/>
        <w:jc w:val="center"/>
        <w:rPr>
          <w:rFonts w:eastAsia="Calibri"/>
          <w:noProof/>
          <w:lang w:val="es-DO"/>
        </w:rPr>
      </w:pPr>
      <w:r w:rsidRPr="006D506C">
        <w:rPr>
          <w:rFonts w:eastAsia="Calibri"/>
          <w:noProof/>
          <w:lang w:val="es-DO"/>
        </w:rPr>
        <w:drawing>
          <wp:inline distT="0" distB="0" distL="0" distR="0" wp14:anchorId="2D9ADD29" wp14:editId="7828BC41">
            <wp:extent cx="4039263" cy="2795215"/>
            <wp:effectExtent l="0" t="0" r="18415" b="5715"/>
            <wp:docPr id="1503016190" name="Gráfico 1">
              <a:extLst xmlns:a="http://schemas.openxmlformats.org/drawingml/2006/main">
                <a:ext uri="{FF2B5EF4-FFF2-40B4-BE49-F238E27FC236}">
                  <a16:creationId xmlns:a16="http://schemas.microsoft.com/office/drawing/2014/main" id="{663F8A10-700F-40B1-A3A1-143CF31385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AA25A18" w14:textId="77777777" w:rsidR="007F0A9B" w:rsidRPr="006D506C" w:rsidRDefault="007F0A9B" w:rsidP="00D64261">
      <w:pPr>
        <w:spacing w:after="0" w:line="360" w:lineRule="auto"/>
        <w:jc w:val="center"/>
        <w:rPr>
          <w:rFonts w:eastAsia="Calibri"/>
          <w:b/>
          <w:bCs/>
          <w:noProof/>
          <w:lang w:val="es-DO"/>
        </w:rPr>
      </w:pPr>
    </w:p>
    <w:p w14:paraId="459F7349" w14:textId="168A4BBD" w:rsidR="007F0A9B" w:rsidRPr="006D506C" w:rsidRDefault="007F0A9B" w:rsidP="00D64261">
      <w:pPr>
        <w:spacing w:after="0" w:line="360" w:lineRule="auto"/>
        <w:jc w:val="center"/>
        <w:rPr>
          <w:rFonts w:eastAsia="Calibri"/>
          <w:b/>
          <w:bCs/>
          <w:noProof/>
          <w:lang w:val="es-DO"/>
        </w:rPr>
      </w:pPr>
      <w:r w:rsidRPr="006D506C">
        <w:rPr>
          <w:rFonts w:eastAsia="Calibri"/>
          <w:b/>
          <w:bCs/>
          <w:noProof/>
          <w:lang w:val="es-DO"/>
        </w:rPr>
        <w:lastRenderedPageBreak/>
        <w:t>Gráfico No. 10</w:t>
      </w:r>
    </w:p>
    <w:p w14:paraId="6E393E23" w14:textId="21672D8D" w:rsidR="00285FD4" w:rsidRPr="006D506C" w:rsidRDefault="007F0A9B" w:rsidP="00D64261">
      <w:pPr>
        <w:spacing w:line="360" w:lineRule="auto"/>
        <w:jc w:val="center"/>
        <w:rPr>
          <w:rFonts w:eastAsia="Calibri"/>
          <w:noProof/>
          <w:lang w:val="es-DO"/>
        </w:rPr>
      </w:pPr>
      <w:r w:rsidRPr="006D506C">
        <w:rPr>
          <w:rFonts w:eastAsia="Calibri"/>
          <w:b/>
          <w:bCs/>
          <w:noProof/>
          <w:lang w:val="es-DO"/>
        </w:rPr>
        <w:t>Tesorería Nacional</w:t>
      </w:r>
    </w:p>
    <w:p w14:paraId="2511AE97" w14:textId="77777777" w:rsidR="00285FD4" w:rsidRPr="006D506C" w:rsidRDefault="00285FD4" w:rsidP="00D64261">
      <w:pPr>
        <w:spacing w:line="360" w:lineRule="auto"/>
        <w:jc w:val="center"/>
        <w:rPr>
          <w:rFonts w:eastAsia="Calibri"/>
          <w:noProof/>
          <w:lang w:val="es-DO"/>
        </w:rPr>
      </w:pPr>
      <w:r w:rsidRPr="006D506C">
        <w:rPr>
          <w:rFonts w:eastAsia="Calibri"/>
          <w:noProof/>
          <w:lang w:val="es-DO"/>
        </w:rPr>
        <w:drawing>
          <wp:inline distT="0" distB="0" distL="0" distR="0" wp14:anchorId="47983F15" wp14:editId="36B8F02E">
            <wp:extent cx="3930742" cy="3059203"/>
            <wp:effectExtent l="0" t="0" r="12700" b="8255"/>
            <wp:docPr id="467727215" name="Gráfico 1">
              <a:extLst xmlns:a="http://schemas.openxmlformats.org/drawingml/2006/main">
                <a:ext uri="{FF2B5EF4-FFF2-40B4-BE49-F238E27FC236}">
                  <a16:creationId xmlns:a16="http://schemas.microsoft.com/office/drawing/2014/main" id="{08592832-5BD5-480D-A2F7-F5C3E330C5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E050236" w14:textId="2FFBEA6A" w:rsidR="007F0A9B" w:rsidRPr="006D506C" w:rsidRDefault="007F0A9B" w:rsidP="00D64261">
      <w:pPr>
        <w:spacing w:after="0" w:line="360" w:lineRule="auto"/>
        <w:jc w:val="center"/>
        <w:rPr>
          <w:rFonts w:eastAsia="Calibri"/>
          <w:b/>
          <w:bCs/>
          <w:noProof/>
          <w:lang w:val="es-DO"/>
        </w:rPr>
      </w:pPr>
      <w:r w:rsidRPr="006D506C">
        <w:rPr>
          <w:rFonts w:eastAsia="Calibri"/>
          <w:b/>
          <w:bCs/>
          <w:noProof/>
          <w:lang w:val="es-DO"/>
        </w:rPr>
        <w:t>Gráfico No. 11</w:t>
      </w:r>
    </w:p>
    <w:p w14:paraId="653DC6EB" w14:textId="3A7657E6" w:rsidR="007F0A9B" w:rsidRPr="006D506C" w:rsidRDefault="007F0A9B" w:rsidP="00D64261">
      <w:pPr>
        <w:spacing w:line="360" w:lineRule="auto"/>
        <w:jc w:val="center"/>
        <w:rPr>
          <w:rFonts w:eastAsia="Calibri"/>
          <w:noProof/>
          <w:lang w:val="es-DO"/>
        </w:rPr>
      </w:pPr>
      <w:r w:rsidRPr="006D506C">
        <w:rPr>
          <w:rFonts w:eastAsia="Calibri"/>
          <w:b/>
          <w:bCs/>
          <w:noProof/>
          <w:lang w:val="es-DO"/>
        </w:rPr>
        <w:t>Tesorería Nacional</w:t>
      </w:r>
    </w:p>
    <w:p w14:paraId="5A7FB9A8" w14:textId="65206474" w:rsidR="00285FD4" w:rsidRPr="006D506C" w:rsidRDefault="00285FD4" w:rsidP="00D64261">
      <w:pPr>
        <w:spacing w:line="360" w:lineRule="auto"/>
        <w:jc w:val="center"/>
        <w:rPr>
          <w:rFonts w:eastAsia="Calibri"/>
          <w:noProof/>
          <w:lang w:val="es-DO"/>
        </w:rPr>
      </w:pPr>
      <w:r w:rsidRPr="006D506C">
        <w:rPr>
          <w:rFonts w:eastAsia="Calibri"/>
          <w:noProof/>
          <w:lang w:val="es-DO"/>
        </w:rPr>
        <w:drawing>
          <wp:inline distT="0" distB="0" distL="0" distR="0" wp14:anchorId="6FE2EF99" wp14:editId="0BA7FE14">
            <wp:extent cx="3943847" cy="2983120"/>
            <wp:effectExtent l="0" t="0" r="0" b="8255"/>
            <wp:docPr id="613310731" name="Gráfico 1">
              <a:extLst xmlns:a="http://schemas.openxmlformats.org/drawingml/2006/main">
                <a:ext uri="{FF2B5EF4-FFF2-40B4-BE49-F238E27FC236}">
                  <a16:creationId xmlns:a16="http://schemas.microsoft.com/office/drawing/2014/main" id="{EFC2E4CF-5061-400A-8D7D-60194B7AA1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34ACE5E" w14:textId="77777777" w:rsidR="00285FD4" w:rsidRPr="006D506C" w:rsidRDefault="00285FD4" w:rsidP="00D64261">
      <w:pPr>
        <w:spacing w:line="360" w:lineRule="auto"/>
        <w:jc w:val="both"/>
        <w:rPr>
          <w:rFonts w:eastAsia="Calibri"/>
          <w:noProof/>
          <w:lang w:val="es-DO"/>
        </w:rPr>
      </w:pPr>
    </w:p>
    <w:p w14:paraId="77DBC097" w14:textId="77777777" w:rsidR="00285FD4" w:rsidRPr="006D506C" w:rsidRDefault="00285FD4" w:rsidP="004C2709">
      <w:pPr>
        <w:numPr>
          <w:ilvl w:val="0"/>
          <w:numId w:val="15"/>
        </w:numPr>
        <w:spacing w:line="360" w:lineRule="auto"/>
        <w:jc w:val="both"/>
        <w:rPr>
          <w:rFonts w:eastAsia="Calibri"/>
          <w:b/>
          <w:bCs/>
          <w:noProof/>
          <w:lang w:val="es-ES"/>
        </w:rPr>
      </w:pPr>
      <w:r w:rsidRPr="006D506C">
        <w:rPr>
          <w:rFonts w:eastAsia="Calibri"/>
          <w:noProof/>
          <w:lang w:val="es-ES"/>
        </w:rPr>
        <w:lastRenderedPageBreak/>
        <w:t>Gestión de Activos y Pasivos</w:t>
      </w:r>
      <w:r w:rsidRPr="006D506C">
        <w:rPr>
          <w:rFonts w:eastAsia="Calibri"/>
          <w:b/>
          <w:bCs/>
          <w:noProof/>
          <w:lang w:val="es-ES"/>
        </w:rPr>
        <w:t xml:space="preserve"> </w:t>
      </w:r>
    </w:p>
    <w:p w14:paraId="447855E5" w14:textId="77777777" w:rsidR="00285FD4" w:rsidRPr="006D506C" w:rsidRDefault="00285FD4" w:rsidP="00D64261">
      <w:pPr>
        <w:spacing w:line="360" w:lineRule="auto"/>
        <w:jc w:val="both"/>
        <w:rPr>
          <w:rFonts w:eastAsia="Calibri"/>
          <w:noProof/>
          <w:lang w:val="es-DO"/>
        </w:rPr>
      </w:pPr>
      <w:r w:rsidRPr="006D506C">
        <w:rPr>
          <w:rFonts w:eastAsia="Calibri"/>
          <w:noProof/>
          <w:lang w:val="es-MX"/>
        </w:rPr>
        <w:t xml:space="preserve">La Política de Gestión de Riesgos Financieros tiene como principal objetivo: </w:t>
      </w:r>
      <w:r w:rsidRPr="006D506C">
        <w:rPr>
          <w:rFonts w:eastAsia="Calibri"/>
          <w:i/>
          <w:iCs/>
          <w:noProof/>
          <w:lang w:val="es-MX"/>
        </w:rPr>
        <w:t xml:space="preserve">Establecer los lineamientos y directrices que permitan a la Tesorería Nacional, realizar una eficiente y eficaz gestión de los riesgos financieros asociados a las operaciones de obtención de financiamiento y colocaciones de corto plazo (Gestión de activos y pasivos financieros de corto plazo), dentro del modelo de gestión de caja activa. </w:t>
      </w:r>
      <w:r w:rsidRPr="006D506C">
        <w:rPr>
          <w:rFonts w:eastAsia="Calibri"/>
          <w:noProof/>
          <w:lang w:val="es-MX"/>
        </w:rPr>
        <w:t>Además, de algunos lineamientos de planificación para dichas operaciones.</w:t>
      </w:r>
    </w:p>
    <w:p w14:paraId="5784018A" w14:textId="567FA750" w:rsidR="00285FD4" w:rsidRPr="006D506C" w:rsidRDefault="00285FD4" w:rsidP="00D64261">
      <w:pPr>
        <w:spacing w:line="360" w:lineRule="auto"/>
        <w:jc w:val="both"/>
        <w:rPr>
          <w:rFonts w:eastAsia="Calibri"/>
          <w:noProof/>
          <w:lang w:val="es-DO"/>
        </w:rPr>
      </w:pPr>
      <w:r w:rsidRPr="006D506C">
        <w:rPr>
          <w:rFonts w:eastAsia="Calibri"/>
          <w:noProof/>
          <w:lang w:val="es-DO"/>
        </w:rPr>
        <w:t xml:space="preserve">La Tesorería Nacional realizó 3 (tres) Informes de Evaluación de la Política de Gestión de Riesgos Financieros, estos informes muestran resultados preliminares obtenidos, durante el período enero </w:t>
      </w:r>
      <w:r w:rsidR="00AB1A1D">
        <w:rPr>
          <w:rFonts w:eastAsia="Calibri"/>
          <w:noProof/>
          <w:lang w:val="es-DO"/>
        </w:rPr>
        <w:t>–</w:t>
      </w:r>
      <w:r w:rsidRPr="006D506C">
        <w:rPr>
          <w:rFonts w:eastAsia="Calibri"/>
          <w:noProof/>
          <w:lang w:val="es-DO"/>
        </w:rPr>
        <w:t xml:space="preserve"> </w:t>
      </w:r>
      <w:r w:rsidR="00AB1A1D">
        <w:rPr>
          <w:rFonts w:eastAsia="Calibri"/>
          <w:noProof/>
          <w:lang w:val="es-DO"/>
        </w:rPr>
        <w:t xml:space="preserve">diciembre </w:t>
      </w:r>
      <w:r w:rsidRPr="006D506C">
        <w:rPr>
          <w:rFonts w:eastAsia="Calibri"/>
          <w:noProof/>
          <w:lang w:val="es-DO"/>
        </w:rPr>
        <w:t xml:space="preserve"> 2025.</w:t>
      </w:r>
    </w:p>
    <w:p w14:paraId="7E3BF2AE" w14:textId="77777777" w:rsidR="00285FD4" w:rsidRPr="006D506C" w:rsidRDefault="00285FD4" w:rsidP="004C2709">
      <w:pPr>
        <w:numPr>
          <w:ilvl w:val="0"/>
          <w:numId w:val="15"/>
        </w:numPr>
        <w:spacing w:line="360" w:lineRule="auto"/>
        <w:jc w:val="both"/>
        <w:rPr>
          <w:rFonts w:eastAsia="Calibri"/>
          <w:noProof/>
          <w:lang w:val="es-ES"/>
        </w:rPr>
      </w:pPr>
      <w:r w:rsidRPr="006D506C">
        <w:rPr>
          <w:rFonts w:eastAsia="Calibri"/>
          <w:noProof/>
          <w:lang w:val="es-ES"/>
        </w:rPr>
        <w:t>Asignación y Evaluación de Cuotas de Pago</w:t>
      </w:r>
    </w:p>
    <w:p w14:paraId="5CD9FE76" w14:textId="2E896C3C" w:rsidR="00285FD4" w:rsidRPr="006D506C" w:rsidRDefault="00285FD4" w:rsidP="00D64261">
      <w:pPr>
        <w:spacing w:line="360" w:lineRule="auto"/>
        <w:jc w:val="both"/>
        <w:rPr>
          <w:rFonts w:eastAsia="Calibri"/>
          <w:noProof/>
          <w:lang w:val="es-DO"/>
        </w:rPr>
      </w:pPr>
      <w:r w:rsidRPr="006D506C">
        <w:rPr>
          <w:rFonts w:eastAsia="Calibri"/>
          <w:noProof/>
          <w:lang w:val="es-DO"/>
        </w:rPr>
        <w:t xml:space="preserve">La Tesorería Nacional de enero a </w:t>
      </w:r>
      <w:r w:rsidR="00AB1A1D">
        <w:rPr>
          <w:rFonts w:eastAsia="Calibri"/>
          <w:noProof/>
          <w:lang w:val="es-DO"/>
        </w:rPr>
        <w:t>diciembre</w:t>
      </w:r>
      <w:r w:rsidRPr="006D506C">
        <w:rPr>
          <w:rFonts w:eastAsia="Calibri"/>
          <w:noProof/>
          <w:lang w:val="es-DO"/>
        </w:rPr>
        <w:t xml:space="preserve"> del 2025 realizó 3,497 lotes de Gestión de Cuotas de Pago a diferentes grupos de subcuentas, en las distintas monedas que maneja la Tesorería Nacional, ascendente a un monto consolidado de </w:t>
      </w:r>
      <w:r w:rsidRPr="006D506C">
        <w:rPr>
          <w:rFonts w:eastAsia="Calibri"/>
          <w:b/>
          <w:bCs/>
          <w:noProof/>
          <w:lang w:val="es-DO"/>
        </w:rPr>
        <w:t xml:space="preserve">RD$1,215,144.74 </w:t>
      </w:r>
      <w:r w:rsidRPr="006D506C">
        <w:rPr>
          <w:rFonts w:eastAsia="Calibri"/>
          <w:noProof/>
          <w:lang w:val="es-DO"/>
        </w:rPr>
        <w:t>millones de pesos, la Cuota de Pago es el límite financiero que se le asigna a las Instituciones comprendidas en el ámbito de aplicación de la Cuenta Única del Tesoro, para que puedan ordenar pagos., detalladas según las siguientes informaciones:</w:t>
      </w:r>
    </w:p>
    <w:p w14:paraId="3203DB72" w14:textId="77777777" w:rsidR="00285FD4" w:rsidRPr="006D506C" w:rsidRDefault="00285FD4" w:rsidP="004C2709">
      <w:pPr>
        <w:numPr>
          <w:ilvl w:val="0"/>
          <w:numId w:val="9"/>
        </w:numPr>
        <w:spacing w:line="360" w:lineRule="auto"/>
        <w:jc w:val="both"/>
        <w:rPr>
          <w:rFonts w:eastAsia="Calibri"/>
          <w:noProof/>
          <w:lang w:val="es-DO"/>
        </w:rPr>
      </w:pPr>
      <w:r w:rsidRPr="006D506C">
        <w:rPr>
          <w:rFonts w:eastAsia="Calibri"/>
          <w:noProof/>
          <w:lang w:val="es-DO"/>
        </w:rPr>
        <w:t>Asignación en pesos dominicanos (RD$)</w:t>
      </w:r>
    </w:p>
    <w:p w14:paraId="59067170" w14:textId="77777777" w:rsidR="00285FD4" w:rsidRPr="006D506C" w:rsidRDefault="00285FD4" w:rsidP="004C2709">
      <w:pPr>
        <w:numPr>
          <w:ilvl w:val="1"/>
          <w:numId w:val="9"/>
        </w:numPr>
        <w:spacing w:line="360" w:lineRule="auto"/>
        <w:jc w:val="both"/>
        <w:rPr>
          <w:rFonts w:eastAsia="Calibri"/>
          <w:noProof/>
          <w:lang w:val="es-DO"/>
        </w:rPr>
      </w:pPr>
      <w:r w:rsidRPr="006D506C">
        <w:rPr>
          <w:rFonts w:eastAsia="Calibri"/>
          <w:noProof/>
          <w:lang w:val="es-DO"/>
        </w:rPr>
        <w:t>Se procesaron 2,634 lotes de Gestiones de Cuotas de Pago</w:t>
      </w:r>
    </w:p>
    <w:p w14:paraId="673ACB66" w14:textId="77777777" w:rsidR="00285FD4" w:rsidRPr="006D506C" w:rsidRDefault="00285FD4" w:rsidP="004C2709">
      <w:pPr>
        <w:numPr>
          <w:ilvl w:val="1"/>
          <w:numId w:val="9"/>
        </w:numPr>
        <w:spacing w:line="360" w:lineRule="auto"/>
        <w:jc w:val="both"/>
        <w:rPr>
          <w:rFonts w:eastAsia="Calibri"/>
          <w:noProof/>
          <w:lang w:val="es-DO"/>
        </w:rPr>
      </w:pPr>
      <w:r w:rsidRPr="006D506C">
        <w:rPr>
          <w:rFonts w:eastAsia="Calibri"/>
          <w:noProof/>
          <w:lang w:val="es-DO"/>
        </w:rPr>
        <w:t>Para un Total de RD$1,114,189.77 Millones</w:t>
      </w:r>
    </w:p>
    <w:p w14:paraId="5599EF9B" w14:textId="77777777" w:rsidR="00285FD4" w:rsidRPr="006D506C" w:rsidRDefault="00285FD4" w:rsidP="004C2709">
      <w:pPr>
        <w:numPr>
          <w:ilvl w:val="0"/>
          <w:numId w:val="9"/>
        </w:numPr>
        <w:spacing w:line="360" w:lineRule="auto"/>
        <w:jc w:val="both"/>
        <w:rPr>
          <w:rFonts w:eastAsia="Calibri"/>
          <w:noProof/>
          <w:lang w:val="es-DO"/>
        </w:rPr>
      </w:pPr>
      <w:r w:rsidRPr="006D506C">
        <w:rPr>
          <w:rFonts w:eastAsia="Calibri"/>
          <w:noProof/>
          <w:lang w:val="es-DO"/>
        </w:rPr>
        <w:t>Asignación en dólares estadounidenses (US$)</w:t>
      </w:r>
    </w:p>
    <w:p w14:paraId="0D89E833" w14:textId="77777777" w:rsidR="00285FD4" w:rsidRPr="006D506C" w:rsidRDefault="00285FD4" w:rsidP="004C2709">
      <w:pPr>
        <w:numPr>
          <w:ilvl w:val="1"/>
          <w:numId w:val="9"/>
        </w:numPr>
        <w:spacing w:line="360" w:lineRule="auto"/>
        <w:jc w:val="both"/>
        <w:rPr>
          <w:rFonts w:eastAsia="Calibri"/>
          <w:noProof/>
          <w:lang w:val="es-DO"/>
        </w:rPr>
      </w:pPr>
      <w:r w:rsidRPr="006D506C">
        <w:rPr>
          <w:rFonts w:eastAsia="Calibri"/>
          <w:noProof/>
          <w:lang w:val="es-DO"/>
        </w:rPr>
        <w:lastRenderedPageBreak/>
        <w:t>Se procesaron 656 lotes de Gestiones de Cuotas de Pago</w:t>
      </w:r>
    </w:p>
    <w:p w14:paraId="7E9DACAA" w14:textId="77777777" w:rsidR="00285FD4" w:rsidRPr="006D506C" w:rsidRDefault="00285FD4" w:rsidP="004C2709">
      <w:pPr>
        <w:numPr>
          <w:ilvl w:val="1"/>
          <w:numId w:val="9"/>
        </w:numPr>
        <w:spacing w:line="360" w:lineRule="auto"/>
        <w:jc w:val="both"/>
        <w:rPr>
          <w:rFonts w:eastAsia="Calibri"/>
          <w:noProof/>
          <w:lang w:val="es-DO"/>
        </w:rPr>
      </w:pPr>
      <w:r w:rsidRPr="006D506C">
        <w:rPr>
          <w:rFonts w:eastAsia="Calibri"/>
          <w:noProof/>
          <w:lang w:val="es-DO"/>
        </w:rPr>
        <w:t>Para un total de US$1,433.37 Millones</w:t>
      </w:r>
    </w:p>
    <w:p w14:paraId="01F5E22F" w14:textId="77777777" w:rsidR="00285FD4" w:rsidRPr="006D506C" w:rsidRDefault="00285FD4" w:rsidP="004C2709">
      <w:pPr>
        <w:numPr>
          <w:ilvl w:val="1"/>
          <w:numId w:val="9"/>
        </w:numPr>
        <w:spacing w:line="360" w:lineRule="auto"/>
        <w:jc w:val="both"/>
        <w:rPr>
          <w:rFonts w:eastAsia="Calibri"/>
          <w:noProof/>
          <w:lang w:val="es-DO"/>
        </w:rPr>
      </w:pPr>
      <w:r w:rsidRPr="006D506C">
        <w:rPr>
          <w:rFonts w:eastAsia="Calibri"/>
          <w:noProof/>
          <w:lang w:val="es-DO"/>
        </w:rPr>
        <w:t>Equivalentes a RD$87,865.41 Millones</w:t>
      </w:r>
    </w:p>
    <w:p w14:paraId="50F2D241" w14:textId="77777777" w:rsidR="00285FD4" w:rsidRPr="006D506C" w:rsidRDefault="00285FD4" w:rsidP="004C2709">
      <w:pPr>
        <w:numPr>
          <w:ilvl w:val="0"/>
          <w:numId w:val="9"/>
        </w:numPr>
        <w:spacing w:line="360" w:lineRule="auto"/>
        <w:jc w:val="both"/>
        <w:rPr>
          <w:rFonts w:eastAsia="Calibri"/>
          <w:noProof/>
          <w:lang w:val="es-DO"/>
        </w:rPr>
      </w:pPr>
      <w:r w:rsidRPr="006D506C">
        <w:rPr>
          <w:rFonts w:eastAsia="Calibri"/>
          <w:noProof/>
          <w:lang w:val="es-DO"/>
        </w:rPr>
        <w:t>Asignación en Euros (EUR$)</w:t>
      </w:r>
    </w:p>
    <w:p w14:paraId="0E78F5C3" w14:textId="77777777" w:rsidR="00285FD4" w:rsidRPr="006D506C" w:rsidRDefault="00285FD4" w:rsidP="004C2709">
      <w:pPr>
        <w:numPr>
          <w:ilvl w:val="1"/>
          <w:numId w:val="9"/>
        </w:numPr>
        <w:spacing w:line="360" w:lineRule="auto"/>
        <w:jc w:val="both"/>
        <w:rPr>
          <w:rFonts w:eastAsia="Calibri"/>
          <w:noProof/>
          <w:lang w:val="es-DO"/>
        </w:rPr>
      </w:pPr>
      <w:r w:rsidRPr="006D506C">
        <w:rPr>
          <w:rFonts w:eastAsia="Calibri"/>
          <w:noProof/>
          <w:lang w:val="es-DO"/>
        </w:rPr>
        <w:t>Se procesaron 202 lotes de Gestiones de Cuotas de Pago</w:t>
      </w:r>
    </w:p>
    <w:p w14:paraId="517904C4" w14:textId="77777777" w:rsidR="00285FD4" w:rsidRPr="006D506C" w:rsidRDefault="00285FD4" w:rsidP="004C2709">
      <w:pPr>
        <w:numPr>
          <w:ilvl w:val="1"/>
          <w:numId w:val="9"/>
        </w:numPr>
        <w:spacing w:line="360" w:lineRule="auto"/>
        <w:jc w:val="both"/>
        <w:rPr>
          <w:rFonts w:eastAsia="Calibri"/>
          <w:noProof/>
          <w:lang w:val="es-DO"/>
        </w:rPr>
      </w:pPr>
      <w:r w:rsidRPr="006D506C">
        <w:rPr>
          <w:rFonts w:eastAsia="Calibri"/>
          <w:noProof/>
          <w:lang w:val="es-DO"/>
        </w:rPr>
        <w:t>Para un total de EUR$47.05 Millones</w:t>
      </w:r>
    </w:p>
    <w:p w14:paraId="2AB8C59F" w14:textId="77777777" w:rsidR="00285FD4" w:rsidRPr="006D506C" w:rsidRDefault="00285FD4" w:rsidP="004C2709">
      <w:pPr>
        <w:numPr>
          <w:ilvl w:val="1"/>
          <w:numId w:val="9"/>
        </w:numPr>
        <w:spacing w:line="360" w:lineRule="auto"/>
        <w:jc w:val="both"/>
        <w:rPr>
          <w:rFonts w:eastAsia="Calibri"/>
          <w:noProof/>
          <w:lang w:val="es-DO"/>
        </w:rPr>
      </w:pPr>
      <w:r w:rsidRPr="006D506C">
        <w:rPr>
          <w:rFonts w:eastAsia="Calibri"/>
          <w:noProof/>
          <w:lang w:val="es-DO"/>
        </w:rPr>
        <w:t>Equivalente a RD$3,349.08 Millones.</w:t>
      </w:r>
    </w:p>
    <w:p w14:paraId="0D822641" w14:textId="77777777" w:rsidR="00285FD4" w:rsidRPr="006D506C" w:rsidRDefault="00285FD4" w:rsidP="004C2709">
      <w:pPr>
        <w:numPr>
          <w:ilvl w:val="0"/>
          <w:numId w:val="9"/>
        </w:numPr>
        <w:spacing w:line="360" w:lineRule="auto"/>
        <w:jc w:val="both"/>
        <w:rPr>
          <w:rFonts w:eastAsia="Calibri"/>
          <w:noProof/>
          <w:lang w:val="es-DO"/>
        </w:rPr>
      </w:pPr>
      <w:r w:rsidRPr="006D506C">
        <w:rPr>
          <w:rFonts w:eastAsia="Calibri"/>
          <w:noProof/>
          <w:lang w:val="es-DO"/>
        </w:rPr>
        <w:t>Asignación en Derechos Especiales de Giro (DEG$)</w:t>
      </w:r>
    </w:p>
    <w:p w14:paraId="550235A6" w14:textId="77777777" w:rsidR="00285FD4" w:rsidRPr="006D506C" w:rsidRDefault="00285FD4" w:rsidP="004C2709">
      <w:pPr>
        <w:numPr>
          <w:ilvl w:val="1"/>
          <w:numId w:val="9"/>
        </w:numPr>
        <w:spacing w:line="360" w:lineRule="auto"/>
        <w:jc w:val="both"/>
        <w:rPr>
          <w:rFonts w:eastAsia="Calibri"/>
          <w:noProof/>
          <w:lang w:val="es-DO"/>
        </w:rPr>
      </w:pPr>
      <w:r w:rsidRPr="006D506C">
        <w:rPr>
          <w:rFonts w:eastAsia="Calibri"/>
          <w:noProof/>
          <w:lang w:val="es-DO"/>
        </w:rPr>
        <w:t>Se procesaron 5 lotes de Gestiones de Cuotas de Pago</w:t>
      </w:r>
    </w:p>
    <w:p w14:paraId="50D0F752" w14:textId="77777777" w:rsidR="00285FD4" w:rsidRPr="006D506C" w:rsidRDefault="00285FD4" w:rsidP="004C2709">
      <w:pPr>
        <w:numPr>
          <w:ilvl w:val="1"/>
          <w:numId w:val="9"/>
        </w:numPr>
        <w:spacing w:line="360" w:lineRule="auto"/>
        <w:jc w:val="both"/>
        <w:rPr>
          <w:rFonts w:eastAsia="Calibri"/>
          <w:noProof/>
          <w:lang w:val="es-DO"/>
        </w:rPr>
      </w:pPr>
      <w:r w:rsidRPr="006D506C">
        <w:rPr>
          <w:rFonts w:eastAsia="Calibri"/>
          <w:noProof/>
          <w:lang w:val="es-DO"/>
        </w:rPr>
        <w:t>Para un total de DEG$121.59 Millones</w:t>
      </w:r>
    </w:p>
    <w:p w14:paraId="7BACF2B5" w14:textId="77777777" w:rsidR="00285FD4" w:rsidRPr="006D506C" w:rsidRDefault="00285FD4" w:rsidP="004C2709">
      <w:pPr>
        <w:numPr>
          <w:ilvl w:val="1"/>
          <w:numId w:val="9"/>
        </w:numPr>
        <w:spacing w:line="360" w:lineRule="auto"/>
        <w:jc w:val="both"/>
        <w:rPr>
          <w:rFonts w:eastAsia="Calibri"/>
          <w:b/>
          <w:bCs/>
          <w:noProof/>
          <w:lang w:val="es-ES"/>
        </w:rPr>
      </w:pPr>
      <w:r w:rsidRPr="006D506C">
        <w:rPr>
          <w:rFonts w:eastAsia="Calibri"/>
          <w:noProof/>
          <w:lang w:val="es-DO"/>
        </w:rPr>
        <w:t>Equivalentes a RD$9,740.48 Millones.</w:t>
      </w:r>
    </w:p>
    <w:p w14:paraId="34E7F580" w14:textId="77777777" w:rsidR="00285FD4" w:rsidRPr="006D506C" w:rsidRDefault="00285FD4" w:rsidP="00D64261">
      <w:pPr>
        <w:spacing w:line="360" w:lineRule="auto"/>
        <w:jc w:val="both"/>
        <w:rPr>
          <w:rFonts w:eastAsia="Calibri"/>
          <w:b/>
          <w:bCs/>
          <w:noProof/>
          <w:lang w:val="es-DO"/>
        </w:rPr>
      </w:pPr>
    </w:p>
    <w:p w14:paraId="41C21122" w14:textId="77777777" w:rsidR="00285FD4" w:rsidRPr="006D506C" w:rsidRDefault="00285FD4" w:rsidP="00D64261">
      <w:pPr>
        <w:spacing w:line="360" w:lineRule="auto"/>
        <w:jc w:val="both"/>
        <w:rPr>
          <w:rFonts w:eastAsia="Calibri"/>
          <w:noProof/>
          <w:lang w:val="es-DO"/>
        </w:rPr>
      </w:pPr>
      <w:r w:rsidRPr="006D506C">
        <w:rPr>
          <w:rFonts w:eastAsia="Calibri"/>
          <w:noProof/>
          <w:lang w:val="es-DO"/>
        </w:rPr>
        <w:t>La Tesorería Nacional participó en las reuniones trimestrales interinstitucionales para la asignación de las cuotas de compromiso en la Dirección General de Presupuesto (DIGEPRES).</w:t>
      </w:r>
    </w:p>
    <w:p w14:paraId="26D4A3F4" w14:textId="77777777" w:rsidR="00FD5077" w:rsidRPr="006D506C" w:rsidRDefault="00FD5077" w:rsidP="00D64261">
      <w:pPr>
        <w:spacing w:line="360" w:lineRule="auto"/>
        <w:rPr>
          <w:rFonts w:eastAsia="Calibri"/>
          <w:noProof/>
          <w:highlight w:val="yellow"/>
          <w:lang w:val="es-419"/>
        </w:rPr>
      </w:pPr>
    </w:p>
    <w:p w14:paraId="64BEBD88" w14:textId="26BA9F1E" w:rsidR="0001792D" w:rsidRPr="006D506C" w:rsidRDefault="00FD5077" w:rsidP="00D64261">
      <w:pPr>
        <w:spacing w:line="360" w:lineRule="auto"/>
        <w:rPr>
          <w:rFonts w:eastAsia="Calibri"/>
          <w:noProof/>
          <w:lang w:val="es-DO"/>
        </w:rPr>
      </w:pPr>
      <w:r w:rsidRPr="006D506C">
        <w:rPr>
          <w:rFonts w:eastAsia="Calibri"/>
          <w:noProof/>
          <w:lang w:val="es-DO"/>
        </w:rPr>
        <w:t>Cuentas</w:t>
      </w:r>
    </w:p>
    <w:p w14:paraId="69BB26B8" w14:textId="15C29444" w:rsidR="0001792D" w:rsidRPr="006D506C" w:rsidRDefault="0001792D" w:rsidP="00D64261">
      <w:pPr>
        <w:spacing w:line="360" w:lineRule="auto"/>
        <w:jc w:val="both"/>
        <w:rPr>
          <w:rFonts w:eastAsia="Calibri"/>
          <w:b/>
          <w:bCs/>
          <w:noProof/>
          <w:lang w:val="es-DO"/>
        </w:rPr>
      </w:pPr>
      <w:r w:rsidRPr="006D506C">
        <w:rPr>
          <w:rFonts w:eastAsia="Calibri"/>
          <w:b/>
          <w:bCs/>
          <w:noProof/>
          <w:lang w:val="es-DO"/>
        </w:rPr>
        <w:t>Actualización cuentas y Subcuentas.</w:t>
      </w:r>
    </w:p>
    <w:p w14:paraId="4BC95CB3" w14:textId="77777777" w:rsidR="0001792D" w:rsidRPr="006D506C" w:rsidRDefault="0001792D" w:rsidP="00D64261">
      <w:pPr>
        <w:spacing w:line="360" w:lineRule="auto"/>
        <w:jc w:val="both"/>
        <w:rPr>
          <w:rFonts w:eastAsia="Calibri"/>
          <w:noProof/>
          <w:lang w:val="es-DO"/>
        </w:rPr>
      </w:pPr>
      <w:r w:rsidRPr="006D506C">
        <w:rPr>
          <w:rFonts w:eastAsia="Calibri"/>
          <w:noProof/>
          <w:lang w:val="es-DO"/>
        </w:rPr>
        <w:t>El Sistema de Tesorería habilitó 50 cuentas bancarias, de las cuales 27 corresponden para Anticipos Financieros, 2 Colectoras y 21 de Financiamiento Externo.</w:t>
      </w:r>
    </w:p>
    <w:p w14:paraId="2B979DA4" w14:textId="46CAFC56" w:rsidR="0001792D" w:rsidRPr="006D506C" w:rsidRDefault="0001792D" w:rsidP="00D64261">
      <w:pPr>
        <w:spacing w:line="360" w:lineRule="auto"/>
        <w:jc w:val="both"/>
        <w:rPr>
          <w:rFonts w:eastAsia="Calibri"/>
          <w:noProof/>
          <w:lang w:val="es-DO"/>
        </w:rPr>
      </w:pPr>
      <w:r w:rsidRPr="006D506C">
        <w:rPr>
          <w:rFonts w:eastAsia="Calibri"/>
          <w:noProof/>
          <w:lang w:val="es-DO"/>
        </w:rPr>
        <w:t xml:space="preserve">En el periodo enero – diciembre 2025, cargó 2,261 archivos electrónicos al Sistema de Información de la Gestión Financiera (SIGEF). El Banco de Reservas proporcionó 1,758 archivos y el </w:t>
      </w:r>
      <w:r w:rsidRPr="006D506C">
        <w:rPr>
          <w:rFonts w:eastAsia="Calibri"/>
          <w:noProof/>
          <w:lang w:val="es-DO"/>
        </w:rPr>
        <w:lastRenderedPageBreak/>
        <w:t>Banco Central 503 archivos. Estos archivos contienen los movimientos operacionales de las 3,481 cuentas activas registradas en el Sistema de Tesorería, compuestas por 966 cuentas administradas y conciliadas directamente por la Tesorería Nacional, 125 cuentas administradas y conciliadas por las Unidades Ejecutoras de Proyectos Externos (UEPEX) y 2,390 de los gobiernos locales:</w:t>
      </w:r>
    </w:p>
    <w:tbl>
      <w:tblPr>
        <w:tblW w:w="7558" w:type="dxa"/>
        <w:jc w:val="center"/>
        <w:tblCellMar>
          <w:left w:w="70" w:type="dxa"/>
          <w:right w:w="70" w:type="dxa"/>
        </w:tblCellMar>
        <w:tblLook w:val="04A0" w:firstRow="1" w:lastRow="0" w:firstColumn="1" w:lastColumn="0" w:noHBand="0" w:noVBand="1"/>
      </w:tblPr>
      <w:tblGrid>
        <w:gridCol w:w="5348"/>
        <w:gridCol w:w="2210"/>
      </w:tblGrid>
      <w:tr w:rsidR="006D506C" w:rsidRPr="006D506C" w14:paraId="050C749F" w14:textId="77777777" w:rsidTr="006F7E31">
        <w:trPr>
          <w:trHeight w:val="275"/>
          <w:jc w:val="center"/>
        </w:trPr>
        <w:tc>
          <w:tcPr>
            <w:tcW w:w="7558" w:type="dxa"/>
            <w:gridSpan w:val="2"/>
            <w:tcBorders>
              <w:top w:val="nil"/>
              <w:left w:val="nil"/>
              <w:bottom w:val="nil"/>
              <w:right w:val="nil"/>
            </w:tcBorders>
            <w:noWrap/>
            <w:vAlign w:val="center"/>
            <w:hideMark/>
          </w:tcPr>
          <w:p w14:paraId="72875512" w14:textId="55D47855" w:rsidR="0001792D" w:rsidRPr="006D506C" w:rsidRDefault="0001792D" w:rsidP="00D64261">
            <w:pPr>
              <w:spacing w:after="0" w:line="360" w:lineRule="auto"/>
              <w:jc w:val="center"/>
              <w:rPr>
                <w:rFonts w:eastAsia="Calibri"/>
                <w:b/>
                <w:bCs/>
                <w:noProof/>
                <w:lang w:val="es-DO"/>
              </w:rPr>
            </w:pPr>
            <w:r w:rsidRPr="006D506C">
              <w:rPr>
                <w:rFonts w:eastAsia="Calibri"/>
                <w:b/>
                <w:bCs/>
                <w:noProof/>
                <w:lang w:val="es-DO"/>
              </w:rPr>
              <w:t xml:space="preserve">Cuadro No. </w:t>
            </w:r>
            <w:r w:rsidR="008D7279" w:rsidRPr="006D506C">
              <w:rPr>
                <w:rFonts w:eastAsia="Calibri"/>
                <w:b/>
                <w:bCs/>
                <w:noProof/>
                <w:lang w:val="es-DO"/>
              </w:rPr>
              <w:t>26</w:t>
            </w:r>
          </w:p>
          <w:p w14:paraId="4CD79218" w14:textId="77777777" w:rsidR="0001792D" w:rsidRPr="006D506C" w:rsidRDefault="0001792D" w:rsidP="00D64261">
            <w:pPr>
              <w:spacing w:after="0" w:line="360" w:lineRule="auto"/>
              <w:jc w:val="center"/>
              <w:rPr>
                <w:rFonts w:eastAsia="Calibri"/>
                <w:b/>
                <w:bCs/>
                <w:noProof/>
                <w:lang w:val="es-DO"/>
              </w:rPr>
            </w:pPr>
            <w:r w:rsidRPr="006D506C">
              <w:rPr>
                <w:rFonts w:eastAsia="Calibri"/>
                <w:b/>
                <w:bCs/>
                <w:noProof/>
                <w:lang w:val="es-DO"/>
              </w:rPr>
              <w:t>Tesorería Nacional</w:t>
            </w:r>
          </w:p>
        </w:tc>
      </w:tr>
      <w:tr w:rsidR="006D506C" w:rsidRPr="00B47076" w14:paraId="152113BE" w14:textId="77777777" w:rsidTr="006F7E31">
        <w:trPr>
          <w:trHeight w:val="275"/>
          <w:jc w:val="center"/>
        </w:trPr>
        <w:tc>
          <w:tcPr>
            <w:tcW w:w="7558" w:type="dxa"/>
            <w:gridSpan w:val="2"/>
            <w:tcBorders>
              <w:top w:val="nil"/>
              <w:left w:val="nil"/>
              <w:bottom w:val="nil"/>
              <w:right w:val="nil"/>
            </w:tcBorders>
            <w:noWrap/>
            <w:vAlign w:val="center"/>
            <w:hideMark/>
          </w:tcPr>
          <w:p w14:paraId="49E29954" w14:textId="77777777" w:rsidR="0001792D" w:rsidRPr="006D506C" w:rsidRDefault="0001792D" w:rsidP="00D64261">
            <w:pPr>
              <w:spacing w:after="0" w:line="360" w:lineRule="auto"/>
              <w:jc w:val="center"/>
              <w:rPr>
                <w:rFonts w:eastAsia="Calibri"/>
                <w:b/>
                <w:bCs/>
                <w:noProof/>
                <w:lang w:val="es-DO"/>
              </w:rPr>
            </w:pPr>
            <w:r w:rsidRPr="006D506C">
              <w:rPr>
                <w:rFonts w:eastAsia="Calibri"/>
                <w:b/>
                <w:bCs/>
                <w:noProof/>
                <w:lang w:val="es-DO"/>
              </w:rPr>
              <w:t>Cuentas Administradas en el Sistema de TN</w:t>
            </w:r>
          </w:p>
        </w:tc>
      </w:tr>
      <w:tr w:rsidR="006D506C" w:rsidRPr="006D506C" w14:paraId="486A5B55" w14:textId="77777777" w:rsidTr="006F7E31">
        <w:trPr>
          <w:trHeight w:val="275"/>
          <w:jc w:val="center"/>
        </w:trPr>
        <w:tc>
          <w:tcPr>
            <w:tcW w:w="7558" w:type="dxa"/>
            <w:gridSpan w:val="2"/>
            <w:tcBorders>
              <w:top w:val="nil"/>
              <w:left w:val="nil"/>
              <w:bottom w:val="nil"/>
              <w:right w:val="nil"/>
            </w:tcBorders>
            <w:noWrap/>
            <w:vAlign w:val="center"/>
            <w:hideMark/>
          </w:tcPr>
          <w:p w14:paraId="30FF2CE7" w14:textId="77777777" w:rsidR="0001792D" w:rsidRPr="006D506C" w:rsidRDefault="0001792D" w:rsidP="00D64261">
            <w:pPr>
              <w:spacing w:after="0" w:line="360" w:lineRule="auto"/>
              <w:jc w:val="center"/>
              <w:rPr>
                <w:rFonts w:eastAsia="Calibri"/>
                <w:b/>
                <w:bCs/>
                <w:noProof/>
                <w:lang w:val="es-DO"/>
              </w:rPr>
            </w:pPr>
            <w:r w:rsidRPr="006D506C">
              <w:rPr>
                <w:rFonts w:eastAsia="Calibri"/>
                <w:b/>
                <w:bCs/>
                <w:noProof/>
                <w:lang w:val="es-DO"/>
              </w:rPr>
              <w:t>Enero- diciembre 2025</w:t>
            </w:r>
          </w:p>
        </w:tc>
      </w:tr>
      <w:tr w:rsidR="0001792D" w:rsidRPr="0001792D" w14:paraId="3868EC4A" w14:textId="77777777" w:rsidTr="006F7E31">
        <w:trPr>
          <w:trHeight w:val="291"/>
          <w:jc w:val="center"/>
        </w:trPr>
        <w:tc>
          <w:tcPr>
            <w:tcW w:w="5348" w:type="dxa"/>
            <w:tcBorders>
              <w:top w:val="nil"/>
              <w:left w:val="single" w:sz="8" w:space="0" w:color="auto"/>
              <w:bottom w:val="single" w:sz="8" w:space="0" w:color="auto"/>
              <w:right w:val="single" w:sz="8" w:space="0" w:color="auto"/>
            </w:tcBorders>
            <w:shd w:val="clear" w:color="auto" w:fill="011C50"/>
            <w:noWrap/>
            <w:vAlign w:val="center"/>
            <w:hideMark/>
          </w:tcPr>
          <w:p w14:paraId="333E954F" w14:textId="77777777" w:rsidR="0001792D" w:rsidRPr="0001792D" w:rsidRDefault="0001792D" w:rsidP="00D64261">
            <w:pPr>
              <w:spacing w:line="360" w:lineRule="auto"/>
              <w:jc w:val="both"/>
              <w:rPr>
                <w:rFonts w:eastAsia="Calibri"/>
                <w:noProof/>
                <w:color w:val="FFFFFF" w:themeColor="background1"/>
              </w:rPr>
            </w:pPr>
            <w:r w:rsidRPr="0001792D">
              <w:rPr>
                <w:rFonts w:eastAsia="Calibri"/>
                <w:noProof/>
                <w:color w:val="FFFFFF" w:themeColor="background1"/>
              </w:rPr>
              <w:t>Tipo de Cuentas</w:t>
            </w:r>
          </w:p>
        </w:tc>
        <w:tc>
          <w:tcPr>
            <w:tcW w:w="2210" w:type="dxa"/>
            <w:tcBorders>
              <w:top w:val="nil"/>
              <w:left w:val="nil"/>
              <w:bottom w:val="single" w:sz="8" w:space="0" w:color="auto"/>
              <w:right w:val="single" w:sz="8" w:space="0" w:color="auto"/>
            </w:tcBorders>
            <w:shd w:val="clear" w:color="auto" w:fill="011C50"/>
            <w:vAlign w:val="center"/>
            <w:hideMark/>
          </w:tcPr>
          <w:p w14:paraId="02F2D1D8" w14:textId="77777777" w:rsidR="0001792D" w:rsidRPr="0001792D" w:rsidRDefault="0001792D" w:rsidP="00D64261">
            <w:pPr>
              <w:spacing w:line="360" w:lineRule="auto"/>
              <w:jc w:val="both"/>
              <w:rPr>
                <w:rFonts w:eastAsia="Calibri"/>
                <w:noProof/>
                <w:color w:val="FFFFFF" w:themeColor="background1"/>
              </w:rPr>
            </w:pPr>
            <w:r w:rsidRPr="0001792D">
              <w:rPr>
                <w:rFonts w:eastAsia="Calibri"/>
                <w:noProof/>
                <w:color w:val="FFFFFF" w:themeColor="background1"/>
              </w:rPr>
              <w:t>Cantidad de Cuentas</w:t>
            </w:r>
          </w:p>
        </w:tc>
      </w:tr>
      <w:tr w:rsidR="0001792D" w:rsidRPr="0001792D" w14:paraId="3F15BC23" w14:textId="77777777" w:rsidTr="006F7E31">
        <w:trPr>
          <w:trHeight w:val="437"/>
          <w:jc w:val="center"/>
        </w:trPr>
        <w:tc>
          <w:tcPr>
            <w:tcW w:w="5348" w:type="dxa"/>
            <w:tcBorders>
              <w:top w:val="nil"/>
              <w:left w:val="single" w:sz="8" w:space="0" w:color="auto"/>
              <w:bottom w:val="single" w:sz="8" w:space="0" w:color="auto"/>
              <w:right w:val="single" w:sz="8" w:space="0" w:color="auto"/>
            </w:tcBorders>
            <w:noWrap/>
            <w:vAlign w:val="center"/>
            <w:hideMark/>
          </w:tcPr>
          <w:p w14:paraId="2C3D9BCB" w14:textId="77777777" w:rsidR="0001792D" w:rsidRPr="006D506C" w:rsidRDefault="0001792D" w:rsidP="00D64261">
            <w:pPr>
              <w:spacing w:line="360" w:lineRule="auto"/>
              <w:jc w:val="both"/>
              <w:rPr>
                <w:rFonts w:eastAsia="Calibri"/>
                <w:noProof/>
              </w:rPr>
            </w:pPr>
            <w:r w:rsidRPr="006D506C">
              <w:rPr>
                <w:rFonts w:eastAsia="Calibri"/>
                <w:noProof/>
              </w:rPr>
              <w:t>Cuentas Únicas</w:t>
            </w:r>
          </w:p>
        </w:tc>
        <w:tc>
          <w:tcPr>
            <w:tcW w:w="2210" w:type="dxa"/>
            <w:tcBorders>
              <w:top w:val="nil"/>
              <w:left w:val="nil"/>
              <w:bottom w:val="single" w:sz="8" w:space="0" w:color="auto"/>
              <w:right w:val="single" w:sz="8" w:space="0" w:color="auto"/>
            </w:tcBorders>
            <w:noWrap/>
            <w:vAlign w:val="center"/>
          </w:tcPr>
          <w:p w14:paraId="528E7B1C" w14:textId="77777777" w:rsidR="0001792D" w:rsidRPr="006D506C" w:rsidRDefault="0001792D" w:rsidP="00D64261">
            <w:pPr>
              <w:spacing w:line="360" w:lineRule="auto"/>
              <w:jc w:val="both"/>
              <w:rPr>
                <w:rFonts w:eastAsia="Calibri"/>
                <w:noProof/>
              </w:rPr>
            </w:pPr>
            <w:r w:rsidRPr="006D506C">
              <w:rPr>
                <w:rFonts w:eastAsia="Calibri"/>
                <w:noProof/>
              </w:rPr>
              <w:t>8</w:t>
            </w:r>
          </w:p>
        </w:tc>
      </w:tr>
      <w:tr w:rsidR="0001792D" w:rsidRPr="0001792D" w14:paraId="04A5EDB4" w14:textId="77777777" w:rsidTr="006F7E31">
        <w:trPr>
          <w:trHeight w:val="291"/>
          <w:jc w:val="center"/>
        </w:trPr>
        <w:tc>
          <w:tcPr>
            <w:tcW w:w="5348" w:type="dxa"/>
            <w:tcBorders>
              <w:top w:val="nil"/>
              <w:left w:val="single" w:sz="8" w:space="0" w:color="auto"/>
              <w:bottom w:val="single" w:sz="8" w:space="0" w:color="auto"/>
              <w:right w:val="single" w:sz="8" w:space="0" w:color="auto"/>
            </w:tcBorders>
            <w:noWrap/>
            <w:vAlign w:val="center"/>
            <w:hideMark/>
          </w:tcPr>
          <w:p w14:paraId="3FDF51D2" w14:textId="77777777" w:rsidR="0001792D" w:rsidRPr="006D506C" w:rsidRDefault="0001792D" w:rsidP="00D64261">
            <w:pPr>
              <w:spacing w:line="360" w:lineRule="auto"/>
              <w:jc w:val="both"/>
              <w:rPr>
                <w:rFonts w:eastAsia="Calibri"/>
                <w:noProof/>
              </w:rPr>
            </w:pPr>
            <w:r w:rsidRPr="006D506C">
              <w:rPr>
                <w:rFonts w:eastAsia="Calibri"/>
                <w:noProof/>
              </w:rPr>
              <w:t>Cuentas Colectoras</w:t>
            </w:r>
          </w:p>
        </w:tc>
        <w:tc>
          <w:tcPr>
            <w:tcW w:w="2210" w:type="dxa"/>
            <w:tcBorders>
              <w:top w:val="nil"/>
              <w:left w:val="nil"/>
              <w:bottom w:val="single" w:sz="8" w:space="0" w:color="auto"/>
              <w:right w:val="single" w:sz="8" w:space="0" w:color="auto"/>
            </w:tcBorders>
            <w:noWrap/>
            <w:vAlign w:val="center"/>
          </w:tcPr>
          <w:p w14:paraId="7552CD96" w14:textId="77777777" w:rsidR="0001792D" w:rsidRPr="006D506C" w:rsidRDefault="0001792D" w:rsidP="00D64261">
            <w:pPr>
              <w:spacing w:line="360" w:lineRule="auto"/>
              <w:jc w:val="both"/>
              <w:rPr>
                <w:rFonts w:eastAsia="Calibri"/>
                <w:noProof/>
              </w:rPr>
            </w:pPr>
            <w:r w:rsidRPr="006D506C">
              <w:rPr>
                <w:rFonts w:eastAsia="Calibri"/>
                <w:noProof/>
              </w:rPr>
              <w:t>279</w:t>
            </w:r>
          </w:p>
        </w:tc>
      </w:tr>
      <w:tr w:rsidR="0001792D" w:rsidRPr="0001792D" w14:paraId="2DF167E6" w14:textId="77777777" w:rsidTr="006F7E31">
        <w:trPr>
          <w:trHeight w:val="291"/>
          <w:jc w:val="center"/>
        </w:trPr>
        <w:tc>
          <w:tcPr>
            <w:tcW w:w="5348" w:type="dxa"/>
            <w:tcBorders>
              <w:top w:val="nil"/>
              <w:left w:val="single" w:sz="8" w:space="0" w:color="auto"/>
              <w:bottom w:val="single" w:sz="8" w:space="0" w:color="auto"/>
              <w:right w:val="single" w:sz="8" w:space="0" w:color="auto"/>
            </w:tcBorders>
            <w:noWrap/>
            <w:vAlign w:val="center"/>
            <w:hideMark/>
          </w:tcPr>
          <w:p w14:paraId="6C9CCFC1" w14:textId="77777777" w:rsidR="0001792D" w:rsidRPr="006D506C" w:rsidRDefault="0001792D" w:rsidP="00D64261">
            <w:pPr>
              <w:spacing w:line="360" w:lineRule="auto"/>
              <w:jc w:val="both"/>
              <w:rPr>
                <w:rFonts w:eastAsia="Calibri"/>
                <w:noProof/>
              </w:rPr>
            </w:pPr>
            <w:r w:rsidRPr="006D506C">
              <w:rPr>
                <w:rFonts w:eastAsia="Calibri"/>
                <w:noProof/>
              </w:rPr>
              <w:t>Cuentas de Anticipos Financieros</w:t>
            </w:r>
          </w:p>
        </w:tc>
        <w:tc>
          <w:tcPr>
            <w:tcW w:w="2210" w:type="dxa"/>
            <w:tcBorders>
              <w:top w:val="nil"/>
              <w:left w:val="nil"/>
              <w:bottom w:val="single" w:sz="8" w:space="0" w:color="auto"/>
              <w:right w:val="single" w:sz="8" w:space="0" w:color="auto"/>
            </w:tcBorders>
            <w:noWrap/>
            <w:vAlign w:val="center"/>
          </w:tcPr>
          <w:p w14:paraId="56DB1640" w14:textId="77777777" w:rsidR="0001792D" w:rsidRPr="006D506C" w:rsidRDefault="0001792D" w:rsidP="00D64261">
            <w:pPr>
              <w:spacing w:line="360" w:lineRule="auto"/>
              <w:jc w:val="both"/>
              <w:rPr>
                <w:rFonts w:eastAsia="Calibri"/>
                <w:noProof/>
              </w:rPr>
            </w:pPr>
            <w:r w:rsidRPr="006D506C">
              <w:rPr>
                <w:rFonts w:eastAsia="Calibri"/>
                <w:noProof/>
              </w:rPr>
              <w:t>476</w:t>
            </w:r>
          </w:p>
        </w:tc>
      </w:tr>
      <w:tr w:rsidR="0001792D" w:rsidRPr="0001792D" w14:paraId="42054B95" w14:textId="77777777" w:rsidTr="006F7E31">
        <w:trPr>
          <w:trHeight w:val="291"/>
          <w:jc w:val="center"/>
        </w:trPr>
        <w:tc>
          <w:tcPr>
            <w:tcW w:w="5348" w:type="dxa"/>
            <w:tcBorders>
              <w:top w:val="nil"/>
              <w:left w:val="single" w:sz="8" w:space="0" w:color="auto"/>
              <w:bottom w:val="single" w:sz="8" w:space="0" w:color="auto"/>
              <w:right w:val="single" w:sz="8" w:space="0" w:color="auto"/>
            </w:tcBorders>
            <w:noWrap/>
            <w:vAlign w:val="center"/>
            <w:hideMark/>
          </w:tcPr>
          <w:p w14:paraId="212BA372" w14:textId="77777777" w:rsidR="0001792D" w:rsidRPr="006D506C" w:rsidRDefault="0001792D" w:rsidP="00D64261">
            <w:pPr>
              <w:spacing w:line="360" w:lineRule="auto"/>
              <w:jc w:val="both"/>
              <w:rPr>
                <w:rFonts w:eastAsia="Calibri"/>
                <w:noProof/>
                <w:lang w:val="es-DO"/>
              </w:rPr>
            </w:pPr>
            <w:r w:rsidRPr="006D506C">
              <w:rPr>
                <w:rFonts w:eastAsia="Calibri"/>
                <w:noProof/>
                <w:lang w:val="es-DO"/>
              </w:rPr>
              <w:t>Cuentas de Contrapartidas de Proyectos</w:t>
            </w:r>
          </w:p>
        </w:tc>
        <w:tc>
          <w:tcPr>
            <w:tcW w:w="2210" w:type="dxa"/>
            <w:tcBorders>
              <w:top w:val="nil"/>
              <w:left w:val="nil"/>
              <w:bottom w:val="single" w:sz="8" w:space="0" w:color="auto"/>
              <w:right w:val="single" w:sz="8" w:space="0" w:color="auto"/>
            </w:tcBorders>
            <w:noWrap/>
            <w:vAlign w:val="center"/>
          </w:tcPr>
          <w:p w14:paraId="222A0B6E" w14:textId="77777777" w:rsidR="0001792D" w:rsidRPr="006D506C" w:rsidRDefault="0001792D" w:rsidP="00D64261">
            <w:pPr>
              <w:spacing w:line="360" w:lineRule="auto"/>
              <w:jc w:val="both"/>
              <w:rPr>
                <w:rFonts w:eastAsia="Calibri"/>
                <w:noProof/>
              </w:rPr>
            </w:pPr>
            <w:r w:rsidRPr="006D506C">
              <w:rPr>
                <w:rFonts w:eastAsia="Calibri"/>
                <w:noProof/>
              </w:rPr>
              <w:t>5</w:t>
            </w:r>
          </w:p>
        </w:tc>
      </w:tr>
      <w:tr w:rsidR="0001792D" w:rsidRPr="0001792D" w14:paraId="35D482AA" w14:textId="77777777" w:rsidTr="006F7E31">
        <w:trPr>
          <w:trHeight w:val="291"/>
          <w:jc w:val="center"/>
        </w:trPr>
        <w:tc>
          <w:tcPr>
            <w:tcW w:w="5348" w:type="dxa"/>
            <w:tcBorders>
              <w:top w:val="nil"/>
              <w:left w:val="single" w:sz="8" w:space="0" w:color="auto"/>
              <w:bottom w:val="single" w:sz="8" w:space="0" w:color="auto"/>
              <w:right w:val="single" w:sz="8" w:space="0" w:color="auto"/>
            </w:tcBorders>
            <w:noWrap/>
            <w:vAlign w:val="center"/>
            <w:hideMark/>
          </w:tcPr>
          <w:p w14:paraId="60317E0D" w14:textId="77777777" w:rsidR="0001792D" w:rsidRPr="006D506C" w:rsidRDefault="0001792D" w:rsidP="00D64261">
            <w:pPr>
              <w:spacing w:line="360" w:lineRule="auto"/>
              <w:jc w:val="both"/>
              <w:rPr>
                <w:rFonts w:eastAsia="Calibri"/>
                <w:noProof/>
              </w:rPr>
            </w:pPr>
            <w:r w:rsidRPr="006D506C">
              <w:rPr>
                <w:rFonts w:eastAsia="Calibri"/>
                <w:noProof/>
              </w:rPr>
              <w:t>Cuentas de Financiamiento Externo</w:t>
            </w:r>
          </w:p>
        </w:tc>
        <w:tc>
          <w:tcPr>
            <w:tcW w:w="2210" w:type="dxa"/>
            <w:tcBorders>
              <w:top w:val="nil"/>
              <w:left w:val="nil"/>
              <w:bottom w:val="single" w:sz="8" w:space="0" w:color="auto"/>
              <w:right w:val="single" w:sz="8" w:space="0" w:color="auto"/>
            </w:tcBorders>
            <w:noWrap/>
            <w:vAlign w:val="center"/>
          </w:tcPr>
          <w:p w14:paraId="65BD9A47" w14:textId="77777777" w:rsidR="0001792D" w:rsidRPr="006D506C" w:rsidRDefault="0001792D" w:rsidP="00D64261">
            <w:pPr>
              <w:spacing w:line="360" w:lineRule="auto"/>
              <w:jc w:val="both"/>
              <w:rPr>
                <w:rFonts w:eastAsia="Calibri"/>
                <w:noProof/>
              </w:rPr>
            </w:pPr>
            <w:r w:rsidRPr="006D506C">
              <w:rPr>
                <w:rFonts w:eastAsia="Calibri"/>
                <w:noProof/>
              </w:rPr>
              <w:t>18</w:t>
            </w:r>
          </w:p>
        </w:tc>
      </w:tr>
      <w:tr w:rsidR="0001792D" w:rsidRPr="0001792D" w14:paraId="3AC78D44" w14:textId="77777777" w:rsidTr="006F7E31">
        <w:trPr>
          <w:trHeight w:val="291"/>
          <w:jc w:val="center"/>
        </w:trPr>
        <w:tc>
          <w:tcPr>
            <w:tcW w:w="5348" w:type="dxa"/>
            <w:tcBorders>
              <w:top w:val="nil"/>
              <w:left w:val="single" w:sz="8" w:space="0" w:color="auto"/>
              <w:bottom w:val="single" w:sz="8" w:space="0" w:color="auto"/>
              <w:right w:val="single" w:sz="8" w:space="0" w:color="auto"/>
            </w:tcBorders>
            <w:noWrap/>
            <w:vAlign w:val="center"/>
            <w:hideMark/>
          </w:tcPr>
          <w:p w14:paraId="34A58AAD" w14:textId="77777777" w:rsidR="0001792D" w:rsidRPr="006D506C" w:rsidRDefault="0001792D" w:rsidP="00D64261">
            <w:pPr>
              <w:spacing w:line="360" w:lineRule="auto"/>
              <w:jc w:val="both"/>
              <w:rPr>
                <w:rFonts w:eastAsia="Calibri"/>
                <w:noProof/>
              </w:rPr>
            </w:pPr>
            <w:r w:rsidRPr="006D506C">
              <w:rPr>
                <w:rFonts w:eastAsia="Calibri"/>
                <w:noProof/>
              </w:rPr>
              <w:t>Cuentas Operativas</w:t>
            </w:r>
          </w:p>
        </w:tc>
        <w:tc>
          <w:tcPr>
            <w:tcW w:w="2210" w:type="dxa"/>
            <w:tcBorders>
              <w:top w:val="nil"/>
              <w:left w:val="nil"/>
              <w:bottom w:val="single" w:sz="8" w:space="0" w:color="auto"/>
              <w:right w:val="single" w:sz="8" w:space="0" w:color="auto"/>
            </w:tcBorders>
            <w:noWrap/>
            <w:vAlign w:val="center"/>
          </w:tcPr>
          <w:p w14:paraId="4DC5DD4C" w14:textId="77777777" w:rsidR="0001792D" w:rsidRPr="006D506C" w:rsidRDefault="0001792D" w:rsidP="00D64261">
            <w:pPr>
              <w:spacing w:line="360" w:lineRule="auto"/>
              <w:jc w:val="both"/>
              <w:rPr>
                <w:rFonts w:eastAsia="Calibri"/>
                <w:noProof/>
              </w:rPr>
            </w:pPr>
            <w:r w:rsidRPr="006D506C">
              <w:rPr>
                <w:rFonts w:eastAsia="Calibri"/>
                <w:noProof/>
              </w:rPr>
              <w:t>157</w:t>
            </w:r>
          </w:p>
        </w:tc>
      </w:tr>
      <w:tr w:rsidR="0001792D" w:rsidRPr="0001792D" w14:paraId="3E06364C" w14:textId="77777777" w:rsidTr="006F7E31">
        <w:trPr>
          <w:trHeight w:val="291"/>
          <w:jc w:val="center"/>
        </w:trPr>
        <w:tc>
          <w:tcPr>
            <w:tcW w:w="5348" w:type="dxa"/>
            <w:tcBorders>
              <w:top w:val="nil"/>
              <w:left w:val="single" w:sz="8" w:space="0" w:color="auto"/>
              <w:bottom w:val="single" w:sz="8" w:space="0" w:color="auto"/>
              <w:right w:val="single" w:sz="8" w:space="0" w:color="auto"/>
            </w:tcBorders>
            <w:noWrap/>
            <w:vAlign w:val="center"/>
            <w:hideMark/>
          </w:tcPr>
          <w:p w14:paraId="14834FAF" w14:textId="77777777" w:rsidR="0001792D" w:rsidRPr="006D506C" w:rsidRDefault="0001792D" w:rsidP="00D64261">
            <w:pPr>
              <w:spacing w:line="360" w:lineRule="auto"/>
              <w:jc w:val="both"/>
              <w:rPr>
                <w:rFonts w:eastAsia="Calibri"/>
                <w:noProof/>
              </w:rPr>
            </w:pPr>
            <w:r w:rsidRPr="006D506C">
              <w:rPr>
                <w:rFonts w:eastAsia="Calibri"/>
                <w:noProof/>
              </w:rPr>
              <w:t>Cuentas Especiales</w:t>
            </w:r>
          </w:p>
        </w:tc>
        <w:tc>
          <w:tcPr>
            <w:tcW w:w="2210" w:type="dxa"/>
            <w:tcBorders>
              <w:top w:val="nil"/>
              <w:left w:val="nil"/>
              <w:bottom w:val="single" w:sz="8" w:space="0" w:color="auto"/>
              <w:right w:val="single" w:sz="8" w:space="0" w:color="auto"/>
            </w:tcBorders>
            <w:noWrap/>
            <w:vAlign w:val="center"/>
          </w:tcPr>
          <w:p w14:paraId="0C94A838" w14:textId="77777777" w:rsidR="0001792D" w:rsidRPr="006D506C" w:rsidRDefault="0001792D" w:rsidP="00D64261">
            <w:pPr>
              <w:spacing w:line="360" w:lineRule="auto"/>
              <w:jc w:val="both"/>
              <w:rPr>
                <w:rFonts w:eastAsia="Calibri"/>
                <w:noProof/>
              </w:rPr>
            </w:pPr>
            <w:r w:rsidRPr="006D506C">
              <w:rPr>
                <w:rFonts w:eastAsia="Calibri"/>
                <w:noProof/>
              </w:rPr>
              <w:t>23</w:t>
            </w:r>
          </w:p>
        </w:tc>
      </w:tr>
      <w:tr w:rsidR="0001792D" w:rsidRPr="0001792D" w14:paraId="44ABE788" w14:textId="77777777" w:rsidTr="006F7E31">
        <w:trPr>
          <w:trHeight w:val="291"/>
          <w:jc w:val="center"/>
        </w:trPr>
        <w:tc>
          <w:tcPr>
            <w:tcW w:w="5348" w:type="dxa"/>
            <w:tcBorders>
              <w:top w:val="nil"/>
              <w:left w:val="single" w:sz="8" w:space="0" w:color="auto"/>
              <w:bottom w:val="single" w:sz="8" w:space="0" w:color="auto"/>
              <w:right w:val="single" w:sz="8" w:space="0" w:color="auto"/>
            </w:tcBorders>
            <w:noWrap/>
            <w:vAlign w:val="center"/>
            <w:hideMark/>
          </w:tcPr>
          <w:p w14:paraId="0F5DE62B" w14:textId="77777777" w:rsidR="0001792D" w:rsidRPr="006D506C" w:rsidRDefault="0001792D" w:rsidP="00D64261">
            <w:pPr>
              <w:spacing w:line="360" w:lineRule="auto"/>
              <w:jc w:val="both"/>
              <w:rPr>
                <w:rFonts w:eastAsia="Calibri"/>
                <w:noProof/>
              </w:rPr>
            </w:pPr>
            <w:r w:rsidRPr="006D506C">
              <w:rPr>
                <w:rFonts w:eastAsia="Calibri"/>
                <w:noProof/>
              </w:rPr>
              <w:t>Cuenta Desembolso</w:t>
            </w:r>
          </w:p>
        </w:tc>
        <w:tc>
          <w:tcPr>
            <w:tcW w:w="2210" w:type="dxa"/>
            <w:tcBorders>
              <w:top w:val="nil"/>
              <w:left w:val="nil"/>
              <w:bottom w:val="single" w:sz="8" w:space="0" w:color="auto"/>
              <w:right w:val="single" w:sz="8" w:space="0" w:color="auto"/>
            </w:tcBorders>
            <w:noWrap/>
            <w:vAlign w:val="center"/>
          </w:tcPr>
          <w:p w14:paraId="2053A9F5" w14:textId="77777777" w:rsidR="0001792D" w:rsidRPr="006D506C" w:rsidRDefault="0001792D" w:rsidP="00D64261">
            <w:pPr>
              <w:spacing w:line="360" w:lineRule="auto"/>
              <w:jc w:val="both"/>
              <w:rPr>
                <w:rFonts w:eastAsia="Calibri"/>
                <w:noProof/>
              </w:rPr>
            </w:pPr>
            <w:r w:rsidRPr="006D506C">
              <w:rPr>
                <w:rFonts w:eastAsia="Calibri"/>
                <w:noProof/>
              </w:rPr>
              <w:t>0</w:t>
            </w:r>
          </w:p>
        </w:tc>
      </w:tr>
      <w:tr w:rsidR="0001792D" w:rsidRPr="0001792D" w14:paraId="50B1F217" w14:textId="77777777" w:rsidTr="006F7E31">
        <w:trPr>
          <w:trHeight w:val="291"/>
          <w:jc w:val="center"/>
        </w:trPr>
        <w:tc>
          <w:tcPr>
            <w:tcW w:w="5348" w:type="dxa"/>
            <w:tcBorders>
              <w:top w:val="nil"/>
              <w:left w:val="single" w:sz="8" w:space="0" w:color="auto"/>
              <w:bottom w:val="single" w:sz="8" w:space="0" w:color="auto"/>
              <w:right w:val="single" w:sz="8" w:space="0" w:color="auto"/>
            </w:tcBorders>
            <w:noWrap/>
            <w:vAlign w:val="center"/>
            <w:hideMark/>
          </w:tcPr>
          <w:p w14:paraId="11DE29D8" w14:textId="77777777" w:rsidR="0001792D" w:rsidRPr="006D506C" w:rsidRDefault="0001792D" w:rsidP="00D64261">
            <w:pPr>
              <w:spacing w:line="360" w:lineRule="auto"/>
              <w:jc w:val="both"/>
              <w:rPr>
                <w:rFonts w:eastAsia="Calibri"/>
                <w:noProof/>
              </w:rPr>
            </w:pPr>
            <w:r w:rsidRPr="006D506C">
              <w:rPr>
                <w:rFonts w:eastAsia="Calibri"/>
                <w:noProof/>
              </w:rPr>
              <w:t>Cuentas del Subsistema UEPEX</w:t>
            </w:r>
          </w:p>
        </w:tc>
        <w:tc>
          <w:tcPr>
            <w:tcW w:w="2210" w:type="dxa"/>
            <w:tcBorders>
              <w:top w:val="nil"/>
              <w:left w:val="nil"/>
              <w:bottom w:val="single" w:sz="8" w:space="0" w:color="auto"/>
              <w:right w:val="single" w:sz="8" w:space="0" w:color="auto"/>
            </w:tcBorders>
            <w:noWrap/>
            <w:vAlign w:val="center"/>
          </w:tcPr>
          <w:p w14:paraId="12F80A5B" w14:textId="77777777" w:rsidR="0001792D" w:rsidRPr="006D506C" w:rsidRDefault="0001792D" w:rsidP="00D64261">
            <w:pPr>
              <w:spacing w:line="360" w:lineRule="auto"/>
              <w:jc w:val="both"/>
              <w:rPr>
                <w:rFonts w:eastAsia="Calibri"/>
                <w:noProof/>
              </w:rPr>
            </w:pPr>
            <w:r w:rsidRPr="006D506C">
              <w:rPr>
                <w:rFonts w:eastAsia="Calibri"/>
                <w:noProof/>
              </w:rPr>
              <w:t>125</w:t>
            </w:r>
          </w:p>
        </w:tc>
      </w:tr>
      <w:tr w:rsidR="0001792D" w:rsidRPr="0001792D" w14:paraId="1D1A2CD7" w14:textId="77777777" w:rsidTr="006F7E31">
        <w:trPr>
          <w:trHeight w:val="291"/>
          <w:jc w:val="center"/>
        </w:trPr>
        <w:tc>
          <w:tcPr>
            <w:tcW w:w="5348" w:type="dxa"/>
            <w:tcBorders>
              <w:top w:val="nil"/>
              <w:left w:val="single" w:sz="8" w:space="0" w:color="auto"/>
              <w:bottom w:val="single" w:sz="8" w:space="0" w:color="auto"/>
              <w:right w:val="single" w:sz="8" w:space="0" w:color="auto"/>
            </w:tcBorders>
            <w:noWrap/>
            <w:vAlign w:val="center"/>
          </w:tcPr>
          <w:p w14:paraId="55A13C90" w14:textId="77777777" w:rsidR="0001792D" w:rsidRPr="006D506C" w:rsidRDefault="0001792D" w:rsidP="00D64261">
            <w:pPr>
              <w:spacing w:line="360" w:lineRule="auto"/>
              <w:jc w:val="both"/>
              <w:rPr>
                <w:rFonts w:eastAsia="Calibri"/>
                <w:noProof/>
              </w:rPr>
            </w:pPr>
            <w:r w:rsidRPr="006D506C">
              <w:rPr>
                <w:rFonts w:eastAsia="Calibri"/>
                <w:noProof/>
              </w:rPr>
              <w:t>Gobiernos Locales</w:t>
            </w:r>
          </w:p>
        </w:tc>
        <w:tc>
          <w:tcPr>
            <w:tcW w:w="2210" w:type="dxa"/>
            <w:tcBorders>
              <w:top w:val="nil"/>
              <w:left w:val="nil"/>
              <w:bottom w:val="single" w:sz="8" w:space="0" w:color="auto"/>
              <w:right w:val="single" w:sz="8" w:space="0" w:color="auto"/>
            </w:tcBorders>
            <w:noWrap/>
            <w:vAlign w:val="center"/>
          </w:tcPr>
          <w:p w14:paraId="259D42D8" w14:textId="77777777" w:rsidR="0001792D" w:rsidRPr="006D506C" w:rsidRDefault="0001792D" w:rsidP="00D64261">
            <w:pPr>
              <w:spacing w:line="360" w:lineRule="auto"/>
              <w:jc w:val="both"/>
              <w:rPr>
                <w:rFonts w:eastAsia="Calibri"/>
                <w:noProof/>
              </w:rPr>
            </w:pPr>
            <w:r w:rsidRPr="006D506C">
              <w:rPr>
                <w:rFonts w:eastAsia="Calibri"/>
                <w:noProof/>
              </w:rPr>
              <w:t>2,390</w:t>
            </w:r>
          </w:p>
        </w:tc>
      </w:tr>
      <w:tr w:rsidR="0001792D" w:rsidRPr="0001792D" w14:paraId="19581058" w14:textId="77777777" w:rsidTr="006F7E31">
        <w:trPr>
          <w:trHeight w:val="308"/>
          <w:jc w:val="center"/>
        </w:trPr>
        <w:tc>
          <w:tcPr>
            <w:tcW w:w="5348" w:type="dxa"/>
            <w:tcBorders>
              <w:top w:val="nil"/>
              <w:left w:val="single" w:sz="8" w:space="0" w:color="auto"/>
              <w:bottom w:val="single" w:sz="8" w:space="0" w:color="auto"/>
              <w:right w:val="single" w:sz="8" w:space="0" w:color="auto"/>
            </w:tcBorders>
            <w:shd w:val="clear" w:color="auto" w:fill="011C50"/>
            <w:noWrap/>
            <w:vAlign w:val="center"/>
            <w:hideMark/>
          </w:tcPr>
          <w:p w14:paraId="1036FBD1" w14:textId="77777777" w:rsidR="0001792D" w:rsidRPr="0001792D" w:rsidRDefault="0001792D" w:rsidP="00D64261">
            <w:pPr>
              <w:spacing w:line="360" w:lineRule="auto"/>
              <w:jc w:val="both"/>
              <w:rPr>
                <w:rFonts w:eastAsia="Calibri"/>
                <w:noProof/>
                <w:color w:val="FFFFFF" w:themeColor="background1"/>
                <w:lang w:val="es-DO"/>
              </w:rPr>
            </w:pPr>
            <w:r w:rsidRPr="0001792D">
              <w:rPr>
                <w:rFonts w:eastAsia="Calibri"/>
                <w:noProof/>
                <w:color w:val="FFFFFF" w:themeColor="background1"/>
                <w:lang w:val="es-DO"/>
              </w:rPr>
              <w:t>Total, Cuentas Administradas por la TN</w:t>
            </w:r>
          </w:p>
        </w:tc>
        <w:tc>
          <w:tcPr>
            <w:tcW w:w="2210" w:type="dxa"/>
            <w:tcBorders>
              <w:top w:val="nil"/>
              <w:left w:val="nil"/>
              <w:bottom w:val="single" w:sz="8" w:space="0" w:color="auto"/>
              <w:right w:val="single" w:sz="8" w:space="0" w:color="auto"/>
            </w:tcBorders>
            <w:shd w:val="clear" w:color="auto" w:fill="011C50"/>
            <w:noWrap/>
            <w:vAlign w:val="center"/>
          </w:tcPr>
          <w:p w14:paraId="28672DE2" w14:textId="77777777" w:rsidR="0001792D" w:rsidRPr="0001792D" w:rsidRDefault="0001792D" w:rsidP="00D64261">
            <w:pPr>
              <w:spacing w:line="360" w:lineRule="auto"/>
              <w:jc w:val="both"/>
              <w:rPr>
                <w:rFonts w:eastAsia="Calibri"/>
                <w:noProof/>
                <w:color w:val="FFFFFF" w:themeColor="background1"/>
              </w:rPr>
            </w:pPr>
            <w:r w:rsidRPr="0001792D">
              <w:rPr>
                <w:rFonts w:eastAsia="Calibri"/>
                <w:noProof/>
                <w:color w:val="FFFFFF" w:themeColor="background1"/>
              </w:rPr>
              <w:t>3,481</w:t>
            </w:r>
          </w:p>
        </w:tc>
      </w:tr>
      <w:tr w:rsidR="0001792D" w:rsidRPr="00B47076" w14:paraId="271777F9" w14:textId="77777777" w:rsidTr="006F7E31">
        <w:trPr>
          <w:trHeight w:val="324"/>
          <w:jc w:val="center"/>
        </w:trPr>
        <w:tc>
          <w:tcPr>
            <w:tcW w:w="7558" w:type="dxa"/>
            <w:gridSpan w:val="2"/>
            <w:tcBorders>
              <w:top w:val="nil"/>
              <w:left w:val="nil"/>
              <w:bottom w:val="nil"/>
              <w:right w:val="nil"/>
            </w:tcBorders>
            <w:vAlign w:val="center"/>
            <w:hideMark/>
          </w:tcPr>
          <w:p w14:paraId="6277C041" w14:textId="77777777" w:rsidR="0001792D" w:rsidRPr="006D506C" w:rsidRDefault="0001792D" w:rsidP="00D64261">
            <w:pPr>
              <w:spacing w:line="360" w:lineRule="auto"/>
              <w:jc w:val="both"/>
              <w:rPr>
                <w:rFonts w:eastAsia="Calibri"/>
                <w:b/>
                <w:bCs/>
                <w:noProof/>
                <w:sz w:val="18"/>
                <w:szCs w:val="18"/>
                <w:lang w:val="es-DO"/>
              </w:rPr>
            </w:pPr>
            <w:r w:rsidRPr="006D506C">
              <w:rPr>
                <w:rFonts w:eastAsia="Calibri"/>
                <w:b/>
                <w:bCs/>
                <w:noProof/>
                <w:sz w:val="18"/>
                <w:szCs w:val="18"/>
                <w:lang w:val="es-DO"/>
              </w:rPr>
              <w:t>Fuente: Sistema Integrado Gestión Financiera SIGEF)</w:t>
            </w:r>
          </w:p>
        </w:tc>
      </w:tr>
    </w:tbl>
    <w:p w14:paraId="39A45F80" w14:textId="77777777" w:rsidR="0001792D" w:rsidRPr="0001792D" w:rsidRDefault="0001792D" w:rsidP="00D64261">
      <w:pPr>
        <w:spacing w:line="360" w:lineRule="auto"/>
        <w:jc w:val="both"/>
        <w:rPr>
          <w:rFonts w:eastAsia="Calibri"/>
          <w:b/>
          <w:bCs/>
          <w:noProof/>
          <w:color w:val="4C4747"/>
          <w:lang w:val="es-DO"/>
        </w:rPr>
      </w:pPr>
    </w:p>
    <w:p w14:paraId="71F088DD" w14:textId="77777777" w:rsidR="0001792D" w:rsidRPr="006D506C" w:rsidRDefault="0001792D" w:rsidP="00D64261">
      <w:pPr>
        <w:spacing w:line="360" w:lineRule="auto"/>
        <w:jc w:val="both"/>
        <w:rPr>
          <w:rFonts w:eastAsia="Calibri"/>
          <w:b/>
          <w:bCs/>
          <w:noProof/>
          <w:lang w:val="es-DO"/>
        </w:rPr>
      </w:pPr>
      <w:r w:rsidRPr="006D506C">
        <w:rPr>
          <w:rFonts w:eastAsia="Calibri"/>
          <w:b/>
          <w:bCs/>
          <w:noProof/>
          <w:lang w:val="es-DO"/>
        </w:rPr>
        <w:lastRenderedPageBreak/>
        <w:t>Subcuentas habilitadas</w:t>
      </w:r>
    </w:p>
    <w:p w14:paraId="33BF7E8C" w14:textId="77777777" w:rsidR="0001792D" w:rsidRPr="006D506C" w:rsidRDefault="0001792D" w:rsidP="00D64261">
      <w:pPr>
        <w:spacing w:line="360" w:lineRule="auto"/>
        <w:jc w:val="both"/>
        <w:rPr>
          <w:rFonts w:eastAsia="Calibri"/>
          <w:noProof/>
          <w:lang w:val="es-DO"/>
        </w:rPr>
      </w:pPr>
      <w:bookmarkStart w:id="22" w:name="_Hlk183181642"/>
      <w:r w:rsidRPr="006D506C">
        <w:rPr>
          <w:rFonts w:eastAsia="Calibri"/>
          <w:noProof/>
          <w:lang w:val="es-DO"/>
        </w:rPr>
        <w:t>El Sistema de Cuenta Única del Tesoro habilitó 331 nuevas subcuentas, durante el período del 01 de enero a diciembre 2025. Se destacan 214 subcuentas para la ejecución de nuevos Proyectos incorporados a la Cuenta Única del Tesoro (CUT) y 117 para la gestión de recursos de instituciones, correspondientes a 55 de Instituciones Descentralizadas y Autónomas No Financieras, 50 de Empresas Públicas No Financieras y 12 del Gobierno Central.</w:t>
      </w:r>
      <w:bookmarkEnd w:id="22"/>
    </w:p>
    <w:tbl>
      <w:tblPr>
        <w:tblpPr w:leftFromText="141" w:rightFromText="141" w:vertAnchor="text" w:horzAnchor="margin" w:tblpXSpec="center" w:tblpY="56"/>
        <w:tblW w:w="7960" w:type="dxa"/>
        <w:tblCellMar>
          <w:left w:w="70" w:type="dxa"/>
          <w:right w:w="70" w:type="dxa"/>
        </w:tblCellMar>
        <w:tblLook w:val="04A0" w:firstRow="1" w:lastRow="0" w:firstColumn="1" w:lastColumn="0" w:noHBand="0" w:noVBand="1"/>
      </w:tblPr>
      <w:tblGrid>
        <w:gridCol w:w="5736"/>
        <w:gridCol w:w="2224"/>
      </w:tblGrid>
      <w:tr w:rsidR="006D506C" w:rsidRPr="006D506C" w14:paraId="7C9D757A" w14:textId="77777777" w:rsidTr="006F7E31">
        <w:trPr>
          <w:trHeight w:val="285"/>
        </w:trPr>
        <w:tc>
          <w:tcPr>
            <w:tcW w:w="796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546688DD" w14:textId="5319487E" w:rsidR="0001792D" w:rsidRPr="006D506C" w:rsidRDefault="0001792D" w:rsidP="00D64261">
            <w:pPr>
              <w:spacing w:after="0" w:line="360" w:lineRule="auto"/>
              <w:jc w:val="center"/>
              <w:rPr>
                <w:rFonts w:eastAsia="Calibri"/>
                <w:b/>
                <w:bCs/>
                <w:noProof/>
                <w:lang w:val="es-DO"/>
              </w:rPr>
            </w:pPr>
            <w:bookmarkStart w:id="23" w:name="_Toc151630194"/>
            <w:bookmarkStart w:id="24" w:name="_Toc151632141"/>
            <w:bookmarkStart w:id="25" w:name="_Toc151632209"/>
            <w:r w:rsidRPr="006D506C">
              <w:rPr>
                <w:rFonts w:eastAsia="Calibri"/>
                <w:b/>
                <w:bCs/>
                <w:noProof/>
                <w:lang w:val="es-DO"/>
              </w:rPr>
              <w:t>Cuadro No. 2</w:t>
            </w:r>
            <w:r w:rsidR="008D7279" w:rsidRPr="006D506C">
              <w:rPr>
                <w:rFonts w:eastAsia="Calibri"/>
                <w:b/>
                <w:bCs/>
                <w:noProof/>
                <w:lang w:val="es-DO"/>
              </w:rPr>
              <w:t>7</w:t>
            </w:r>
          </w:p>
        </w:tc>
      </w:tr>
      <w:tr w:rsidR="006D506C" w:rsidRPr="006D506C" w14:paraId="79A088E9" w14:textId="77777777" w:rsidTr="006F7E31">
        <w:trPr>
          <w:trHeight w:val="285"/>
        </w:trPr>
        <w:tc>
          <w:tcPr>
            <w:tcW w:w="796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3FB0B870" w14:textId="77777777" w:rsidR="0001792D" w:rsidRPr="006D506C" w:rsidRDefault="0001792D" w:rsidP="00D64261">
            <w:pPr>
              <w:spacing w:after="0" w:line="360" w:lineRule="auto"/>
              <w:jc w:val="center"/>
              <w:rPr>
                <w:rFonts w:eastAsia="Calibri"/>
                <w:b/>
                <w:bCs/>
                <w:noProof/>
                <w:lang w:val="es-DO"/>
              </w:rPr>
            </w:pPr>
            <w:r w:rsidRPr="006D506C">
              <w:rPr>
                <w:rFonts w:eastAsia="Calibri"/>
                <w:b/>
                <w:bCs/>
                <w:noProof/>
                <w:lang w:val="es-DO"/>
              </w:rPr>
              <w:t>Tesorería Nacional</w:t>
            </w:r>
          </w:p>
        </w:tc>
      </w:tr>
      <w:tr w:rsidR="006D506C" w:rsidRPr="00B47076" w14:paraId="11D2D708" w14:textId="77777777" w:rsidTr="006F7E31">
        <w:trPr>
          <w:trHeight w:val="285"/>
        </w:trPr>
        <w:tc>
          <w:tcPr>
            <w:tcW w:w="796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vAlign w:val="center"/>
          </w:tcPr>
          <w:p w14:paraId="1EB145E3" w14:textId="77777777" w:rsidR="0001792D" w:rsidRPr="006D506C" w:rsidRDefault="0001792D" w:rsidP="00D64261">
            <w:pPr>
              <w:spacing w:after="0" w:line="360" w:lineRule="auto"/>
              <w:jc w:val="center"/>
              <w:rPr>
                <w:rFonts w:eastAsia="Calibri"/>
                <w:b/>
                <w:bCs/>
                <w:noProof/>
                <w:lang w:val="es-DO"/>
              </w:rPr>
            </w:pPr>
            <w:r w:rsidRPr="006D506C">
              <w:rPr>
                <w:rFonts w:eastAsia="Calibri"/>
                <w:b/>
                <w:bCs/>
                <w:noProof/>
                <w:lang w:val="es-DO"/>
              </w:rPr>
              <w:t>Subcuentas Habilitadas en el Sistema de Tesorería</w:t>
            </w:r>
          </w:p>
        </w:tc>
      </w:tr>
      <w:tr w:rsidR="006D506C" w:rsidRPr="006D506C" w14:paraId="0F33028B" w14:textId="77777777" w:rsidTr="006F7E31">
        <w:trPr>
          <w:trHeight w:val="285"/>
        </w:trPr>
        <w:tc>
          <w:tcPr>
            <w:tcW w:w="7960" w:type="dxa"/>
            <w:gridSpan w:val="2"/>
            <w:tcBorders>
              <w:top w:val="single" w:sz="4" w:space="0" w:color="FFFFFF" w:themeColor="background1"/>
              <w:left w:val="single" w:sz="4" w:space="0" w:color="FFFFFF" w:themeColor="background1"/>
              <w:bottom w:val="single" w:sz="8" w:space="0" w:color="auto"/>
              <w:right w:val="single" w:sz="4" w:space="0" w:color="FFFFFF" w:themeColor="background1"/>
            </w:tcBorders>
            <w:noWrap/>
            <w:vAlign w:val="center"/>
          </w:tcPr>
          <w:p w14:paraId="608FFEE8" w14:textId="77777777" w:rsidR="0001792D" w:rsidRPr="006D506C" w:rsidRDefault="0001792D" w:rsidP="00D64261">
            <w:pPr>
              <w:spacing w:after="0" w:line="360" w:lineRule="auto"/>
              <w:jc w:val="center"/>
              <w:rPr>
                <w:rFonts w:eastAsia="Calibri"/>
                <w:b/>
                <w:bCs/>
                <w:noProof/>
                <w:lang w:val="es-DO"/>
              </w:rPr>
            </w:pPr>
            <w:r w:rsidRPr="006D506C">
              <w:rPr>
                <w:rFonts w:eastAsia="Calibri"/>
                <w:b/>
                <w:bCs/>
                <w:noProof/>
                <w:lang w:val="es-DO"/>
              </w:rPr>
              <w:t>A Diciembre 2025</w:t>
            </w:r>
          </w:p>
        </w:tc>
      </w:tr>
      <w:tr w:rsidR="0001792D" w:rsidRPr="0001792D" w14:paraId="18F81A88" w14:textId="77777777" w:rsidTr="006F7E31">
        <w:trPr>
          <w:trHeight w:val="285"/>
        </w:trPr>
        <w:tc>
          <w:tcPr>
            <w:tcW w:w="5736" w:type="dxa"/>
            <w:tcBorders>
              <w:top w:val="single" w:sz="8" w:space="0" w:color="auto"/>
              <w:left w:val="single" w:sz="8" w:space="0" w:color="auto"/>
              <w:bottom w:val="single" w:sz="8" w:space="0" w:color="auto"/>
              <w:right w:val="single" w:sz="8" w:space="0" w:color="auto"/>
            </w:tcBorders>
            <w:shd w:val="clear" w:color="auto" w:fill="011C50"/>
            <w:noWrap/>
            <w:vAlign w:val="center"/>
            <w:hideMark/>
          </w:tcPr>
          <w:p w14:paraId="32F5566E" w14:textId="77777777" w:rsidR="0001792D" w:rsidRPr="0001792D" w:rsidRDefault="0001792D" w:rsidP="00D64261">
            <w:pPr>
              <w:spacing w:line="360" w:lineRule="auto"/>
              <w:jc w:val="both"/>
              <w:rPr>
                <w:rFonts w:eastAsia="Calibri"/>
                <w:noProof/>
                <w:color w:val="FFFFFF" w:themeColor="background1"/>
                <w:lang w:val="es-MX"/>
              </w:rPr>
            </w:pPr>
            <w:r w:rsidRPr="0001792D">
              <w:rPr>
                <w:rFonts w:eastAsia="Calibri"/>
                <w:noProof/>
                <w:color w:val="FFFFFF" w:themeColor="background1"/>
                <w:lang w:val="es-MX"/>
              </w:rPr>
              <w:t>Clasificación Subcuenta</w:t>
            </w:r>
          </w:p>
        </w:tc>
        <w:tc>
          <w:tcPr>
            <w:tcW w:w="2224" w:type="dxa"/>
            <w:tcBorders>
              <w:top w:val="single" w:sz="8" w:space="0" w:color="auto"/>
              <w:left w:val="nil"/>
              <w:bottom w:val="single" w:sz="8" w:space="0" w:color="auto"/>
              <w:right w:val="single" w:sz="8" w:space="0" w:color="auto"/>
            </w:tcBorders>
            <w:shd w:val="clear" w:color="auto" w:fill="011C50"/>
            <w:vAlign w:val="center"/>
            <w:hideMark/>
          </w:tcPr>
          <w:p w14:paraId="09017BD4" w14:textId="77777777" w:rsidR="0001792D" w:rsidRPr="0001792D" w:rsidRDefault="0001792D" w:rsidP="00D64261">
            <w:pPr>
              <w:spacing w:line="360" w:lineRule="auto"/>
              <w:jc w:val="both"/>
              <w:rPr>
                <w:rFonts w:eastAsia="Calibri"/>
                <w:noProof/>
                <w:color w:val="FFFFFF" w:themeColor="background1"/>
                <w:lang w:val="es-MX"/>
              </w:rPr>
            </w:pPr>
            <w:r w:rsidRPr="0001792D">
              <w:rPr>
                <w:rFonts w:eastAsia="Calibri"/>
                <w:noProof/>
                <w:color w:val="FFFFFF" w:themeColor="background1"/>
                <w:lang w:val="es-MX"/>
              </w:rPr>
              <w:t>Cantidad Subcuentas</w:t>
            </w:r>
          </w:p>
        </w:tc>
      </w:tr>
      <w:tr w:rsidR="0001792D" w:rsidRPr="0001792D" w14:paraId="6C283DFB" w14:textId="77777777" w:rsidTr="006F7E31">
        <w:trPr>
          <w:trHeight w:val="285"/>
        </w:trPr>
        <w:tc>
          <w:tcPr>
            <w:tcW w:w="5736" w:type="dxa"/>
            <w:tcBorders>
              <w:top w:val="nil"/>
              <w:left w:val="single" w:sz="8" w:space="0" w:color="auto"/>
              <w:bottom w:val="single" w:sz="8" w:space="0" w:color="auto"/>
              <w:right w:val="single" w:sz="8" w:space="0" w:color="auto"/>
            </w:tcBorders>
            <w:noWrap/>
            <w:vAlign w:val="center"/>
            <w:hideMark/>
          </w:tcPr>
          <w:p w14:paraId="011E94D3" w14:textId="77777777" w:rsidR="0001792D" w:rsidRPr="006D506C" w:rsidRDefault="0001792D" w:rsidP="00D64261">
            <w:pPr>
              <w:spacing w:line="360" w:lineRule="auto"/>
              <w:jc w:val="both"/>
              <w:rPr>
                <w:rFonts w:eastAsia="Calibri"/>
                <w:noProof/>
                <w:lang w:val="es-MX"/>
              </w:rPr>
            </w:pPr>
            <w:r w:rsidRPr="006D506C">
              <w:rPr>
                <w:rFonts w:eastAsia="Calibri"/>
                <w:noProof/>
                <w:lang w:val="es-MX"/>
              </w:rPr>
              <w:t>Proyectos Incorporados a la CUT</w:t>
            </w:r>
          </w:p>
        </w:tc>
        <w:tc>
          <w:tcPr>
            <w:tcW w:w="2224" w:type="dxa"/>
            <w:tcBorders>
              <w:top w:val="nil"/>
              <w:left w:val="nil"/>
              <w:bottom w:val="single" w:sz="8" w:space="0" w:color="auto"/>
              <w:right w:val="single" w:sz="8" w:space="0" w:color="auto"/>
            </w:tcBorders>
            <w:noWrap/>
            <w:vAlign w:val="center"/>
          </w:tcPr>
          <w:p w14:paraId="0D4005B9" w14:textId="77777777" w:rsidR="0001792D" w:rsidRPr="006D506C" w:rsidRDefault="0001792D" w:rsidP="00D64261">
            <w:pPr>
              <w:spacing w:line="360" w:lineRule="auto"/>
              <w:jc w:val="both"/>
              <w:rPr>
                <w:rFonts w:eastAsia="Calibri"/>
                <w:noProof/>
                <w:lang w:val="es-MX"/>
              </w:rPr>
            </w:pPr>
            <w:r w:rsidRPr="006D506C">
              <w:rPr>
                <w:rFonts w:eastAsia="Calibri"/>
                <w:noProof/>
                <w:lang w:val="es-MX"/>
              </w:rPr>
              <w:t>214</w:t>
            </w:r>
          </w:p>
        </w:tc>
      </w:tr>
      <w:tr w:rsidR="0001792D" w:rsidRPr="0001792D" w14:paraId="1ACF56FC" w14:textId="77777777" w:rsidTr="006F7E31">
        <w:trPr>
          <w:trHeight w:val="285"/>
        </w:trPr>
        <w:tc>
          <w:tcPr>
            <w:tcW w:w="5736" w:type="dxa"/>
            <w:tcBorders>
              <w:top w:val="nil"/>
              <w:left w:val="single" w:sz="8" w:space="0" w:color="auto"/>
              <w:bottom w:val="single" w:sz="8" w:space="0" w:color="auto"/>
              <w:right w:val="single" w:sz="8" w:space="0" w:color="auto"/>
            </w:tcBorders>
            <w:noWrap/>
            <w:vAlign w:val="center"/>
            <w:hideMark/>
          </w:tcPr>
          <w:p w14:paraId="5EDEBF3B" w14:textId="77777777" w:rsidR="0001792D" w:rsidRPr="006D506C" w:rsidRDefault="0001792D" w:rsidP="00D64261">
            <w:pPr>
              <w:spacing w:line="360" w:lineRule="auto"/>
              <w:jc w:val="both"/>
              <w:rPr>
                <w:rFonts w:eastAsia="Calibri"/>
                <w:noProof/>
                <w:lang w:val="es-MX"/>
              </w:rPr>
            </w:pPr>
            <w:r w:rsidRPr="006D506C">
              <w:rPr>
                <w:rFonts w:eastAsia="Calibri"/>
                <w:noProof/>
                <w:lang w:val="es-MX"/>
              </w:rPr>
              <w:t xml:space="preserve">Empresas Públicas No Financieras </w:t>
            </w:r>
          </w:p>
        </w:tc>
        <w:tc>
          <w:tcPr>
            <w:tcW w:w="2224" w:type="dxa"/>
            <w:tcBorders>
              <w:top w:val="nil"/>
              <w:left w:val="nil"/>
              <w:bottom w:val="single" w:sz="8" w:space="0" w:color="auto"/>
              <w:right w:val="single" w:sz="8" w:space="0" w:color="auto"/>
            </w:tcBorders>
            <w:noWrap/>
            <w:vAlign w:val="center"/>
          </w:tcPr>
          <w:p w14:paraId="225B1207" w14:textId="77777777" w:rsidR="0001792D" w:rsidRPr="006D506C" w:rsidRDefault="0001792D" w:rsidP="00D64261">
            <w:pPr>
              <w:spacing w:line="360" w:lineRule="auto"/>
              <w:jc w:val="both"/>
              <w:rPr>
                <w:rFonts w:eastAsia="Calibri"/>
                <w:noProof/>
                <w:lang w:val="es-MX"/>
              </w:rPr>
            </w:pPr>
            <w:r w:rsidRPr="006D506C">
              <w:rPr>
                <w:rFonts w:eastAsia="Calibri"/>
                <w:noProof/>
                <w:lang w:val="es-MX"/>
              </w:rPr>
              <w:t>50</w:t>
            </w:r>
          </w:p>
        </w:tc>
      </w:tr>
      <w:tr w:rsidR="0001792D" w:rsidRPr="0001792D" w14:paraId="46BEC8C7" w14:textId="77777777" w:rsidTr="006F7E31">
        <w:trPr>
          <w:trHeight w:val="285"/>
        </w:trPr>
        <w:tc>
          <w:tcPr>
            <w:tcW w:w="5736" w:type="dxa"/>
            <w:tcBorders>
              <w:top w:val="nil"/>
              <w:left w:val="single" w:sz="8" w:space="0" w:color="auto"/>
              <w:bottom w:val="single" w:sz="8" w:space="0" w:color="auto"/>
              <w:right w:val="single" w:sz="8" w:space="0" w:color="auto"/>
            </w:tcBorders>
            <w:noWrap/>
            <w:vAlign w:val="center"/>
            <w:hideMark/>
          </w:tcPr>
          <w:p w14:paraId="1F48BD1E" w14:textId="77777777" w:rsidR="0001792D" w:rsidRPr="006D506C" w:rsidRDefault="0001792D" w:rsidP="00D64261">
            <w:pPr>
              <w:spacing w:line="360" w:lineRule="auto"/>
              <w:jc w:val="both"/>
              <w:rPr>
                <w:rFonts w:eastAsia="Calibri"/>
                <w:noProof/>
                <w:lang w:val="es-MX"/>
              </w:rPr>
            </w:pPr>
            <w:r w:rsidRPr="006D506C">
              <w:rPr>
                <w:rFonts w:eastAsia="Calibri"/>
                <w:noProof/>
                <w:lang w:val="es-MX"/>
              </w:rPr>
              <w:t>Instituciones Autónomas y Descentralizadas</w:t>
            </w:r>
          </w:p>
        </w:tc>
        <w:tc>
          <w:tcPr>
            <w:tcW w:w="2224" w:type="dxa"/>
            <w:tcBorders>
              <w:top w:val="nil"/>
              <w:left w:val="nil"/>
              <w:bottom w:val="single" w:sz="8" w:space="0" w:color="auto"/>
              <w:right w:val="single" w:sz="8" w:space="0" w:color="auto"/>
            </w:tcBorders>
            <w:noWrap/>
            <w:vAlign w:val="center"/>
          </w:tcPr>
          <w:p w14:paraId="448BEAE2" w14:textId="77777777" w:rsidR="0001792D" w:rsidRPr="006D506C" w:rsidRDefault="0001792D" w:rsidP="00D64261">
            <w:pPr>
              <w:spacing w:line="360" w:lineRule="auto"/>
              <w:jc w:val="both"/>
              <w:rPr>
                <w:rFonts w:eastAsia="Calibri"/>
                <w:noProof/>
                <w:lang w:val="es-MX"/>
              </w:rPr>
            </w:pPr>
            <w:r w:rsidRPr="006D506C">
              <w:rPr>
                <w:rFonts w:eastAsia="Calibri"/>
                <w:noProof/>
                <w:lang w:val="es-MX"/>
              </w:rPr>
              <w:t>55</w:t>
            </w:r>
          </w:p>
        </w:tc>
      </w:tr>
      <w:tr w:rsidR="0001792D" w:rsidRPr="0001792D" w14:paraId="53D42D74" w14:textId="77777777" w:rsidTr="006F7E31">
        <w:trPr>
          <w:trHeight w:val="285"/>
        </w:trPr>
        <w:tc>
          <w:tcPr>
            <w:tcW w:w="5736" w:type="dxa"/>
            <w:tcBorders>
              <w:top w:val="nil"/>
              <w:left w:val="single" w:sz="8" w:space="0" w:color="auto"/>
              <w:bottom w:val="single" w:sz="8" w:space="0" w:color="auto"/>
              <w:right w:val="single" w:sz="8" w:space="0" w:color="auto"/>
            </w:tcBorders>
            <w:noWrap/>
            <w:vAlign w:val="center"/>
            <w:hideMark/>
          </w:tcPr>
          <w:p w14:paraId="20294A9E" w14:textId="77777777" w:rsidR="0001792D" w:rsidRPr="006D506C" w:rsidRDefault="0001792D" w:rsidP="00D64261">
            <w:pPr>
              <w:spacing w:line="360" w:lineRule="auto"/>
              <w:jc w:val="both"/>
              <w:rPr>
                <w:rFonts w:eastAsia="Calibri"/>
                <w:noProof/>
                <w:lang w:val="es-MX"/>
              </w:rPr>
            </w:pPr>
            <w:r w:rsidRPr="006D506C">
              <w:rPr>
                <w:rFonts w:eastAsia="Calibri"/>
                <w:noProof/>
                <w:lang w:val="es-MX"/>
              </w:rPr>
              <w:t>Instituciones Gobierno Central</w:t>
            </w:r>
          </w:p>
        </w:tc>
        <w:tc>
          <w:tcPr>
            <w:tcW w:w="2224" w:type="dxa"/>
            <w:tcBorders>
              <w:top w:val="nil"/>
              <w:left w:val="nil"/>
              <w:bottom w:val="single" w:sz="8" w:space="0" w:color="auto"/>
              <w:right w:val="single" w:sz="8" w:space="0" w:color="auto"/>
            </w:tcBorders>
            <w:noWrap/>
            <w:vAlign w:val="center"/>
          </w:tcPr>
          <w:p w14:paraId="6B205E72" w14:textId="77777777" w:rsidR="0001792D" w:rsidRPr="006D506C" w:rsidRDefault="0001792D" w:rsidP="00D64261">
            <w:pPr>
              <w:spacing w:line="360" w:lineRule="auto"/>
              <w:jc w:val="both"/>
              <w:rPr>
                <w:rFonts w:eastAsia="Calibri"/>
                <w:noProof/>
                <w:lang w:val="es-MX"/>
              </w:rPr>
            </w:pPr>
            <w:r w:rsidRPr="006D506C">
              <w:rPr>
                <w:rFonts w:eastAsia="Calibri"/>
                <w:noProof/>
                <w:lang w:val="es-MX"/>
              </w:rPr>
              <w:t>12</w:t>
            </w:r>
          </w:p>
        </w:tc>
      </w:tr>
      <w:tr w:rsidR="0001792D" w:rsidRPr="0001792D" w14:paraId="40557325" w14:textId="77777777" w:rsidTr="006F7E31">
        <w:trPr>
          <w:trHeight w:val="285"/>
        </w:trPr>
        <w:tc>
          <w:tcPr>
            <w:tcW w:w="5736" w:type="dxa"/>
            <w:tcBorders>
              <w:top w:val="nil"/>
              <w:left w:val="single" w:sz="8" w:space="0" w:color="auto"/>
              <w:bottom w:val="nil"/>
              <w:right w:val="single" w:sz="8" w:space="0" w:color="auto"/>
            </w:tcBorders>
            <w:shd w:val="clear" w:color="auto" w:fill="011C50"/>
            <w:noWrap/>
            <w:vAlign w:val="center"/>
            <w:hideMark/>
          </w:tcPr>
          <w:p w14:paraId="0DE0A6AB" w14:textId="77777777" w:rsidR="0001792D" w:rsidRPr="0001792D" w:rsidRDefault="0001792D" w:rsidP="00D64261">
            <w:pPr>
              <w:spacing w:line="360" w:lineRule="auto"/>
              <w:jc w:val="both"/>
              <w:rPr>
                <w:rFonts w:eastAsia="Calibri"/>
                <w:noProof/>
                <w:color w:val="FFFFFF" w:themeColor="background1"/>
                <w:lang w:val="es-MX"/>
              </w:rPr>
            </w:pPr>
            <w:r w:rsidRPr="0001792D">
              <w:rPr>
                <w:rFonts w:eastAsia="Calibri"/>
                <w:noProof/>
                <w:color w:val="FFFFFF" w:themeColor="background1"/>
                <w:lang w:val="es-MX"/>
              </w:rPr>
              <w:t>Total, Sub-Cuentas Aperturadas</w:t>
            </w:r>
          </w:p>
        </w:tc>
        <w:tc>
          <w:tcPr>
            <w:tcW w:w="2224" w:type="dxa"/>
            <w:tcBorders>
              <w:top w:val="nil"/>
              <w:left w:val="nil"/>
              <w:bottom w:val="nil"/>
              <w:right w:val="single" w:sz="8" w:space="0" w:color="auto"/>
            </w:tcBorders>
            <w:shd w:val="clear" w:color="auto" w:fill="011C50"/>
            <w:noWrap/>
            <w:vAlign w:val="center"/>
          </w:tcPr>
          <w:p w14:paraId="7E669455" w14:textId="77777777" w:rsidR="0001792D" w:rsidRPr="0001792D" w:rsidRDefault="0001792D" w:rsidP="00D64261">
            <w:pPr>
              <w:spacing w:line="360" w:lineRule="auto"/>
              <w:jc w:val="both"/>
              <w:rPr>
                <w:rFonts w:eastAsia="Calibri"/>
                <w:noProof/>
                <w:color w:val="FFFFFF" w:themeColor="background1"/>
                <w:lang w:val="es-MX"/>
              </w:rPr>
            </w:pPr>
            <w:r w:rsidRPr="0001792D">
              <w:rPr>
                <w:rFonts w:eastAsia="Calibri"/>
                <w:noProof/>
                <w:color w:val="FFFFFF" w:themeColor="background1"/>
                <w:lang w:val="es-MX"/>
              </w:rPr>
              <w:t>331</w:t>
            </w:r>
          </w:p>
        </w:tc>
      </w:tr>
      <w:tr w:rsidR="0001792D" w:rsidRPr="00B47076" w14:paraId="11C85793" w14:textId="77777777" w:rsidTr="006F7E31">
        <w:trPr>
          <w:trHeight w:val="285"/>
        </w:trPr>
        <w:tc>
          <w:tcPr>
            <w:tcW w:w="7960" w:type="dxa"/>
            <w:gridSpan w:val="2"/>
            <w:tcBorders>
              <w:top w:val="nil"/>
              <w:left w:val="single" w:sz="4" w:space="0" w:color="FFFFFF" w:themeColor="background1"/>
              <w:bottom w:val="single" w:sz="4" w:space="0" w:color="FFFFFF" w:themeColor="background1"/>
              <w:right w:val="single" w:sz="4" w:space="0" w:color="FFFFFF" w:themeColor="background1"/>
            </w:tcBorders>
            <w:noWrap/>
            <w:vAlign w:val="center"/>
          </w:tcPr>
          <w:p w14:paraId="292F2C6F" w14:textId="77777777" w:rsidR="0001792D" w:rsidRPr="006D506C" w:rsidRDefault="0001792D" w:rsidP="00D64261">
            <w:pPr>
              <w:spacing w:line="360" w:lineRule="auto"/>
              <w:jc w:val="both"/>
              <w:rPr>
                <w:rFonts w:eastAsia="Calibri"/>
                <w:b/>
                <w:bCs/>
                <w:i/>
                <w:iCs/>
                <w:noProof/>
                <w:sz w:val="18"/>
                <w:szCs w:val="18"/>
                <w:lang w:val="es-DO"/>
              </w:rPr>
            </w:pPr>
            <w:r w:rsidRPr="006D506C">
              <w:rPr>
                <w:rFonts w:eastAsia="Calibri"/>
                <w:b/>
                <w:bCs/>
                <w:i/>
                <w:iCs/>
                <w:noProof/>
                <w:sz w:val="18"/>
                <w:szCs w:val="18"/>
                <w:lang w:val="es-DO"/>
              </w:rPr>
              <w:t xml:space="preserve">Fuente: Sistema Integrado Gestión Financiera (SIGEF) </w:t>
            </w:r>
          </w:p>
        </w:tc>
      </w:tr>
    </w:tbl>
    <w:p w14:paraId="39414CC9" w14:textId="77777777" w:rsidR="0001792D" w:rsidRPr="0001792D" w:rsidRDefault="0001792D" w:rsidP="00D64261">
      <w:pPr>
        <w:spacing w:line="360" w:lineRule="auto"/>
        <w:jc w:val="both"/>
        <w:rPr>
          <w:rFonts w:eastAsia="Calibri"/>
          <w:b/>
          <w:noProof/>
          <w:color w:val="4C4747"/>
          <w:lang w:val="es-DO"/>
        </w:rPr>
      </w:pPr>
    </w:p>
    <w:p w14:paraId="192B7E62" w14:textId="77777777" w:rsidR="0001792D" w:rsidRPr="006D506C" w:rsidRDefault="0001792D" w:rsidP="00D64261">
      <w:pPr>
        <w:spacing w:line="360" w:lineRule="auto"/>
        <w:jc w:val="both"/>
        <w:rPr>
          <w:rFonts w:eastAsia="Calibri"/>
          <w:b/>
          <w:noProof/>
          <w:lang w:val="es-DO"/>
        </w:rPr>
      </w:pPr>
      <w:r w:rsidRPr="006D506C">
        <w:rPr>
          <w:rFonts w:eastAsia="Calibri"/>
          <w:b/>
          <w:noProof/>
          <w:lang w:val="es-DO"/>
        </w:rPr>
        <w:t>Balances en Cuentas Administradas en el Sistema de Tesorería</w:t>
      </w:r>
      <w:bookmarkEnd w:id="23"/>
      <w:bookmarkEnd w:id="24"/>
      <w:bookmarkEnd w:id="25"/>
    </w:p>
    <w:p w14:paraId="349C3464" w14:textId="77777777" w:rsidR="0001792D" w:rsidRPr="006D506C" w:rsidRDefault="0001792D" w:rsidP="00D64261">
      <w:pPr>
        <w:spacing w:line="360" w:lineRule="auto"/>
        <w:jc w:val="both"/>
        <w:rPr>
          <w:rFonts w:eastAsia="Calibri"/>
          <w:noProof/>
          <w:lang w:val="es-DO"/>
        </w:rPr>
      </w:pPr>
      <w:r w:rsidRPr="006D506C">
        <w:rPr>
          <w:rFonts w:eastAsia="Calibri"/>
          <w:noProof/>
          <w:lang w:val="es-DO"/>
        </w:rPr>
        <w:t xml:space="preserve">Los siguientes cuadros presentan los balances conciliados de las Cuentas Únicas del Tesoro, por moneda, a diciembre 2025, considerando los recursos totales disponibles en cuentas. Estos balances se generan realizando la conciliación de los ingresos de las </w:t>
      </w:r>
      <w:r w:rsidRPr="006D506C">
        <w:rPr>
          <w:rFonts w:eastAsia="Calibri"/>
          <w:noProof/>
          <w:lang w:val="es-DO"/>
        </w:rPr>
        <w:lastRenderedPageBreak/>
        <w:t xml:space="preserve">recaudaciones, financiamientos externos percibidos, devoluciones aplicadas al Tesoro e Instituciones y medios de pagos emitidos por el Tesoro. </w:t>
      </w:r>
    </w:p>
    <w:p w14:paraId="513CBC74" w14:textId="77777777" w:rsidR="008A3AF3" w:rsidRPr="006D506C" w:rsidRDefault="008A3AF3" w:rsidP="00D64261">
      <w:pPr>
        <w:spacing w:line="360" w:lineRule="auto"/>
        <w:jc w:val="both"/>
        <w:rPr>
          <w:rFonts w:eastAsia="Calibri"/>
          <w:noProof/>
          <w:lang w:val="es-DO"/>
        </w:rPr>
      </w:pPr>
    </w:p>
    <w:p w14:paraId="1114A286" w14:textId="325EAAF2" w:rsidR="0001792D" w:rsidRPr="006D506C" w:rsidRDefault="0001792D" w:rsidP="00D64261">
      <w:pPr>
        <w:spacing w:after="0" w:line="360" w:lineRule="auto"/>
        <w:jc w:val="center"/>
        <w:rPr>
          <w:rFonts w:eastAsia="Calibri"/>
          <w:b/>
          <w:bCs/>
          <w:noProof/>
          <w:lang w:val="es-DO"/>
        </w:rPr>
      </w:pPr>
      <w:r w:rsidRPr="006D506C">
        <w:rPr>
          <w:rFonts w:eastAsia="Calibri"/>
          <w:b/>
          <w:bCs/>
          <w:noProof/>
          <w:lang w:val="es-DO"/>
        </w:rPr>
        <w:t xml:space="preserve">Cuadro No. </w:t>
      </w:r>
      <w:r w:rsidR="008D7279" w:rsidRPr="006D506C">
        <w:rPr>
          <w:rFonts w:eastAsia="Calibri"/>
          <w:b/>
          <w:bCs/>
          <w:noProof/>
          <w:lang w:val="es-DO"/>
        </w:rPr>
        <w:t>28</w:t>
      </w:r>
    </w:p>
    <w:p w14:paraId="5FABB76F" w14:textId="77777777" w:rsidR="0001792D" w:rsidRPr="006D506C" w:rsidRDefault="0001792D" w:rsidP="00D64261">
      <w:pPr>
        <w:spacing w:after="0" w:line="360" w:lineRule="auto"/>
        <w:jc w:val="center"/>
        <w:rPr>
          <w:rFonts w:eastAsia="Calibri"/>
          <w:b/>
          <w:bCs/>
          <w:noProof/>
          <w:lang w:val="es-DO"/>
        </w:rPr>
      </w:pPr>
      <w:r w:rsidRPr="006D506C">
        <w:rPr>
          <w:rFonts w:eastAsia="Calibri"/>
          <w:b/>
          <w:bCs/>
          <w:noProof/>
          <w:lang w:val="es-DO"/>
        </w:rPr>
        <w:t>Tesorería Nacional</w:t>
      </w:r>
    </w:p>
    <w:p w14:paraId="59A90579" w14:textId="77777777" w:rsidR="0001792D" w:rsidRPr="006D506C" w:rsidRDefault="0001792D" w:rsidP="00D64261">
      <w:pPr>
        <w:spacing w:after="0" w:line="360" w:lineRule="auto"/>
        <w:jc w:val="center"/>
        <w:rPr>
          <w:rFonts w:eastAsia="Calibri"/>
          <w:b/>
          <w:bCs/>
          <w:noProof/>
          <w:lang w:val="es-DO"/>
        </w:rPr>
      </w:pPr>
      <w:r w:rsidRPr="006D506C">
        <w:rPr>
          <w:rFonts w:eastAsia="Calibri"/>
          <w:b/>
          <w:bCs/>
          <w:noProof/>
          <w:lang w:val="es-DO"/>
        </w:rPr>
        <w:t xml:space="preserve">Balances en Cuentas Únicas del Tesoro </w:t>
      </w:r>
    </w:p>
    <w:p w14:paraId="4443DF3A" w14:textId="77777777" w:rsidR="0001792D" w:rsidRPr="006D506C" w:rsidRDefault="0001792D" w:rsidP="00D64261">
      <w:pPr>
        <w:spacing w:after="0" w:line="360" w:lineRule="auto"/>
        <w:jc w:val="center"/>
        <w:rPr>
          <w:rFonts w:eastAsia="Calibri"/>
          <w:b/>
          <w:bCs/>
          <w:noProof/>
          <w:lang w:val="es-DO"/>
        </w:rPr>
      </w:pPr>
      <w:r w:rsidRPr="006D506C">
        <w:rPr>
          <w:rFonts w:eastAsia="Calibri"/>
          <w:b/>
          <w:bCs/>
          <w:noProof/>
          <w:lang w:val="es-DO"/>
        </w:rPr>
        <w:t>A Diciembre 2025</w:t>
      </w:r>
    </w:p>
    <w:tbl>
      <w:tblPr>
        <w:tblW w:w="8364" w:type="dxa"/>
        <w:tblInd w:w="-5" w:type="dxa"/>
        <w:tblCellMar>
          <w:left w:w="70" w:type="dxa"/>
          <w:right w:w="70" w:type="dxa"/>
        </w:tblCellMar>
        <w:tblLook w:val="04A0" w:firstRow="1" w:lastRow="0" w:firstColumn="1" w:lastColumn="0" w:noHBand="0" w:noVBand="1"/>
      </w:tblPr>
      <w:tblGrid>
        <w:gridCol w:w="2774"/>
        <w:gridCol w:w="1920"/>
        <w:gridCol w:w="1841"/>
        <w:gridCol w:w="1829"/>
      </w:tblGrid>
      <w:tr w:rsidR="0001792D" w:rsidRPr="0001792D" w14:paraId="59B912BD" w14:textId="77777777" w:rsidTr="0001792D">
        <w:trPr>
          <w:trHeight w:val="300"/>
        </w:trPr>
        <w:tc>
          <w:tcPr>
            <w:tcW w:w="2774" w:type="dxa"/>
            <w:vMerge w:val="restart"/>
            <w:tcBorders>
              <w:top w:val="single" w:sz="4" w:space="0" w:color="auto"/>
              <w:left w:val="single" w:sz="4" w:space="0" w:color="auto"/>
              <w:bottom w:val="single" w:sz="4" w:space="0" w:color="auto"/>
              <w:right w:val="nil"/>
            </w:tcBorders>
            <w:shd w:val="clear" w:color="auto" w:fill="011C50"/>
            <w:vAlign w:val="center"/>
            <w:hideMark/>
          </w:tcPr>
          <w:p w14:paraId="7AD79FF7" w14:textId="77777777" w:rsidR="0001792D" w:rsidRPr="0001792D" w:rsidRDefault="0001792D" w:rsidP="00D64261">
            <w:pPr>
              <w:spacing w:line="360" w:lineRule="auto"/>
              <w:jc w:val="both"/>
              <w:rPr>
                <w:rFonts w:eastAsia="Calibri"/>
                <w:bCs/>
                <w:noProof/>
                <w:color w:val="FFFFFF" w:themeColor="background1"/>
              </w:rPr>
            </w:pPr>
            <w:r w:rsidRPr="0001792D">
              <w:rPr>
                <w:rFonts w:eastAsia="Calibri"/>
                <w:bCs/>
                <w:noProof/>
                <w:color w:val="FFFFFF" w:themeColor="background1"/>
              </w:rPr>
              <w:t>Tipo de Cuentas</w:t>
            </w:r>
          </w:p>
        </w:tc>
        <w:tc>
          <w:tcPr>
            <w:tcW w:w="192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3D20B626" w14:textId="77777777" w:rsidR="0001792D" w:rsidRPr="0001792D" w:rsidRDefault="0001792D" w:rsidP="00D64261">
            <w:pPr>
              <w:spacing w:line="360" w:lineRule="auto"/>
              <w:jc w:val="both"/>
              <w:rPr>
                <w:rFonts w:eastAsia="Calibri"/>
                <w:bCs/>
                <w:noProof/>
                <w:color w:val="FFFFFF" w:themeColor="background1"/>
              </w:rPr>
            </w:pPr>
            <w:r w:rsidRPr="0001792D">
              <w:rPr>
                <w:rFonts w:eastAsia="Calibri"/>
                <w:bCs/>
                <w:noProof/>
                <w:color w:val="FFFFFF" w:themeColor="background1"/>
              </w:rPr>
              <w:t>Pesos</w:t>
            </w:r>
          </w:p>
        </w:tc>
        <w:tc>
          <w:tcPr>
            <w:tcW w:w="1841" w:type="dxa"/>
            <w:tcBorders>
              <w:top w:val="single" w:sz="4" w:space="0" w:color="auto"/>
              <w:left w:val="nil"/>
              <w:bottom w:val="single" w:sz="4" w:space="0" w:color="auto"/>
              <w:right w:val="single" w:sz="4" w:space="0" w:color="auto"/>
            </w:tcBorders>
            <w:shd w:val="clear" w:color="auto" w:fill="011C50"/>
            <w:vAlign w:val="center"/>
            <w:hideMark/>
          </w:tcPr>
          <w:p w14:paraId="2AF8AD8B" w14:textId="77777777" w:rsidR="0001792D" w:rsidRPr="0001792D" w:rsidRDefault="0001792D" w:rsidP="00D64261">
            <w:pPr>
              <w:spacing w:line="360" w:lineRule="auto"/>
              <w:jc w:val="both"/>
              <w:rPr>
                <w:rFonts w:eastAsia="Calibri"/>
                <w:bCs/>
                <w:noProof/>
                <w:color w:val="FFFFFF" w:themeColor="background1"/>
              </w:rPr>
            </w:pPr>
            <w:r w:rsidRPr="0001792D">
              <w:rPr>
                <w:rFonts w:eastAsia="Calibri"/>
                <w:bCs/>
                <w:noProof/>
                <w:color w:val="FFFFFF" w:themeColor="background1"/>
              </w:rPr>
              <w:t>Dólares</w:t>
            </w:r>
          </w:p>
        </w:tc>
        <w:tc>
          <w:tcPr>
            <w:tcW w:w="1829" w:type="dxa"/>
            <w:tcBorders>
              <w:top w:val="single" w:sz="4" w:space="0" w:color="auto"/>
              <w:left w:val="nil"/>
              <w:bottom w:val="single" w:sz="4" w:space="0" w:color="auto"/>
              <w:right w:val="single" w:sz="4" w:space="0" w:color="auto"/>
            </w:tcBorders>
            <w:shd w:val="clear" w:color="auto" w:fill="011C50"/>
            <w:vAlign w:val="center"/>
            <w:hideMark/>
          </w:tcPr>
          <w:p w14:paraId="212669E4" w14:textId="77777777" w:rsidR="0001792D" w:rsidRPr="0001792D" w:rsidRDefault="0001792D" w:rsidP="00D64261">
            <w:pPr>
              <w:spacing w:line="360" w:lineRule="auto"/>
              <w:jc w:val="both"/>
              <w:rPr>
                <w:rFonts w:eastAsia="Calibri"/>
                <w:bCs/>
                <w:noProof/>
                <w:color w:val="FFFFFF" w:themeColor="background1"/>
              </w:rPr>
            </w:pPr>
            <w:r w:rsidRPr="0001792D">
              <w:rPr>
                <w:rFonts w:eastAsia="Calibri"/>
                <w:bCs/>
                <w:noProof/>
                <w:color w:val="FFFFFF" w:themeColor="background1"/>
              </w:rPr>
              <w:t>Euros</w:t>
            </w:r>
          </w:p>
        </w:tc>
      </w:tr>
      <w:tr w:rsidR="0001792D" w:rsidRPr="0001792D" w14:paraId="1B5F22F2" w14:textId="77777777" w:rsidTr="0001792D">
        <w:trPr>
          <w:trHeight w:val="600"/>
        </w:trPr>
        <w:tc>
          <w:tcPr>
            <w:tcW w:w="2774" w:type="dxa"/>
            <w:vMerge/>
            <w:tcBorders>
              <w:top w:val="single" w:sz="4" w:space="0" w:color="auto"/>
              <w:left w:val="single" w:sz="4" w:space="0" w:color="auto"/>
              <w:bottom w:val="single" w:sz="4" w:space="0" w:color="auto"/>
              <w:right w:val="single" w:sz="4" w:space="0" w:color="auto"/>
            </w:tcBorders>
            <w:shd w:val="clear" w:color="auto" w:fill="011C50"/>
            <w:vAlign w:val="center"/>
            <w:hideMark/>
          </w:tcPr>
          <w:p w14:paraId="2C10BE5E" w14:textId="77777777" w:rsidR="0001792D" w:rsidRPr="0001792D" w:rsidRDefault="0001792D" w:rsidP="00D64261">
            <w:pPr>
              <w:spacing w:line="360" w:lineRule="auto"/>
              <w:jc w:val="both"/>
              <w:rPr>
                <w:rFonts w:eastAsia="Calibri"/>
                <w:bCs/>
                <w:noProof/>
                <w:color w:val="FFFFFF" w:themeColor="background1"/>
              </w:rPr>
            </w:pPr>
          </w:p>
        </w:tc>
        <w:tc>
          <w:tcPr>
            <w:tcW w:w="192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1963F098" w14:textId="77777777" w:rsidR="0001792D" w:rsidRPr="0001792D" w:rsidRDefault="0001792D" w:rsidP="00D64261">
            <w:pPr>
              <w:spacing w:line="360" w:lineRule="auto"/>
              <w:jc w:val="both"/>
              <w:rPr>
                <w:rFonts w:eastAsia="Calibri"/>
                <w:bCs/>
                <w:noProof/>
                <w:color w:val="FFFFFF" w:themeColor="background1"/>
              </w:rPr>
            </w:pPr>
            <w:r w:rsidRPr="0001792D">
              <w:rPr>
                <w:rFonts w:eastAsia="Calibri"/>
                <w:bCs/>
                <w:noProof/>
                <w:color w:val="FFFFFF" w:themeColor="background1"/>
              </w:rPr>
              <w:t>Balance al 31/12/2025</w:t>
            </w:r>
          </w:p>
        </w:tc>
        <w:tc>
          <w:tcPr>
            <w:tcW w:w="1841"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2A11C5E5" w14:textId="77777777" w:rsidR="0001792D" w:rsidRPr="0001792D" w:rsidRDefault="0001792D" w:rsidP="00D64261">
            <w:pPr>
              <w:spacing w:line="360" w:lineRule="auto"/>
              <w:jc w:val="both"/>
              <w:rPr>
                <w:rFonts w:eastAsia="Calibri"/>
                <w:bCs/>
                <w:noProof/>
                <w:color w:val="FFFFFF" w:themeColor="background1"/>
              </w:rPr>
            </w:pPr>
            <w:r w:rsidRPr="0001792D">
              <w:rPr>
                <w:rFonts w:eastAsia="Calibri"/>
                <w:bCs/>
                <w:noProof/>
                <w:color w:val="FFFFFF" w:themeColor="background1"/>
              </w:rPr>
              <w:t>Balance al 31/12/2025</w:t>
            </w:r>
          </w:p>
        </w:tc>
        <w:tc>
          <w:tcPr>
            <w:tcW w:w="1829"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06E1B165" w14:textId="77777777" w:rsidR="0001792D" w:rsidRPr="0001792D" w:rsidRDefault="0001792D" w:rsidP="00D64261">
            <w:pPr>
              <w:spacing w:line="360" w:lineRule="auto"/>
              <w:jc w:val="both"/>
              <w:rPr>
                <w:rFonts w:eastAsia="Calibri"/>
                <w:bCs/>
                <w:noProof/>
                <w:color w:val="FFFFFF" w:themeColor="background1"/>
              </w:rPr>
            </w:pPr>
            <w:r w:rsidRPr="0001792D">
              <w:rPr>
                <w:rFonts w:eastAsia="Calibri"/>
                <w:bCs/>
                <w:noProof/>
                <w:color w:val="FFFFFF" w:themeColor="background1"/>
              </w:rPr>
              <w:t>Balance al 31/12/2025</w:t>
            </w:r>
          </w:p>
        </w:tc>
      </w:tr>
      <w:tr w:rsidR="0001792D" w:rsidRPr="0001792D" w14:paraId="0B4A4F19" w14:textId="77777777" w:rsidTr="0001792D">
        <w:trPr>
          <w:trHeight w:val="383"/>
        </w:trPr>
        <w:tc>
          <w:tcPr>
            <w:tcW w:w="2774" w:type="dxa"/>
            <w:tcBorders>
              <w:top w:val="single" w:sz="4" w:space="0" w:color="auto"/>
              <w:left w:val="single" w:sz="4" w:space="0" w:color="auto"/>
              <w:bottom w:val="single" w:sz="4" w:space="0" w:color="auto"/>
              <w:right w:val="single" w:sz="4" w:space="0" w:color="auto"/>
            </w:tcBorders>
            <w:vAlign w:val="center"/>
            <w:hideMark/>
          </w:tcPr>
          <w:p w14:paraId="2BCC5AAF" w14:textId="77777777" w:rsidR="0001792D" w:rsidRPr="006D506C" w:rsidRDefault="0001792D" w:rsidP="00D64261">
            <w:pPr>
              <w:spacing w:line="360" w:lineRule="auto"/>
              <w:jc w:val="both"/>
              <w:rPr>
                <w:rFonts w:eastAsia="Calibri"/>
                <w:noProof/>
                <w:lang w:val="es-DO"/>
              </w:rPr>
            </w:pPr>
            <w:r w:rsidRPr="006D506C">
              <w:rPr>
                <w:rFonts w:eastAsia="Calibri"/>
                <w:noProof/>
                <w:lang w:val="es-DO"/>
              </w:rPr>
              <w:t>Cuentas Únicas del Tesoro - BR</w:t>
            </w:r>
          </w:p>
        </w:tc>
        <w:tc>
          <w:tcPr>
            <w:tcW w:w="1920" w:type="dxa"/>
            <w:tcBorders>
              <w:top w:val="single" w:sz="4" w:space="0" w:color="auto"/>
              <w:left w:val="single" w:sz="4" w:space="0" w:color="auto"/>
              <w:bottom w:val="single" w:sz="4" w:space="0" w:color="auto"/>
              <w:right w:val="single" w:sz="4" w:space="0" w:color="auto"/>
            </w:tcBorders>
          </w:tcPr>
          <w:p w14:paraId="59BFAAF6" w14:textId="77777777" w:rsidR="0001792D" w:rsidRPr="006D506C" w:rsidRDefault="0001792D" w:rsidP="00D64261">
            <w:pPr>
              <w:spacing w:line="360" w:lineRule="auto"/>
              <w:jc w:val="both"/>
              <w:rPr>
                <w:rFonts w:eastAsia="Calibri"/>
                <w:noProof/>
              </w:rPr>
            </w:pPr>
            <w:r w:rsidRPr="006D506C">
              <w:rPr>
                <w:rFonts w:eastAsia="Calibri"/>
                <w:noProof/>
              </w:rPr>
              <w:t>61,725,078,033</w:t>
            </w:r>
          </w:p>
        </w:tc>
        <w:tc>
          <w:tcPr>
            <w:tcW w:w="1841" w:type="dxa"/>
            <w:tcBorders>
              <w:top w:val="single" w:sz="4" w:space="0" w:color="auto"/>
              <w:left w:val="single" w:sz="4" w:space="0" w:color="auto"/>
              <w:bottom w:val="single" w:sz="4" w:space="0" w:color="auto"/>
              <w:right w:val="single" w:sz="4" w:space="0" w:color="auto"/>
            </w:tcBorders>
          </w:tcPr>
          <w:p w14:paraId="290E92D5" w14:textId="77777777" w:rsidR="0001792D" w:rsidRPr="006D506C" w:rsidRDefault="0001792D" w:rsidP="00D64261">
            <w:pPr>
              <w:spacing w:line="360" w:lineRule="auto"/>
              <w:jc w:val="both"/>
              <w:rPr>
                <w:rFonts w:eastAsia="Calibri"/>
                <w:noProof/>
              </w:rPr>
            </w:pPr>
            <w:r w:rsidRPr="006D506C">
              <w:rPr>
                <w:rFonts w:eastAsia="Calibri"/>
                <w:noProof/>
              </w:rPr>
              <w:t>304,390,870</w:t>
            </w:r>
          </w:p>
        </w:tc>
        <w:tc>
          <w:tcPr>
            <w:tcW w:w="1829" w:type="dxa"/>
            <w:tcBorders>
              <w:top w:val="single" w:sz="4" w:space="0" w:color="auto"/>
              <w:left w:val="single" w:sz="4" w:space="0" w:color="auto"/>
              <w:bottom w:val="single" w:sz="4" w:space="0" w:color="auto"/>
              <w:right w:val="single" w:sz="4" w:space="0" w:color="auto"/>
            </w:tcBorders>
          </w:tcPr>
          <w:p w14:paraId="2F23CBB3" w14:textId="77777777" w:rsidR="0001792D" w:rsidRPr="006D506C" w:rsidRDefault="0001792D" w:rsidP="00D64261">
            <w:pPr>
              <w:spacing w:line="360" w:lineRule="auto"/>
              <w:jc w:val="both"/>
              <w:rPr>
                <w:rFonts w:eastAsia="Calibri"/>
                <w:noProof/>
              </w:rPr>
            </w:pPr>
            <w:r w:rsidRPr="006D506C">
              <w:rPr>
                <w:rFonts w:eastAsia="Calibri"/>
                <w:noProof/>
              </w:rPr>
              <w:t>7,814,440</w:t>
            </w:r>
          </w:p>
        </w:tc>
      </w:tr>
      <w:tr w:rsidR="0001792D" w:rsidRPr="0001792D" w14:paraId="0DF87D75" w14:textId="77777777" w:rsidTr="0001792D">
        <w:trPr>
          <w:trHeight w:val="432"/>
        </w:trPr>
        <w:tc>
          <w:tcPr>
            <w:tcW w:w="2774" w:type="dxa"/>
            <w:tcBorders>
              <w:top w:val="single" w:sz="4" w:space="0" w:color="auto"/>
              <w:left w:val="single" w:sz="4" w:space="0" w:color="auto"/>
              <w:bottom w:val="single" w:sz="4" w:space="0" w:color="auto"/>
              <w:right w:val="single" w:sz="4" w:space="0" w:color="auto"/>
            </w:tcBorders>
            <w:vAlign w:val="center"/>
            <w:hideMark/>
          </w:tcPr>
          <w:p w14:paraId="3CC926FB" w14:textId="77777777" w:rsidR="0001792D" w:rsidRPr="006D506C" w:rsidRDefault="0001792D" w:rsidP="00D64261">
            <w:pPr>
              <w:spacing w:line="360" w:lineRule="auto"/>
              <w:jc w:val="both"/>
              <w:rPr>
                <w:rFonts w:eastAsia="Calibri"/>
                <w:noProof/>
                <w:lang w:val="es-DO"/>
              </w:rPr>
            </w:pPr>
            <w:r w:rsidRPr="006D506C">
              <w:rPr>
                <w:rFonts w:eastAsia="Calibri"/>
                <w:noProof/>
                <w:lang w:val="es-DO"/>
              </w:rPr>
              <w:t>Cuentas Únicas del Tesoro - BC</w:t>
            </w:r>
          </w:p>
        </w:tc>
        <w:tc>
          <w:tcPr>
            <w:tcW w:w="1920" w:type="dxa"/>
            <w:tcBorders>
              <w:top w:val="single" w:sz="4" w:space="0" w:color="auto"/>
              <w:left w:val="single" w:sz="4" w:space="0" w:color="auto"/>
              <w:bottom w:val="single" w:sz="4" w:space="0" w:color="auto"/>
              <w:right w:val="single" w:sz="4" w:space="0" w:color="auto"/>
            </w:tcBorders>
          </w:tcPr>
          <w:p w14:paraId="0BE94E2B" w14:textId="77777777" w:rsidR="0001792D" w:rsidRPr="006D506C" w:rsidRDefault="0001792D" w:rsidP="00D64261">
            <w:pPr>
              <w:spacing w:line="360" w:lineRule="auto"/>
              <w:jc w:val="both"/>
              <w:rPr>
                <w:rFonts w:eastAsia="Calibri"/>
                <w:noProof/>
              </w:rPr>
            </w:pPr>
            <w:r w:rsidRPr="006D506C">
              <w:rPr>
                <w:rFonts w:eastAsia="Calibri"/>
                <w:noProof/>
              </w:rPr>
              <w:t>0.00</w:t>
            </w:r>
          </w:p>
        </w:tc>
        <w:tc>
          <w:tcPr>
            <w:tcW w:w="1841" w:type="dxa"/>
            <w:tcBorders>
              <w:top w:val="single" w:sz="4" w:space="0" w:color="auto"/>
              <w:left w:val="single" w:sz="4" w:space="0" w:color="auto"/>
              <w:bottom w:val="single" w:sz="4" w:space="0" w:color="auto"/>
              <w:right w:val="single" w:sz="4" w:space="0" w:color="auto"/>
            </w:tcBorders>
          </w:tcPr>
          <w:p w14:paraId="10687914" w14:textId="77777777" w:rsidR="0001792D" w:rsidRPr="006D506C" w:rsidRDefault="0001792D" w:rsidP="00D64261">
            <w:pPr>
              <w:spacing w:line="360" w:lineRule="auto"/>
              <w:jc w:val="both"/>
              <w:rPr>
                <w:rFonts w:eastAsia="Calibri"/>
                <w:noProof/>
              </w:rPr>
            </w:pPr>
            <w:r w:rsidRPr="006D506C">
              <w:rPr>
                <w:rFonts w:eastAsia="Calibri"/>
                <w:noProof/>
              </w:rPr>
              <w:t>1,289,437,714</w:t>
            </w:r>
          </w:p>
        </w:tc>
        <w:tc>
          <w:tcPr>
            <w:tcW w:w="1829" w:type="dxa"/>
            <w:tcBorders>
              <w:top w:val="single" w:sz="4" w:space="0" w:color="auto"/>
              <w:left w:val="single" w:sz="4" w:space="0" w:color="auto"/>
              <w:bottom w:val="single" w:sz="4" w:space="0" w:color="auto"/>
              <w:right w:val="single" w:sz="4" w:space="0" w:color="auto"/>
            </w:tcBorders>
          </w:tcPr>
          <w:p w14:paraId="12F9A340" w14:textId="77777777" w:rsidR="0001792D" w:rsidRPr="006D506C" w:rsidRDefault="0001792D" w:rsidP="00D64261">
            <w:pPr>
              <w:spacing w:line="360" w:lineRule="auto"/>
              <w:jc w:val="both"/>
              <w:rPr>
                <w:rFonts w:eastAsia="Calibri"/>
                <w:noProof/>
              </w:rPr>
            </w:pPr>
            <w:r w:rsidRPr="006D506C">
              <w:rPr>
                <w:rFonts w:eastAsia="Calibri"/>
                <w:noProof/>
              </w:rPr>
              <w:t>18,385,921</w:t>
            </w:r>
          </w:p>
        </w:tc>
      </w:tr>
      <w:tr w:rsidR="0001792D" w:rsidRPr="0001792D" w14:paraId="1357C089" w14:textId="77777777" w:rsidTr="0001792D">
        <w:trPr>
          <w:trHeight w:val="506"/>
        </w:trPr>
        <w:tc>
          <w:tcPr>
            <w:tcW w:w="2774" w:type="dxa"/>
            <w:tcBorders>
              <w:top w:val="single" w:sz="4" w:space="0" w:color="auto"/>
              <w:left w:val="single" w:sz="4" w:space="0" w:color="auto"/>
              <w:bottom w:val="single" w:sz="4" w:space="0" w:color="auto"/>
              <w:right w:val="nil"/>
            </w:tcBorders>
            <w:shd w:val="clear" w:color="auto" w:fill="011C50"/>
            <w:vAlign w:val="center"/>
            <w:hideMark/>
          </w:tcPr>
          <w:p w14:paraId="10F1B59E" w14:textId="77777777" w:rsidR="0001792D" w:rsidRPr="0001792D" w:rsidRDefault="0001792D" w:rsidP="00D64261">
            <w:pPr>
              <w:spacing w:line="360" w:lineRule="auto"/>
              <w:jc w:val="both"/>
              <w:rPr>
                <w:rFonts w:eastAsia="Calibri"/>
                <w:noProof/>
                <w:color w:val="FFFFFF" w:themeColor="background1"/>
              </w:rPr>
            </w:pPr>
            <w:r w:rsidRPr="0001792D">
              <w:rPr>
                <w:rFonts w:eastAsia="Calibri"/>
                <w:noProof/>
                <w:color w:val="FFFFFF" w:themeColor="background1"/>
              </w:rPr>
              <w:t>Total por Moneda</w:t>
            </w:r>
          </w:p>
        </w:tc>
        <w:tc>
          <w:tcPr>
            <w:tcW w:w="1920" w:type="dxa"/>
            <w:tcBorders>
              <w:top w:val="single" w:sz="4" w:space="0" w:color="auto"/>
              <w:left w:val="single" w:sz="4" w:space="0" w:color="auto"/>
              <w:bottom w:val="single" w:sz="4" w:space="0" w:color="auto"/>
              <w:right w:val="single" w:sz="4" w:space="0" w:color="auto"/>
            </w:tcBorders>
            <w:shd w:val="clear" w:color="auto" w:fill="011C50"/>
            <w:vAlign w:val="center"/>
          </w:tcPr>
          <w:p w14:paraId="23D12626" w14:textId="77777777" w:rsidR="0001792D" w:rsidRPr="0001792D" w:rsidRDefault="0001792D" w:rsidP="00D64261">
            <w:pPr>
              <w:spacing w:line="360" w:lineRule="auto"/>
              <w:jc w:val="both"/>
              <w:rPr>
                <w:rFonts w:eastAsia="Calibri"/>
                <w:noProof/>
                <w:color w:val="FFFFFF" w:themeColor="background1"/>
              </w:rPr>
            </w:pPr>
            <w:r w:rsidRPr="0001792D">
              <w:rPr>
                <w:rFonts w:eastAsia="Calibri"/>
                <w:noProof/>
                <w:color w:val="FFFFFF" w:themeColor="background1"/>
              </w:rPr>
              <w:t>61,725,078,033</w:t>
            </w:r>
          </w:p>
        </w:tc>
        <w:tc>
          <w:tcPr>
            <w:tcW w:w="1841" w:type="dxa"/>
            <w:tcBorders>
              <w:top w:val="single" w:sz="4" w:space="0" w:color="auto"/>
              <w:left w:val="nil"/>
              <w:bottom w:val="single" w:sz="4" w:space="0" w:color="auto"/>
              <w:right w:val="single" w:sz="4" w:space="0" w:color="auto"/>
            </w:tcBorders>
            <w:shd w:val="clear" w:color="auto" w:fill="011C50"/>
            <w:vAlign w:val="center"/>
          </w:tcPr>
          <w:p w14:paraId="29B138AD" w14:textId="77777777" w:rsidR="0001792D" w:rsidRPr="0001792D" w:rsidRDefault="0001792D" w:rsidP="00D64261">
            <w:pPr>
              <w:spacing w:line="360" w:lineRule="auto"/>
              <w:jc w:val="both"/>
              <w:rPr>
                <w:rFonts w:eastAsia="Calibri"/>
                <w:noProof/>
                <w:color w:val="FFFFFF" w:themeColor="background1"/>
              </w:rPr>
            </w:pPr>
            <w:r w:rsidRPr="0001792D">
              <w:rPr>
                <w:rFonts w:eastAsia="Calibri"/>
                <w:noProof/>
                <w:color w:val="FFFFFF" w:themeColor="background1"/>
              </w:rPr>
              <w:t>1,593,828,585</w:t>
            </w:r>
          </w:p>
        </w:tc>
        <w:tc>
          <w:tcPr>
            <w:tcW w:w="1829" w:type="dxa"/>
            <w:tcBorders>
              <w:top w:val="single" w:sz="4" w:space="0" w:color="auto"/>
              <w:left w:val="nil"/>
              <w:bottom w:val="single" w:sz="4" w:space="0" w:color="auto"/>
              <w:right w:val="single" w:sz="4" w:space="0" w:color="auto"/>
            </w:tcBorders>
            <w:shd w:val="clear" w:color="auto" w:fill="011C50"/>
            <w:vAlign w:val="center"/>
          </w:tcPr>
          <w:p w14:paraId="0ED81985" w14:textId="77777777" w:rsidR="0001792D" w:rsidRPr="0001792D" w:rsidRDefault="0001792D" w:rsidP="00D64261">
            <w:pPr>
              <w:spacing w:line="360" w:lineRule="auto"/>
              <w:jc w:val="both"/>
              <w:rPr>
                <w:rFonts w:eastAsia="Calibri"/>
                <w:noProof/>
                <w:color w:val="FFFFFF" w:themeColor="background1"/>
              </w:rPr>
            </w:pPr>
            <w:r w:rsidRPr="0001792D">
              <w:rPr>
                <w:rFonts w:eastAsia="Calibri"/>
                <w:noProof/>
                <w:color w:val="FFFFFF" w:themeColor="background1"/>
              </w:rPr>
              <w:t>26,200,361</w:t>
            </w:r>
          </w:p>
        </w:tc>
      </w:tr>
    </w:tbl>
    <w:p w14:paraId="28820A9B" w14:textId="10754C28" w:rsidR="0001792D" w:rsidRPr="006D506C" w:rsidRDefault="0001792D" w:rsidP="00D64261">
      <w:pPr>
        <w:spacing w:line="360" w:lineRule="auto"/>
        <w:jc w:val="both"/>
        <w:rPr>
          <w:rFonts w:eastAsia="Calibri"/>
          <w:b/>
          <w:bCs/>
          <w:i/>
          <w:iCs/>
          <w:noProof/>
          <w:sz w:val="18"/>
          <w:szCs w:val="18"/>
          <w:lang w:val="es-DO"/>
        </w:rPr>
      </w:pPr>
      <w:r w:rsidRPr="006D506C">
        <w:rPr>
          <w:rFonts w:eastAsia="Calibri"/>
          <w:b/>
          <w:bCs/>
          <w:i/>
          <w:iCs/>
          <w:noProof/>
          <w:sz w:val="18"/>
          <w:szCs w:val="18"/>
          <w:lang w:val="es-DO"/>
        </w:rPr>
        <w:t>Fuente: Sistema Integrado Gestión Financiera (SIGEF)</w:t>
      </w:r>
    </w:p>
    <w:p w14:paraId="1FDDB70D" w14:textId="77777777" w:rsidR="0001792D" w:rsidRPr="0001792D" w:rsidRDefault="0001792D" w:rsidP="00D64261">
      <w:pPr>
        <w:spacing w:line="360" w:lineRule="auto"/>
        <w:jc w:val="both"/>
        <w:rPr>
          <w:rFonts w:eastAsia="Calibri"/>
          <w:b/>
          <w:bCs/>
          <w:iCs/>
          <w:noProof/>
          <w:color w:val="4C4747"/>
          <w:lang w:val="es-DO"/>
        </w:rPr>
      </w:pPr>
      <w:bookmarkStart w:id="26" w:name="_Toc151630200"/>
      <w:bookmarkStart w:id="27" w:name="_Toc151632149"/>
      <w:bookmarkStart w:id="28" w:name="_Toc151632217"/>
    </w:p>
    <w:p w14:paraId="17C41FED" w14:textId="77777777" w:rsidR="0001792D" w:rsidRPr="006D506C" w:rsidRDefault="0001792D" w:rsidP="00D64261">
      <w:pPr>
        <w:spacing w:line="360" w:lineRule="auto"/>
        <w:jc w:val="both"/>
        <w:rPr>
          <w:rFonts w:eastAsia="Calibri"/>
          <w:b/>
          <w:bCs/>
          <w:iCs/>
          <w:noProof/>
          <w:lang w:val="es-DO"/>
        </w:rPr>
      </w:pPr>
      <w:r w:rsidRPr="006D506C">
        <w:rPr>
          <w:rFonts w:eastAsia="Calibri"/>
          <w:b/>
          <w:bCs/>
          <w:iCs/>
          <w:noProof/>
          <w:lang w:val="es-DO"/>
        </w:rPr>
        <w:t>Balances Cuentas Institucionales Administradas</w:t>
      </w:r>
      <w:bookmarkEnd w:id="26"/>
      <w:bookmarkEnd w:id="27"/>
      <w:bookmarkEnd w:id="28"/>
      <w:r w:rsidRPr="006D506C">
        <w:rPr>
          <w:rFonts w:eastAsia="Calibri"/>
          <w:b/>
          <w:bCs/>
          <w:iCs/>
          <w:noProof/>
          <w:lang w:val="es-DO"/>
        </w:rPr>
        <w:t xml:space="preserve"> </w:t>
      </w:r>
    </w:p>
    <w:p w14:paraId="5A099565" w14:textId="77777777" w:rsidR="0001792D" w:rsidRPr="006D506C" w:rsidRDefault="0001792D" w:rsidP="00D64261">
      <w:pPr>
        <w:spacing w:line="360" w:lineRule="auto"/>
        <w:jc w:val="both"/>
        <w:rPr>
          <w:rFonts w:eastAsia="Calibri"/>
          <w:noProof/>
          <w:lang w:val="es-DO"/>
        </w:rPr>
      </w:pPr>
      <w:r w:rsidRPr="006D506C">
        <w:rPr>
          <w:rFonts w:eastAsia="Calibri"/>
          <w:noProof/>
          <w:lang w:val="es-DO"/>
        </w:rPr>
        <w:t xml:space="preserve">Los siguientes cuadros presentan los balances a diciembre 2025, por moneda, para los distintos tipos de cuentas institucionales administradas y conciliadas para la actualización de los saldos y balances en el Sistema de Tesorería. Se destacan los balances en cuentas operativas y las de anticipos financieros, presentando entre ambas un equivalente de 9,533,541,610 millones de pesos. </w:t>
      </w:r>
    </w:p>
    <w:p w14:paraId="1B2FB3D0" w14:textId="51CE638B" w:rsidR="0001792D" w:rsidRPr="006D506C" w:rsidRDefault="0001792D" w:rsidP="00D64261">
      <w:pPr>
        <w:spacing w:line="360" w:lineRule="auto"/>
        <w:jc w:val="both"/>
        <w:rPr>
          <w:rFonts w:eastAsia="Calibri"/>
          <w:noProof/>
          <w:lang w:val="es-DO"/>
        </w:rPr>
      </w:pPr>
      <w:r w:rsidRPr="006D506C">
        <w:rPr>
          <w:rFonts w:eastAsia="Calibri"/>
          <w:noProof/>
          <w:lang w:val="es-DO"/>
        </w:rPr>
        <w:t xml:space="preserve">                                           </w:t>
      </w:r>
    </w:p>
    <w:p w14:paraId="1011F39A" w14:textId="0FA60461" w:rsidR="0001792D" w:rsidRPr="006D506C" w:rsidRDefault="0001792D" w:rsidP="00D64261">
      <w:pPr>
        <w:spacing w:after="0" w:line="360" w:lineRule="auto"/>
        <w:jc w:val="center"/>
        <w:rPr>
          <w:rFonts w:eastAsia="Calibri"/>
          <w:b/>
          <w:bCs/>
          <w:noProof/>
          <w:lang w:val="es-DO"/>
        </w:rPr>
      </w:pPr>
      <w:bookmarkStart w:id="29" w:name="_Hlk215057757"/>
      <w:r w:rsidRPr="006D506C">
        <w:rPr>
          <w:rFonts w:eastAsia="Calibri"/>
          <w:b/>
          <w:bCs/>
          <w:noProof/>
          <w:lang w:val="es-DO"/>
        </w:rPr>
        <w:lastRenderedPageBreak/>
        <w:t xml:space="preserve">Cuadro No. </w:t>
      </w:r>
      <w:r w:rsidR="008D7279" w:rsidRPr="006D506C">
        <w:rPr>
          <w:rFonts w:eastAsia="Calibri"/>
          <w:b/>
          <w:bCs/>
          <w:noProof/>
          <w:lang w:val="es-DO"/>
        </w:rPr>
        <w:t>29</w:t>
      </w:r>
    </w:p>
    <w:p w14:paraId="1BBB27E6" w14:textId="77777777" w:rsidR="0001792D" w:rsidRPr="006D506C" w:rsidRDefault="0001792D" w:rsidP="00D64261">
      <w:pPr>
        <w:spacing w:after="0" w:line="360" w:lineRule="auto"/>
        <w:jc w:val="center"/>
        <w:rPr>
          <w:rFonts w:eastAsia="Calibri"/>
          <w:b/>
          <w:bCs/>
          <w:noProof/>
          <w:lang w:val="es-DO"/>
        </w:rPr>
      </w:pPr>
      <w:r w:rsidRPr="006D506C">
        <w:rPr>
          <w:rFonts w:eastAsia="Calibri"/>
          <w:b/>
          <w:bCs/>
          <w:noProof/>
          <w:lang w:val="es-DO"/>
        </w:rPr>
        <w:t>Tesorería Nacional</w:t>
      </w:r>
    </w:p>
    <w:p w14:paraId="75F66AEF" w14:textId="77777777" w:rsidR="0001792D" w:rsidRPr="006D506C" w:rsidRDefault="0001792D" w:rsidP="00D64261">
      <w:pPr>
        <w:spacing w:after="0" w:line="360" w:lineRule="auto"/>
        <w:jc w:val="center"/>
        <w:rPr>
          <w:rFonts w:eastAsia="Calibri"/>
          <w:b/>
          <w:bCs/>
          <w:noProof/>
          <w:lang w:val="es-DO"/>
        </w:rPr>
      </w:pPr>
      <w:r w:rsidRPr="006D506C">
        <w:rPr>
          <w:rFonts w:eastAsia="Calibri"/>
          <w:b/>
          <w:bCs/>
          <w:noProof/>
          <w:lang w:val="es-DO"/>
        </w:rPr>
        <w:t xml:space="preserve">Balances en Cuentas Institucionales Administradas en el Tesoro </w:t>
      </w:r>
    </w:p>
    <w:p w14:paraId="09713E80" w14:textId="77777777" w:rsidR="0001792D" w:rsidRPr="006D506C" w:rsidRDefault="0001792D" w:rsidP="00D64261">
      <w:pPr>
        <w:spacing w:after="0" w:line="360" w:lineRule="auto"/>
        <w:jc w:val="center"/>
        <w:rPr>
          <w:rFonts w:eastAsia="Calibri"/>
          <w:b/>
          <w:bCs/>
          <w:noProof/>
          <w:lang w:val="es-DO"/>
        </w:rPr>
      </w:pPr>
      <w:r w:rsidRPr="006D506C">
        <w:rPr>
          <w:rFonts w:eastAsia="Calibri"/>
          <w:b/>
          <w:bCs/>
          <w:noProof/>
          <w:lang w:val="es-DO"/>
        </w:rPr>
        <w:t>A Diciembre 2025</w:t>
      </w:r>
      <w:bookmarkEnd w:id="29"/>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9"/>
        <w:gridCol w:w="1984"/>
        <w:gridCol w:w="1560"/>
        <w:gridCol w:w="1559"/>
      </w:tblGrid>
      <w:tr w:rsidR="0001792D" w:rsidRPr="0001792D" w14:paraId="1331115D" w14:textId="77777777" w:rsidTr="007F0A9B">
        <w:trPr>
          <w:trHeight w:val="313"/>
        </w:trPr>
        <w:tc>
          <w:tcPr>
            <w:tcW w:w="3119" w:type="dxa"/>
            <w:vMerge w:val="restart"/>
            <w:shd w:val="clear" w:color="auto" w:fill="011C50"/>
            <w:vAlign w:val="center"/>
            <w:hideMark/>
          </w:tcPr>
          <w:p w14:paraId="587768B9" w14:textId="77777777" w:rsidR="0001792D" w:rsidRPr="0001792D" w:rsidRDefault="0001792D" w:rsidP="00D64261">
            <w:pPr>
              <w:spacing w:line="360" w:lineRule="auto"/>
              <w:jc w:val="both"/>
              <w:rPr>
                <w:rFonts w:eastAsia="Calibri"/>
                <w:bCs/>
                <w:noProof/>
                <w:color w:val="FFFFFF" w:themeColor="background1"/>
              </w:rPr>
            </w:pPr>
            <w:r w:rsidRPr="0001792D">
              <w:rPr>
                <w:rFonts w:eastAsia="Calibri"/>
                <w:bCs/>
                <w:noProof/>
                <w:color w:val="FFFFFF" w:themeColor="background1"/>
              </w:rPr>
              <w:t>Tipo de Cuentas</w:t>
            </w:r>
          </w:p>
        </w:tc>
        <w:tc>
          <w:tcPr>
            <w:tcW w:w="1984" w:type="dxa"/>
            <w:shd w:val="clear" w:color="auto" w:fill="011C50"/>
            <w:vAlign w:val="center"/>
            <w:hideMark/>
          </w:tcPr>
          <w:p w14:paraId="77F97232" w14:textId="77777777" w:rsidR="0001792D" w:rsidRPr="0001792D" w:rsidRDefault="0001792D" w:rsidP="00D64261">
            <w:pPr>
              <w:spacing w:line="360" w:lineRule="auto"/>
              <w:jc w:val="both"/>
              <w:rPr>
                <w:rFonts w:eastAsia="Calibri"/>
                <w:bCs/>
                <w:noProof/>
                <w:color w:val="FFFFFF" w:themeColor="background1"/>
              </w:rPr>
            </w:pPr>
            <w:r w:rsidRPr="0001792D">
              <w:rPr>
                <w:rFonts w:eastAsia="Calibri"/>
                <w:bCs/>
                <w:noProof/>
                <w:color w:val="FFFFFF" w:themeColor="background1"/>
              </w:rPr>
              <w:t>Pesos</w:t>
            </w:r>
          </w:p>
        </w:tc>
        <w:tc>
          <w:tcPr>
            <w:tcW w:w="1560" w:type="dxa"/>
            <w:shd w:val="clear" w:color="auto" w:fill="011C50"/>
            <w:vAlign w:val="center"/>
            <w:hideMark/>
          </w:tcPr>
          <w:p w14:paraId="379EE512" w14:textId="77777777" w:rsidR="0001792D" w:rsidRPr="0001792D" w:rsidRDefault="0001792D" w:rsidP="00D64261">
            <w:pPr>
              <w:spacing w:line="360" w:lineRule="auto"/>
              <w:jc w:val="both"/>
              <w:rPr>
                <w:rFonts w:eastAsia="Calibri"/>
                <w:bCs/>
                <w:noProof/>
                <w:color w:val="FFFFFF" w:themeColor="background1"/>
              </w:rPr>
            </w:pPr>
            <w:r w:rsidRPr="0001792D">
              <w:rPr>
                <w:rFonts w:eastAsia="Calibri"/>
                <w:bCs/>
                <w:noProof/>
                <w:color w:val="FFFFFF" w:themeColor="background1"/>
              </w:rPr>
              <w:t>Dólares</w:t>
            </w:r>
          </w:p>
        </w:tc>
        <w:tc>
          <w:tcPr>
            <w:tcW w:w="1559" w:type="dxa"/>
            <w:shd w:val="clear" w:color="auto" w:fill="011C50"/>
            <w:vAlign w:val="center"/>
            <w:hideMark/>
          </w:tcPr>
          <w:p w14:paraId="65C6B595" w14:textId="77777777" w:rsidR="0001792D" w:rsidRPr="0001792D" w:rsidRDefault="0001792D" w:rsidP="00D64261">
            <w:pPr>
              <w:spacing w:line="360" w:lineRule="auto"/>
              <w:jc w:val="both"/>
              <w:rPr>
                <w:rFonts w:eastAsia="Calibri"/>
                <w:bCs/>
                <w:noProof/>
                <w:color w:val="FFFFFF" w:themeColor="background1"/>
              </w:rPr>
            </w:pPr>
            <w:r w:rsidRPr="0001792D">
              <w:rPr>
                <w:rFonts w:eastAsia="Calibri"/>
                <w:bCs/>
                <w:noProof/>
                <w:color w:val="FFFFFF" w:themeColor="background1"/>
              </w:rPr>
              <w:t>Euros</w:t>
            </w:r>
          </w:p>
        </w:tc>
      </w:tr>
      <w:tr w:rsidR="0001792D" w:rsidRPr="0001792D" w14:paraId="42D6252D" w14:textId="77777777" w:rsidTr="007F0A9B">
        <w:trPr>
          <w:trHeight w:val="626"/>
        </w:trPr>
        <w:tc>
          <w:tcPr>
            <w:tcW w:w="3119" w:type="dxa"/>
            <w:vMerge/>
            <w:shd w:val="clear" w:color="auto" w:fill="011C50"/>
            <w:vAlign w:val="center"/>
            <w:hideMark/>
          </w:tcPr>
          <w:p w14:paraId="5C73D667" w14:textId="77777777" w:rsidR="0001792D" w:rsidRPr="0001792D" w:rsidRDefault="0001792D" w:rsidP="00D64261">
            <w:pPr>
              <w:spacing w:line="360" w:lineRule="auto"/>
              <w:jc w:val="both"/>
              <w:rPr>
                <w:rFonts w:eastAsia="Calibri"/>
                <w:bCs/>
                <w:noProof/>
                <w:color w:val="FFFFFF" w:themeColor="background1"/>
              </w:rPr>
            </w:pPr>
          </w:p>
        </w:tc>
        <w:tc>
          <w:tcPr>
            <w:tcW w:w="1984" w:type="dxa"/>
            <w:shd w:val="clear" w:color="auto" w:fill="657C9C" w:themeFill="text2" w:themeFillTint="BF"/>
            <w:vAlign w:val="center"/>
            <w:hideMark/>
          </w:tcPr>
          <w:p w14:paraId="62F52168" w14:textId="77777777" w:rsidR="0001792D" w:rsidRPr="0001792D" w:rsidRDefault="0001792D" w:rsidP="00D64261">
            <w:pPr>
              <w:spacing w:line="360" w:lineRule="auto"/>
              <w:jc w:val="both"/>
              <w:rPr>
                <w:rFonts w:eastAsia="Calibri"/>
                <w:bCs/>
                <w:noProof/>
                <w:color w:val="FFFFFF" w:themeColor="background1"/>
              </w:rPr>
            </w:pPr>
            <w:r w:rsidRPr="0001792D">
              <w:rPr>
                <w:rFonts w:eastAsia="Calibri"/>
                <w:bCs/>
                <w:noProof/>
                <w:color w:val="FFFFFF" w:themeColor="background1"/>
              </w:rPr>
              <w:t xml:space="preserve">Balance al </w:t>
            </w:r>
          </w:p>
          <w:p w14:paraId="710F7383" w14:textId="77777777" w:rsidR="0001792D" w:rsidRPr="0001792D" w:rsidRDefault="0001792D" w:rsidP="00D64261">
            <w:pPr>
              <w:spacing w:line="360" w:lineRule="auto"/>
              <w:jc w:val="both"/>
              <w:rPr>
                <w:rFonts w:eastAsia="Calibri"/>
                <w:bCs/>
                <w:noProof/>
                <w:color w:val="FFFFFF" w:themeColor="background1"/>
              </w:rPr>
            </w:pPr>
            <w:r w:rsidRPr="0001792D">
              <w:rPr>
                <w:rFonts w:eastAsia="Calibri"/>
                <w:bCs/>
                <w:noProof/>
                <w:color w:val="FFFFFF" w:themeColor="background1"/>
              </w:rPr>
              <w:t>31/12/2025</w:t>
            </w:r>
          </w:p>
        </w:tc>
        <w:tc>
          <w:tcPr>
            <w:tcW w:w="1560" w:type="dxa"/>
            <w:shd w:val="clear" w:color="auto" w:fill="657C9C" w:themeFill="text2" w:themeFillTint="BF"/>
            <w:vAlign w:val="center"/>
            <w:hideMark/>
          </w:tcPr>
          <w:p w14:paraId="78CF5588" w14:textId="77777777" w:rsidR="0001792D" w:rsidRPr="0001792D" w:rsidRDefault="0001792D" w:rsidP="00D64261">
            <w:pPr>
              <w:spacing w:line="360" w:lineRule="auto"/>
              <w:jc w:val="both"/>
              <w:rPr>
                <w:rFonts w:eastAsia="Calibri"/>
                <w:bCs/>
                <w:noProof/>
                <w:color w:val="FFFFFF" w:themeColor="background1"/>
              </w:rPr>
            </w:pPr>
            <w:r w:rsidRPr="0001792D">
              <w:rPr>
                <w:rFonts w:eastAsia="Calibri"/>
                <w:bCs/>
                <w:noProof/>
                <w:color w:val="FFFFFF" w:themeColor="background1"/>
              </w:rPr>
              <w:t>Balance al 31/12/2025</w:t>
            </w:r>
          </w:p>
        </w:tc>
        <w:tc>
          <w:tcPr>
            <w:tcW w:w="1559" w:type="dxa"/>
            <w:shd w:val="clear" w:color="auto" w:fill="657C9C" w:themeFill="text2" w:themeFillTint="BF"/>
            <w:vAlign w:val="center"/>
            <w:hideMark/>
          </w:tcPr>
          <w:p w14:paraId="451146CE" w14:textId="77777777" w:rsidR="0001792D" w:rsidRPr="0001792D" w:rsidRDefault="0001792D" w:rsidP="00D64261">
            <w:pPr>
              <w:spacing w:line="360" w:lineRule="auto"/>
              <w:jc w:val="both"/>
              <w:rPr>
                <w:rFonts w:eastAsia="Calibri"/>
                <w:bCs/>
                <w:noProof/>
                <w:color w:val="FFFFFF" w:themeColor="background1"/>
              </w:rPr>
            </w:pPr>
            <w:r w:rsidRPr="0001792D">
              <w:rPr>
                <w:rFonts w:eastAsia="Calibri"/>
                <w:bCs/>
                <w:noProof/>
                <w:color w:val="FFFFFF" w:themeColor="background1"/>
              </w:rPr>
              <w:t>Balance al 31/12/2025</w:t>
            </w:r>
          </w:p>
        </w:tc>
      </w:tr>
      <w:tr w:rsidR="0001792D" w:rsidRPr="0001792D" w14:paraId="109D950A" w14:textId="77777777" w:rsidTr="007F0A9B">
        <w:trPr>
          <w:trHeight w:val="243"/>
        </w:trPr>
        <w:tc>
          <w:tcPr>
            <w:tcW w:w="3119" w:type="dxa"/>
            <w:vAlign w:val="center"/>
            <w:hideMark/>
          </w:tcPr>
          <w:p w14:paraId="2C5D0F1C" w14:textId="77777777" w:rsidR="0001792D" w:rsidRPr="006D506C" w:rsidRDefault="0001792D" w:rsidP="00D64261">
            <w:pPr>
              <w:spacing w:line="360" w:lineRule="auto"/>
              <w:jc w:val="both"/>
              <w:rPr>
                <w:rFonts w:eastAsia="Calibri"/>
                <w:noProof/>
              </w:rPr>
            </w:pPr>
            <w:r w:rsidRPr="006D506C">
              <w:rPr>
                <w:rFonts w:eastAsia="Calibri"/>
                <w:noProof/>
              </w:rPr>
              <w:t>Cuentas Colectoras</w:t>
            </w:r>
          </w:p>
        </w:tc>
        <w:tc>
          <w:tcPr>
            <w:tcW w:w="1984" w:type="dxa"/>
          </w:tcPr>
          <w:p w14:paraId="09195DE5" w14:textId="77777777" w:rsidR="0001792D" w:rsidRPr="006D506C" w:rsidRDefault="0001792D" w:rsidP="00D64261">
            <w:pPr>
              <w:spacing w:line="360" w:lineRule="auto"/>
              <w:jc w:val="both"/>
              <w:rPr>
                <w:rFonts w:eastAsia="Calibri"/>
                <w:noProof/>
              </w:rPr>
            </w:pPr>
            <w:r w:rsidRPr="006D506C">
              <w:rPr>
                <w:rFonts w:eastAsia="Calibri"/>
                <w:noProof/>
              </w:rPr>
              <w:t>0.00</w:t>
            </w:r>
          </w:p>
        </w:tc>
        <w:tc>
          <w:tcPr>
            <w:tcW w:w="1560" w:type="dxa"/>
          </w:tcPr>
          <w:p w14:paraId="2D33E0ED" w14:textId="77777777" w:rsidR="0001792D" w:rsidRPr="006D506C" w:rsidRDefault="0001792D" w:rsidP="00D64261">
            <w:pPr>
              <w:spacing w:line="360" w:lineRule="auto"/>
              <w:jc w:val="both"/>
              <w:rPr>
                <w:rFonts w:eastAsia="Calibri"/>
                <w:noProof/>
              </w:rPr>
            </w:pPr>
            <w:r w:rsidRPr="006D506C">
              <w:rPr>
                <w:rFonts w:eastAsia="Calibri"/>
                <w:noProof/>
              </w:rPr>
              <w:t>0.00</w:t>
            </w:r>
          </w:p>
        </w:tc>
        <w:tc>
          <w:tcPr>
            <w:tcW w:w="1559" w:type="dxa"/>
          </w:tcPr>
          <w:p w14:paraId="3A48A98F" w14:textId="77777777" w:rsidR="0001792D" w:rsidRPr="006D506C" w:rsidRDefault="0001792D" w:rsidP="00D64261">
            <w:pPr>
              <w:spacing w:line="360" w:lineRule="auto"/>
              <w:jc w:val="both"/>
              <w:rPr>
                <w:rFonts w:eastAsia="Calibri"/>
                <w:noProof/>
              </w:rPr>
            </w:pPr>
            <w:r w:rsidRPr="006D506C">
              <w:rPr>
                <w:rFonts w:eastAsia="Calibri"/>
                <w:noProof/>
              </w:rPr>
              <w:t>0.00</w:t>
            </w:r>
          </w:p>
        </w:tc>
      </w:tr>
      <w:tr w:rsidR="0001792D" w:rsidRPr="0001792D" w14:paraId="1EE46AAC" w14:textId="77777777" w:rsidTr="007F0A9B">
        <w:trPr>
          <w:trHeight w:val="243"/>
        </w:trPr>
        <w:tc>
          <w:tcPr>
            <w:tcW w:w="3119" w:type="dxa"/>
            <w:vAlign w:val="center"/>
            <w:hideMark/>
          </w:tcPr>
          <w:p w14:paraId="086B5C0E" w14:textId="77777777" w:rsidR="0001792D" w:rsidRPr="006D506C" w:rsidRDefault="0001792D" w:rsidP="00D64261">
            <w:pPr>
              <w:spacing w:line="360" w:lineRule="auto"/>
              <w:jc w:val="both"/>
              <w:rPr>
                <w:rFonts w:eastAsia="Calibri"/>
                <w:noProof/>
              </w:rPr>
            </w:pPr>
            <w:r w:rsidRPr="006D506C">
              <w:rPr>
                <w:rFonts w:eastAsia="Calibri"/>
                <w:noProof/>
              </w:rPr>
              <w:t>Anticipos Financieros</w:t>
            </w:r>
          </w:p>
        </w:tc>
        <w:tc>
          <w:tcPr>
            <w:tcW w:w="1984" w:type="dxa"/>
          </w:tcPr>
          <w:p w14:paraId="19B73A23" w14:textId="77777777" w:rsidR="0001792D" w:rsidRPr="006D506C" w:rsidRDefault="0001792D" w:rsidP="00D64261">
            <w:pPr>
              <w:spacing w:line="360" w:lineRule="auto"/>
              <w:jc w:val="both"/>
              <w:rPr>
                <w:rFonts w:eastAsia="Calibri"/>
                <w:noProof/>
              </w:rPr>
            </w:pPr>
            <w:r w:rsidRPr="006D506C">
              <w:rPr>
                <w:rFonts w:eastAsia="Calibri"/>
                <w:noProof/>
              </w:rPr>
              <w:t>413,505,969</w:t>
            </w:r>
          </w:p>
        </w:tc>
        <w:tc>
          <w:tcPr>
            <w:tcW w:w="1560" w:type="dxa"/>
          </w:tcPr>
          <w:p w14:paraId="253E1B45" w14:textId="77777777" w:rsidR="0001792D" w:rsidRPr="006D506C" w:rsidRDefault="0001792D" w:rsidP="00D64261">
            <w:pPr>
              <w:spacing w:line="360" w:lineRule="auto"/>
              <w:jc w:val="both"/>
              <w:rPr>
                <w:rFonts w:eastAsia="Calibri"/>
                <w:noProof/>
              </w:rPr>
            </w:pPr>
          </w:p>
        </w:tc>
        <w:tc>
          <w:tcPr>
            <w:tcW w:w="1559" w:type="dxa"/>
          </w:tcPr>
          <w:p w14:paraId="5AA8F5A4" w14:textId="77777777" w:rsidR="0001792D" w:rsidRPr="006D506C" w:rsidRDefault="0001792D" w:rsidP="00D64261">
            <w:pPr>
              <w:spacing w:line="360" w:lineRule="auto"/>
              <w:jc w:val="both"/>
              <w:rPr>
                <w:rFonts w:eastAsia="Calibri"/>
                <w:noProof/>
              </w:rPr>
            </w:pPr>
          </w:p>
        </w:tc>
      </w:tr>
      <w:tr w:rsidR="0001792D" w:rsidRPr="0001792D" w14:paraId="4BADB0BE" w14:textId="77777777" w:rsidTr="007F0A9B">
        <w:trPr>
          <w:trHeight w:val="243"/>
        </w:trPr>
        <w:tc>
          <w:tcPr>
            <w:tcW w:w="3119" w:type="dxa"/>
            <w:vAlign w:val="center"/>
          </w:tcPr>
          <w:p w14:paraId="3BDD1703" w14:textId="77777777" w:rsidR="0001792D" w:rsidRPr="006D506C" w:rsidRDefault="0001792D" w:rsidP="00D64261">
            <w:pPr>
              <w:spacing w:line="360" w:lineRule="auto"/>
              <w:jc w:val="both"/>
              <w:rPr>
                <w:rFonts w:eastAsia="Calibri"/>
                <w:noProof/>
              </w:rPr>
            </w:pPr>
            <w:r w:rsidRPr="006D506C">
              <w:rPr>
                <w:rFonts w:eastAsia="Calibri"/>
                <w:noProof/>
              </w:rPr>
              <w:t>Cuentas Especiales</w:t>
            </w:r>
          </w:p>
        </w:tc>
        <w:tc>
          <w:tcPr>
            <w:tcW w:w="1984" w:type="dxa"/>
          </w:tcPr>
          <w:p w14:paraId="2BC88F5B" w14:textId="77777777" w:rsidR="0001792D" w:rsidRPr="006D506C" w:rsidRDefault="0001792D" w:rsidP="00D64261">
            <w:pPr>
              <w:spacing w:line="360" w:lineRule="auto"/>
              <w:jc w:val="both"/>
              <w:rPr>
                <w:rFonts w:eastAsia="Calibri"/>
                <w:noProof/>
              </w:rPr>
            </w:pPr>
            <w:r w:rsidRPr="006D506C">
              <w:rPr>
                <w:rFonts w:eastAsia="Calibri"/>
                <w:noProof/>
              </w:rPr>
              <w:t>278,545,838</w:t>
            </w:r>
          </w:p>
        </w:tc>
        <w:tc>
          <w:tcPr>
            <w:tcW w:w="1560" w:type="dxa"/>
          </w:tcPr>
          <w:p w14:paraId="4830518D" w14:textId="77777777" w:rsidR="0001792D" w:rsidRPr="006D506C" w:rsidRDefault="0001792D" w:rsidP="00D64261">
            <w:pPr>
              <w:spacing w:line="360" w:lineRule="auto"/>
              <w:jc w:val="both"/>
              <w:rPr>
                <w:rFonts w:eastAsia="Calibri"/>
                <w:noProof/>
              </w:rPr>
            </w:pPr>
          </w:p>
        </w:tc>
        <w:tc>
          <w:tcPr>
            <w:tcW w:w="1559" w:type="dxa"/>
          </w:tcPr>
          <w:p w14:paraId="00B5709C" w14:textId="77777777" w:rsidR="0001792D" w:rsidRPr="006D506C" w:rsidRDefault="0001792D" w:rsidP="00D64261">
            <w:pPr>
              <w:spacing w:line="360" w:lineRule="auto"/>
              <w:jc w:val="both"/>
              <w:rPr>
                <w:rFonts w:eastAsia="Calibri"/>
                <w:noProof/>
              </w:rPr>
            </w:pPr>
          </w:p>
        </w:tc>
      </w:tr>
      <w:tr w:rsidR="0001792D" w:rsidRPr="0001792D" w14:paraId="3A40B271" w14:textId="77777777" w:rsidTr="007F0A9B">
        <w:trPr>
          <w:trHeight w:val="243"/>
        </w:trPr>
        <w:tc>
          <w:tcPr>
            <w:tcW w:w="3119" w:type="dxa"/>
            <w:vAlign w:val="center"/>
            <w:hideMark/>
          </w:tcPr>
          <w:p w14:paraId="616238F9" w14:textId="77777777" w:rsidR="0001792D" w:rsidRPr="006D506C" w:rsidRDefault="0001792D" w:rsidP="00D64261">
            <w:pPr>
              <w:spacing w:line="360" w:lineRule="auto"/>
              <w:jc w:val="both"/>
              <w:rPr>
                <w:rFonts w:eastAsia="Calibri"/>
                <w:noProof/>
              </w:rPr>
            </w:pPr>
            <w:r w:rsidRPr="006D506C">
              <w:rPr>
                <w:rFonts w:eastAsia="Calibri"/>
                <w:noProof/>
              </w:rPr>
              <w:t>Cuentas Operativas</w:t>
            </w:r>
          </w:p>
        </w:tc>
        <w:tc>
          <w:tcPr>
            <w:tcW w:w="1984" w:type="dxa"/>
          </w:tcPr>
          <w:p w14:paraId="1030867F" w14:textId="77777777" w:rsidR="0001792D" w:rsidRPr="006D506C" w:rsidRDefault="0001792D" w:rsidP="00D64261">
            <w:pPr>
              <w:spacing w:line="360" w:lineRule="auto"/>
              <w:jc w:val="both"/>
              <w:rPr>
                <w:rFonts w:eastAsia="Calibri"/>
                <w:noProof/>
              </w:rPr>
            </w:pPr>
            <w:r w:rsidRPr="006D506C">
              <w:rPr>
                <w:rFonts w:eastAsia="Calibri"/>
                <w:noProof/>
              </w:rPr>
              <w:t>9,120,035,641</w:t>
            </w:r>
          </w:p>
        </w:tc>
        <w:tc>
          <w:tcPr>
            <w:tcW w:w="1560" w:type="dxa"/>
          </w:tcPr>
          <w:p w14:paraId="30A4680A" w14:textId="77777777" w:rsidR="0001792D" w:rsidRPr="006D506C" w:rsidRDefault="0001792D" w:rsidP="00D64261">
            <w:pPr>
              <w:spacing w:line="360" w:lineRule="auto"/>
              <w:jc w:val="both"/>
              <w:rPr>
                <w:rFonts w:eastAsia="Calibri"/>
                <w:noProof/>
              </w:rPr>
            </w:pPr>
            <w:r w:rsidRPr="006D506C">
              <w:rPr>
                <w:rFonts w:eastAsia="Calibri"/>
                <w:noProof/>
              </w:rPr>
              <w:t>85,418,979</w:t>
            </w:r>
          </w:p>
        </w:tc>
        <w:tc>
          <w:tcPr>
            <w:tcW w:w="1559" w:type="dxa"/>
          </w:tcPr>
          <w:p w14:paraId="2E38206D" w14:textId="77777777" w:rsidR="0001792D" w:rsidRPr="006D506C" w:rsidRDefault="0001792D" w:rsidP="00D64261">
            <w:pPr>
              <w:spacing w:line="360" w:lineRule="auto"/>
              <w:jc w:val="both"/>
              <w:rPr>
                <w:rFonts w:eastAsia="Calibri"/>
                <w:noProof/>
              </w:rPr>
            </w:pPr>
          </w:p>
        </w:tc>
      </w:tr>
      <w:tr w:rsidR="0001792D" w:rsidRPr="0001792D" w14:paraId="5F3B1AE6" w14:textId="77777777" w:rsidTr="007F0A9B">
        <w:trPr>
          <w:trHeight w:val="243"/>
        </w:trPr>
        <w:tc>
          <w:tcPr>
            <w:tcW w:w="3119" w:type="dxa"/>
            <w:vAlign w:val="center"/>
            <w:hideMark/>
          </w:tcPr>
          <w:p w14:paraId="5F0A5F68" w14:textId="77777777" w:rsidR="0001792D" w:rsidRPr="006D506C" w:rsidRDefault="0001792D" w:rsidP="00D64261">
            <w:pPr>
              <w:spacing w:line="360" w:lineRule="auto"/>
              <w:jc w:val="both"/>
              <w:rPr>
                <w:rFonts w:eastAsia="Calibri"/>
                <w:noProof/>
              </w:rPr>
            </w:pPr>
            <w:r w:rsidRPr="006D506C">
              <w:rPr>
                <w:rFonts w:eastAsia="Calibri"/>
                <w:noProof/>
              </w:rPr>
              <w:t>Contrapartidas</w:t>
            </w:r>
          </w:p>
        </w:tc>
        <w:tc>
          <w:tcPr>
            <w:tcW w:w="1984" w:type="dxa"/>
          </w:tcPr>
          <w:p w14:paraId="2BFB0820" w14:textId="77777777" w:rsidR="0001792D" w:rsidRPr="006D506C" w:rsidRDefault="0001792D" w:rsidP="00D64261">
            <w:pPr>
              <w:spacing w:line="360" w:lineRule="auto"/>
              <w:jc w:val="both"/>
              <w:rPr>
                <w:rFonts w:eastAsia="Calibri"/>
                <w:noProof/>
              </w:rPr>
            </w:pPr>
            <w:r w:rsidRPr="006D506C">
              <w:rPr>
                <w:rFonts w:eastAsia="Calibri"/>
                <w:noProof/>
              </w:rPr>
              <w:t>825,050</w:t>
            </w:r>
          </w:p>
        </w:tc>
        <w:tc>
          <w:tcPr>
            <w:tcW w:w="1560" w:type="dxa"/>
          </w:tcPr>
          <w:p w14:paraId="58738A51" w14:textId="77777777" w:rsidR="0001792D" w:rsidRPr="006D506C" w:rsidRDefault="0001792D" w:rsidP="00D64261">
            <w:pPr>
              <w:spacing w:line="360" w:lineRule="auto"/>
              <w:jc w:val="both"/>
              <w:rPr>
                <w:rFonts w:eastAsia="Calibri"/>
                <w:noProof/>
              </w:rPr>
            </w:pPr>
            <w:r w:rsidRPr="006D506C">
              <w:rPr>
                <w:rFonts w:eastAsia="Calibri"/>
                <w:noProof/>
              </w:rPr>
              <w:t>0.00</w:t>
            </w:r>
          </w:p>
        </w:tc>
        <w:tc>
          <w:tcPr>
            <w:tcW w:w="1559" w:type="dxa"/>
          </w:tcPr>
          <w:p w14:paraId="638E2555" w14:textId="77777777" w:rsidR="0001792D" w:rsidRPr="006D506C" w:rsidRDefault="0001792D" w:rsidP="00D64261">
            <w:pPr>
              <w:spacing w:line="360" w:lineRule="auto"/>
              <w:jc w:val="both"/>
              <w:rPr>
                <w:rFonts w:eastAsia="Calibri"/>
                <w:noProof/>
              </w:rPr>
            </w:pPr>
            <w:r w:rsidRPr="006D506C">
              <w:rPr>
                <w:rFonts w:eastAsia="Calibri"/>
                <w:noProof/>
              </w:rPr>
              <w:t>0.00</w:t>
            </w:r>
          </w:p>
        </w:tc>
      </w:tr>
      <w:tr w:rsidR="0001792D" w:rsidRPr="0001792D" w14:paraId="2C468C4A" w14:textId="77777777" w:rsidTr="007F0A9B">
        <w:trPr>
          <w:trHeight w:val="243"/>
        </w:trPr>
        <w:tc>
          <w:tcPr>
            <w:tcW w:w="3119" w:type="dxa"/>
            <w:vAlign w:val="center"/>
            <w:hideMark/>
          </w:tcPr>
          <w:p w14:paraId="7983CE68" w14:textId="77777777" w:rsidR="0001792D" w:rsidRPr="006D506C" w:rsidRDefault="0001792D" w:rsidP="00D64261">
            <w:pPr>
              <w:spacing w:line="360" w:lineRule="auto"/>
              <w:jc w:val="both"/>
              <w:rPr>
                <w:rFonts w:eastAsia="Calibri"/>
                <w:noProof/>
              </w:rPr>
            </w:pPr>
            <w:r w:rsidRPr="006D506C">
              <w:rPr>
                <w:rFonts w:eastAsia="Calibri"/>
                <w:noProof/>
              </w:rPr>
              <w:t xml:space="preserve">Cuentas Financiamientos Externos  </w:t>
            </w:r>
          </w:p>
        </w:tc>
        <w:tc>
          <w:tcPr>
            <w:tcW w:w="1984" w:type="dxa"/>
          </w:tcPr>
          <w:p w14:paraId="5092585A" w14:textId="77777777" w:rsidR="0001792D" w:rsidRPr="006D506C" w:rsidRDefault="0001792D" w:rsidP="00D64261">
            <w:pPr>
              <w:spacing w:line="360" w:lineRule="auto"/>
              <w:jc w:val="both"/>
              <w:rPr>
                <w:rFonts w:eastAsia="Calibri"/>
                <w:noProof/>
              </w:rPr>
            </w:pPr>
            <w:r w:rsidRPr="006D506C">
              <w:rPr>
                <w:rFonts w:eastAsia="Calibri"/>
                <w:noProof/>
              </w:rPr>
              <w:t>0.00</w:t>
            </w:r>
          </w:p>
        </w:tc>
        <w:tc>
          <w:tcPr>
            <w:tcW w:w="1560" w:type="dxa"/>
          </w:tcPr>
          <w:p w14:paraId="1954562E" w14:textId="77777777" w:rsidR="0001792D" w:rsidRPr="006D506C" w:rsidRDefault="0001792D" w:rsidP="00D64261">
            <w:pPr>
              <w:spacing w:line="360" w:lineRule="auto"/>
              <w:jc w:val="both"/>
              <w:rPr>
                <w:rFonts w:eastAsia="Calibri"/>
                <w:noProof/>
              </w:rPr>
            </w:pPr>
            <w:r w:rsidRPr="006D506C">
              <w:rPr>
                <w:rFonts w:eastAsia="Calibri"/>
                <w:noProof/>
              </w:rPr>
              <w:t>29,933,778</w:t>
            </w:r>
          </w:p>
        </w:tc>
        <w:tc>
          <w:tcPr>
            <w:tcW w:w="1559" w:type="dxa"/>
          </w:tcPr>
          <w:p w14:paraId="537AE240" w14:textId="77777777" w:rsidR="0001792D" w:rsidRPr="006D506C" w:rsidRDefault="0001792D" w:rsidP="00D64261">
            <w:pPr>
              <w:spacing w:line="360" w:lineRule="auto"/>
              <w:jc w:val="both"/>
              <w:rPr>
                <w:rFonts w:eastAsia="Calibri"/>
                <w:noProof/>
              </w:rPr>
            </w:pPr>
            <w:r w:rsidRPr="006D506C">
              <w:rPr>
                <w:rFonts w:eastAsia="Calibri"/>
                <w:noProof/>
              </w:rPr>
              <w:t>0.00</w:t>
            </w:r>
          </w:p>
        </w:tc>
      </w:tr>
      <w:tr w:rsidR="0001792D" w:rsidRPr="0001792D" w14:paraId="0FD5CBCE" w14:textId="77777777" w:rsidTr="007F0A9B">
        <w:trPr>
          <w:trHeight w:val="355"/>
        </w:trPr>
        <w:tc>
          <w:tcPr>
            <w:tcW w:w="3119" w:type="dxa"/>
            <w:shd w:val="clear" w:color="auto" w:fill="011C50"/>
            <w:vAlign w:val="center"/>
            <w:hideMark/>
          </w:tcPr>
          <w:p w14:paraId="2980C0F6" w14:textId="77777777" w:rsidR="0001792D" w:rsidRPr="0001792D" w:rsidRDefault="0001792D" w:rsidP="00D64261">
            <w:pPr>
              <w:spacing w:line="360" w:lineRule="auto"/>
              <w:jc w:val="both"/>
              <w:rPr>
                <w:rFonts w:eastAsia="Calibri"/>
                <w:noProof/>
                <w:color w:val="FFFFFF" w:themeColor="background1"/>
              </w:rPr>
            </w:pPr>
            <w:r w:rsidRPr="0001792D">
              <w:rPr>
                <w:rFonts w:eastAsia="Calibri"/>
                <w:noProof/>
                <w:color w:val="FFFFFF" w:themeColor="background1"/>
              </w:rPr>
              <w:t>Total por Moneda</w:t>
            </w:r>
          </w:p>
        </w:tc>
        <w:tc>
          <w:tcPr>
            <w:tcW w:w="1984" w:type="dxa"/>
            <w:shd w:val="clear" w:color="auto" w:fill="011C50"/>
          </w:tcPr>
          <w:p w14:paraId="4B775B2F" w14:textId="77777777" w:rsidR="0001792D" w:rsidRPr="0001792D" w:rsidRDefault="0001792D" w:rsidP="00D64261">
            <w:pPr>
              <w:spacing w:line="360" w:lineRule="auto"/>
              <w:jc w:val="both"/>
              <w:rPr>
                <w:rFonts w:eastAsia="Calibri"/>
                <w:noProof/>
                <w:color w:val="FFFFFF" w:themeColor="background1"/>
              </w:rPr>
            </w:pPr>
            <w:r w:rsidRPr="0001792D">
              <w:rPr>
                <w:rFonts w:eastAsia="Calibri"/>
                <w:noProof/>
                <w:color w:val="FFFFFF" w:themeColor="background1"/>
              </w:rPr>
              <w:t>9,812,912,498</w:t>
            </w:r>
          </w:p>
        </w:tc>
        <w:tc>
          <w:tcPr>
            <w:tcW w:w="1560" w:type="dxa"/>
            <w:shd w:val="clear" w:color="auto" w:fill="011C50"/>
          </w:tcPr>
          <w:p w14:paraId="3CF1EE4B" w14:textId="77777777" w:rsidR="0001792D" w:rsidRPr="0001792D" w:rsidRDefault="0001792D" w:rsidP="00D64261">
            <w:pPr>
              <w:spacing w:line="360" w:lineRule="auto"/>
              <w:jc w:val="both"/>
              <w:rPr>
                <w:rFonts w:eastAsia="Calibri"/>
                <w:noProof/>
                <w:color w:val="FFFFFF" w:themeColor="background1"/>
              </w:rPr>
            </w:pPr>
            <w:r w:rsidRPr="0001792D">
              <w:rPr>
                <w:rFonts w:eastAsia="Calibri"/>
                <w:noProof/>
                <w:color w:val="FFFFFF" w:themeColor="background1"/>
              </w:rPr>
              <w:t xml:space="preserve">115,352,757   </w:t>
            </w:r>
          </w:p>
        </w:tc>
        <w:tc>
          <w:tcPr>
            <w:tcW w:w="1559" w:type="dxa"/>
            <w:shd w:val="clear" w:color="auto" w:fill="011C50"/>
            <w:vAlign w:val="center"/>
          </w:tcPr>
          <w:p w14:paraId="284F9362" w14:textId="77777777" w:rsidR="0001792D" w:rsidRPr="0001792D" w:rsidRDefault="0001792D" w:rsidP="00D64261">
            <w:pPr>
              <w:spacing w:line="360" w:lineRule="auto"/>
              <w:jc w:val="both"/>
              <w:rPr>
                <w:rFonts w:eastAsia="Calibri"/>
                <w:noProof/>
                <w:color w:val="FFFFFF" w:themeColor="background1"/>
              </w:rPr>
            </w:pPr>
            <w:r w:rsidRPr="0001792D">
              <w:rPr>
                <w:rFonts w:eastAsia="Calibri"/>
                <w:noProof/>
                <w:color w:val="FFFFFF" w:themeColor="background1"/>
              </w:rPr>
              <w:t>0.00</w:t>
            </w:r>
          </w:p>
        </w:tc>
      </w:tr>
    </w:tbl>
    <w:p w14:paraId="17F84FF7" w14:textId="77777777" w:rsidR="0001792D" w:rsidRPr="006D506C" w:rsidRDefault="0001792D" w:rsidP="00D64261">
      <w:pPr>
        <w:spacing w:line="360" w:lineRule="auto"/>
        <w:jc w:val="both"/>
        <w:rPr>
          <w:rFonts w:eastAsia="Calibri"/>
          <w:b/>
          <w:bCs/>
          <w:i/>
          <w:iCs/>
          <w:noProof/>
          <w:sz w:val="18"/>
          <w:szCs w:val="18"/>
          <w:lang w:val="es-DO"/>
        </w:rPr>
      </w:pPr>
      <w:r w:rsidRPr="006D506C">
        <w:rPr>
          <w:rFonts w:eastAsia="Calibri"/>
          <w:b/>
          <w:bCs/>
          <w:i/>
          <w:iCs/>
          <w:noProof/>
          <w:sz w:val="18"/>
          <w:szCs w:val="18"/>
          <w:lang w:val="es-DO"/>
        </w:rPr>
        <w:t xml:space="preserve">       Fuente: Sistema Integrado Gestión Financiera (SIGEF)</w:t>
      </w:r>
    </w:p>
    <w:p w14:paraId="2C207E10" w14:textId="77777777" w:rsidR="0001792D" w:rsidRPr="0001792D" w:rsidRDefault="0001792D" w:rsidP="00D64261">
      <w:pPr>
        <w:spacing w:line="360" w:lineRule="auto"/>
        <w:jc w:val="both"/>
        <w:rPr>
          <w:rFonts w:eastAsia="Calibri"/>
          <w:b/>
          <w:noProof/>
          <w:color w:val="4C4747"/>
          <w:lang w:val="es-DO"/>
        </w:rPr>
      </w:pPr>
    </w:p>
    <w:p w14:paraId="759102A7" w14:textId="77777777" w:rsidR="0001792D" w:rsidRDefault="0001792D" w:rsidP="00D64261">
      <w:pPr>
        <w:spacing w:line="360" w:lineRule="auto"/>
        <w:jc w:val="both"/>
        <w:rPr>
          <w:rFonts w:eastAsia="Calibri"/>
          <w:b/>
          <w:noProof/>
          <w:color w:val="4C4747"/>
          <w:lang w:val="es-DO"/>
        </w:rPr>
      </w:pPr>
    </w:p>
    <w:p w14:paraId="2C20B12F" w14:textId="77777777" w:rsidR="0001792D" w:rsidRDefault="0001792D" w:rsidP="00D64261">
      <w:pPr>
        <w:spacing w:line="360" w:lineRule="auto"/>
        <w:jc w:val="both"/>
        <w:rPr>
          <w:rFonts w:eastAsia="Calibri"/>
          <w:b/>
          <w:noProof/>
          <w:color w:val="4C4747"/>
          <w:lang w:val="es-DO"/>
        </w:rPr>
      </w:pPr>
    </w:p>
    <w:p w14:paraId="3A85E79B" w14:textId="77777777" w:rsidR="0001792D" w:rsidRDefault="0001792D" w:rsidP="00D64261">
      <w:pPr>
        <w:spacing w:line="360" w:lineRule="auto"/>
        <w:jc w:val="both"/>
        <w:rPr>
          <w:rFonts w:eastAsia="Calibri"/>
          <w:b/>
          <w:noProof/>
          <w:color w:val="4C4747"/>
          <w:lang w:val="es-DO"/>
        </w:rPr>
      </w:pPr>
    </w:p>
    <w:p w14:paraId="7909EF87" w14:textId="77777777" w:rsidR="0001792D" w:rsidRPr="0001792D" w:rsidRDefault="0001792D" w:rsidP="00D64261">
      <w:pPr>
        <w:spacing w:line="360" w:lineRule="auto"/>
        <w:jc w:val="both"/>
        <w:rPr>
          <w:rFonts w:eastAsia="Calibri"/>
          <w:b/>
          <w:noProof/>
          <w:color w:val="4C4747"/>
          <w:lang w:val="es-DO"/>
        </w:rPr>
      </w:pPr>
    </w:p>
    <w:p w14:paraId="571FAE83" w14:textId="77777777" w:rsidR="0001792D" w:rsidRDefault="0001792D" w:rsidP="00D64261">
      <w:pPr>
        <w:spacing w:line="360" w:lineRule="auto"/>
        <w:jc w:val="both"/>
        <w:rPr>
          <w:rFonts w:eastAsia="Calibri"/>
          <w:b/>
          <w:noProof/>
          <w:color w:val="4C4747"/>
          <w:lang w:val="es-DO"/>
        </w:rPr>
      </w:pPr>
    </w:p>
    <w:p w14:paraId="3DCBFACE" w14:textId="77777777" w:rsidR="00B046C6" w:rsidRDefault="00B046C6" w:rsidP="00D64261">
      <w:pPr>
        <w:spacing w:line="360" w:lineRule="auto"/>
        <w:jc w:val="both"/>
        <w:rPr>
          <w:rFonts w:eastAsia="Calibri"/>
          <w:b/>
          <w:noProof/>
          <w:color w:val="4C4747"/>
          <w:lang w:val="es-DO"/>
        </w:rPr>
      </w:pPr>
    </w:p>
    <w:p w14:paraId="44D6119D" w14:textId="77777777" w:rsidR="004C0D17" w:rsidRPr="0001792D" w:rsidRDefault="004C0D17" w:rsidP="00D64261">
      <w:pPr>
        <w:spacing w:line="360" w:lineRule="auto"/>
        <w:jc w:val="both"/>
        <w:rPr>
          <w:rFonts w:eastAsia="Calibri"/>
          <w:b/>
          <w:noProof/>
          <w:color w:val="4C4747"/>
          <w:lang w:val="es-DO"/>
        </w:rPr>
      </w:pPr>
    </w:p>
    <w:tbl>
      <w:tblPr>
        <w:tblW w:w="6800" w:type="dxa"/>
        <w:tblInd w:w="557" w:type="dxa"/>
        <w:tblCellMar>
          <w:left w:w="70" w:type="dxa"/>
          <w:right w:w="70" w:type="dxa"/>
        </w:tblCellMar>
        <w:tblLook w:val="04A0" w:firstRow="1" w:lastRow="0" w:firstColumn="1" w:lastColumn="0" w:noHBand="0" w:noVBand="1"/>
      </w:tblPr>
      <w:tblGrid>
        <w:gridCol w:w="4560"/>
        <w:gridCol w:w="2240"/>
      </w:tblGrid>
      <w:tr w:rsidR="0001792D" w:rsidRPr="0001792D" w14:paraId="672B077E" w14:textId="77777777" w:rsidTr="0001792D">
        <w:trPr>
          <w:trHeight w:val="330"/>
        </w:trPr>
        <w:tc>
          <w:tcPr>
            <w:tcW w:w="6800" w:type="dxa"/>
            <w:gridSpan w:val="2"/>
            <w:tcBorders>
              <w:top w:val="single" w:sz="4" w:space="0" w:color="FFFFFF"/>
              <w:left w:val="single" w:sz="4" w:space="0" w:color="FFFFFF"/>
              <w:bottom w:val="nil"/>
              <w:right w:val="single" w:sz="4" w:space="0" w:color="FFFFFF"/>
            </w:tcBorders>
            <w:noWrap/>
            <w:vAlign w:val="center"/>
            <w:hideMark/>
          </w:tcPr>
          <w:p w14:paraId="7576BC84" w14:textId="742286F8" w:rsidR="0001792D" w:rsidRPr="00AC7AC2" w:rsidRDefault="0001792D" w:rsidP="00D64261">
            <w:pPr>
              <w:spacing w:after="0" w:line="360" w:lineRule="auto"/>
              <w:jc w:val="center"/>
              <w:rPr>
                <w:rFonts w:eastAsia="Calibri"/>
                <w:b/>
                <w:bCs/>
                <w:noProof/>
                <w:lang w:val="es-DO"/>
              </w:rPr>
            </w:pPr>
            <w:r w:rsidRPr="00AC7AC2">
              <w:rPr>
                <w:rFonts w:eastAsia="Calibri"/>
                <w:b/>
                <w:bCs/>
                <w:noProof/>
                <w:lang w:val="es-DO"/>
              </w:rPr>
              <w:lastRenderedPageBreak/>
              <w:t xml:space="preserve">Cuadro No. </w:t>
            </w:r>
            <w:r w:rsidR="008D7279" w:rsidRPr="00AC7AC2">
              <w:rPr>
                <w:rFonts w:eastAsia="Calibri"/>
                <w:b/>
                <w:bCs/>
                <w:noProof/>
                <w:lang w:val="es-DO"/>
              </w:rPr>
              <w:t>30</w:t>
            </w:r>
          </w:p>
        </w:tc>
      </w:tr>
      <w:tr w:rsidR="0001792D" w:rsidRPr="0001792D" w14:paraId="29EAC080" w14:textId="77777777" w:rsidTr="0001792D">
        <w:trPr>
          <w:trHeight w:val="315"/>
        </w:trPr>
        <w:tc>
          <w:tcPr>
            <w:tcW w:w="6800" w:type="dxa"/>
            <w:gridSpan w:val="2"/>
            <w:tcBorders>
              <w:top w:val="nil"/>
              <w:left w:val="single" w:sz="4" w:space="0" w:color="FFFFFF"/>
              <w:bottom w:val="nil"/>
              <w:right w:val="single" w:sz="4" w:space="0" w:color="FFFFFF"/>
            </w:tcBorders>
            <w:noWrap/>
            <w:vAlign w:val="center"/>
            <w:hideMark/>
          </w:tcPr>
          <w:p w14:paraId="78CB4A35" w14:textId="77777777" w:rsidR="0001792D" w:rsidRPr="00AC7AC2" w:rsidRDefault="0001792D" w:rsidP="00D64261">
            <w:pPr>
              <w:spacing w:after="0" w:line="360" w:lineRule="auto"/>
              <w:jc w:val="center"/>
              <w:rPr>
                <w:rFonts w:eastAsia="Calibri"/>
                <w:b/>
                <w:bCs/>
                <w:noProof/>
                <w:lang w:val="es-DO"/>
              </w:rPr>
            </w:pPr>
            <w:r w:rsidRPr="00AC7AC2">
              <w:rPr>
                <w:rFonts w:eastAsia="Calibri"/>
                <w:b/>
                <w:bCs/>
                <w:noProof/>
                <w:lang w:val="es-DO"/>
              </w:rPr>
              <w:t>Tesorería Nacional</w:t>
            </w:r>
          </w:p>
        </w:tc>
      </w:tr>
      <w:tr w:rsidR="0001792D" w:rsidRPr="00B47076" w14:paraId="2F0C0E24" w14:textId="77777777" w:rsidTr="0001792D">
        <w:trPr>
          <w:trHeight w:val="315"/>
        </w:trPr>
        <w:tc>
          <w:tcPr>
            <w:tcW w:w="6800" w:type="dxa"/>
            <w:gridSpan w:val="2"/>
            <w:tcBorders>
              <w:top w:val="nil"/>
              <w:left w:val="single" w:sz="4" w:space="0" w:color="FFFFFF"/>
              <w:bottom w:val="nil"/>
              <w:right w:val="single" w:sz="4" w:space="0" w:color="FFFFFF"/>
            </w:tcBorders>
            <w:noWrap/>
            <w:vAlign w:val="center"/>
            <w:hideMark/>
          </w:tcPr>
          <w:p w14:paraId="2DE7C20C" w14:textId="77777777" w:rsidR="0001792D" w:rsidRPr="00AC7AC2" w:rsidRDefault="0001792D" w:rsidP="00D64261">
            <w:pPr>
              <w:spacing w:after="0" w:line="360" w:lineRule="auto"/>
              <w:jc w:val="center"/>
              <w:rPr>
                <w:rFonts w:eastAsia="Calibri"/>
                <w:b/>
                <w:bCs/>
                <w:noProof/>
                <w:lang w:val="es-DO"/>
              </w:rPr>
            </w:pPr>
            <w:r w:rsidRPr="00AC7AC2">
              <w:rPr>
                <w:rFonts w:eastAsia="Calibri"/>
                <w:b/>
                <w:bCs/>
                <w:noProof/>
                <w:lang w:val="es-DO"/>
              </w:rPr>
              <w:t>Balances en Cuentas Anticipos Financieros por Tipo</w:t>
            </w:r>
          </w:p>
        </w:tc>
      </w:tr>
      <w:tr w:rsidR="0001792D" w:rsidRPr="0001792D" w14:paraId="6EE2CC44" w14:textId="77777777" w:rsidTr="0001792D">
        <w:trPr>
          <w:trHeight w:val="315"/>
        </w:trPr>
        <w:tc>
          <w:tcPr>
            <w:tcW w:w="6800" w:type="dxa"/>
            <w:gridSpan w:val="2"/>
            <w:tcBorders>
              <w:top w:val="nil"/>
              <w:left w:val="single" w:sz="4" w:space="0" w:color="FFFFFF"/>
              <w:bottom w:val="nil"/>
              <w:right w:val="single" w:sz="4" w:space="0" w:color="FFFFFF"/>
            </w:tcBorders>
            <w:noWrap/>
            <w:vAlign w:val="center"/>
            <w:hideMark/>
          </w:tcPr>
          <w:p w14:paraId="7C87555D" w14:textId="77777777" w:rsidR="0001792D" w:rsidRPr="00AC7AC2" w:rsidRDefault="0001792D" w:rsidP="00D64261">
            <w:pPr>
              <w:spacing w:after="0" w:line="360" w:lineRule="auto"/>
              <w:jc w:val="center"/>
              <w:rPr>
                <w:rFonts w:eastAsia="Calibri"/>
                <w:b/>
                <w:bCs/>
                <w:noProof/>
                <w:lang w:val="es-DO"/>
              </w:rPr>
            </w:pPr>
            <w:r w:rsidRPr="00AC7AC2">
              <w:rPr>
                <w:rFonts w:eastAsia="Calibri"/>
                <w:b/>
                <w:bCs/>
                <w:noProof/>
                <w:lang w:val="es-DO"/>
              </w:rPr>
              <w:t>A Diciembre 2025</w:t>
            </w:r>
          </w:p>
        </w:tc>
      </w:tr>
      <w:tr w:rsidR="0001792D" w:rsidRPr="0001792D" w14:paraId="00A31BA4" w14:textId="77777777" w:rsidTr="0001792D">
        <w:trPr>
          <w:trHeight w:val="315"/>
        </w:trPr>
        <w:tc>
          <w:tcPr>
            <w:tcW w:w="4560" w:type="dxa"/>
            <w:tcBorders>
              <w:top w:val="nil"/>
              <w:left w:val="single" w:sz="8" w:space="0" w:color="auto"/>
              <w:bottom w:val="single" w:sz="8" w:space="0" w:color="auto"/>
              <w:right w:val="single" w:sz="8" w:space="0" w:color="auto"/>
            </w:tcBorders>
            <w:shd w:val="clear" w:color="000000" w:fill="011C50"/>
            <w:noWrap/>
            <w:vAlign w:val="center"/>
            <w:hideMark/>
          </w:tcPr>
          <w:p w14:paraId="0DC333BC" w14:textId="77777777" w:rsidR="0001792D" w:rsidRPr="0001792D" w:rsidRDefault="0001792D" w:rsidP="00D64261">
            <w:pPr>
              <w:spacing w:line="360" w:lineRule="auto"/>
              <w:jc w:val="both"/>
              <w:rPr>
                <w:rFonts w:eastAsia="Calibri"/>
                <w:noProof/>
                <w:color w:val="FFFFFF" w:themeColor="background1"/>
                <w:lang w:val="es-DO"/>
              </w:rPr>
            </w:pPr>
            <w:r w:rsidRPr="0001792D">
              <w:rPr>
                <w:rFonts w:eastAsia="Calibri"/>
                <w:noProof/>
                <w:color w:val="FFFFFF" w:themeColor="background1"/>
              </w:rPr>
              <w:t>Tipos Anticipos Financieros</w:t>
            </w:r>
          </w:p>
        </w:tc>
        <w:tc>
          <w:tcPr>
            <w:tcW w:w="2240" w:type="dxa"/>
            <w:tcBorders>
              <w:top w:val="nil"/>
              <w:left w:val="nil"/>
              <w:bottom w:val="single" w:sz="8" w:space="0" w:color="auto"/>
              <w:right w:val="single" w:sz="8" w:space="0" w:color="auto"/>
            </w:tcBorders>
            <w:shd w:val="clear" w:color="000000" w:fill="011C50"/>
            <w:vAlign w:val="center"/>
            <w:hideMark/>
          </w:tcPr>
          <w:p w14:paraId="14A45D7C" w14:textId="77777777" w:rsidR="0001792D" w:rsidRPr="0001792D" w:rsidRDefault="0001792D" w:rsidP="00D64261">
            <w:pPr>
              <w:spacing w:line="360" w:lineRule="auto"/>
              <w:jc w:val="both"/>
              <w:rPr>
                <w:rFonts w:eastAsia="Calibri"/>
                <w:noProof/>
                <w:color w:val="FFFFFF" w:themeColor="background1"/>
                <w:lang w:val="es-DO"/>
              </w:rPr>
            </w:pPr>
            <w:r w:rsidRPr="0001792D">
              <w:rPr>
                <w:rFonts w:eastAsia="Calibri"/>
                <w:noProof/>
                <w:color w:val="FFFFFF" w:themeColor="background1"/>
              </w:rPr>
              <w:t>Balance al 31/12/2025</w:t>
            </w:r>
          </w:p>
        </w:tc>
      </w:tr>
      <w:tr w:rsidR="0001792D" w:rsidRPr="0001792D" w14:paraId="35BD9A18" w14:textId="77777777" w:rsidTr="0001792D">
        <w:trPr>
          <w:trHeight w:val="315"/>
        </w:trPr>
        <w:tc>
          <w:tcPr>
            <w:tcW w:w="4560" w:type="dxa"/>
            <w:tcBorders>
              <w:top w:val="nil"/>
              <w:left w:val="single" w:sz="8" w:space="0" w:color="auto"/>
              <w:bottom w:val="single" w:sz="8" w:space="0" w:color="auto"/>
              <w:right w:val="single" w:sz="8" w:space="0" w:color="auto"/>
            </w:tcBorders>
            <w:noWrap/>
            <w:vAlign w:val="center"/>
            <w:hideMark/>
          </w:tcPr>
          <w:p w14:paraId="0C6821E5" w14:textId="70A67254" w:rsidR="0001792D" w:rsidRPr="00AC7AC2" w:rsidRDefault="0001792D" w:rsidP="00D64261">
            <w:pPr>
              <w:spacing w:line="360" w:lineRule="auto"/>
              <w:jc w:val="both"/>
              <w:rPr>
                <w:rFonts w:eastAsia="Calibri"/>
                <w:b/>
                <w:bCs/>
                <w:noProof/>
                <w:lang w:val="es-DO"/>
              </w:rPr>
            </w:pPr>
            <w:r w:rsidRPr="00AC7AC2">
              <w:rPr>
                <w:rFonts w:eastAsia="Calibri"/>
                <w:b/>
                <w:bCs/>
                <w:noProof/>
                <w:lang w:val="es-MX"/>
              </w:rPr>
              <w:t>Fondos Reponibles</w:t>
            </w:r>
          </w:p>
        </w:tc>
        <w:tc>
          <w:tcPr>
            <w:tcW w:w="2240" w:type="dxa"/>
            <w:tcBorders>
              <w:top w:val="nil"/>
              <w:left w:val="nil"/>
              <w:bottom w:val="single" w:sz="8" w:space="0" w:color="auto"/>
              <w:right w:val="single" w:sz="8" w:space="0" w:color="auto"/>
            </w:tcBorders>
            <w:noWrap/>
            <w:vAlign w:val="center"/>
            <w:hideMark/>
          </w:tcPr>
          <w:p w14:paraId="11E91454" w14:textId="77777777" w:rsidR="0001792D" w:rsidRPr="00AC7AC2" w:rsidRDefault="0001792D" w:rsidP="00D64261">
            <w:pPr>
              <w:spacing w:line="360" w:lineRule="auto"/>
              <w:jc w:val="both"/>
              <w:rPr>
                <w:rFonts w:eastAsia="Calibri"/>
                <w:b/>
                <w:bCs/>
                <w:noProof/>
                <w:lang w:val="es-DO"/>
              </w:rPr>
            </w:pPr>
            <w:r w:rsidRPr="00AC7AC2">
              <w:rPr>
                <w:rFonts w:eastAsia="Calibri"/>
                <w:b/>
                <w:bCs/>
                <w:noProof/>
              </w:rPr>
              <w:t> </w:t>
            </w:r>
          </w:p>
        </w:tc>
      </w:tr>
      <w:tr w:rsidR="0001792D" w:rsidRPr="0001792D" w14:paraId="3ECC9A5F" w14:textId="77777777" w:rsidTr="0001792D">
        <w:trPr>
          <w:trHeight w:val="315"/>
        </w:trPr>
        <w:tc>
          <w:tcPr>
            <w:tcW w:w="4560" w:type="dxa"/>
            <w:tcBorders>
              <w:top w:val="nil"/>
              <w:left w:val="single" w:sz="8" w:space="0" w:color="auto"/>
              <w:bottom w:val="single" w:sz="8" w:space="0" w:color="auto"/>
              <w:right w:val="single" w:sz="8" w:space="0" w:color="auto"/>
            </w:tcBorders>
            <w:noWrap/>
            <w:vAlign w:val="center"/>
            <w:hideMark/>
          </w:tcPr>
          <w:p w14:paraId="45CD560F" w14:textId="77777777" w:rsidR="0001792D" w:rsidRPr="00AC7AC2" w:rsidRDefault="0001792D" w:rsidP="00D64261">
            <w:pPr>
              <w:spacing w:line="360" w:lineRule="auto"/>
              <w:jc w:val="both"/>
              <w:rPr>
                <w:rFonts w:eastAsia="Calibri"/>
                <w:noProof/>
                <w:lang w:val="es-DO"/>
              </w:rPr>
            </w:pPr>
            <w:r w:rsidRPr="00AC7AC2">
              <w:rPr>
                <w:rFonts w:eastAsia="Calibri"/>
                <w:noProof/>
              </w:rPr>
              <w:t>Fondos Reponibles Institucionales</w:t>
            </w:r>
          </w:p>
        </w:tc>
        <w:tc>
          <w:tcPr>
            <w:tcW w:w="2240" w:type="dxa"/>
            <w:tcBorders>
              <w:top w:val="nil"/>
              <w:left w:val="nil"/>
              <w:bottom w:val="single" w:sz="8" w:space="0" w:color="auto"/>
              <w:right w:val="single" w:sz="8" w:space="0" w:color="auto"/>
            </w:tcBorders>
            <w:noWrap/>
            <w:vAlign w:val="center"/>
            <w:hideMark/>
          </w:tcPr>
          <w:p w14:paraId="716B5C9B" w14:textId="77777777" w:rsidR="0001792D" w:rsidRPr="00AC7AC2" w:rsidRDefault="0001792D" w:rsidP="00D64261">
            <w:pPr>
              <w:spacing w:line="360" w:lineRule="auto"/>
              <w:jc w:val="both"/>
              <w:rPr>
                <w:rFonts w:eastAsia="Calibri"/>
                <w:noProof/>
                <w:lang w:val="es-DO"/>
              </w:rPr>
            </w:pPr>
            <w:r w:rsidRPr="00AC7AC2">
              <w:rPr>
                <w:rFonts w:eastAsia="Calibri"/>
                <w:noProof/>
              </w:rPr>
              <w:t>32,550,574</w:t>
            </w:r>
          </w:p>
        </w:tc>
      </w:tr>
      <w:tr w:rsidR="0001792D" w:rsidRPr="0001792D" w14:paraId="2C377D34" w14:textId="77777777" w:rsidTr="0001792D">
        <w:trPr>
          <w:trHeight w:val="315"/>
        </w:trPr>
        <w:tc>
          <w:tcPr>
            <w:tcW w:w="4560" w:type="dxa"/>
            <w:tcBorders>
              <w:top w:val="nil"/>
              <w:left w:val="single" w:sz="8" w:space="0" w:color="auto"/>
              <w:bottom w:val="single" w:sz="8" w:space="0" w:color="auto"/>
              <w:right w:val="single" w:sz="8" w:space="0" w:color="auto"/>
            </w:tcBorders>
            <w:noWrap/>
            <w:vAlign w:val="center"/>
            <w:hideMark/>
          </w:tcPr>
          <w:p w14:paraId="4A4B1649" w14:textId="77777777" w:rsidR="0001792D" w:rsidRPr="00AC7AC2" w:rsidRDefault="0001792D" w:rsidP="00D64261">
            <w:pPr>
              <w:spacing w:line="360" w:lineRule="auto"/>
              <w:jc w:val="both"/>
              <w:rPr>
                <w:rFonts w:eastAsia="Calibri"/>
                <w:noProof/>
                <w:lang w:val="es-DO"/>
              </w:rPr>
            </w:pPr>
            <w:r w:rsidRPr="00AC7AC2">
              <w:rPr>
                <w:rFonts w:eastAsia="Calibri"/>
                <w:noProof/>
              </w:rPr>
              <w:t>Fondos de Asistencia Social</w:t>
            </w:r>
          </w:p>
        </w:tc>
        <w:tc>
          <w:tcPr>
            <w:tcW w:w="2240" w:type="dxa"/>
            <w:tcBorders>
              <w:top w:val="nil"/>
              <w:left w:val="nil"/>
              <w:bottom w:val="single" w:sz="8" w:space="0" w:color="auto"/>
              <w:right w:val="single" w:sz="8" w:space="0" w:color="auto"/>
            </w:tcBorders>
            <w:noWrap/>
            <w:vAlign w:val="center"/>
            <w:hideMark/>
          </w:tcPr>
          <w:p w14:paraId="3DA2DE50" w14:textId="77777777" w:rsidR="0001792D" w:rsidRPr="00AC7AC2" w:rsidRDefault="0001792D" w:rsidP="00D64261">
            <w:pPr>
              <w:spacing w:line="360" w:lineRule="auto"/>
              <w:jc w:val="both"/>
              <w:rPr>
                <w:rFonts w:eastAsia="Calibri"/>
                <w:noProof/>
                <w:lang w:val="es-DO"/>
              </w:rPr>
            </w:pPr>
            <w:r w:rsidRPr="00AC7AC2">
              <w:rPr>
                <w:rFonts w:eastAsia="Calibri"/>
                <w:noProof/>
              </w:rPr>
              <w:t>27,365,198</w:t>
            </w:r>
          </w:p>
        </w:tc>
      </w:tr>
      <w:tr w:rsidR="0001792D" w:rsidRPr="0001792D" w14:paraId="606D64EC" w14:textId="77777777" w:rsidTr="0001792D">
        <w:trPr>
          <w:trHeight w:val="315"/>
        </w:trPr>
        <w:tc>
          <w:tcPr>
            <w:tcW w:w="4560" w:type="dxa"/>
            <w:tcBorders>
              <w:top w:val="nil"/>
              <w:left w:val="single" w:sz="8" w:space="0" w:color="auto"/>
              <w:bottom w:val="single" w:sz="8" w:space="0" w:color="auto"/>
              <w:right w:val="single" w:sz="8" w:space="0" w:color="auto"/>
            </w:tcBorders>
            <w:noWrap/>
            <w:vAlign w:val="center"/>
            <w:hideMark/>
          </w:tcPr>
          <w:p w14:paraId="67CAFB12" w14:textId="77777777" w:rsidR="0001792D" w:rsidRPr="00AC7AC2" w:rsidRDefault="0001792D" w:rsidP="00D64261">
            <w:pPr>
              <w:spacing w:line="360" w:lineRule="auto"/>
              <w:jc w:val="both"/>
              <w:rPr>
                <w:rFonts w:eastAsia="Calibri"/>
                <w:b/>
                <w:bCs/>
                <w:noProof/>
                <w:lang w:val="es-DO"/>
              </w:rPr>
            </w:pPr>
            <w:r w:rsidRPr="00AC7AC2">
              <w:rPr>
                <w:rFonts w:eastAsia="Calibri"/>
                <w:b/>
                <w:bCs/>
                <w:noProof/>
                <w:lang w:val="es-MX"/>
              </w:rPr>
              <w:t>Fondos Liquidables</w:t>
            </w:r>
          </w:p>
        </w:tc>
        <w:tc>
          <w:tcPr>
            <w:tcW w:w="2240" w:type="dxa"/>
            <w:tcBorders>
              <w:top w:val="nil"/>
              <w:left w:val="nil"/>
              <w:bottom w:val="single" w:sz="8" w:space="0" w:color="auto"/>
              <w:right w:val="single" w:sz="8" w:space="0" w:color="auto"/>
            </w:tcBorders>
            <w:noWrap/>
            <w:vAlign w:val="center"/>
            <w:hideMark/>
          </w:tcPr>
          <w:p w14:paraId="710ED0CE" w14:textId="77777777" w:rsidR="0001792D" w:rsidRPr="00AC7AC2" w:rsidRDefault="0001792D" w:rsidP="00D64261">
            <w:pPr>
              <w:spacing w:line="360" w:lineRule="auto"/>
              <w:jc w:val="both"/>
              <w:rPr>
                <w:rFonts w:eastAsia="Calibri"/>
                <w:b/>
                <w:bCs/>
                <w:noProof/>
                <w:lang w:val="es-DO"/>
              </w:rPr>
            </w:pPr>
            <w:r w:rsidRPr="00AC7AC2">
              <w:rPr>
                <w:rFonts w:eastAsia="Calibri"/>
                <w:b/>
                <w:bCs/>
                <w:noProof/>
              </w:rPr>
              <w:t> </w:t>
            </w:r>
          </w:p>
        </w:tc>
      </w:tr>
      <w:tr w:rsidR="0001792D" w:rsidRPr="0001792D" w14:paraId="770FEB6B" w14:textId="77777777" w:rsidTr="0001792D">
        <w:trPr>
          <w:trHeight w:val="315"/>
        </w:trPr>
        <w:tc>
          <w:tcPr>
            <w:tcW w:w="4560" w:type="dxa"/>
            <w:tcBorders>
              <w:top w:val="nil"/>
              <w:left w:val="single" w:sz="8" w:space="0" w:color="auto"/>
              <w:bottom w:val="single" w:sz="8" w:space="0" w:color="auto"/>
              <w:right w:val="single" w:sz="8" w:space="0" w:color="auto"/>
            </w:tcBorders>
            <w:noWrap/>
            <w:vAlign w:val="center"/>
            <w:hideMark/>
          </w:tcPr>
          <w:p w14:paraId="5FC595C3" w14:textId="77777777" w:rsidR="0001792D" w:rsidRPr="00AC7AC2" w:rsidRDefault="0001792D" w:rsidP="00D64261">
            <w:pPr>
              <w:spacing w:line="360" w:lineRule="auto"/>
              <w:jc w:val="both"/>
              <w:rPr>
                <w:rFonts w:eastAsia="Calibri"/>
                <w:noProof/>
                <w:lang w:val="es-DO"/>
              </w:rPr>
            </w:pPr>
            <w:r w:rsidRPr="00AC7AC2">
              <w:rPr>
                <w:rFonts w:eastAsia="Calibri"/>
                <w:noProof/>
              </w:rPr>
              <w:t>Fondos Reponibles Eventual</w:t>
            </w:r>
          </w:p>
        </w:tc>
        <w:tc>
          <w:tcPr>
            <w:tcW w:w="2240" w:type="dxa"/>
            <w:tcBorders>
              <w:top w:val="nil"/>
              <w:left w:val="nil"/>
              <w:bottom w:val="single" w:sz="8" w:space="0" w:color="auto"/>
              <w:right w:val="single" w:sz="8" w:space="0" w:color="auto"/>
            </w:tcBorders>
            <w:noWrap/>
            <w:vAlign w:val="center"/>
            <w:hideMark/>
          </w:tcPr>
          <w:p w14:paraId="3A0F467D" w14:textId="77777777" w:rsidR="0001792D" w:rsidRPr="00AC7AC2" w:rsidRDefault="0001792D" w:rsidP="00D64261">
            <w:pPr>
              <w:spacing w:line="360" w:lineRule="auto"/>
              <w:jc w:val="both"/>
              <w:rPr>
                <w:rFonts w:eastAsia="Calibri"/>
                <w:noProof/>
                <w:lang w:val="es-DO"/>
              </w:rPr>
            </w:pPr>
            <w:r w:rsidRPr="00AC7AC2">
              <w:rPr>
                <w:rFonts w:eastAsia="Calibri"/>
                <w:noProof/>
              </w:rPr>
              <w:t>8,961</w:t>
            </w:r>
          </w:p>
        </w:tc>
      </w:tr>
      <w:tr w:rsidR="0001792D" w:rsidRPr="0001792D" w14:paraId="40FBAB5F" w14:textId="77777777" w:rsidTr="0001792D">
        <w:trPr>
          <w:trHeight w:val="315"/>
        </w:trPr>
        <w:tc>
          <w:tcPr>
            <w:tcW w:w="4560" w:type="dxa"/>
            <w:tcBorders>
              <w:top w:val="nil"/>
              <w:left w:val="single" w:sz="8" w:space="0" w:color="auto"/>
              <w:bottom w:val="single" w:sz="8" w:space="0" w:color="auto"/>
              <w:right w:val="single" w:sz="8" w:space="0" w:color="auto"/>
            </w:tcBorders>
            <w:noWrap/>
            <w:vAlign w:val="center"/>
            <w:hideMark/>
          </w:tcPr>
          <w:p w14:paraId="38C7690C" w14:textId="77777777" w:rsidR="0001792D" w:rsidRPr="00AC7AC2" w:rsidRDefault="0001792D" w:rsidP="00D64261">
            <w:pPr>
              <w:spacing w:line="360" w:lineRule="auto"/>
              <w:jc w:val="both"/>
              <w:rPr>
                <w:rFonts w:eastAsia="Calibri"/>
                <w:b/>
                <w:bCs/>
                <w:noProof/>
                <w:lang w:val="es-DO"/>
              </w:rPr>
            </w:pPr>
            <w:r w:rsidRPr="00AC7AC2">
              <w:rPr>
                <w:rFonts w:eastAsia="Calibri"/>
                <w:b/>
                <w:bCs/>
                <w:noProof/>
                <w:lang w:val="es-MX"/>
              </w:rPr>
              <w:t xml:space="preserve">Fondos en Avance </w:t>
            </w:r>
          </w:p>
        </w:tc>
        <w:tc>
          <w:tcPr>
            <w:tcW w:w="2240" w:type="dxa"/>
            <w:tcBorders>
              <w:top w:val="nil"/>
              <w:left w:val="nil"/>
              <w:bottom w:val="single" w:sz="8" w:space="0" w:color="auto"/>
              <w:right w:val="single" w:sz="8" w:space="0" w:color="auto"/>
            </w:tcBorders>
            <w:noWrap/>
            <w:vAlign w:val="center"/>
            <w:hideMark/>
          </w:tcPr>
          <w:p w14:paraId="5515D0E4" w14:textId="77777777" w:rsidR="0001792D" w:rsidRPr="00AC7AC2" w:rsidRDefault="0001792D" w:rsidP="00D64261">
            <w:pPr>
              <w:spacing w:line="360" w:lineRule="auto"/>
              <w:jc w:val="both"/>
              <w:rPr>
                <w:rFonts w:eastAsia="Calibri"/>
                <w:b/>
                <w:bCs/>
                <w:noProof/>
                <w:lang w:val="es-DO"/>
              </w:rPr>
            </w:pPr>
            <w:r w:rsidRPr="00AC7AC2">
              <w:rPr>
                <w:rFonts w:eastAsia="Calibri"/>
                <w:b/>
                <w:bCs/>
                <w:noProof/>
              </w:rPr>
              <w:t> </w:t>
            </w:r>
          </w:p>
        </w:tc>
      </w:tr>
      <w:tr w:rsidR="0001792D" w:rsidRPr="0001792D" w14:paraId="1B80A861" w14:textId="77777777" w:rsidTr="0001792D">
        <w:trPr>
          <w:trHeight w:val="315"/>
        </w:trPr>
        <w:tc>
          <w:tcPr>
            <w:tcW w:w="4560" w:type="dxa"/>
            <w:tcBorders>
              <w:top w:val="nil"/>
              <w:left w:val="single" w:sz="8" w:space="0" w:color="auto"/>
              <w:bottom w:val="single" w:sz="8" w:space="0" w:color="auto"/>
              <w:right w:val="single" w:sz="8" w:space="0" w:color="auto"/>
            </w:tcBorders>
            <w:noWrap/>
            <w:vAlign w:val="center"/>
            <w:hideMark/>
          </w:tcPr>
          <w:p w14:paraId="11EA2E9C" w14:textId="77777777" w:rsidR="0001792D" w:rsidRPr="00AC7AC2" w:rsidRDefault="0001792D" w:rsidP="00D64261">
            <w:pPr>
              <w:spacing w:line="360" w:lineRule="auto"/>
              <w:jc w:val="both"/>
              <w:rPr>
                <w:rFonts w:eastAsia="Calibri"/>
                <w:noProof/>
                <w:lang w:val="es-DO"/>
              </w:rPr>
            </w:pPr>
            <w:r w:rsidRPr="00AC7AC2">
              <w:rPr>
                <w:rFonts w:eastAsia="Calibri"/>
                <w:noProof/>
                <w:lang w:val="es-DO"/>
              </w:rPr>
              <w:t xml:space="preserve">Fondos en Avance por Excepción </w:t>
            </w:r>
          </w:p>
        </w:tc>
        <w:tc>
          <w:tcPr>
            <w:tcW w:w="2240" w:type="dxa"/>
            <w:tcBorders>
              <w:top w:val="nil"/>
              <w:left w:val="nil"/>
              <w:bottom w:val="single" w:sz="8" w:space="0" w:color="auto"/>
              <w:right w:val="single" w:sz="8" w:space="0" w:color="auto"/>
            </w:tcBorders>
            <w:noWrap/>
            <w:vAlign w:val="center"/>
            <w:hideMark/>
          </w:tcPr>
          <w:p w14:paraId="600ADB01" w14:textId="77777777" w:rsidR="0001792D" w:rsidRPr="00AC7AC2" w:rsidRDefault="0001792D" w:rsidP="00D64261">
            <w:pPr>
              <w:spacing w:line="360" w:lineRule="auto"/>
              <w:jc w:val="both"/>
              <w:rPr>
                <w:rFonts w:eastAsia="Calibri"/>
                <w:noProof/>
                <w:lang w:val="es-DO"/>
              </w:rPr>
            </w:pPr>
            <w:r w:rsidRPr="00AC7AC2">
              <w:rPr>
                <w:rFonts w:eastAsia="Calibri"/>
                <w:noProof/>
                <w:lang w:val="es-DO"/>
              </w:rPr>
              <w:t>353,581,237</w:t>
            </w:r>
          </w:p>
        </w:tc>
      </w:tr>
      <w:tr w:rsidR="0001792D" w:rsidRPr="0001792D" w14:paraId="1B95EBBF" w14:textId="77777777" w:rsidTr="0001792D">
        <w:trPr>
          <w:trHeight w:val="300"/>
        </w:trPr>
        <w:tc>
          <w:tcPr>
            <w:tcW w:w="4560" w:type="dxa"/>
            <w:tcBorders>
              <w:top w:val="nil"/>
              <w:left w:val="single" w:sz="8" w:space="0" w:color="auto"/>
              <w:bottom w:val="nil"/>
              <w:right w:val="single" w:sz="8" w:space="0" w:color="auto"/>
            </w:tcBorders>
            <w:shd w:val="clear" w:color="000000" w:fill="011C50"/>
            <w:noWrap/>
            <w:vAlign w:val="center"/>
            <w:hideMark/>
          </w:tcPr>
          <w:p w14:paraId="31C8641C" w14:textId="77777777" w:rsidR="0001792D" w:rsidRPr="0001792D" w:rsidRDefault="0001792D" w:rsidP="00D64261">
            <w:pPr>
              <w:spacing w:line="360" w:lineRule="auto"/>
              <w:jc w:val="both"/>
              <w:rPr>
                <w:rFonts w:eastAsia="Calibri"/>
                <w:noProof/>
                <w:color w:val="FFFFFF" w:themeColor="background1"/>
                <w:lang w:val="es-DO"/>
              </w:rPr>
            </w:pPr>
            <w:r w:rsidRPr="0001792D">
              <w:rPr>
                <w:rFonts w:eastAsia="Calibri"/>
                <w:noProof/>
                <w:color w:val="FFFFFF" w:themeColor="background1"/>
                <w:lang w:val="es-DO"/>
              </w:rPr>
              <w:t>Total, General</w:t>
            </w:r>
          </w:p>
        </w:tc>
        <w:tc>
          <w:tcPr>
            <w:tcW w:w="2240" w:type="dxa"/>
            <w:tcBorders>
              <w:top w:val="nil"/>
              <w:left w:val="nil"/>
              <w:bottom w:val="nil"/>
              <w:right w:val="single" w:sz="8" w:space="0" w:color="auto"/>
            </w:tcBorders>
            <w:shd w:val="clear" w:color="000000" w:fill="011C50"/>
            <w:noWrap/>
            <w:vAlign w:val="center"/>
            <w:hideMark/>
          </w:tcPr>
          <w:p w14:paraId="6FB55BF6" w14:textId="77777777" w:rsidR="0001792D" w:rsidRPr="0001792D" w:rsidRDefault="0001792D" w:rsidP="00D64261">
            <w:pPr>
              <w:spacing w:line="360" w:lineRule="auto"/>
              <w:jc w:val="both"/>
              <w:rPr>
                <w:rFonts w:eastAsia="Calibri"/>
                <w:noProof/>
                <w:color w:val="FFFFFF" w:themeColor="background1"/>
                <w:lang w:val="es-DO"/>
              </w:rPr>
            </w:pPr>
            <w:r w:rsidRPr="0001792D">
              <w:rPr>
                <w:rFonts w:eastAsia="Calibri"/>
                <w:noProof/>
                <w:color w:val="FFFFFF" w:themeColor="background1"/>
                <w:lang w:val="es-DO"/>
              </w:rPr>
              <w:t>413,505,970</w:t>
            </w:r>
          </w:p>
        </w:tc>
      </w:tr>
      <w:tr w:rsidR="0001792D" w:rsidRPr="00B47076" w14:paraId="30FB7839" w14:textId="77777777" w:rsidTr="0001792D">
        <w:trPr>
          <w:trHeight w:val="300"/>
        </w:trPr>
        <w:tc>
          <w:tcPr>
            <w:tcW w:w="6800" w:type="dxa"/>
            <w:gridSpan w:val="2"/>
            <w:tcBorders>
              <w:top w:val="single" w:sz="4" w:space="0" w:color="auto"/>
              <w:bottom w:val="nil"/>
            </w:tcBorders>
            <w:noWrap/>
            <w:vAlign w:val="center"/>
            <w:hideMark/>
          </w:tcPr>
          <w:p w14:paraId="6181D022" w14:textId="77777777" w:rsidR="0001792D" w:rsidRPr="00AC7AC2" w:rsidRDefault="0001792D" w:rsidP="00D64261">
            <w:pPr>
              <w:spacing w:line="360" w:lineRule="auto"/>
              <w:jc w:val="both"/>
              <w:rPr>
                <w:rFonts w:eastAsia="Calibri"/>
                <w:b/>
                <w:bCs/>
                <w:noProof/>
                <w:lang w:val="es-DO"/>
              </w:rPr>
            </w:pPr>
            <w:r w:rsidRPr="00AC7AC2">
              <w:rPr>
                <w:rFonts w:eastAsia="Calibri"/>
                <w:b/>
                <w:bCs/>
                <w:noProof/>
                <w:lang w:val="es-DO"/>
              </w:rPr>
              <w:t>Fuente: Sistema Integrado Gestión Financiera (SIGEF)</w:t>
            </w:r>
          </w:p>
          <w:p w14:paraId="4C1A88B5" w14:textId="77777777" w:rsidR="0001792D" w:rsidRPr="0001792D" w:rsidRDefault="0001792D" w:rsidP="00D64261">
            <w:pPr>
              <w:spacing w:line="360" w:lineRule="auto"/>
              <w:jc w:val="both"/>
              <w:rPr>
                <w:rFonts w:eastAsia="Calibri"/>
                <w:noProof/>
                <w:color w:val="4C4747"/>
                <w:lang w:val="es-DO"/>
              </w:rPr>
            </w:pPr>
            <w:r w:rsidRPr="0001792D">
              <w:rPr>
                <w:rFonts w:eastAsia="Calibri"/>
                <w:noProof/>
                <w:color w:val="4C4747"/>
                <w:lang w:val="es-DO"/>
              </w:rPr>
              <w:t> </w:t>
            </w:r>
          </w:p>
        </w:tc>
      </w:tr>
    </w:tbl>
    <w:p w14:paraId="15AAF5DA" w14:textId="77777777" w:rsidR="00177CFE" w:rsidRPr="00AC7AC2" w:rsidRDefault="00177CFE" w:rsidP="00D64261">
      <w:pPr>
        <w:spacing w:line="360" w:lineRule="auto"/>
        <w:jc w:val="both"/>
        <w:rPr>
          <w:b/>
          <w:lang w:val="es-DO"/>
        </w:rPr>
      </w:pPr>
      <w:r w:rsidRPr="00AC7AC2">
        <w:rPr>
          <w:b/>
          <w:lang w:val="es-DO"/>
        </w:rPr>
        <w:t>Gestión de pagos</w:t>
      </w:r>
    </w:p>
    <w:p w14:paraId="3B43E012" w14:textId="7FA14D62" w:rsidR="00177CFE" w:rsidRPr="00AC7AC2" w:rsidRDefault="00177CFE" w:rsidP="00D64261">
      <w:pPr>
        <w:spacing w:line="360" w:lineRule="auto"/>
        <w:jc w:val="both"/>
        <w:rPr>
          <w:lang w:val="es-DO"/>
        </w:rPr>
      </w:pPr>
      <w:r w:rsidRPr="00AC7AC2">
        <w:rPr>
          <w:lang w:val="es-DO"/>
        </w:rPr>
        <w:t>Tesorería Nacional mostró los siguientes acontecimientos en la producción institucional en cuanto a la ejecución de pagos durante el periodo Enero-Diciembre 2025, en cumplimiento con las atribuciones conferidas en la Ley No. 567-05 y sus Reglamentos de Aplicación No. 441-06 y decreto No. 579-11.</w:t>
      </w:r>
    </w:p>
    <w:p w14:paraId="35F7EF14" w14:textId="77777777" w:rsidR="00177CFE" w:rsidRPr="00AC7AC2" w:rsidRDefault="00177CFE" w:rsidP="00D64261">
      <w:pPr>
        <w:spacing w:line="360" w:lineRule="auto"/>
        <w:jc w:val="both"/>
        <w:rPr>
          <w:b/>
          <w:lang w:val="es-DO"/>
        </w:rPr>
      </w:pPr>
      <w:r w:rsidRPr="00AC7AC2">
        <w:rPr>
          <w:b/>
          <w:lang w:val="es-DO"/>
        </w:rPr>
        <w:t xml:space="preserve">Ordenamiento de pago </w:t>
      </w:r>
    </w:p>
    <w:p w14:paraId="039B9242" w14:textId="77777777" w:rsidR="00177CFE" w:rsidRPr="00AC7AC2" w:rsidRDefault="00177CFE" w:rsidP="00D64261">
      <w:pPr>
        <w:spacing w:line="360" w:lineRule="auto"/>
        <w:jc w:val="both"/>
        <w:rPr>
          <w:lang w:val="es-DO"/>
        </w:rPr>
      </w:pPr>
      <w:r w:rsidRPr="00AC7AC2">
        <w:rPr>
          <w:lang w:val="es-DO"/>
        </w:rPr>
        <w:t>El sistema de Cuenta Única del Tesoro no busca sólo centralizar los recursos, también, según el párrafo I, del Art.11 del Decreto No.441-</w:t>
      </w:r>
      <w:r w:rsidRPr="00AC7AC2">
        <w:rPr>
          <w:lang w:val="es-DO"/>
        </w:rPr>
        <w:lastRenderedPageBreak/>
        <w:t>06, esta “se utilizará para realizar todos los pagos y las obligaciones del Gobierno Central que las Instituciones Públicas no Financieras, sus órganos o entes hayan contraído legalmente; sin perjuicio de poder realizar transferencia para cumplir con otros tipos de obligaciones”. En este sentido la institución ha emprendido algunas acciones importantes para el funcionamiento adecuado de dicho sistema.</w:t>
      </w:r>
    </w:p>
    <w:p w14:paraId="0246A61A" w14:textId="77777777" w:rsidR="00177CFE" w:rsidRPr="00AC7AC2" w:rsidRDefault="00177CFE" w:rsidP="00D64261">
      <w:pPr>
        <w:spacing w:line="360" w:lineRule="auto"/>
        <w:jc w:val="both"/>
        <w:rPr>
          <w:lang w:val="es-DO"/>
        </w:rPr>
      </w:pPr>
      <w:r w:rsidRPr="00AC7AC2">
        <w:rPr>
          <w:lang w:val="es-DO"/>
        </w:rPr>
        <w:t xml:space="preserve"> A la fecha, 229 tesorerías institucionales ordenan de manera descentralizada  de acuerdo a las  fechas de vencimiento, pertenecientes al gobierno central e instituciones descentralizadas y de la Seguridad social por  los </w:t>
      </w:r>
      <w:proofErr w:type="spellStart"/>
      <w:r w:rsidRPr="00AC7AC2">
        <w:rPr>
          <w:lang w:val="es-DO"/>
        </w:rPr>
        <w:t>objetales</w:t>
      </w:r>
      <w:proofErr w:type="spellEnd"/>
      <w:r w:rsidRPr="00AC7AC2">
        <w:rPr>
          <w:lang w:val="es-DO"/>
        </w:rPr>
        <w:t xml:space="preserve"> (2) Bienes y Servicios  y (3) Materiales y Suministros por tipo de transacción etapas tres en uno (preventivo-compromiso-devengado), permitiendo que sean estas las que seleccionen  las órdenes a pagar bajo el criterio antes mencionado por los </w:t>
      </w:r>
      <w:proofErr w:type="spellStart"/>
      <w:r w:rsidRPr="00AC7AC2">
        <w:rPr>
          <w:lang w:val="es-DO"/>
        </w:rPr>
        <w:t>objetales</w:t>
      </w:r>
      <w:proofErr w:type="spellEnd"/>
      <w:r w:rsidRPr="00AC7AC2">
        <w:rPr>
          <w:lang w:val="es-DO"/>
        </w:rPr>
        <w:t xml:space="preserve"> descritos más arriba; reservando a la Tesorería Nacional el  pago de los  sueldos, deuda externa e interna, transferencias corriente y cualesquier  otro que por sus montos o naturaleza esté dentro de sus facultades.</w:t>
      </w:r>
    </w:p>
    <w:p w14:paraId="6B5EE8CB" w14:textId="77777777" w:rsidR="00177CFE" w:rsidRPr="00AC7AC2" w:rsidRDefault="00177CFE" w:rsidP="00D64261">
      <w:pPr>
        <w:spacing w:line="360" w:lineRule="auto"/>
        <w:jc w:val="both"/>
        <w:rPr>
          <w:b/>
          <w:lang w:val="es-DO"/>
        </w:rPr>
      </w:pPr>
    </w:p>
    <w:p w14:paraId="33159A2D" w14:textId="77777777" w:rsidR="00177CFE" w:rsidRPr="00AC7AC2" w:rsidRDefault="00177CFE" w:rsidP="00D64261">
      <w:pPr>
        <w:spacing w:line="360" w:lineRule="auto"/>
        <w:jc w:val="both"/>
        <w:rPr>
          <w:b/>
          <w:lang w:val="es-DO"/>
        </w:rPr>
      </w:pPr>
      <w:r w:rsidRPr="00AC7AC2">
        <w:rPr>
          <w:b/>
          <w:lang w:val="es-DO"/>
        </w:rPr>
        <w:t>Generación ordenes de pagos</w:t>
      </w:r>
    </w:p>
    <w:p w14:paraId="5EC88670" w14:textId="77777777" w:rsidR="00177CFE" w:rsidRPr="00AC7AC2" w:rsidRDefault="00177CFE" w:rsidP="00D64261">
      <w:pPr>
        <w:spacing w:line="360" w:lineRule="auto"/>
        <w:jc w:val="both"/>
        <w:rPr>
          <w:lang w:val="es-DO"/>
        </w:rPr>
      </w:pPr>
      <w:r w:rsidRPr="00AC7AC2">
        <w:rPr>
          <w:lang w:val="es-DO"/>
        </w:rPr>
        <w:t xml:space="preserve">La Tesorería Nacional ha honrado los compromisos del Estado durante el período Enero - Diciembre 2025, aplicando cada uno de los medios de pago correspondientes, en atención a los lineamientos establecidos. </w:t>
      </w:r>
    </w:p>
    <w:p w14:paraId="4DDA6B93" w14:textId="77777777" w:rsidR="00177CFE" w:rsidRPr="00AC7AC2" w:rsidRDefault="00177CFE" w:rsidP="00D64261">
      <w:pPr>
        <w:spacing w:line="360" w:lineRule="auto"/>
        <w:jc w:val="both"/>
        <w:rPr>
          <w:lang w:val="es-DO"/>
        </w:rPr>
      </w:pPr>
      <w:r w:rsidRPr="00AC7AC2">
        <w:rPr>
          <w:lang w:val="es-DO"/>
        </w:rPr>
        <w:t xml:space="preserve">El Sistema de Tesorería en conjunto con los sistemas de Presupuesto, Contabilidad y Crédito Público, componen el sistema de Administración Financiera Integrada Pública.” Este refleja la misión de la organización y segmentando sus procesos fundamentales. </w:t>
      </w:r>
    </w:p>
    <w:p w14:paraId="4F5DCE07" w14:textId="77777777" w:rsidR="00177CFE" w:rsidRPr="00AC7AC2" w:rsidRDefault="00177CFE" w:rsidP="00D64261">
      <w:pPr>
        <w:spacing w:line="360" w:lineRule="auto"/>
        <w:jc w:val="both"/>
        <w:rPr>
          <w:lang w:val="es-DO"/>
        </w:rPr>
      </w:pPr>
      <w:r w:rsidRPr="00AC7AC2">
        <w:rPr>
          <w:lang w:val="es-DO"/>
        </w:rPr>
        <w:lastRenderedPageBreak/>
        <w:t xml:space="preserve">El artículo 08, numeral No.9 de la Ley No. 567-05 de Tesorería Nacional, indica: “Ejecutar los pagos originados en obligaciones contraídas por el Gobierno Central, así como las transferencias que requieran los restantes organismos públicos, siempre que estén ordenadas por la autoridad competente. </w:t>
      </w:r>
    </w:p>
    <w:p w14:paraId="5CB5C466" w14:textId="77777777" w:rsidR="00177CFE" w:rsidRPr="00AC7AC2" w:rsidRDefault="00177CFE" w:rsidP="00D64261">
      <w:pPr>
        <w:spacing w:line="360" w:lineRule="auto"/>
        <w:jc w:val="both"/>
        <w:rPr>
          <w:lang w:val="es-DO"/>
        </w:rPr>
      </w:pPr>
    </w:p>
    <w:p w14:paraId="443C5F70" w14:textId="77777777" w:rsidR="00177CFE" w:rsidRPr="00AC7AC2" w:rsidRDefault="00177CFE" w:rsidP="00D64261">
      <w:pPr>
        <w:spacing w:line="360" w:lineRule="auto"/>
        <w:jc w:val="both"/>
        <w:rPr>
          <w:lang w:val="es-DO"/>
        </w:rPr>
      </w:pPr>
      <w:r w:rsidRPr="00AC7AC2">
        <w:rPr>
          <w:lang w:val="es-DO"/>
        </w:rPr>
        <w:t>La tabla de pagos emitidos mediante transferencia electrónica en el periodo Enero-Diciembre 2025, muestra el volumen de los desembolsos en cuanto a las cantidades de operaciones emitidas por este medio, siendo a la fecha el más utilizado:</w:t>
      </w:r>
    </w:p>
    <w:p w14:paraId="5B26121E" w14:textId="77777777" w:rsidR="00177CFE" w:rsidRPr="00AC7AC2" w:rsidRDefault="00177CFE" w:rsidP="00D64261">
      <w:pPr>
        <w:spacing w:line="360" w:lineRule="auto"/>
        <w:jc w:val="both"/>
        <w:rPr>
          <w:lang w:val="es-DO"/>
        </w:rPr>
      </w:pPr>
    </w:p>
    <w:p w14:paraId="5E91FF35" w14:textId="59F4DBC8"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t xml:space="preserve">Cuadro No. </w:t>
      </w:r>
      <w:r w:rsidR="008D7279" w:rsidRPr="00AC7AC2">
        <w:rPr>
          <w:rFonts w:eastAsia="Calibri"/>
          <w:b/>
          <w:bCs/>
          <w:noProof/>
          <w:lang w:val="es-DO"/>
        </w:rPr>
        <w:t>31</w:t>
      </w:r>
    </w:p>
    <w:p w14:paraId="21F88D31" w14:textId="77777777"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t>Tesorería Nacional</w:t>
      </w:r>
    </w:p>
    <w:p w14:paraId="574D4AB8" w14:textId="77777777"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t xml:space="preserve">Transferencias Electrónicas </w:t>
      </w:r>
      <w:bookmarkStart w:id="30" w:name="_Hlk184298864"/>
      <w:r w:rsidRPr="00AC7AC2">
        <w:rPr>
          <w:rFonts w:eastAsia="Calibri"/>
          <w:b/>
          <w:bCs/>
          <w:noProof/>
          <w:lang w:val="es-DO"/>
        </w:rPr>
        <w:t>Enero - Diciembre 2025</w:t>
      </w:r>
      <w:bookmarkEnd w:id="30"/>
    </w:p>
    <w:p w14:paraId="4B385E58" w14:textId="007E5FEF" w:rsidR="00177CFE" w:rsidRPr="00AC7AC2" w:rsidRDefault="008328E2" w:rsidP="00D64261">
      <w:pPr>
        <w:spacing w:line="360" w:lineRule="auto"/>
        <w:jc w:val="both"/>
        <w:rPr>
          <w:lang w:val="es-DO"/>
        </w:rPr>
      </w:pPr>
      <w:bookmarkStart w:id="31" w:name="_Hlk183180140"/>
      <w:r w:rsidRPr="00AC7AC2">
        <w:rPr>
          <w:noProof/>
        </w:rPr>
        <w:drawing>
          <wp:inline distT="0" distB="0" distL="0" distR="0" wp14:anchorId="43B13159" wp14:editId="3CF0E498">
            <wp:extent cx="5029200" cy="2505075"/>
            <wp:effectExtent l="0" t="0" r="0" b="9525"/>
            <wp:docPr id="1986170428"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170428" name="Picture 1" descr="A screenshot of a computer screen&#10;&#10;AI-generated content may be incorrect."/>
                    <pic:cNvPicPr/>
                  </pic:nvPicPr>
                  <pic:blipFill>
                    <a:blip r:embed="rId38"/>
                    <a:stretch>
                      <a:fillRect/>
                    </a:stretch>
                  </pic:blipFill>
                  <pic:spPr>
                    <a:xfrm>
                      <a:off x="0" y="0"/>
                      <a:ext cx="5029200" cy="2505075"/>
                    </a:xfrm>
                    <a:prstGeom prst="rect">
                      <a:avLst/>
                    </a:prstGeom>
                  </pic:spPr>
                </pic:pic>
              </a:graphicData>
            </a:graphic>
          </wp:inline>
        </w:drawing>
      </w:r>
      <w:r w:rsidR="00177CFE" w:rsidRPr="00AC7AC2">
        <w:rPr>
          <w:b/>
          <w:bCs/>
          <w:lang w:val="es-DO"/>
        </w:rPr>
        <w:t xml:space="preserve"> </w:t>
      </w:r>
      <w:r w:rsidR="00177CFE" w:rsidRPr="00AC7AC2">
        <w:rPr>
          <w:b/>
          <w:bCs/>
          <w:sz w:val="18"/>
          <w:szCs w:val="18"/>
          <w:lang w:val="es-DO"/>
        </w:rPr>
        <w:t>Fuente data, reportes SIGEF</w:t>
      </w:r>
      <w:bookmarkEnd w:id="31"/>
    </w:p>
    <w:p w14:paraId="4C882637" w14:textId="77777777" w:rsidR="00177CFE" w:rsidRPr="00AC7AC2" w:rsidRDefault="00177CFE" w:rsidP="00D64261">
      <w:pPr>
        <w:spacing w:line="360" w:lineRule="auto"/>
        <w:jc w:val="both"/>
        <w:rPr>
          <w:lang w:val="es-DO"/>
        </w:rPr>
      </w:pPr>
    </w:p>
    <w:p w14:paraId="70E44079" w14:textId="5561911E" w:rsidR="00177CFE" w:rsidRPr="00AC7AC2" w:rsidRDefault="00177CFE" w:rsidP="00D64261">
      <w:pPr>
        <w:spacing w:line="360" w:lineRule="auto"/>
        <w:jc w:val="both"/>
        <w:rPr>
          <w:lang w:val="es-DO"/>
        </w:rPr>
      </w:pPr>
      <w:r w:rsidRPr="00AC7AC2">
        <w:rPr>
          <w:lang w:val="es-DO"/>
        </w:rPr>
        <w:t>En cuanto a los pagos mediante cheques que son los menos utilizados, cabe destacar que durante el periodo fueron emitidos 150,003.32 cheques.</w:t>
      </w:r>
    </w:p>
    <w:p w14:paraId="7F8A4E99" w14:textId="11A55ADC"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lastRenderedPageBreak/>
        <w:t xml:space="preserve">Cuadro No. </w:t>
      </w:r>
      <w:r w:rsidR="008D7279" w:rsidRPr="00AC7AC2">
        <w:rPr>
          <w:rFonts w:eastAsia="Calibri"/>
          <w:b/>
          <w:bCs/>
          <w:noProof/>
          <w:lang w:val="es-DO"/>
        </w:rPr>
        <w:t>32</w:t>
      </w:r>
    </w:p>
    <w:p w14:paraId="77F65278" w14:textId="77777777"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t>Tesorería Nacional</w:t>
      </w:r>
    </w:p>
    <w:p w14:paraId="046B357D" w14:textId="1FEFB2BC" w:rsidR="008328E2" w:rsidRPr="00AC7AC2" w:rsidRDefault="00177CFE" w:rsidP="008328E2">
      <w:pPr>
        <w:spacing w:after="0" w:line="360" w:lineRule="auto"/>
        <w:jc w:val="center"/>
        <w:rPr>
          <w:rFonts w:eastAsia="Calibri"/>
          <w:b/>
          <w:bCs/>
          <w:noProof/>
          <w:lang w:val="es-DO"/>
        </w:rPr>
      </w:pPr>
      <w:r w:rsidRPr="00AC7AC2">
        <w:rPr>
          <w:rFonts w:eastAsia="Calibri"/>
          <w:b/>
          <w:bCs/>
          <w:noProof/>
          <w:lang w:val="es-DO"/>
        </w:rPr>
        <w:t>Cheques Enero - Diciembre 2025</w:t>
      </w:r>
    </w:p>
    <w:p w14:paraId="441E1D35" w14:textId="08857F24" w:rsidR="00177CFE" w:rsidRPr="00AC7AC2" w:rsidRDefault="008328E2" w:rsidP="00D64261">
      <w:pPr>
        <w:spacing w:line="360" w:lineRule="auto"/>
        <w:jc w:val="both"/>
        <w:rPr>
          <w:sz w:val="18"/>
          <w:szCs w:val="18"/>
          <w:lang w:val="es-DO"/>
        </w:rPr>
      </w:pPr>
      <w:r w:rsidRPr="00AC7AC2">
        <w:rPr>
          <w:b/>
          <w:bCs/>
          <w:noProof/>
          <w:sz w:val="18"/>
          <w:szCs w:val="18"/>
          <w:lang w:val="es-DO"/>
        </w:rPr>
        <w:drawing>
          <wp:inline distT="0" distB="0" distL="0" distR="0" wp14:anchorId="40687978" wp14:editId="2F8B27E0">
            <wp:extent cx="5029200" cy="2035534"/>
            <wp:effectExtent l="0" t="0" r="0" b="3175"/>
            <wp:docPr id="1437892797"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892797" name="Picture 1" descr="A screenshot of a computer screen&#10;&#10;AI-generated content may be incorrect."/>
                    <pic:cNvPicPr/>
                  </pic:nvPicPr>
                  <pic:blipFill rotWithShape="1">
                    <a:blip r:embed="rId39"/>
                    <a:srcRect b="3621"/>
                    <a:stretch>
                      <a:fillRect/>
                    </a:stretch>
                  </pic:blipFill>
                  <pic:spPr bwMode="auto">
                    <a:xfrm>
                      <a:off x="0" y="0"/>
                      <a:ext cx="5029200" cy="2035534"/>
                    </a:xfrm>
                    <a:prstGeom prst="rect">
                      <a:avLst/>
                    </a:prstGeom>
                    <a:ln>
                      <a:noFill/>
                    </a:ln>
                    <a:extLst>
                      <a:ext uri="{53640926-AAD7-44D8-BBD7-CCE9431645EC}">
                        <a14:shadowObscured xmlns:a14="http://schemas.microsoft.com/office/drawing/2010/main"/>
                      </a:ext>
                    </a:extLst>
                  </pic:spPr>
                </pic:pic>
              </a:graphicData>
            </a:graphic>
          </wp:inline>
        </w:drawing>
      </w:r>
      <w:r w:rsidR="00177CFE" w:rsidRPr="00AC7AC2">
        <w:rPr>
          <w:b/>
          <w:bCs/>
          <w:sz w:val="18"/>
          <w:szCs w:val="18"/>
          <w:lang w:val="es-DO"/>
        </w:rPr>
        <w:t>Fuente data, reportes SIGEF</w:t>
      </w:r>
    </w:p>
    <w:p w14:paraId="52534807" w14:textId="77777777" w:rsidR="00177CFE" w:rsidRPr="00AC7AC2" w:rsidRDefault="00177CFE" w:rsidP="00D64261">
      <w:pPr>
        <w:spacing w:line="360" w:lineRule="auto"/>
        <w:jc w:val="both"/>
        <w:rPr>
          <w:lang w:val="es-DO"/>
        </w:rPr>
      </w:pPr>
    </w:p>
    <w:p w14:paraId="5FFF2336" w14:textId="7F4E1E2C" w:rsidR="00177CFE" w:rsidRPr="00AC7AC2" w:rsidRDefault="00177CFE" w:rsidP="00D64261">
      <w:pPr>
        <w:spacing w:line="360" w:lineRule="auto"/>
        <w:jc w:val="both"/>
        <w:rPr>
          <w:lang w:val="es-DO"/>
        </w:rPr>
      </w:pPr>
      <w:r w:rsidRPr="00AC7AC2">
        <w:rPr>
          <w:lang w:val="es-DO"/>
        </w:rPr>
        <w:t xml:space="preserve">En el gráfico comparativo, la Tesorería Nacional persigue a futuro eliminar o reducir </w:t>
      </w:r>
      <w:r w:rsidR="008328E2" w:rsidRPr="00AC7AC2">
        <w:rPr>
          <w:lang w:val="es-DO"/>
        </w:rPr>
        <w:t>aún</w:t>
      </w:r>
      <w:r w:rsidRPr="00AC7AC2">
        <w:rPr>
          <w:lang w:val="es-DO"/>
        </w:rPr>
        <w:t xml:space="preserve"> mas la </w:t>
      </w:r>
      <w:r w:rsidR="008328E2" w:rsidRPr="00AC7AC2">
        <w:rPr>
          <w:lang w:val="es-DO"/>
        </w:rPr>
        <w:t>emisión</w:t>
      </w:r>
      <w:r w:rsidRPr="00AC7AC2">
        <w:rPr>
          <w:lang w:val="es-DO"/>
        </w:rPr>
        <w:t xml:space="preserve"> de los cheques, en donde la transferencia </w:t>
      </w:r>
      <w:r w:rsidR="00D3574F" w:rsidRPr="00AC7AC2">
        <w:rPr>
          <w:lang w:val="es-DO"/>
        </w:rPr>
        <w:t>electrónica</w:t>
      </w:r>
      <w:r w:rsidRPr="00AC7AC2">
        <w:rPr>
          <w:lang w:val="es-DO"/>
        </w:rPr>
        <w:t xml:space="preserve"> </w:t>
      </w:r>
      <w:r w:rsidR="008328E2" w:rsidRPr="00AC7AC2">
        <w:rPr>
          <w:lang w:val="es-DO"/>
        </w:rPr>
        <w:t>sería</w:t>
      </w:r>
      <w:r w:rsidRPr="00AC7AC2">
        <w:rPr>
          <w:lang w:val="es-DO"/>
        </w:rPr>
        <w:t xml:space="preserve"> el medio de pago por excelencia, siendo este el </w:t>
      </w:r>
      <w:r w:rsidR="008328E2" w:rsidRPr="00AC7AC2">
        <w:rPr>
          <w:lang w:val="es-DO"/>
        </w:rPr>
        <w:t>más</w:t>
      </w:r>
      <w:r w:rsidRPr="00AC7AC2">
        <w:rPr>
          <w:lang w:val="es-DO"/>
        </w:rPr>
        <w:t xml:space="preserve"> seguro, transparente y ágil.</w:t>
      </w:r>
    </w:p>
    <w:p w14:paraId="59F6B352" w14:textId="77777777" w:rsidR="00177CFE" w:rsidRPr="00AC7AC2" w:rsidRDefault="00177CFE" w:rsidP="00D64261">
      <w:pPr>
        <w:spacing w:line="360" w:lineRule="auto"/>
        <w:jc w:val="both"/>
        <w:rPr>
          <w:lang w:val="es-DO"/>
        </w:rPr>
      </w:pPr>
    </w:p>
    <w:p w14:paraId="684A2F6C" w14:textId="77777777" w:rsidR="00177CFE" w:rsidRPr="00AC7AC2" w:rsidRDefault="00177CFE" w:rsidP="00D64261">
      <w:pPr>
        <w:spacing w:line="360" w:lineRule="auto"/>
        <w:jc w:val="both"/>
        <w:rPr>
          <w:lang w:val="es-DO"/>
        </w:rPr>
      </w:pPr>
    </w:p>
    <w:p w14:paraId="010A2BE3" w14:textId="77777777" w:rsidR="00177CFE" w:rsidRPr="00AC7AC2" w:rsidRDefault="00177CFE" w:rsidP="00D64261">
      <w:pPr>
        <w:spacing w:line="360" w:lineRule="auto"/>
        <w:jc w:val="both"/>
        <w:rPr>
          <w:lang w:val="es-DO"/>
        </w:rPr>
      </w:pPr>
    </w:p>
    <w:p w14:paraId="00DDC64C" w14:textId="77777777" w:rsidR="00177CFE" w:rsidRPr="00AC7AC2" w:rsidRDefault="00177CFE" w:rsidP="00D64261">
      <w:pPr>
        <w:spacing w:line="360" w:lineRule="auto"/>
        <w:jc w:val="both"/>
        <w:rPr>
          <w:lang w:val="es-DO"/>
        </w:rPr>
      </w:pPr>
    </w:p>
    <w:p w14:paraId="4686BA4E" w14:textId="77777777" w:rsidR="00B046C6" w:rsidRPr="00AC7AC2" w:rsidRDefault="00B046C6" w:rsidP="00D64261">
      <w:pPr>
        <w:spacing w:line="360" w:lineRule="auto"/>
        <w:jc w:val="both"/>
        <w:rPr>
          <w:lang w:val="es-DO"/>
        </w:rPr>
      </w:pPr>
    </w:p>
    <w:p w14:paraId="31EA7AAC" w14:textId="77777777" w:rsidR="00B046C6" w:rsidRPr="00AC7AC2" w:rsidRDefault="00B046C6" w:rsidP="00D64261">
      <w:pPr>
        <w:spacing w:line="360" w:lineRule="auto"/>
        <w:jc w:val="both"/>
        <w:rPr>
          <w:lang w:val="es-DO"/>
        </w:rPr>
      </w:pPr>
    </w:p>
    <w:p w14:paraId="03DFB06D" w14:textId="77777777" w:rsidR="00B046C6" w:rsidRPr="00AC7AC2" w:rsidRDefault="00B046C6" w:rsidP="00D64261">
      <w:pPr>
        <w:spacing w:line="360" w:lineRule="auto"/>
        <w:jc w:val="both"/>
        <w:rPr>
          <w:lang w:val="es-DO"/>
        </w:rPr>
      </w:pPr>
    </w:p>
    <w:p w14:paraId="45BF25D7" w14:textId="77777777" w:rsidR="00B046C6" w:rsidRPr="00AC7AC2" w:rsidRDefault="00B046C6" w:rsidP="00D64261">
      <w:pPr>
        <w:spacing w:line="360" w:lineRule="auto"/>
        <w:jc w:val="both"/>
        <w:rPr>
          <w:lang w:val="es-DO"/>
        </w:rPr>
      </w:pPr>
    </w:p>
    <w:p w14:paraId="1F2781FA" w14:textId="77777777" w:rsidR="00B046C6" w:rsidRPr="00AC7AC2" w:rsidRDefault="00B046C6" w:rsidP="00D64261">
      <w:pPr>
        <w:spacing w:line="360" w:lineRule="auto"/>
        <w:jc w:val="both"/>
        <w:rPr>
          <w:lang w:val="es-DO"/>
        </w:rPr>
      </w:pPr>
    </w:p>
    <w:p w14:paraId="570D0E26" w14:textId="49286C61"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lastRenderedPageBreak/>
        <w:t>Gráfico No. 1</w:t>
      </w:r>
      <w:r w:rsidR="007F0A9B" w:rsidRPr="00AC7AC2">
        <w:rPr>
          <w:rFonts w:eastAsia="Calibri"/>
          <w:b/>
          <w:bCs/>
          <w:noProof/>
          <w:lang w:val="es-DO"/>
        </w:rPr>
        <w:t>2</w:t>
      </w:r>
    </w:p>
    <w:p w14:paraId="2AE4BF05" w14:textId="77777777"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t>Tesorería Nacional</w:t>
      </w:r>
    </w:p>
    <w:p w14:paraId="7F5339C6" w14:textId="18B5C730"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t>Enero - Diciembre 2025</w:t>
      </w:r>
    </w:p>
    <w:p w14:paraId="400B6126" w14:textId="60B4531A" w:rsidR="00177CFE" w:rsidRPr="00AC7AC2" w:rsidRDefault="00177CFE" w:rsidP="00D64261">
      <w:pPr>
        <w:spacing w:line="360" w:lineRule="auto"/>
        <w:jc w:val="both"/>
        <w:rPr>
          <w:b/>
          <w:lang w:val="es-DO"/>
        </w:rPr>
      </w:pPr>
      <w:r w:rsidRPr="00AC7AC2">
        <w:rPr>
          <w:b/>
          <w:noProof/>
          <w:lang w:val="es-DO"/>
        </w:rPr>
        <w:drawing>
          <wp:inline distT="0" distB="0" distL="0" distR="0" wp14:anchorId="3729C2AE" wp14:editId="655FCF33">
            <wp:extent cx="4889500" cy="3298190"/>
            <wp:effectExtent l="0" t="0" r="6350" b="0"/>
            <wp:docPr id="484403754" name="Imagen 12" descr="A blue pie chart with a poi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403754" name="Imagen 12" descr="A blue pie chart with a point&#10;&#10;AI-generated content may be incorrec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89500" cy="3298190"/>
                    </a:xfrm>
                    <a:prstGeom prst="rect">
                      <a:avLst/>
                    </a:prstGeom>
                    <a:noFill/>
                  </pic:spPr>
                </pic:pic>
              </a:graphicData>
            </a:graphic>
          </wp:inline>
        </w:drawing>
      </w:r>
      <w:r w:rsidRPr="00AC7AC2">
        <w:rPr>
          <w:lang w:val="es-DO"/>
        </w:rPr>
        <w:br/>
      </w:r>
    </w:p>
    <w:p w14:paraId="0F9AD16A" w14:textId="77777777" w:rsidR="00177CFE" w:rsidRPr="00AC7AC2" w:rsidRDefault="00177CFE" w:rsidP="00D64261">
      <w:pPr>
        <w:spacing w:line="360" w:lineRule="auto"/>
        <w:jc w:val="both"/>
        <w:rPr>
          <w:lang w:val="es-DO"/>
        </w:rPr>
      </w:pPr>
      <w:r w:rsidRPr="00AC7AC2">
        <w:rPr>
          <w:lang w:val="es-DO"/>
        </w:rPr>
        <w:t>Pagos de Deuda Externa mediante notas durante el periodo Enero - Diciembre 2025, refleja la cantidad de notas emitidas para autorizar los desembolsos atendidos por el Banco Central en sus diferentes monedas usando esta modalidad, para cubrir el pago del servicio de la Deuda Externa.  Cabe destacar que los pagos en dólares y euros se remiten mediante archivo electrónico XML a través del sistema LBTR.</w:t>
      </w:r>
    </w:p>
    <w:p w14:paraId="4160847B" w14:textId="77777777" w:rsidR="00177CFE" w:rsidRPr="00AC7AC2" w:rsidRDefault="00177CFE" w:rsidP="00D64261">
      <w:pPr>
        <w:spacing w:line="360" w:lineRule="auto"/>
        <w:jc w:val="both"/>
        <w:rPr>
          <w:b/>
          <w:lang w:val="es-DO"/>
        </w:rPr>
      </w:pPr>
    </w:p>
    <w:p w14:paraId="2EC74CA2" w14:textId="77777777" w:rsidR="00177CFE" w:rsidRDefault="00177CFE" w:rsidP="00D64261">
      <w:pPr>
        <w:spacing w:line="360" w:lineRule="auto"/>
        <w:jc w:val="both"/>
        <w:rPr>
          <w:b/>
          <w:color w:val="4C4747"/>
          <w:lang w:val="es-DO"/>
        </w:rPr>
      </w:pPr>
    </w:p>
    <w:p w14:paraId="52FBE4A9" w14:textId="77777777" w:rsidR="00B046C6" w:rsidRDefault="00B046C6" w:rsidP="00D64261">
      <w:pPr>
        <w:spacing w:line="360" w:lineRule="auto"/>
        <w:jc w:val="both"/>
        <w:rPr>
          <w:b/>
          <w:color w:val="4C4747"/>
          <w:lang w:val="es-DO"/>
        </w:rPr>
      </w:pPr>
    </w:p>
    <w:p w14:paraId="606B2D8F" w14:textId="77777777" w:rsidR="00B046C6" w:rsidRDefault="00B046C6" w:rsidP="00D64261">
      <w:pPr>
        <w:spacing w:line="360" w:lineRule="auto"/>
        <w:jc w:val="both"/>
        <w:rPr>
          <w:b/>
          <w:color w:val="4C4747"/>
          <w:lang w:val="es-DO"/>
        </w:rPr>
      </w:pPr>
    </w:p>
    <w:p w14:paraId="5D62FBFE" w14:textId="77777777" w:rsidR="008328E2" w:rsidRPr="00177CFE" w:rsidRDefault="008328E2" w:rsidP="00D64261">
      <w:pPr>
        <w:spacing w:line="360" w:lineRule="auto"/>
        <w:jc w:val="both"/>
        <w:rPr>
          <w:b/>
          <w:color w:val="4C4747"/>
          <w:lang w:val="es-DO"/>
        </w:rPr>
      </w:pPr>
    </w:p>
    <w:p w14:paraId="2ED3B68C" w14:textId="0F9B5ADA"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lastRenderedPageBreak/>
        <w:t>Cuadro No. 3</w:t>
      </w:r>
      <w:r w:rsidR="008D7279" w:rsidRPr="00AC7AC2">
        <w:rPr>
          <w:rFonts w:eastAsia="Calibri"/>
          <w:b/>
          <w:bCs/>
          <w:noProof/>
          <w:lang w:val="es-DO"/>
        </w:rPr>
        <w:t>3</w:t>
      </w:r>
    </w:p>
    <w:p w14:paraId="0B0EEE95" w14:textId="77777777"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t>Tesorería Nacional</w:t>
      </w:r>
    </w:p>
    <w:p w14:paraId="56E375D0" w14:textId="77777777"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t>Deuda Externa (Banco Central)</w:t>
      </w:r>
    </w:p>
    <w:p w14:paraId="6F2B826E" w14:textId="77777777"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t>Enero - Diciembre 2025</w:t>
      </w:r>
    </w:p>
    <w:p w14:paraId="733795F1" w14:textId="02F23C3F" w:rsidR="00177CFE" w:rsidRPr="00AC7AC2" w:rsidRDefault="008328E2" w:rsidP="00D64261">
      <w:pPr>
        <w:spacing w:line="360" w:lineRule="auto"/>
        <w:jc w:val="both"/>
        <w:rPr>
          <w:b/>
          <w:lang w:val="es-DO"/>
        </w:rPr>
      </w:pPr>
      <w:r w:rsidRPr="00AC7AC2">
        <w:rPr>
          <w:b/>
          <w:noProof/>
          <w:lang w:val="es-DO"/>
        </w:rPr>
        <w:drawing>
          <wp:inline distT="0" distB="0" distL="0" distR="0" wp14:anchorId="21FDDCA9" wp14:editId="4DCFCEEF">
            <wp:extent cx="5029200" cy="1628775"/>
            <wp:effectExtent l="0" t="0" r="0" b="9525"/>
            <wp:docPr id="159867167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671675" name="Picture 1" descr="A screenshot of a computer&#10;&#10;AI-generated content may be incorrect."/>
                    <pic:cNvPicPr/>
                  </pic:nvPicPr>
                  <pic:blipFill>
                    <a:blip r:embed="rId41"/>
                    <a:stretch>
                      <a:fillRect/>
                    </a:stretch>
                  </pic:blipFill>
                  <pic:spPr>
                    <a:xfrm>
                      <a:off x="0" y="0"/>
                      <a:ext cx="5029200" cy="1628775"/>
                    </a:xfrm>
                    <a:prstGeom prst="rect">
                      <a:avLst/>
                    </a:prstGeom>
                  </pic:spPr>
                </pic:pic>
              </a:graphicData>
            </a:graphic>
          </wp:inline>
        </w:drawing>
      </w:r>
    </w:p>
    <w:p w14:paraId="3680329E" w14:textId="68E77B98" w:rsidR="00177CFE" w:rsidRPr="00AC7AC2" w:rsidRDefault="00177CFE" w:rsidP="00D64261">
      <w:pPr>
        <w:spacing w:line="360" w:lineRule="auto"/>
        <w:jc w:val="both"/>
        <w:rPr>
          <w:b/>
          <w:bCs/>
          <w:sz w:val="18"/>
          <w:szCs w:val="18"/>
          <w:lang w:val="es-DO"/>
        </w:rPr>
      </w:pPr>
      <w:r w:rsidRPr="00AC7AC2">
        <w:rPr>
          <w:b/>
          <w:bCs/>
          <w:sz w:val="18"/>
          <w:szCs w:val="18"/>
          <w:lang w:val="es-DO"/>
        </w:rPr>
        <w:t>Fuente data, reportes SIGEF</w:t>
      </w:r>
    </w:p>
    <w:p w14:paraId="6F2298CF" w14:textId="77777777" w:rsidR="00177CFE" w:rsidRPr="00AC7AC2" w:rsidRDefault="00177CFE" w:rsidP="00D64261">
      <w:pPr>
        <w:spacing w:line="360" w:lineRule="auto"/>
        <w:jc w:val="both"/>
        <w:rPr>
          <w:b/>
          <w:lang w:val="es-DO"/>
        </w:rPr>
      </w:pPr>
    </w:p>
    <w:p w14:paraId="1D4D2CFF" w14:textId="77777777" w:rsidR="00177CFE" w:rsidRPr="00AC7AC2" w:rsidRDefault="00177CFE" w:rsidP="00D64261">
      <w:pPr>
        <w:spacing w:line="360" w:lineRule="auto"/>
        <w:jc w:val="both"/>
        <w:rPr>
          <w:b/>
          <w:bCs/>
          <w:lang w:val="es-DO"/>
        </w:rPr>
      </w:pPr>
      <w:r w:rsidRPr="00AC7AC2">
        <w:rPr>
          <w:b/>
          <w:lang w:val="es-DO"/>
        </w:rPr>
        <w:t>PD: DEG: Derecho especial de giros (SDR) (moneda del FMI)</w:t>
      </w:r>
    </w:p>
    <w:p w14:paraId="34C3E66A" w14:textId="77777777" w:rsidR="00177CFE" w:rsidRPr="00AC7AC2" w:rsidRDefault="00177CFE" w:rsidP="00D64261">
      <w:pPr>
        <w:spacing w:line="360" w:lineRule="auto"/>
        <w:jc w:val="both"/>
        <w:rPr>
          <w:lang w:val="es-DO"/>
        </w:rPr>
      </w:pPr>
      <w:r w:rsidRPr="00AC7AC2">
        <w:rPr>
          <w:lang w:val="es-DO"/>
        </w:rPr>
        <w:t>Los Pagos Mediante Notas de Deuda Interna durante el periodo Enero - Diciembre 2025, reflejan la cantidad de notas emitidas para autorizar los desembolsos atendidos por el Banco de Reservas en sus diferentes monedas. Esta modalidad se utiliza para cubrir el pago del servicio de la Deuda Interna y pagos de recapitalización del banco central.</w:t>
      </w:r>
    </w:p>
    <w:p w14:paraId="5A6B37B0" w14:textId="77777777" w:rsidR="00177CFE" w:rsidRPr="00AC7AC2" w:rsidRDefault="00177CFE" w:rsidP="00D64261">
      <w:pPr>
        <w:spacing w:line="360" w:lineRule="auto"/>
        <w:jc w:val="both"/>
        <w:rPr>
          <w:b/>
          <w:lang w:val="es-DO"/>
        </w:rPr>
      </w:pPr>
    </w:p>
    <w:p w14:paraId="5E444A34" w14:textId="77777777" w:rsidR="00177CFE" w:rsidRPr="00AC7AC2" w:rsidRDefault="00177CFE" w:rsidP="00D64261">
      <w:pPr>
        <w:spacing w:line="360" w:lineRule="auto"/>
        <w:jc w:val="both"/>
        <w:rPr>
          <w:b/>
          <w:lang w:val="es-DO"/>
        </w:rPr>
      </w:pPr>
    </w:p>
    <w:p w14:paraId="7CDFA2F9" w14:textId="77777777" w:rsidR="00177CFE" w:rsidRPr="00AC7AC2" w:rsidRDefault="00177CFE" w:rsidP="00D64261">
      <w:pPr>
        <w:spacing w:line="360" w:lineRule="auto"/>
        <w:jc w:val="both"/>
        <w:rPr>
          <w:b/>
          <w:lang w:val="es-DO"/>
        </w:rPr>
      </w:pPr>
    </w:p>
    <w:p w14:paraId="2A7C34DA" w14:textId="77777777" w:rsidR="00177CFE" w:rsidRPr="00AC7AC2" w:rsidRDefault="00177CFE" w:rsidP="00D64261">
      <w:pPr>
        <w:spacing w:line="360" w:lineRule="auto"/>
        <w:jc w:val="both"/>
        <w:rPr>
          <w:b/>
          <w:lang w:val="es-DO"/>
        </w:rPr>
      </w:pPr>
    </w:p>
    <w:p w14:paraId="7A04558D" w14:textId="77777777" w:rsidR="00177CFE" w:rsidRPr="00AC7AC2" w:rsidRDefault="00177CFE" w:rsidP="00D64261">
      <w:pPr>
        <w:spacing w:line="360" w:lineRule="auto"/>
        <w:jc w:val="both"/>
        <w:rPr>
          <w:b/>
          <w:lang w:val="es-DO"/>
        </w:rPr>
      </w:pPr>
    </w:p>
    <w:p w14:paraId="1352F192" w14:textId="77777777" w:rsidR="00177CFE" w:rsidRPr="00AC7AC2" w:rsidRDefault="00177CFE" w:rsidP="00D64261">
      <w:pPr>
        <w:spacing w:line="360" w:lineRule="auto"/>
        <w:jc w:val="both"/>
        <w:rPr>
          <w:b/>
          <w:lang w:val="es-DO"/>
        </w:rPr>
      </w:pPr>
    </w:p>
    <w:p w14:paraId="700A1E84" w14:textId="77777777" w:rsidR="00177CFE" w:rsidRPr="00AC7AC2" w:rsidRDefault="00177CFE" w:rsidP="00D64261">
      <w:pPr>
        <w:spacing w:line="360" w:lineRule="auto"/>
        <w:jc w:val="both"/>
        <w:rPr>
          <w:b/>
          <w:lang w:val="es-DO"/>
        </w:rPr>
      </w:pPr>
    </w:p>
    <w:p w14:paraId="4F419BCC" w14:textId="581D17B2"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lastRenderedPageBreak/>
        <w:t xml:space="preserve">Cuadro No. </w:t>
      </w:r>
      <w:r w:rsidR="008D7279" w:rsidRPr="00AC7AC2">
        <w:rPr>
          <w:rFonts w:eastAsia="Calibri"/>
          <w:b/>
          <w:bCs/>
          <w:noProof/>
          <w:lang w:val="es-DO"/>
        </w:rPr>
        <w:t>3</w:t>
      </w:r>
      <w:r w:rsidRPr="00AC7AC2">
        <w:rPr>
          <w:rFonts w:eastAsia="Calibri"/>
          <w:b/>
          <w:bCs/>
          <w:noProof/>
          <w:lang w:val="es-DO"/>
        </w:rPr>
        <w:t>4</w:t>
      </w:r>
    </w:p>
    <w:p w14:paraId="20609BC7" w14:textId="4C0DAB35" w:rsidR="008A3AF3" w:rsidRPr="00AC7AC2" w:rsidRDefault="008A3AF3" w:rsidP="00D64261">
      <w:pPr>
        <w:spacing w:after="0" w:line="360" w:lineRule="auto"/>
        <w:jc w:val="center"/>
        <w:rPr>
          <w:rFonts w:eastAsia="Calibri"/>
          <w:b/>
          <w:bCs/>
          <w:noProof/>
          <w:lang w:val="es-DO"/>
        </w:rPr>
      </w:pPr>
      <w:r w:rsidRPr="00AC7AC2">
        <w:rPr>
          <w:rFonts w:eastAsia="Calibri"/>
          <w:b/>
          <w:bCs/>
          <w:noProof/>
          <w:lang w:val="es-DO"/>
        </w:rPr>
        <w:t>Banco de Reservas de la Republica Dominicana</w:t>
      </w:r>
    </w:p>
    <w:p w14:paraId="6A52F10B" w14:textId="29BBFC18" w:rsidR="008A3AF3" w:rsidRPr="00AC7AC2" w:rsidRDefault="008A3AF3" w:rsidP="00D64261">
      <w:pPr>
        <w:spacing w:after="0" w:line="360" w:lineRule="auto"/>
        <w:jc w:val="center"/>
        <w:rPr>
          <w:rFonts w:eastAsia="Calibri"/>
          <w:b/>
          <w:bCs/>
          <w:noProof/>
          <w:lang w:val="es-DO"/>
        </w:rPr>
      </w:pPr>
      <w:r w:rsidRPr="00AC7AC2">
        <w:rPr>
          <w:rFonts w:eastAsia="Calibri"/>
          <w:b/>
          <w:bCs/>
          <w:noProof/>
          <w:lang w:val="es-DO"/>
        </w:rPr>
        <w:t>Notas – Deuda Interna</w:t>
      </w:r>
    </w:p>
    <w:p w14:paraId="56F63CD9" w14:textId="3F893ADB" w:rsidR="008A3AF3" w:rsidRPr="00AC7AC2" w:rsidRDefault="008A3AF3" w:rsidP="00D64261">
      <w:pPr>
        <w:spacing w:after="0" w:line="360" w:lineRule="auto"/>
        <w:jc w:val="center"/>
        <w:rPr>
          <w:rFonts w:eastAsia="Calibri"/>
          <w:b/>
          <w:bCs/>
          <w:noProof/>
          <w:lang w:val="es-DO"/>
        </w:rPr>
      </w:pPr>
      <w:r w:rsidRPr="00AC7AC2">
        <w:rPr>
          <w:rFonts w:eastAsia="Calibri"/>
          <w:b/>
          <w:bCs/>
          <w:noProof/>
          <w:lang w:val="es-DO"/>
        </w:rPr>
        <w:t>Enero – Diciembre 2025</w:t>
      </w:r>
    </w:p>
    <w:p w14:paraId="2302C60A" w14:textId="60B2C49F" w:rsidR="00177CFE" w:rsidRPr="00AC7AC2" w:rsidRDefault="008328E2" w:rsidP="00D64261">
      <w:pPr>
        <w:spacing w:line="360" w:lineRule="auto"/>
        <w:jc w:val="both"/>
        <w:rPr>
          <w:sz w:val="18"/>
          <w:szCs w:val="18"/>
          <w:lang w:val="es-DO"/>
        </w:rPr>
      </w:pPr>
      <w:r w:rsidRPr="00AC7AC2">
        <w:rPr>
          <w:b/>
          <w:bCs/>
          <w:noProof/>
          <w:sz w:val="18"/>
          <w:szCs w:val="18"/>
          <w:lang w:val="es-DO"/>
        </w:rPr>
        <w:drawing>
          <wp:inline distT="0" distB="0" distL="0" distR="0" wp14:anchorId="452DDEC1" wp14:editId="39157E33">
            <wp:extent cx="5029200" cy="2314575"/>
            <wp:effectExtent l="0" t="0" r="0" b="9525"/>
            <wp:docPr id="1248877404"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877404" name="Picture 1" descr="A screenshot of a computer screen&#10;&#10;AI-generated content may be incorrect."/>
                    <pic:cNvPicPr/>
                  </pic:nvPicPr>
                  <pic:blipFill>
                    <a:blip r:embed="rId42"/>
                    <a:stretch>
                      <a:fillRect/>
                    </a:stretch>
                  </pic:blipFill>
                  <pic:spPr>
                    <a:xfrm>
                      <a:off x="0" y="0"/>
                      <a:ext cx="5029200" cy="2314575"/>
                    </a:xfrm>
                    <a:prstGeom prst="rect">
                      <a:avLst/>
                    </a:prstGeom>
                  </pic:spPr>
                </pic:pic>
              </a:graphicData>
            </a:graphic>
          </wp:inline>
        </w:drawing>
      </w:r>
      <w:r w:rsidR="00177CFE" w:rsidRPr="00AC7AC2">
        <w:rPr>
          <w:b/>
          <w:bCs/>
          <w:sz w:val="18"/>
          <w:szCs w:val="18"/>
          <w:lang w:val="es-DO"/>
        </w:rPr>
        <w:t>Fuente data, reportes SIGEF</w:t>
      </w:r>
    </w:p>
    <w:p w14:paraId="09B0185C" w14:textId="77777777" w:rsidR="00177CFE" w:rsidRPr="00AC7AC2" w:rsidRDefault="00177CFE" w:rsidP="00D64261">
      <w:pPr>
        <w:spacing w:line="360" w:lineRule="auto"/>
        <w:jc w:val="both"/>
        <w:rPr>
          <w:lang w:val="es-DO"/>
        </w:rPr>
      </w:pPr>
    </w:p>
    <w:p w14:paraId="43A336B2" w14:textId="77777777" w:rsidR="00177CFE" w:rsidRPr="00AC7AC2" w:rsidRDefault="00177CFE" w:rsidP="00D64261">
      <w:pPr>
        <w:spacing w:line="360" w:lineRule="auto"/>
        <w:jc w:val="both"/>
        <w:rPr>
          <w:lang w:val="es-DO"/>
        </w:rPr>
      </w:pPr>
      <w:r w:rsidRPr="00AC7AC2">
        <w:rPr>
          <w:lang w:val="es-DO"/>
        </w:rPr>
        <w:t>La Tesorería Nacional reflejó por medio de los pagos institucionales en divisas durante periodo Enero - Diciembre 2025, la cantidad de notas elaboradas honrando los desembolsos institucionales contraídos en el exterior y que requieren de esta modalidad para ser cubiertos por ser en moneda extranjera.</w:t>
      </w:r>
    </w:p>
    <w:p w14:paraId="67762A1F" w14:textId="77777777" w:rsidR="00177CFE" w:rsidRPr="00AC7AC2" w:rsidRDefault="00177CFE" w:rsidP="00D64261">
      <w:pPr>
        <w:spacing w:line="360" w:lineRule="auto"/>
        <w:jc w:val="both"/>
        <w:rPr>
          <w:lang w:val="es-DO"/>
        </w:rPr>
      </w:pPr>
    </w:p>
    <w:p w14:paraId="41AF3954" w14:textId="77777777" w:rsidR="00177CFE" w:rsidRDefault="00177CFE" w:rsidP="00D64261">
      <w:pPr>
        <w:spacing w:line="360" w:lineRule="auto"/>
        <w:jc w:val="both"/>
        <w:rPr>
          <w:color w:val="4C4747"/>
          <w:lang w:val="es-DO"/>
        </w:rPr>
      </w:pPr>
    </w:p>
    <w:p w14:paraId="73503FD1" w14:textId="77777777" w:rsidR="00D3574F" w:rsidRDefault="00D3574F" w:rsidP="00D64261">
      <w:pPr>
        <w:spacing w:line="360" w:lineRule="auto"/>
        <w:jc w:val="both"/>
        <w:rPr>
          <w:color w:val="4C4747"/>
          <w:lang w:val="es-DO"/>
        </w:rPr>
      </w:pPr>
    </w:p>
    <w:p w14:paraId="5466AC91" w14:textId="77777777" w:rsidR="00D3574F" w:rsidRDefault="00D3574F" w:rsidP="00D64261">
      <w:pPr>
        <w:spacing w:line="360" w:lineRule="auto"/>
        <w:jc w:val="both"/>
        <w:rPr>
          <w:color w:val="4C4747"/>
          <w:lang w:val="es-DO"/>
        </w:rPr>
      </w:pPr>
    </w:p>
    <w:p w14:paraId="7FB9F8AE" w14:textId="77777777" w:rsidR="00D3574F" w:rsidRDefault="00D3574F" w:rsidP="00D64261">
      <w:pPr>
        <w:spacing w:line="360" w:lineRule="auto"/>
        <w:jc w:val="both"/>
        <w:rPr>
          <w:color w:val="4C4747"/>
          <w:lang w:val="es-DO"/>
        </w:rPr>
      </w:pPr>
    </w:p>
    <w:p w14:paraId="61C0CFD1" w14:textId="77777777" w:rsidR="00D3574F" w:rsidRDefault="00D3574F" w:rsidP="00D64261">
      <w:pPr>
        <w:spacing w:line="360" w:lineRule="auto"/>
        <w:jc w:val="both"/>
        <w:rPr>
          <w:color w:val="4C4747"/>
          <w:lang w:val="es-DO"/>
        </w:rPr>
      </w:pPr>
    </w:p>
    <w:p w14:paraId="15FAD247" w14:textId="77777777" w:rsidR="00D3574F" w:rsidRPr="00177CFE" w:rsidRDefault="00D3574F" w:rsidP="00D64261">
      <w:pPr>
        <w:spacing w:line="360" w:lineRule="auto"/>
        <w:jc w:val="both"/>
        <w:rPr>
          <w:color w:val="4C4747"/>
          <w:lang w:val="es-DO"/>
        </w:rPr>
      </w:pPr>
    </w:p>
    <w:p w14:paraId="7A371BB0" w14:textId="6F22FE6C"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lastRenderedPageBreak/>
        <w:t xml:space="preserve">Cuadro No. </w:t>
      </w:r>
      <w:r w:rsidR="008D7279" w:rsidRPr="00AC7AC2">
        <w:rPr>
          <w:rFonts w:eastAsia="Calibri"/>
          <w:b/>
          <w:bCs/>
          <w:noProof/>
          <w:lang w:val="es-DO"/>
        </w:rPr>
        <w:t>3</w:t>
      </w:r>
      <w:r w:rsidRPr="00AC7AC2">
        <w:rPr>
          <w:rFonts w:eastAsia="Calibri"/>
          <w:b/>
          <w:bCs/>
          <w:noProof/>
          <w:lang w:val="es-DO"/>
        </w:rPr>
        <w:t>5</w:t>
      </w:r>
    </w:p>
    <w:p w14:paraId="2F2E166A" w14:textId="77777777"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t>Tesorería Nacional</w:t>
      </w:r>
    </w:p>
    <w:p w14:paraId="161EB481" w14:textId="77777777"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t xml:space="preserve">Pagos Institucionales en Divisas </w:t>
      </w:r>
    </w:p>
    <w:p w14:paraId="32FF8418" w14:textId="77777777"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t>Enero- Diciembre 2025</w:t>
      </w:r>
    </w:p>
    <w:p w14:paraId="0F7B4E49" w14:textId="7655B9C0" w:rsidR="00177CFE" w:rsidRPr="00AC7AC2" w:rsidRDefault="00D51DB9" w:rsidP="00D64261">
      <w:pPr>
        <w:spacing w:line="360" w:lineRule="auto"/>
        <w:jc w:val="both"/>
        <w:rPr>
          <w:b/>
          <w:bCs/>
          <w:sz w:val="18"/>
          <w:szCs w:val="18"/>
          <w:lang w:val="es-DO"/>
        </w:rPr>
      </w:pPr>
      <w:r w:rsidRPr="00AC7AC2">
        <w:rPr>
          <w:b/>
          <w:bCs/>
          <w:noProof/>
          <w:sz w:val="18"/>
          <w:szCs w:val="18"/>
          <w:lang w:val="es-DO"/>
        </w:rPr>
        <w:drawing>
          <wp:inline distT="0" distB="0" distL="0" distR="0" wp14:anchorId="51C3F256" wp14:editId="1E31D200">
            <wp:extent cx="5028111" cy="1733385"/>
            <wp:effectExtent l="0" t="0" r="1270" b="635"/>
            <wp:docPr id="35140219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402198" name="Picture 1" descr="A screenshot of a computer&#10;&#10;AI-generated content may be incorrect."/>
                    <pic:cNvPicPr/>
                  </pic:nvPicPr>
                  <pic:blipFill>
                    <a:blip r:embed="rId43"/>
                    <a:stretch>
                      <a:fillRect/>
                    </a:stretch>
                  </pic:blipFill>
                  <pic:spPr>
                    <a:xfrm>
                      <a:off x="0" y="0"/>
                      <a:ext cx="5088445" cy="1754185"/>
                    </a:xfrm>
                    <a:prstGeom prst="rect">
                      <a:avLst/>
                    </a:prstGeom>
                  </pic:spPr>
                </pic:pic>
              </a:graphicData>
            </a:graphic>
          </wp:inline>
        </w:drawing>
      </w:r>
      <w:r w:rsidR="00177CFE" w:rsidRPr="00AC7AC2">
        <w:rPr>
          <w:b/>
          <w:bCs/>
          <w:sz w:val="18"/>
          <w:szCs w:val="18"/>
          <w:lang w:val="es-DO"/>
        </w:rPr>
        <w:t>* Fuente data, reportes SIGEF</w:t>
      </w:r>
    </w:p>
    <w:p w14:paraId="0876F787" w14:textId="77777777" w:rsidR="00177CFE" w:rsidRPr="00AC7AC2" w:rsidRDefault="00177CFE" w:rsidP="00D64261">
      <w:pPr>
        <w:spacing w:line="360" w:lineRule="auto"/>
        <w:jc w:val="both"/>
        <w:rPr>
          <w:lang w:val="es-DO"/>
        </w:rPr>
      </w:pPr>
    </w:p>
    <w:p w14:paraId="5702A193" w14:textId="77777777" w:rsidR="00177CFE" w:rsidRPr="00AC7AC2" w:rsidRDefault="00177CFE" w:rsidP="00D64261">
      <w:pPr>
        <w:spacing w:line="360" w:lineRule="auto"/>
        <w:jc w:val="both"/>
        <w:rPr>
          <w:b/>
          <w:lang w:val="es-DO"/>
        </w:rPr>
      </w:pPr>
      <w:r w:rsidRPr="00AC7AC2">
        <w:rPr>
          <w:b/>
          <w:lang w:val="es-DO"/>
        </w:rPr>
        <w:t>Seguimiento y control en la ejecución de los pagos</w:t>
      </w:r>
    </w:p>
    <w:p w14:paraId="1AFD72B3" w14:textId="77777777" w:rsidR="00177CFE" w:rsidRPr="00AC7AC2" w:rsidRDefault="00177CFE" w:rsidP="00D64261">
      <w:pPr>
        <w:spacing w:line="360" w:lineRule="auto"/>
        <w:jc w:val="both"/>
        <w:rPr>
          <w:lang w:val="es-DO"/>
        </w:rPr>
      </w:pPr>
      <w:r w:rsidRPr="00AC7AC2">
        <w:rPr>
          <w:lang w:val="es-DO"/>
        </w:rPr>
        <w:t>La Tesorería Nacional elaboró procesos y procedimientos que permiten a las instituciones solucionar las situaciones que pueden presentarse al momento del beneficiario recibir el pago gestionado, mediante la conversión de comprobantes, el mismo acceda a cambiar el medio de pago de origen por otro, que le permita recibir su pago. Debajo se muestra la cantidad de comprobantes convertidos según solicitudes.</w:t>
      </w:r>
    </w:p>
    <w:p w14:paraId="0825FEE5" w14:textId="77777777" w:rsidR="00177CFE" w:rsidRPr="00AC7AC2" w:rsidRDefault="00177CFE" w:rsidP="00D64261">
      <w:pPr>
        <w:spacing w:line="360" w:lineRule="auto"/>
        <w:jc w:val="both"/>
        <w:rPr>
          <w:lang w:val="es-DO"/>
        </w:rPr>
      </w:pPr>
    </w:p>
    <w:p w14:paraId="34B03DB5" w14:textId="77777777" w:rsidR="00177CFE" w:rsidRPr="00AC7AC2" w:rsidRDefault="00177CFE" w:rsidP="00D64261">
      <w:pPr>
        <w:spacing w:line="360" w:lineRule="auto"/>
        <w:jc w:val="both"/>
        <w:rPr>
          <w:lang w:val="es-DO"/>
        </w:rPr>
      </w:pPr>
    </w:p>
    <w:p w14:paraId="09D5DED1" w14:textId="77777777" w:rsidR="00D3574F" w:rsidRPr="00AC7AC2" w:rsidRDefault="00D3574F" w:rsidP="00D64261">
      <w:pPr>
        <w:spacing w:line="360" w:lineRule="auto"/>
        <w:jc w:val="both"/>
        <w:rPr>
          <w:lang w:val="es-DO"/>
        </w:rPr>
      </w:pPr>
    </w:p>
    <w:p w14:paraId="40AC96FB" w14:textId="77777777" w:rsidR="00D3574F" w:rsidRPr="00AC7AC2" w:rsidRDefault="00D3574F" w:rsidP="00D64261">
      <w:pPr>
        <w:spacing w:line="360" w:lineRule="auto"/>
        <w:jc w:val="both"/>
        <w:rPr>
          <w:lang w:val="es-DO"/>
        </w:rPr>
      </w:pPr>
    </w:p>
    <w:p w14:paraId="7657023B" w14:textId="77777777" w:rsidR="00B046C6" w:rsidRPr="00AC7AC2" w:rsidRDefault="00B046C6" w:rsidP="00D64261">
      <w:pPr>
        <w:spacing w:line="360" w:lineRule="auto"/>
        <w:jc w:val="both"/>
        <w:rPr>
          <w:lang w:val="es-DO"/>
        </w:rPr>
      </w:pPr>
    </w:p>
    <w:p w14:paraId="34104C4A" w14:textId="77777777" w:rsidR="00D51DB9" w:rsidRPr="00AC7AC2" w:rsidRDefault="00D51DB9" w:rsidP="00D64261">
      <w:pPr>
        <w:spacing w:line="360" w:lineRule="auto"/>
        <w:jc w:val="both"/>
        <w:rPr>
          <w:lang w:val="es-DO"/>
        </w:rPr>
      </w:pPr>
    </w:p>
    <w:p w14:paraId="683C0A2A" w14:textId="2C87719E"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lastRenderedPageBreak/>
        <w:t xml:space="preserve">Cuadro No. </w:t>
      </w:r>
      <w:r w:rsidR="008D7279" w:rsidRPr="00AC7AC2">
        <w:rPr>
          <w:rFonts w:eastAsia="Calibri"/>
          <w:b/>
          <w:bCs/>
          <w:noProof/>
          <w:lang w:val="es-DO"/>
        </w:rPr>
        <w:t>3</w:t>
      </w:r>
      <w:r w:rsidRPr="00AC7AC2">
        <w:rPr>
          <w:rFonts w:eastAsia="Calibri"/>
          <w:b/>
          <w:bCs/>
          <w:noProof/>
          <w:lang w:val="es-DO"/>
        </w:rPr>
        <w:t>6</w:t>
      </w:r>
    </w:p>
    <w:p w14:paraId="625EDD0D" w14:textId="77777777"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t>Tesorería Nacional</w:t>
      </w:r>
    </w:p>
    <w:p w14:paraId="6C5315DC" w14:textId="0760C849"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t>Comprobantes convertido</w:t>
      </w:r>
      <w:r w:rsidR="008A3AF3" w:rsidRPr="00AC7AC2">
        <w:rPr>
          <w:rFonts w:eastAsia="Calibri"/>
          <w:b/>
          <w:bCs/>
          <w:noProof/>
          <w:lang w:val="es-DO"/>
        </w:rPr>
        <w:t>s</w:t>
      </w:r>
      <w:r w:rsidRPr="00AC7AC2">
        <w:rPr>
          <w:rFonts w:eastAsia="Calibri"/>
          <w:b/>
          <w:bCs/>
          <w:noProof/>
          <w:lang w:val="es-DO"/>
        </w:rPr>
        <w:t xml:space="preserve"> según solicitud</w:t>
      </w:r>
    </w:p>
    <w:p w14:paraId="4A7A8677" w14:textId="77777777"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t>Enero- Diciembre 2025</w:t>
      </w:r>
    </w:p>
    <w:p w14:paraId="598572A6" w14:textId="7ECE9FB4" w:rsidR="00177CFE" w:rsidRPr="00AC7AC2" w:rsidRDefault="00D51DB9" w:rsidP="00D64261">
      <w:pPr>
        <w:spacing w:line="360" w:lineRule="auto"/>
        <w:jc w:val="both"/>
        <w:rPr>
          <w:b/>
          <w:bCs/>
          <w:lang w:val="es-DO"/>
        </w:rPr>
      </w:pPr>
      <w:r w:rsidRPr="00AC7AC2">
        <w:rPr>
          <w:b/>
          <w:bCs/>
          <w:noProof/>
          <w:lang w:val="es-DO"/>
        </w:rPr>
        <w:drawing>
          <wp:inline distT="0" distB="0" distL="0" distR="0" wp14:anchorId="57D1C1D6" wp14:editId="6C4FC66D">
            <wp:extent cx="5027961" cy="1773141"/>
            <wp:effectExtent l="0" t="0" r="1270" b="0"/>
            <wp:docPr id="62051848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518482" name="Picture 1" descr="A screenshot of a computer&#10;&#10;AI-generated content may be incorrect."/>
                    <pic:cNvPicPr/>
                  </pic:nvPicPr>
                  <pic:blipFill>
                    <a:blip r:embed="rId44"/>
                    <a:stretch>
                      <a:fillRect/>
                    </a:stretch>
                  </pic:blipFill>
                  <pic:spPr>
                    <a:xfrm>
                      <a:off x="0" y="0"/>
                      <a:ext cx="5066159" cy="1786612"/>
                    </a:xfrm>
                    <a:prstGeom prst="rect">
                      <a:avLst/>
                    </a:prstGeom>
                  </pic:spPr>
                </pic:pic>
              </a:graphicData>
            </a:graphic>
          </wp:inline>
        </w:drawing>
      </w:r>
    </w:p>
    <w:p w14:paraId="6F8C27F6" w14:textId="7EACAE22" w:rsidR="00177CFE" w:rsidRPr="00AC7AC2" w:rsidRDefault="00177CFE" w:rsidP="00D64261">
      <w:pPr>
        <w:spacing w:line="360" w:lineRule="auto"/>
        <w:jc w:val="both"/>
        <w:rPr>
          <w:sz w:val="18"/>
          <w:szCs w:val="18"/>
          <w:lang w:val="es-DO"/>
        </w:rPr>
      </w:pPr>
      <w:r w:rsidRPr="00AC7AC2">
        <w:rPr>
          <w:b/>
          <w:bCs/>
          <w:sz w:val="18"/>
          <w:szCs w:val="18"/>
          <w:lang w:val="es-DO"/>
        </w:rPr>
        <w:t>Fuente data, reportes SIGEF</w:t>
      </w:r>
    </w:p>
    <w:p w14:paraId="6EE60A84" w14:textId="77777777" w:rsidR="00177CFE" w:rsidRPr="00AC7AC2" w:rsidRDefault="00177CFE" w:rsidP="00D64261">
      <w:pPr>
        <w:spacing w:line="360" w:lineRule="auto"/>
        <w:jc w:val="both"/>
        <w:rPr>
          <w:lang w:val="es-DO"/>
        </w:rPr>
      </w:pPr>
    </w:p>
    <w:p w14:paraId="0A2E576D" w14:textId="77777777" w:rsidR="00177CFE" w:rsidRPr="00AC7AC2" w:rsidRDefault="00177CFE" w:rsidP="00D64261">
      <w:pPr>
        <w:spacing w:line="360" w:lineRule="auto"/>
        <w:jc w:val="both"/>
        <w:rPr>
          <w:lang w:val="es-DO"/>
        </w:rPr>
      </w:pPr>
      <w:r w:rsidRPr="00AC7AC2">
        <w:rPr>
          <w:lang w:val="es-DO"/>
        </w:rPr>
        <w:t xml:space="preserve">Es importante destacar que cuando la institución identifica el comprobante de pago en estado de rechazo y el beneficiario soluciona la situación que acontezca, la tesorería nacional procede a reenvía el pago en cuestión. </w:t>
      </w:r>
    </w:p>
    <w:p w14:paraId="2EDCB29C" w14:textId="24EF08E9" w:rsidR="00177CFE" w:rsidRPr="00AC7AC2" w:rsidRDefault="00177CFE" w:rsidP="00D64261">
      <w:pPr>
        <w:spacing w:line="360" w:lineRule="auto"/>
        <w:jc w:val="both"/>
        <w:rPr>
          <w:lang w:val="es-DO"/>
        </w:rPr>
      </w:pPr>
      <w:r w:rsidRPr="00AC7AC2">
        <w:rPr>
          <w:lang w:val="es-DO"/>
        </w:rPr>
        <w:t>La Tesorería Nacional continuó las publicaciones a través de su portal institucional de las órdenes de pago, individualizadas por proveedor o beneficiario, con sus respectivos conceptos, de manera que cada ciudadano tenga acceso a consultar dicha información, de manera ágil, transparente y oportuna. Por iniciativa Presidencial y persiguiendo un efectivo cambio para transparentar el proceso de pagos con proveedores y contratistas del Estado</w:t>
      </w:r>
      <w:r w:rsidRPr="00AC7AC2">
        <w:rPr>
          <w:lang w:val="es-419"/>
        </w:rPr>
        <w:t xml:space="preserve"> </w:t>
      </w:r>
      <w:r w:rsidRPr="00AC7AC2">
        <w:rPr>
          <w:lang w:val="es-DO"/>
        </w:rPr>
        <w:t>a partir de enero del año 2021. A continuación, el siguiente cuadro, muestra los montos pagados en las diferentes monedas a suplidores y contratista del Estado durante el periodo Enero - Diciembre 2025.</w:t>
      </w:r>
    </w:p>
    <w:p w14:paraId="5305A057" w14:textId="77777777" w:rsidR="00B046C6" w:rsidRPr="00AC7AC2" w:rsidRDefault="00B046C6" w:rsidP="00D64261">
      <w:pPr>
        <w:spacing w:line="360" w:lineRule="auto"/>
        <w:jc w:val="both"/>
        <w:rPr>
          <w:lang w:val="es-DO"/>
        </w:rPr>
      </w:pPr>
    </w:p>
    <w:p w14:paraId="7950407F" w14:textId="77777777" w:rsidR="00D51DB9" w:rsidRPr="00AC7AC2" w:rsidRDefault="00D51DB9" w:rsidP="00D64261">
      <w:pPr>
        <w:spacing w:line="360" w:lineRule="auto"/>
        <w:jc w:val="both"/>
        <w:rPr>
          <w:lang w:val="es-DO"/>
        </w:rPr>
      </w:pPr>
    </w:p>
    <w:p w14:paraId="63BCE57C" w14:textId="631E81F4"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lastRenderedPageBreak/>
        <w:t xml:space="preserve">Cuadro No. </w:t>
      </w:r>
      <w:r w:rsidR="008D7279" w:rsidRPr="00AC7AC2">
        <w:rPr>
          <w:rFonts w:eastAsia="Calibri"/>
          <w:b/>
          <w:bCs/>
          <w:noProof/>
          <w:lang w:val="es-DO"/>
        </w:rPr>
        <w:t>3</w:t>
      </w:r>
      <w:r w:rsidRPr="00AC7AC2">
        <w:rPr>
          <w:rFonts w:eastAsia="Calibri"/>
          <w:b/>
          <w:bCs/>
          <w:noProof/>
          <w:lang w:val="es-DO"/>
        </w:rPr>
        <w:t>7</w:t>
      </w:r>
    </w:p>
    <w:p w14:paraId="60BCA594" w14:textId="77777777"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t>Tesorería Nacional</w:t>
      </w:r>
    </w:p>
    <w:p w14:paraId="40290F4F" w14:textId="77777777"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t xml:space="preserve">Pagos Suplidores y contratistas del Estado </w:t>
      </w:r>
    </w:p>
    <w:p w14:paraId="023D1CCC" w14:textId="77777777"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t>Enero-Diciembre 2025</w:t>
      </w:r>
    </w:p>
    <w:p w14:paraId="7D868271" w14:textId="2D8A31BC" w:rsidR="00177CFE" w:rsidRPr="00AC7AC2" w:rsidRDefault="00D51DB9" w:rsidP="00D64261">
      <w:pPr>
        <w:spacing w:line="360" w:lineRule="auto"/>
        <w:jc w:val="both"/>
        <w:rPr>
          <w:bCs/>
          <w:lang w:val="es-DO"/>
        </w:rPr>
      </w:pPr>
      <w:r w:rsidRPr="00AC7AC2">
        <w:rPr>
          <w:bCs/>
          <w:noProof/>
          <w:lang w:val="es-DO"/>
        </w:rPr>
        <w:drawing>
          <wp:inline distT="0" distB="0" distL="0" distR="0" wp14:anchorId="29A2C5E0" wp14:editId="041C3B54">
            <wp:extent cx="5029200" cy="2592705"/>
            <wp:effectExtent l="0" t="0" r="0" b="0"/>
            <wp:docPr id="1850191265" name="Picture 1" descr="A screenshot of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191265" name="Picture 1" descr="A screenshot of a table&#10;&#10;AI-generated content may be incorrect."/>
                    <pic:cNvPicPr/>
                  </pic:nvPicPr>
                  <pic:blipFill>
                    <a:blip r:embed="rId45"/>
                    <a:stretch>
                      <a:fillRect/>
                    </a:stretch>
                  </pic:blipFill>
                  <pic:spPr>
                    <a:xfrm>
                      <a:off x="0" y="0"/>
                      <a:ext cx="5029200" cy="2592705"/>
                    </a:xfrm>
                    <a:prstGeom prst="rect">
                      <a:avLst/>
                    </a:prstGeom>
                  </pic:spPr>
                </pic:pic>
              </a:graphicData>
            </a:graphic>
          </wp:inline>
        </w:drawing>
      </w:r>
    </w:p>
    <w:p w14:paraId="2C471C12" w14:textId="030126BD" w:rsidR="00177CFE" w:rsidRPr="00AC7AC2" w:rsidRDefault="00177CFE" w:rsidP="00D64261">
      <w:pPr>
        <w:spacing w:line="360" w:lineRule="auto"/>
        <w:jc w:val="both"/>
        <w:rPr>
          <w:bCs/>
          <w:sz w:val="18"/>
          <w:szCs w:val="18"/>
          <w:lang w:val="es-DO"/>
        </w:rPr>
      </w:pPr>
      <w:r w:rsidRPr="00AC7AC2">
        <w:rPr>
          <w:b/>
          <w:bCs/>
          <w:sz w:val="18"/>
          <w:szCs w:val="18"/>
          <w:lang w:val="es-DO"/>
        </w:rPr>
        <w:t>Fuente data, reportes SIGEF</w:t>
      </w:r>
    </w:p>
    <w:p w14:paraId="62B19973" w14:textId="77777777" w:rsidR="00177CFE" w:rsidRPr="00AC7AC2" w:rsidRDefault="00177CFE" w:rsidP="00D64261">
      <w:pPr>
        <w:spacing w:line="360" w:lineRule="auto"/>
        <w:jc w:val="both"/>
        <w:rPr>
          <w:b/>
          <w:lang w:val="es-DO"/>
        </w:rPr>
      </w:pPr>
    </w:p>
    <w:p w14:paraId="5258AA9E" w14:textId="63FDF21D"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t xml:space="preserve">Gráfico No. </w:t>
      </w:r>
      <w:r w:rsidR="007F0A9B" w:rsidRPr="00AC7AC2">
        <w:rPr>
          <w:rFonts w:eastAsia="Calibri"/>
          <w:b/>
          <w:bCs/>
          <w:noProof/>
          <w:lang w:val="es-DO"/>
        </w:rPr>
        <w:t>13</w:t>
      </w:r>
    </w:p>
    <w:p w14:paraId="2E964112" w14:textId="77777777"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t>Tesorería Nacional</w:t>
      </w:r>
    </w:p>
    <w:p w14:paraId="7A1D2BB0" w14:textId="5E37CD8A" w:rsidR="00177CFE" w:rsidRPr="00AC7AC2" w:rsidRDefault="00177CFE" w:rsidP="00D64261">
      <w:pPr>
        <w:spacing w:line="360" w:lineRule="auto"/>
        <w:jc w:val="both"/>
        <w:rPr>
          <w:lang w:val="es-DO"/>
        </w:rPr>
      </w:pPr>
      <w:r w:rsidRPr="00AC7AC2">
        <w:rPr>
          <w:noProof/>
          <w:lang w:val="es-DO"/>
        </w:rPr>
        <w:drawing>
          <wp:inline distT="0" distB="0" distL="0" distR="0" wp14:anchorId="6B2618D5" wp14:editId="6F54C98F">
            <wp:extent cx="5096786" cy="1228443"/>
            <wp:effectExtent l="0" t="0" r="0" b="0"/>
            <wp:docPr id="1076119012" name="Imagen 17" descr="A graph of numbers and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119012" name="Imagen 17" descr="A graph of numbers and a number of people&#10;&#10;AI-generated content may be incorrect."/>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26068" cy="1259603"/>
                    </a:xfrm>
                    <a:prstGeom prst="rect">
                      <a:avLst/>
                    </a:prstGeom>
                    <a:noFill/>
                  </pic:spPr>
                </pic:pic>
              </a:graphicData>
            </a:graphic>
          </wp:inline>
        </w:drawing>
      </w:r>
    </w:p>
    <w:p w14:paraId="1430A3FB" w14:textId="77777777" w:rsidR="00B046C6" w:rsidRPr="00AC7AC2" w:rsidRDefault="00B046C6" w:rsidP="00D64261">
      <w:pPr>
        <w:spacing w:line="360" w:lineRule="auto"/>
        <w:jc w:val="both"/>
        <w:rPr>
          <w:lang w:val="es-DO"/>
        </w:rPr>
      </w:pPr>
    </w:p>
    <w:p w14:paraId="4C21F147" w14:textId="15079F26" w:rsidR="00177CFE" w:rsidRPr="00AC7AC2" w:rsidRDefault="00177CFE" w:rsidP="00D64261">
      <w:pPr>
        <w:spacing w:line="360" w:lineRule="auto"/>
        <w:jc w:val="both"/>
        <w:rPr>
          <w:lang w:val="es-DO"/>
        </w:rPr>
      </w:pPr>
      <w:r w:rsidRPr="00AC7AC2">
        <w:rPr>
          <w:lang w:val="es-DO"/>
        </w:rPr>
        <w:t xml:space="preserve">Continuando con los procesos de seguimiento con la ejecución de los pagos, la </w:t>
      </w:r>
      <w:r w:rsidR="00D51DB9" w:rsidRPr="00AC7AC2">
        <w:rPr>
          <w:lang w:val="es-DO"/>
        </w:rPr>
        <w:t>Tesorería</w:t>
      </w:r>
      <w:r w:rsidRPr="00AC7AC2">
        <w:rPr>
          <w:lang w:val="es-DO"/>
        </w:rPr>
        <w:t xml:space="preserve"> Nacional cuenta con la funcionalidad de Certificación Manual de Cuentas bancarias de beneficiarios de nóminas lo que permitió el procesamiento en el sistema a </w:t>
      </w:r>
      <w:r w:rsidRPr="00AC7AC2">
        <w:rPr>
          <w:b/>
          <w:bCs/>
          <w:lang w:val="es-419"/>
        </w:rPr>
        <w:t>4,103</w:t>
      </w:r>
      <w:r w:rsidRPr="00AC7AC2">
        <w:rPr>
          <w:b/>
          <w:lang w:val="es-419"/>
        </w:rPr>
        <w:t xml:space="preserve"> </w:t>
      </w:r>
      <w:r w:rsidRPr="00AC7AC2">
        <w:rPr>
          <w:lang w:val="es-DO"/>
        </w:rPr>
        <w:t xml:space="preserve">certificaciones de cuentas bancarias de servidores públicos, a fin de </w:t>
      </w:r>
      <w:r w:rsidRPr="00AC7AC2">
        <w:rPr>
          <w:lang w:val="es-DO"/>
        </w:rPr>
        <w:lastRenderedPageBreak/>
        <w:t xml:space="preserve">que el Estado Dominicano, a través de las Instituciones públicas pudiera realizar con éxito la carga de los archivos de nóminas en el SIGEF.  En ese mismo orden administramos la Tabla de Beneficiarios de Pago no Proveedores, donde la </w:t>
      </w:r>
      <w:r w:rsidR="00D51DB9" w:rsidRPr="00AC7AC2">
        <w:rPr>
          <w:lang w:val="es-DO"/>
        </w:rPr>
        <w:t>Tesorería</w:t>
      </w:r>
      <w:r w:rsidRPr="00AC7AC2">
        <w:rPr>
          <w:lang w:val="es-DO"/>
        </w:rPr>
        <w:t xml:space="preserve"> Nacional ha registrado </w:t>
      </w:r>
      <w:r w:rsidRPr="00AC7AC2">
        <w:rPr>
          <w:b/>
          <w:lang w:val="es-419"/>
        </w:rPr>
        <w:t xml:space="preserve">2,602 </w:t>
      </w:r>
      <w:r w:rsidRPr="00AC7AC2">
        <w:rPr>
          <w:lang w:val="es-DO"/>
        </w:rPr>
        <w:t xml:space="preserve">beneficiarios. Igualmente dio curso a </w:t>
      </w:r>
      <w:r w:rsidRPr="00AC7AC2">
        <w:rPr>
          <w:b/>
          <w:bCs/>
          <w:lang w:val="es-419"/>
        </w:rPr>
        <w:t>476</w:t>
      </w:r>
      <w:r w:rsidRPr="00AC7AC2">
        <w:rPr>
          <w:lang w:val="es-DO"/>
        </w:rPr>
        <w:t xml:space="preserve"> solicitudes de enlace </w:t>
      </w:r>
      <w:proofErr w:type="spellStart"/>
      <w:r w:rsidRPr="00AC7AC2">
        <w:rPr>
          <w:lang w:val="es-DO"/>
        </w:rPr>
        <w:t>deductores</w:t>
      </w:r>
      <w:proofErr w:type="spellEnd"/>
      <w:r w:rsidRPr="00AC7AC2">
        <w:rPr>
          <w:lang w:val="es-DO"/>
        </w:rPr>
        <w:t>, permitiendo que Estado Dominicana a través de sus instituciones, puedan cancelar la obligación a beneficiarios pago no proveedores.</w:t>
      </w:r>
    </w:p>
    <w:p w14:paraId="16527899" w14:textId="60712608" w:rsidR="00D3574F" w:rsidRPr="00AC7AC2" w:rsidRDefault="00177CFE" w:rsidP="00D64261">
      <w:pPr>
        <w:spacing w:line="360" w:lineRule="auto"/>
        <w:jc w:val="both"/>
        <w:rPr>
          <w:lang w:val="es-DO"/>
        </w:rPr>
      </w:pPr>
      <w:r w:rsidRPr="00AC7AC2">
        <w:rPr>
          <w:lang w:val="es-DO"/>
        </w:rPr>
        <w:t xml:space="preserve">Así mismo, cumpliendo con lo establecido en nuestra ley 567-05, articulo 8, numeral 19 que establece: “Ejecutar los embargos que ordene la justicia y las cesiones de crédito de terceros, de acuerdo con lo que establezca el reglamento de esta ley.  Ejecutó </w:t>
      </w:r>
      <w:r w:rsidRPr="00AC7AC2">
        <w:rPr>
          <w:b/>
          <w:bCs/>
          <w:lang w:val="es-419"/>
        </w:rPr>
        <w:t>552</w:t>
      </w:r>
      <w:r w:rsidRPr="00AC7AC2">
        <w:rPr>
          <w:lang w:val="es-DO"/>
        </w:rPr>
        <w:t xml:space="preserve"> registros de retenciones y </w:t>
      </w:r>
      <w:r w:rsidRPr="00AC7AC2">
        <w:rPr>
          <w:b/>
          <w:bCs/>
          <w:lang w:val="es-419"/>
        </w:rPr>
        <w:t xml:space="preserve">1,038 </w:t>
      </w:r>
      <w:r w:rsidRPr="00AC7AC2">
        <w:rPr>
          <w:lang w:val="es-DO"/>
        </w:rPr>
        <w:t>Levantamientos. Debajo el cuadro con su respectivo gráfico que evidencia la cantidad de registros solicitados durante el periodo Enero - Diciembre 2025.</w:t>
      </w:r>
    </w:p>
    <w:p w14:paraId="0FA6C8B6" w14:textId="77777777" w:rsidR="00451CDF" w:rsidRPr="00AC7AC2" w:rsidRDefault="00451CDF" w:rsidP="00D64261">
      <w:pPr>
        <w:spacing w:line="360" w:lineRule="auto"/>
        <w:jc w:val="both"/>
        <w:rPr>
          <w:lang w:val="es-DO"/>
        </w:rPr>
      </w:pPr>
    </w:p>
    <w:p w14:paraId="0933E351" w14:textId="6BAE0C72"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t>Cuadro No.</w:t>
      </w:r>
      <w:r w:rsidR="008D7279" w:rsidRPr="00AC7AC2">
        <w:rPr>
          <w:rFonts w:eastAsia="Calibri"/>
          <w:b/>
          <w:bCs/>
          <w:noProof/>
          <w:lang w:val="es-DO"/>
        </w:rPr>
        <w:t xml:space="preserve"> 3</w:t>
      </w:r>
      <w:r w:rsidRPr="00AC7AC2">
        <w:rPr>
          <w:rFonts w:eastAsia="Calibri"/>
          <w:b/>
          <w:bCs/>
          <w:noProof/>
          <w:lang w:val="es-DO"/>
        </w:rPr>
        <w:t>8</w:t>
      </w:r>
    </w:p>
    <w:p w14:paraId="26A450E7" w14:textId="77777777"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t>Tesorería Nacional</w:t>
      </w:r>
    </w:p>
    <w:p w14:paraId="08C0636C" w14:textId="77777777"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t>Cantidad de Registro Beneficiarios No Proveedores y de Enlaces Enero-Diciembre 2025</w:t>
      </w:r>
    </w:p>
    <w:p w14:paraId="57B2CDDF" w14:textId="49A7C52F" w:rsidR="00177CFE" w:rsidRPr="00AC7AC2" w:rsidRDefault="00D51DB9" w:rsidP="00D64261">
      <w:pPr>
        <w:spacing w:line="360" w:lineRule="auto"/>
        <w:jc w:val="both"/>
        <w:rPr>
          <w:lang w:val="es-DO"/>
        </w:rPr>
      </w:pPr>
      <w:bookmarkStart w:id="32" w:name="_Hlk139266550"/>
      <w:r w:rsidRPr="00AC7AC2">
        <w:rPr>
          <w:noProof/>
          <w:lang w:val="es-DO"/>
        </w:rPr>
        <w:drawing>
          <wp:inline distT="0" distB="0" distL="0" distR="0" wp14:anchorId="2F10AC3E" wp14:editId="59F1AC68">
            <wp:extent cx="5029200" cy="1781810"/>
            <wp:effectExtent l="0" t="0" r="0" b="8890"/>
            <wp:docPr id="99897834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978349" name="Picture 1" descr="A screenshot of a computer&#10;&#10;AI-generated content may be incorrect."/>
                    <pic:cNvPicPr/>
                  </pic:nvPicPr>
                  <pic:blipFill>
                    <a:blip r:embed="rId47"/>
                    <a:stretch>
                      <a:fillRect/>
                    </a:stretch>
                  </pic:blipFill>
                  <pic:spPr>
                    <a:xfrm>
                      <a:off x="0" y="0"/>
                      <a:ext cx="5029200" cy="1781810"/>
                    </a:xfrm>
                    <a:prstGeom prst="rect">
                      <a:avLst/>
                    </a:prstGeom>
                  </pic:spPr>
                </pic:pic>
              </a:graphicData>
            </a:graphic>
          </wp:inline>
        </w:drawing>
      </w:r>
      <w:r w:rsidR="00177CFE" w:rsidRPr="00AC7AC2">
        <w:rPr>
          <w:lang w:val="es-DO"/>
        </w:rPr>
        <w:t xml:space="preserve"> </w:t>
      </w:r>
      <w:r w:rsidR="00177CFE" w:rsidRPr="00AC7AC2">
        <w:rPr>
          <w:sz w:val="18"/>
          <w:szCs w:val="18"/>
          <w:lang w:val="es-DO"/>
        </w:rPr>
        <w:t>Fuente</w:t>
      </w:r>
      <w:r w:rsidR="004C0D17" w:rsidRPr="00AC7AC2">
        <w:rPr>
          <w:sz w:val="18"/>
          <w:szCs w:val="18"/>
          <w:lang w:val="es-DO"/>
        </w:rPr>
        <w:t>:</w:t>
      </w:r>
      <w:r w:rsidR="00177CFE" w:rsidRPr="00AC7AC2">
        <w:rPr>
          <w:sz w:val="18"/>
          <w:szCs w:val="18"/>
          <w:lang w:val="es-DO"/>
        </w:rPr>
        <w:t xml:space="preserve"> reportes SIGEF</w:t>
      </w:r>
    </w:p>
    <w:p w14:paraId="10498F6A" w14:textId="77777777" w:rsidR="00D51DB9" w:rsidRPr="00AC7AC2" w:rsidRDefault="00D51DB9" w:rsidP="00D64261">
      <w:pPr>
        <w:spacing w:line="360" w:lineRule="auto"/>
        <w:jc w:val="both"/>
        <w:rPr>
          <w:b/>
          <w:lang w:val="es-DO"/>
        </w:rPr>
      </w:pPr>
    </w:p>
    <w:p w14:paraId="36AA2C1F" w14:textId="0A0FBDD6"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lastRenderedPageBreak/>
        <w:t>Gráfico No.</w:t>
      </w:r>
      <w:r w:rsidR="007F0A9B" w:rsidRPr="00AC7AC2">
        <w:rPr>
          <w:rFonts w:eastAsia="Calibri"/>
          <w:b/>
          <w:bCs/>
          <w:noProof/>
          <w:lang w:val="es-DO"/>
        </w:rPr>
        <w:t xml:space="preserve"> 14</w:t>
      </w:r>
    </w:p>
    <w:p w14:paraId="396B657C" w14:textId="77777777" w:rsidR="00177CFE" w:rsidRPr="00AC7AC2" w:rsidRDefault="00177CFE" w:rsidP="00D64261">
      <w:pPr>
        <w:spacing w:after="0" w:line="360" w:lineRule="auto"/>
        <w:jc w:val="center"/>
        <w:rPr>
          <w:rFonts w:eastAsia="Calibri"/>
          <w:b/>
          <w:bCs/>
          <w:noProof/>
          <w:lang w:val="es-DO"/>
        </w:rPr>
      </w:pPr>
      <w:r w:rsidRPr="00AC7AC2">
        <w:rPr>
          <w:rFonts w:eastAsia="Calibri"/>
          <w:b/>
          <w:bCs/>
          <w:noProof/>
          <w:lang w:val="es-DO"/>
        </w:rPr>
        <w:t>Tesorería Nacional</w:t>
      </w:r>
    </w:p>
    <w:bookmarkEnd w:id="32"/>
    <w:p w14:paraId="68211B77" w14:textId="77777777" w:rsidR="00177CFE" w:rsidRPr="00AC7AC2" w:rsidRDefault="00177CFE" w:rsidP="00D64261">
      <w:pPr>
        <w:spacing w:line="360" w:lineRule="auto"/>
        <w:jc w:val="both"/>
        <w:rPr>
          <w:b/>
          <w:lang w:val="es-DO"/>
        </w:rPr>
      </w:pPr>
      <w:r w:rsidRPr="00AC7AC2">
        <w:rPr>
          <w:b/>
          <w:noProof/>
          <w:lang w:val="es-DO"/>
        </w:rPr>
        <w:drawing>
          <wp:inline distT="0" distB="0" distL="0" distR="0" wp14:anchorId="06DD326D" wp14:editId="43050109">
            <wp:extent cx="4861318" cy="2228220"/>
            <wp:effectExtent l="0" t="0" r="0" b="635"/>
            <wp:docPr id="1429295707" name="Imagen 19" descr="A graph of blue and whit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295707" name="Imagen 19" descr="A graph of blue and white lines&#10;&#10;AI-generated content may be incorrec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78182" cy="2235950"/>
                    </a:xfrm>
                    <a:prstGeom prst="rect">
                      <a:avLst/>
                    </a:prstGeom>
                    <a:noFill/>
                  </pic:spPr>
                </pic:pic>
              </a:graphicData>
            </a:graphic>
          </wp:inline>
        </w:drawing>
      </w:r>
    </w:p>
    <w:p w14:paraId="5C0BC969" w14:textId="77777777" w:rsidR="00FD5077" w:rsidRPr="00AC7AC2" w:rsidRDefault="00FD5077" w:rsidP="00D64261">
      <w:pPr>
        <w:spacing w:line="360" w:lineRule="auto"/>
        <w:rPr>
          <w:lang w:val="es-DO"/>
        </w:rPr>
      </w:pPr>
    </w:p>
    <w:p w14:paraId="1F08CD11" w14:textId="2FAFD487" w:rsidR="00654164" w:rsidRPr="00AC7AC2" w:rsidRDefault="00654164" w:rsidP="00D64261">
      <w:pPr>
        <w:spacing w:line="360" w:lineRule="auto"/>
        <w:rPr>
          <w:lang w:val="es-DO"/>
        </w:rPr>
      </w:pPr>
    </w:p>
    <w:p w14:paraId="00BA2C53" w14:textId="77777777" w:rsidR="00B046C6" w:rsidRPr="00AC7AC2" w:rsidRDefault="00B046C6" w:rsidP="00D64261">
      <w:pPr>
        <w:spacing w:line="360" w:lineRule="auto"/>
        <w:rPr>
          <w:lang w:val="es-DO"/>
        </w:rPr>
      </w:pPr>
    </w:p>
    <w:p w14:paraId="0857A733" w14:textId="77777777" w:rsidR="00B046C6" w:rsidRPr="00AC7AC2" w:rsidRDefault="00B046C6" w:rsidP="00D64261">
      <w:pPr>
        <w:spacing w:line="360" w:lineRule="auto"/>
        <w:rPr>
          <w:lang w:val="es-DO"/>
        </w:rPr>
      </w:pPr>
    </w:p>
    <w:p w14:paraId="036B31A5" w14:textId="77777777" w:rsidR="00B046C6" w:rsidRPr="00AC7AC2" w:rsidRDefault="00B046C6" w:rsidP="00D64261">
      <w:pPr>
        <w:spacing w:line="360" w:lineRule="auto"/>
        <w:rPr>
          <w:lang w:val="es-DO"/>
        </w:rPr>
      </w:pPr>
    </w:p>
    <w:p w14:paraId="3F0DAC93" w14:textId="77777777" w:rsidR="00B046C6" w:rsidRPr="00AC7AC2" w:rsidRDefault="00B046C6" w:rsidP="00D64261">
      <w:pPr>
        <w:spacing w:line="360" w:lineRule="auto"/>
        <w:rPr>
          <w:lang w:val="es-DO"/>
        </w:rPr>
      </w:pPr>
    </w:p>
    <w:p w14:paraId="6CE88269" w14:textId="77777777" w:rsidR="00B046C6" w:rsidRPr="00AC7AC2" w:rsidRDefault="00B046C6" w:rsidP="00D64261">
      <w:pPr>
        <w:spacing w:line="360" w:lineRule="auto"/>
        <w:rPr>
          <w:lang w:val="es-DO"/>
        </w:rPr>
      </w:pPr>
    </w:p>
    <w:p w14:paraId="05619D8E" w14:textId="77777777" w:rsidR="00B046C6" w:rsidRPr="00AC7AC2" w:rsidRDefault="00B046C6" w:rsidP="00D64261">
      <w:pPr>
        <w:spacing w:line="360" w:lineRule="auto"/>
        <w:rPr>
          <w:lang w:val="es-DO"/>
        </w:rPr>
      </w:pPr>
    </w:p>
    <w:p w14:paraId="2EB1571E" w14:textId="77777777" w:rsidR="00B046C6" w:rsidRPr="00AC7AC2" w:rsidRDefault="00B046C6" w:rsidP="00D64261">
      <w:pPr>
        <w:spacing w:line="360" w:lineRule="auto"/>
        <w:rPr>
          <w:lang w:val="es-DO"/>
        </w:rPr>
      </w:pPr>
    </w:p>
    <w:p w14:paraId="3A010DC6" w14:textId="77777777" w:rsidR="00B046C6" w:rsidRPr="00AC7AC2" w:rsidRDefault="00B046C6" w:rsidP="00D64261">
      <w:pPr>
        <w:spacing w:line="360" w:lineRule="auto"/>
        <w:rPr>
          <w:lang w:val="es-DO"/>
        </w:rPr>
      </w:pPr>
    </w:p>
    <w:p w14:paraId="3EA7637E" w14:textId="77777777" w:rsidR="00B046C6" w:rsidRPr="00AC7AC2" w:rsidRDefault="00B046C6" w:rsidP="00D64261">
      <w:pPr>
        <w:spacing w:line="360" w:lineRule="auto"/>
        <w:rPr>
          <w:lang w:val="es-DO"/>
        </w:rPr>
      </w:pPr>
    </w:p>
    <w:p w14:paraId="4AFEA018" w14:textId="77777777" w:rsidR="00B046C6" w:rsidRPr="00AC7AC2" w:rsidRDefault="00B046C6" w:rsidP="00D64261">
      <w:pPr>
        <w:spacing w:line="360" w:lineRule="auto"/>
        <w:rPr>
          <w:lang w:val="es-DO"/>
        </w:rPr>
      </w:pPr>
    </w:p>
    <w:p w14:paraId="2732A16A" w14:textId="77777777" w:rsidR="00D51DB9" w:rsidRPr="00AC7AC2" w:rsidRDefault="00D51DB9" w:rsidP="00D64261">
      <w:pPr>
        <w:spacing w:line="360" w:lineRule="auto"/>
        <w:rPr>
          <w:lang w:val="es-DO"/>
        </w:rPr>
      </w:pPr>
    </w:p>
    <w:p w14:paraId="480AB252" w14:textId="760B2B21" w:rsidR="00654164" w:rsidRPr="00AC7AC2" w:rsidRDefault="00654164" w:rsidP="00D64261">
      <w:pPr>
        <w:pStyle w:val="Ttulo1"/>
        <w:rPr>
          <w:color w:val="767171"/>
          <w:lang w:val="es-DO"/>
        </w:rPr>
      </w:pPr>
      <w:bookmarkStart w:id="33" w:name="_Toc215652631"/>
      <w:r w:rsidRPr="00AC7AC2">
        <w:rPr>
          <w:color w:val="767171"/>
          <w:lang w:val="es-DO"/>
        </w:rPr>
        <w:lastRenderedPageBreak/>
        <w:t>RESULTADOS DE LAS ÁREAS TRANSVERSALES Y DE APOYO</w:t>
      </w:r>
      <w:bookmarkEnd w:id="33"/>
    </w:p>
    <w:p w14:paraId="5D67DA4A" w14:textId="77777777" w:rsidR="00654164" w:rsidRPr="00AC7AC2" w:rsidRDefault="00654164" w:rsidP="00D64261">
      <w:pPr>
        <w:spacing w:line="360" w:lineRule="auto"/>
        <w:jc w:val="both"/>
        <w:rPr>
          <w:rFonts w:eastAsia="Calibri"/>
          <w:sz w:val="18"/>
          <w:lang w:val="es-DO"/>
        </w:rPr>
      </w:pPr>
      <w:r w:rsidRPr="00AC7AC2">
        <w:rPr>
          <w:rFonts w:eastAsia="Calibri"/>
          <w:noProof/>
          <w:sz w:val="18"/>
          <w:lang w:val="es-DO" w:eastAsia="es-DO"/>
        </w:rPr>
        <mc:AlternateContent>
          <mc:Choice Requires="wps">
            <w:drawing>
              <wp:anchor distT="0" distB="0" distL="114300" distR="114300" simplePos="0" relativeHeight="251709440" behindDoc="0" locked="0" layoutInCell="1" allowOverlap="1" wp14:anchorId="76EDFA29" wp14:editId="147100C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2F5C1" id="Straight Connector 15"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398622DC" w:rsidR="00654164" w:rsidRPr="00AC7AC2" w:rsidRDefault="00654164" w:rsidP="00D64261">
      <w:pPr>
        <w:spacing w:line="360" w:lineRule="auto"/>
        <w:jc w:val="center"/>
        <w:rPr>
          <w:rFonts w:eastAsia="Calibri"/>
          <w:szCs w:val="36"/>
          <w:lang w:val="es-DO"/>
        </w:rPr>
      </w:pPr>
      <w:r w:rsidRPr="00AC7AC2">
        <w:rPr>
          <w:rFonts w:eastAsia="Calibri"/>
          <w:szCs w:val="36"/>
          <w:lang w:val="es-DO"/>
        </w:rPr>
        <w:t xml:space="preserve">Memoria </w:t>
      </w:r>
      <w:r w:rsidR="00F05DF4" w:rsidRPr="00AC7AC2">
        <w:rPr>
          <w:rFonts w:eastAsia="Calibri"/>
          <w:szCs w:val="36"/>
          <w:lang w:val="es-DO"/>
        </w:rPr>
        <w:t>I</w:t>
      </w:r>
      <w:r w:rsidRPr="00AC7AC2">
        <w:rPr>
          <w:rFonts w:eastAsia="Calibri"/>
          <w:szCs w:val="36"/>
          <w:lang w:val="es-DO"/>
        </w:rPr>
        <w:t xml:space="preserve">nstitucional </w:t>
      </w:r>
      <w:r w:rsidR="000025D4" w:rsidRPr="00AC7AC2">
        <w:rPr>
          <w:rFonts w:eastAsia="Calibri"/>
          <w:szCs w:val="36"/>
          <w:lang w:val="es-DO"/>
        </w:rPr>
        <w:t>20</w:t>
      </w:r>
      <w:r w:rsidR="00A5647B" w:rsidRPr="00AC7AC2">
        <w:rPr>
          <w:rFonts w:eastAsia="Calibri"/>
          <w:szCs w:val="36"/>
          <w:lang w:val="es-DO"/>
        </w:rPr>
        <w:t>25</w:t>
      </w:r>
    </w:p>
    <w:p w14:paraId="2BBFC4CF" w14:textId="0E563296" w:rsidR="00654164" w:rsidRPr="00AC7AC2" w:rsidRDefault="00D93BC5" w:rsidP="00D64261">
      <w:pPr>
        <w:spacing w:line="360" w:lineRule="auto"/>
        <w:jc w:val="center"/>
        <w:rPr>
          <w:noProof/>
          <w:lang w:val="es-DO"/>
        </w:rPr>
      </w:pPr>
      <w:r w:rsidRPr="00AC7AC2">
        <w:rPr>
          <w:noProof/>
          <w:lang w:val="es-DO"/>
        </w:rPr>
        <w:t xml:space="preserve">Desempeño </w:t>
      </w:r>
    </w:p>
    <w:p w14:paraId="54AD28A3" w14:textId="77777777" w:rsidR="008209E2" w:rsidRPr="00AC7AC2" w:rsidRDefault="008209E2" w:rsidP="00D64261">
      <w:pPr>
        <w:spacing w:line="360" w:lineRule="auto"/>
        <w:jc w:val="both"/>
        <w:rPr>
          <w:rFonts w:eastAsia="Calibri"/>
          <w:noProof/>
          <w:lang w:val="es-DO"/>
        </w:rPr>
      </w:pPr>
      <w:r w:rsidRPr="00AC7AC2">
        <w:rPr>
          <w:rFonts w:eastAsia="Calibri"/>
          <w:noProof/>
          <w:lang w:val="es-DO"/>
        </w:rPr>
        <w:t xml:space="preserve">4.1 Desempeño Área Administrativa y Financiera </w:t>
      </w:r>
    </w:p>
    <w:p w14:paraId="603E03B5" w14:textId="77777777" w:rsidR="00D3574F" w:rsidRPr="00AC7AC2" w:rsidRDefault="00D3574F" w:rsidP="00D64261">
      <w:pPr>
        <w:spacing w:line="360" w:lineRule="auto"/>
        <w:jc w:val="both"/>
        <w:rPr>
          <w:rFonts w:eastAsia="Calibri"/>
          <w:b/>
          <w:bCs/>
          <w:noProof/>
          <w:lang w:val="es-MX"/>
        </w:rPr>
      </w:pPr>
      <w:r w:rsidRPr="00AC7AC2">
        <w:rPr>
          <w:rFonts w:eastAsia="Calibri"/>
          <w:b/>
          <w:bCs/>
          <w:noProof/>
          <w:lang w:val="es-MX"/>
        </w:rPr>
        <w:t>Gestión presupuestaria</w:t>
      </w:r>
    </w:p>
    <w:p w14:paraId="46210DF8" w14:textId="77777777" w:rsidR="00D3574F" w:rsidRPr="00AB1A1D" w:rsidRDefault="00D3574F" w:rsidP="00D64261">
      <w:pPr>
        <w:spacing w:line="360" w:lineRule="auto"/>
        <w:jc w:val="both"/>
        <w:rPr>
          <w:rFonts w:eastAsia="Calibri"/>
          <w:b/>
          <w:bCs/>
          <w:noProof/>
          <w:lang w:val="es-MX"/>
        </w:rPr>
      </w:pPr>
      <w:r w:rsidRPr="00AC7AC2">
        <w:rPr>
          <w:rFonts w:eastAsia="Calibri"/>
          <w:noProof/>
          <w:lang w:val="es-MX"/>
        </w:rPr>
        <w:t>La Tesorería Nacional Ejecutó a noviembre 2025, la suma de RD$378,780,393.30 equivalente a un 77% y proyectó para diciembre 2025, un 23% de ejecución pendiente de ejecutar, equivalente a un monto de RD$111,931,773.70 y con una proyección al cierre de un 95% del monto total asignado.</w:t>
      </w:r>
    </w:p>
    <w:p w14:paraId="7D21CD6A" w14:textId="77777777" w:rsidR="00D3574F" w:rsidRPr="00AC7AC2" w:rsidRDefault="00D3574F" w:rsidP="00D64261">
      <w:pPr>
        <w:spacing w:line="360" w:lineRule="auto"/>
        <w:jc w:val="both"/>
        <w:rPr>
          <w:rFonts w:eastAsia="Calibri"/>
          <w:noProof/>
          <w:lang w:val="es-MX"/>
        </w:rPr>
      </w:pPr>
      <w:r w:rsidRPr="00AC7AC2">
        <w:rPr>
          <w:rFonts w:eastAsia="Calibri"/>
          <w:noProof/>
          <w:lang w:val="es-MX"/>
        </w:rPr>
        <w:t xml:space="preserve">El presupuesto aprobado para el año 2025 ascendió a RD$491,553,431.00 y el mismo fue objeto de una disminución neta de RD$841,264.00, quedando la suma de RD$490,712.167.00 como el monto final asignado. </w:t>
      </w:r>
    </w:p>
    <w:p w14:paraId="14D2520C" w14:textId="77777777" w:rsidR="00D3574F" w:rsidRPr="00AC7AC2" w:rsidRDefault="00D3574F" w:rsidP="00D64261">
      <w:pPr>
        <w:spacing w:line="360" w:lineRule="auto"/>
        <w:jc w:val="both"/>
        <w:rPr>
          <w:rFonts w:eastAsia="Calibri"/>
          <w:b/>
          <w:bCs/>
          <w:noProof/>
          <w:lang w:val="es-MX"/>
        </w:rPr>
      </w:pPr>
      <w:r w:rsidRPr="00AC7AC2">
        <w:rPr>
          <w:rFonts w:eastAsia="Calibri"/>
          <w:b/>
          <w:bCs/>
          <w:noProof/>
          <w:lang w:val="es-MX"/>
        </w:rPr>
        <w:t>Cantidad de Pagos procesados</w:t>
      </w:r>
    </w:p>
    <w:p w14:paraId="63A2579F" w14:textId="77777777" w:rsidR="00D3574F" w:rsidRPr="00AC7AC2" w:rsidRDefault="00D3574F" w:rsidP="00D64261">
      <w:pPr>
        <w:spacing w:line="360" w:lineRule="auto"/>
        <w:jc w:val="both"/>
        <w:rPr>
          <w:rFonts w:eastAsia="Calibri"/>
          <w:noProof/>
          <w:lang w:val="es-MX"/>
        </w:rPr>
      </w:pPr>
      <w:r w:rsidRPr="00AC7AC2">
        <w:rPr>
          <w:rFonts w:eastAsia="Calibri"/>
          <w:noProof/>
          <w:lang w:val="es-MX"/>
        </w:rPr>
        <w:t xml:space="preserve">La Tesorería Nacional tramitó y completó los siguientes expedientes de pago enero- diciembre 2025. </w:t>
      </w:r>
    </w:p>
    <w:p w14:paraId="6608509E" w14:textId="693892DC" w:rsidR="00D3574F" w:rsidRDefault="00D3574F" w:rsidP="00D64261">
      <w:pPr>
        <w:spacing w:line="360" w:lineRule="auto"/>
        <w:jc w:val="both"/>
        <w:rPr>
          <w:rFonts w:eastAsia="Calibri"/>
          <w:noProof/>
          <w:color w:val="4C4747"/>
          <w:lang w:val="es-MX"/>
        </w:rPr>
      </w:pPr>
    </w:p>
    <w:p w14:paraId="17FB0EA7" w14:textId="77777777" w:rsidR="00D3574F" w:rsidRDefault="00D3574F" w:rsidP="00D64261">
      <w:pPr>
        <w:spacing w:line="360" w:lineRule="auto"/>
        <w:jc w:val="both"/>
        <w:rPr>
          <w:rFonts w:eastAsia="Calibri"/>
          <w:noProof/>
          <w:color w:val="4C4747"/>
          <w:lang w:val="es-MX"/>
        </w:rPr>
      </w:pPr>
    </w:p>
    <w:p w14:paraId="30A32F71" w14:textId="77777777" w:rsidR="00D3574F" w:rsidRDefault="00D3574F" w:rsidP="00D64261">
      <w:pPr>
        <w:spacing w:line="360" w:lineRule="auto"/>
        <w:jc w:val="both"/>
        <w:rPr>
          <w:rFonts w:eastAsia="Calibri"/>
          <w:noProof/>
          <w:color w:val="4C4747"/>
          <w:lang w:val="es-MX"/>
        </w:rPr>
      </w:pPr>
    </w:p>
    <w:p w14:paraId="1B1090AD" w14:textId="77777777" w:rsidR="00D3574F" w:rsidRDefault="00D3574F" w:rsidP="00D64261">
      <w:pPr>
        <w:spacing w:line="360" w:lineRule="auto"/>
        <w:jc w:val="both"/>
        <w:rPr>
          <w:rFonts w:eastAsia="Calibri"/>
          <w:noProof/>
          <w:color w:val="4C4747"/>
          <w:lang w:val="es-MX"/>
        </w:rPr>
      </w:pPr>
    </w:p>
    <w:p w14:paraId="2E021400" w14:textId="77777777" w:rsidR="00D3574F" w:rsidRDefault="00D3574F" w:rsidP="00D64261">
      <w:pPr>
        <w:spacing w:line="360" w:lineRule="auto"/>
        <w:jc w:val="both"/>
        <w:rPr>
          <w:rFonts w:eastAsia="Calibri"/>
          <w:noProof/>
          <w:color w:val="4C4747"/>
          <w:lang w:val="es-MX"/>
        </w:rPr>
      </w:pPr>
    </w:p>
    <w:p w14:paraId="0B60A4BB" w14:textId="77777777" w:rsidR="00CA0390" w:rsidRPr="00D3574F" w:rsidRDefault="00CA0390" w:rsidP="00D64261">
      <w:pPr>
        <w:spacing w:line="360" w:lineRule="auto"/>
        <w:jc w:val="both"/>
        <w:rPr>
          <w:rFonts w:eastAsia="Calibri"/>
          <w:noProof/>
          <w:color w:val="4C4747"/>
          <w:lang w:val="es-MX"/>
        </w:rPr>
      </w:pPr>
    </w:p>
    <w:p w14:paraId="68099FC7" w14:textId="66C29976" w:rsidR="00D3574F" w:rsidRPr="00AC7AC2" w:rsidRDefault="00D3574F" w:rsidP="00D64261">
      <w:pPr>
        <w:spacing w:after="0" w:line="360" w:lineRule="auto"/>
        <w:jc w:val="center"/>
        <w:rPr>
          <w:rFonts w:eastAsia="Calibri"/>
          <w:b/>
          <w:bCs/>
          <w:noProof/>
          <w:lang w:val="es-DO"/>
        </w:rPr>
      </w:pPr>
      <w:r w:rsidRPr="00AC7AC2">
        <w:rPr>
          <w:rFonts w:eastAsia="Calibri"/>
          <w:b/>
          <w:bCs/>
          <w:noProof/>
          <w:lang w:val="es-DO"/>
        </w:rPr>
        <w:lastRenderedPageBreak/>
        <w:t>Cuadro No. 3</w:t>
      </w:r>
      <w:r w:rsidR="008D7279" w:rsidRPr="00AC7AC2">
        <w:rPr>
          <w:rFonts w:eastAsia="Calibri"/>
          <w:b/>
          <w:bCs/>
          <w:noProof/>
          <w:lang w:val="es-DO"/>
        </w:rPr>
        <w:t>9</w:t>
      </w:r>
    </w:p>
    <w:p w14:paraId="3CE27C4E" w14:textId="20C60737" w:rsidR="00D3574F" w:rsidRPr="00AC7AC2" w:rsidRDefault="00D3574F" w:rsidP="00D64261">
      <w:pPr>
        <w:spacing w:after="0" w:line="360" w:lineRule="auto"/>
        <w:jc w:val="center"/>
        <w:rPr>
          <w:rFonts w:eastAsia="Calibri"/>
          <w:b/>
          <w:bCs/>
          <w:noProof/>
          <w:lang w:val="es-DO"/>
        </w:rPr>
      </w:pPr>
      <w:r w:rsidRPr="00AC7AC2">
        <w:rPr>
          <w:rFonts w:eastAsia="Calibri"/>
          <w:b/>
          <w:bCs/>
          <w:noProof/>
          <w:lang w:val="es-DO"/>
        </w:rPr>
        <w:t>Tesorería Nacional</w:t>
      </w:r>
    </w:p>
    <w:tbl>
      <w:tblPr>
        <w:tblW w:w="75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92"/>
        <w:gridCol w:w="2516"/>
      </w:tblGrid>
      <w:tr w:rsidR="00D3574F" w:rsidRPr="00D3574F" w14:paraId="3F4D8FD0" w14:textId="77777777" w:rsidTr="006F7E31">
        <w:trPr>
          <w:trHeight w:val="272"/>
          <w:tblHeader/>
          <w:jc w:val="center"/>
        </w:trPr>
        <w:tc>
          <w:tcPr>
            <w:tcW w:w="4992" w:type="dxa"/>
            <w:tcBorders>
              <w:top w:val="single" w:sz="4" w:space="0" w:color="000000"/>
              <w:right w:val="single" w:sz="8" w:space="0" w:color="FFFFFF"/>
            </w:tcBorders>
            <w:shd w:val="clear" w:color="auto" w:fill="011C50"/>
            <w:vAlign w:val="center"/>
          </w:tcPr>
          <w:p w14:paraId="57C78EE8" w14:textId="77777777" w:rsidR="00D3574F" w:rsidRPr="00D3574F" w:rsidRDefault="00D3574F" w:rsidP="00D64261">
            <w:pPr>
              <w:spacing w:line="360" w:lineRule="auto"/>
              <w:jc w:val="both"/>
              <w:rPr>
                <w:rFonts w:eastAsia="Calibri"/>
                <w:noProof/>
                <w:color w:val="FFFFFF" w:themeColor="background1"/>
                <w:lang w:val="es-DO"/>
              </w:rPr>
            </w:pPr>
            <w:bookmarkStart w:id="34" w:name="_Hlk118983593"/>
            <w:bookmarkStart w:id="35" w:name="_Hlk119668300"/>
            <w:r w:rsidRPr="00D3574F">
              <w:rPr>
                <w:rFonts w:eastAsia="Calibri"/>
                <w:noProof/>
                <w:color w:val="FFFFFF" w:themeColor="background1"/>
                <w:lang w:val="es-DO"/>
              </w:rPr>
              <w:t>Tipo de Pago</w:t>
            </w:r>
          </w:p>
        </w:tc>
        <w:tc>
          <w:tcPr>
            <w:tcW w:w="2516" w:type="dxa"/>
            <w:tcBorders>
              <w:top w:val="single" w:sz="4" w:space="0" w:color="000000"/>
              <w:left w:val="single" w:sz="8" w:space="0" w:color="FFFFFF"/>
            </w:tcBorders>
            <w:shd w:val="clear" w:color="auto" w:fill="011C50"/>
            <w:vAlign w:val="center"/>
          </w:tcPr>
          <w:p w14:paraId="1DC23A91" w14:textId="77777777" w:rsidR="00D3574F" w:rsidRPr="00D3574F" w:rsidRDefault="00D3574F" w:rsidP="00D64261">
            <w:pPr>
              <w:spacing w:line="360" w:lineRule="auto"/>
              <w:jc w:val="both"/>
              <w:rPr>
                <w:rFonts w:eastAsia="Calibri"/>
                <w:noProof/>
                <w:color w:val="FFFFFF" w:themeColor="background1"/>
                <w:lang w:val="es-DO"/>
              </w:rPr>
            </w:pPr>
            <w:r w:rsidRPr="00D3574F">
              <w:rPr>
                <w:rFonts w:eastAsia="Calibri"/>
                <w:noProof/>
                <w:color w:val="FFFFFF" w:themeColor="background1"/>
                <w:lang w:val="es-DO"/>
              </w:rPr>
              <w:t>Valor RD$</w:t>
            </w:r>
          </w:p>
        </w:tc>
      </w:tr>
      <w:tr w:rsidR="00D3574F" w:rsidRPr="00D3574F" w14:paraId="4441AEBD" w14:textId="77777777" w:rsidTr="006F7E31">
        <w:trPr>
          <w:trHeight w:val="272"/>
          <w:jc w:val="center"/>
        </w:trPr>
        <w:tc>
          <w:tcPr>
            <w:tcW w:w="4992" w:type="dxa"/>
            <w:vAlign w:val="center"/>
          </w:tcPr>
          <w:p w14:paraId="1D92EED0" w14:textId="77777777" w:rsidR="00D3574F" w:rsidRPr="00AC7AC2" w:rsidRDefault="00D3574F" w:rsidP="00D64261">
            <w:pPr>
              <w:spacing w:line="360" w:lineRule="auto"/>
              <w:jc w:val="both"/>
              <w:rPr>
                <w:rFonts w:eastAsia="Calibri"/>
                <w:noProof/>
                <w:lang w:val="es-DO"/>
              </w:rPr>
            </w:pPr>
            <w:r w:rsidRPr="00AC7AC2">
              <w:rPr>
                <w:rFonts w:eastAsia="Calibri"/>
                <w:noProof/>
                <w:lang w:val="es-DO"/>
              </w:rPr>
              <w:t>Remuneraciones y Contribuciones</w:t>
            </w:r>
          </w:p>
        </w:tc>
        <w:tc>
          <w:tcPr>
            <w:tcW w:w="2516" w:type="dxa"/>
            <w:vAlign w:val="center"/>
          </w:tcPr>
          <w:p w14:paraId="28E069A5" w14:textId="77777777" w:rsidR="00D3574F" w:rsidRPr="00AC7AC2" w:rsidRDefault="00D3574F" w:rsidP="00D64261">
            <w:pPr>
              <w:spacing w:line="360" w:lineRule="auto"/>
              <w:jc w:val="both"/>
              <w:rPr>
                <w:rFonts w:eastAsia="Calibri"/>
                <w:noProof/>
                <w:lang w:val="es-DO"/>
              </w:rPr>
            </w:pPr>
            <w:r w:rsidRPr="00AC7AC2">
              <w:rPr>
                <w:rFonts w:eastAsia="Calibri"/>
                <w:noProof/>
                <w:lang w:val="es-DO"/>
              </w:rPr>
              <w:t>$245,796,522.53</w:t>
            </w:r>
          </w:p>
        </w:tc>
      </w:tr>
      <w:bookmarkEnd w:id="34"/>
      <w:tr w:rsidR="00D3574F" w:rsidRPr="00D3574F" w14:paraId="76B81C55" w14:textId="77777777" w:rsidTr="006F7E31">
        <w:trPr>
          <w:trHeight w:val="272"/>
          <w:jc w:val="center"/>
        </w:trPr>
        <w:tc>
          <w:tcPr>
            <w:tcW w:w="4992" w:type="dxa"/>
            <w:vAlign w:val="center"/>
          </w:tcPr>
          <w:p w14:paraId="26D973A9" w14:textId="77777777" w:rsidR="00D3574F" w:rsidRPr="00AC7AC2" w:rsidRDefault="00D3574F" w:rsidP="00D64261">
            <w:pPr>
              <w:spacing w:line="360" w:lineRule="auto"/>
              <w:jc w:val="both"/>
              <w:rPr>
                <w:rFonts w:eastAsia="Calibri"/>
                <w:noProof/>
                <w:lang w:val="es-DO"/>
              </w:rPr>
            </w:pPr>
            <w:r w:rsidRPr="00AC7AC2">
              <w:rPr>
                <w:rFonts w:eastAsia="Calibri"/>
                <w:noProof/>
                <w:lang w:val="es-DO"/>
              </w:rPr>
              <w:t>Contratación de Servicios</w:t>
            </w:r>
          </w:p>
        </w:tc>
        <w:tc>
          <w:tcPr>
            <w:tcW w:w="2516" w:type="dxa"/>
            <w:vAlign w:val="center"/>
          </w:tcPr>
          <w:p w14:paraId="7F36DC8D" w14:textId="77777777" w:rsidR="00D3574F" w:rsidRPr="00AC7AC2" w:rsidRDefault="00D3574F" w:rsidP="00D64261">
            <w:pPr>
              <w:spacing w:line="360" w:lineRule="auto"/>
              <w:jc w:val="both"/>
              <w:rPr>
                <w:rFonts w:eastAsia="Calibri"/>
                <w:noProof/>
                <w:lang w:val="es-DO"/>
              </w:rPr>
            </w:pPr>
            <w:r w:rsidRPr="00AC7AC2">
              <w:rPr>
                <w:rFonts w:eastAsia="Calibri"/>
                <w:noProof/>
                <w:lang w:val="es-DO"/>
              </w:rPr>
              <w:t>$59,747,167.43</w:t>
            </w:r>
          </w:p>
        </w:tc>
      </w:tr>
      <w:tr w:rsidR="00D3574F" w:rsidRPr="00D3574F" w14:paraId="0BFBB2BC" w14:textId="77777777" w:rsidTr="006F7E31">
        <w:trPr>
          <w:trHeight w:val="293"/>
          <w:jc w:val="center"/>
        </w:trPr>
        <w:tc>
          <w:tcPr>
            <w:tcW w:w="4992" w:type="dxa"/>
            <w:vAlign w:val="center"/>
          </w:tcPr>
          <w:p w14:paraId="1023E6B0" w14:textId="77777777" w:rsidR="00D3574F" w:rsidRPr="00AC7AC2" w:rsidRDefault="00D3574F" w:rsidP="00D64261">
            <w:pPr>
              <w:spacing w:line="360" w:lineRule="auto"/>
              <w:jc w:val="both"/>
              <w:rPr>
                <w:rFonts w:eastAsia="Calibri"/>
                <w:noProof/>
                <w:lang w:val="es-DO"/>
              </w:rPr>
            </w:pPr>
            <w:r w:rsidRPr="00AC7AC2">
              <w:rPr>
                <w:rFonts w:eastAsia="Calibri"/>
                <w:noProof/>
                <w:lang w:val="es-DO"/>
              </w:rPr>
              <w:t>Materiales y Suministros</w:t>
            </w:r>
          </w:p>
        </w:tc>
        <w:tc>
          <w:tcPr>
            <w:tcW w:w="2516" w:type="dxa"/>
            <w:vAlign w:val="center"/>
          </w:tcPr>
          <w:p w14:paraId="4C55A084" w14:textId="77777777" w:rsidR="00D3574F" w:rsidRPr="00AC7AC2" w:rsidRDefault="00D3574F" w:rsidP="00D64261">
            <w:pPr>
              <w:spacing w:line="360" w:lineRule="auto"/>
              <w:jc w:val="both"/>
              <w:rPr>
                <w:rFonts w:eastAsia="Calibri"/>
                <w:noProof/>
                <w:lang w:val="es-DO"/>
              </w:rPr>
            </w:pPr>
            <w:r w:rsidRPr="00AC7AC2">
              <w:rPr>
                <w:rFonts w:eastAsia="Calibri"/>
                <w:noProof/>
                <w:lang w:val="es-DO"/>
              </w:rPr>
              <w:t>$69,205,950.53</w:t>
            </w:r>
          </w:p>
        </w:tc>
      </w:tr>
      <w:tr w:rsidR="00D3574F" w:rsidRPr="00D3574F" w14:paraId="68E4A3CF" w14:textId="77777777" w:rsidTr="006F7E31">
        <w:trPr>
          <w:trHeight w:val="293"/>
          <w:jc w:val="center"/>
        </w:trPr>
        <w:tc>
          <w:tcPr>
            <w:tcW w:w="4992" w:type="dxa"/>
            <w:vAlign w:val="center"/>
          </w:tcPr>
          <w:p w14:paraId="52049469" w14:textId="77777777" w:rsidR="00D3574F" w:rsidRPr="00AC7AC2" w:rsidRDefault="00D3574F" w:rsidP="00D64261">
            <w:pPr>
              <w:spacing w:line="360" w:lineRule="auto"/>
              <w:jc w:val="both"/>
              <w:rPr>
                <w:rFonts w:eastAsia="Calibri"/>
                <w:noProof/>
                <w:lang w:val="es-DO"/>
              </w:rPr>
            </w:pPr>
            <w:r w:rsidRPr="00AC7AC2">
              <w:rPr>
                <w:rFonts w:eastAsia="Calibri"/>
                <w:noProof/>
                <w:lang w:val="es-DO"/>
              </w:rPr>
              <w:t>Transferencia Corrientes</w:t>
            </w:r>
          </w:p>
        </w:tc>
        <w:tc>
          <w:tcPr>
            <w:tcW w:w="2516" w:type="dxa"/>
            <w:vAlign w:val="center"/>
          </w:tcPr>
          <w:p w14:paraId="14BE703D" w14:textId="77777777" w:rsidR="00D3574F" w:rsidRPr="00AC7AC2" w:rsidRDefault="00D3574F" w:rsidP="00D64261">
            <w:pPr>
              <w:spacing w:line="360" w:lineRule="auto"/>
              <w:jc w:val="both"/>
              <w:rPr>
                <w:rFonts w:eastAsia="Calibri"/>
                <w:noProof/>
                <w:lang w:val="es-DO"/>
              </w:rPr>
            </w:pPr>
            <w:r w:rsidRPr="00AC7AC2">
              <w:rPr>
                <w:rFonts w:eastAsia="Calibri"/>
                <w:noProof/>
                <w:lang w:val="es-DO"/>
              </w:rPr>
              <w:t>$70,000.00</w:t>
            </w:r>
          </w:p>
        </w:tc>
      </w:tr>
      <w:tr w:rsidR="00D3574F" w:rsidRPr="00D3574F" w14:paraId="340A0606" w14:textId="77777777" w:rsidTr="006F7E31">
        <w:trPr>
          <w:trHeight w:val="293"/>
          <w:jc w:val="center"/>
        </w:trPr>
        <w:tc>
          <w:tcPr>
            <w:tcW w:w="4992" w:type="dxa"/>
            <w:vAlign w:val="center"/>
          </w:tcPr>
          <w:p w14:paraId="266D1943" w14:textId="77777777" w:rsidR="00D3574F" w:rsidRPr="00AC7AC2" w:rsidRDefault="00D3574F" w:rsidP="00D64261">
            <w:pPr>
              <w:spacing w:line="360" w:lineRule="auto"/>
              <w:jc w:val="both"/>
              <w:rPr>
                <w:rFonts w:eastAsia="Calibri"/>
                <w:noProof/>
                <w:lang w:val="es-DO"/>
              </w:rPr>
            </w:pPr>
            <w:r w:rsidRPr="00AC7AC2">
              <w:rPr>
                <w:rFonts w:eastAsia="Calibri"/>
                <w:noProof/>
                <w:lang w:val="es-DO"/>
              </w:rPr>
              <w:t>Bienes Muebles, Inmuebles e Intangibles</w:t>
            </w:r>
          </w:p>
        </w:tc>
        <w:tc>
          <w:tcPr>
            <w:tcW w:w="2516" w:type="dxa"/>
            <w:vAlign w:val="center"/>
          </w:tcPr>
          <w:p w14:paraId="426EE9BE" w14:textId="77777777" w:rsidR="00D3574F" w:rsidRPr="00AC7AC2" w:rsidRDefault="00D3574F" w:rsidP="00D64261">
            <w:pPr>
              <w:spacing w:line="360" w:lineRule="auto"/>
              <w:jc w:val="both"/>
              <w:rPr>
                <w:rFonts w:eastAsia="Calibri"/>
                <w:noProof/>
                <w:lang w:val="es-DO"/>
              </w:rPr>
            </w:pPr>
            <w:r w:rsidRPr="00AC7AC2">
              <w:rPr>
                <w:rFonts w:eastAsia="Calibri"/>
                <w:noProof/>
                <w:lang w:val="es-DO"/>
              </w:rPr>
              <w:t>$3,960,752.81</w:t>
            </w:r>
          </w:p>
        </w:tc>
      </w:tr>
      <w:tr w:rsidR="00D3574F" w:rsidRPr="00D3574F" w14:paraId="3A81F164" w14:textId="77777777" w:rsidTr="006F7E31">
        <w:trPr>
          <w:trHeight w:val="272"/>
          <w:jc w:val="center"/>
        </w:trPr>
        <w:tc>
          <w:tcPr>
            <w:tcW w:w="4992" w:type="dxa"/>
            <w:shd w:val="clear" w:color="auto" w:fill="011C50"/>
          </w:tcPr>
          <w:p w14:paraId="7F95F283" w14:textId="77777777" w:rsidR="00D3574F" w:rsidRPr="00D3574F" w:rsidRDefault="00D3574F" w:rsidP="00D64261">
            <w:pPr>
              <w:spacing w:line="360" w:lineRule="auto"/>
              <w:jc w:val="both"/>
              <w:rPr>
                <w:rFonts w:eastAsia="Calibri"/>
                <w:b/>
                <w:bCs/>
                <w:noProof/>
                <w:color w:val="FFFFFF" w:themeColor="background1"/>
                <w:lang w:val="es-DO"/>
              </w:rPr>
            </w:pPr>
            <w:r w:rsidRPr="00D3574F">
              <w:rPr>
                <w:rFonts w:eastAsia="Calibri"/>
                <w:b/>
                <w:bCs/>
                <w:noProof/>
                <w:color w:val="FFFFFF" w:themeColor="background1"/>
                <w:lang w:val="es-DO"/>
              </w:rPr>
              <w:t xml:space="preserve"> Total </w:t>
            </w:r>
          </w:p>
        </w:tc>
        <w:tc>
          <w:tcPr>
            <w:tcW w:w="2516" w:type="dxa"/>
            <w:shd w:val="clear" w:color="auto" w:fill="011C50"/>
            <w:vAlign w:val="center"/>
          </w:tcPr>
          <w:p w14:paraId="36857FBB" w14:textId="77777777" w:rsidR="00D3574F" w:rsidRPr="00D3574F" w:rsidRDefault="00D3574F" w:rsidP="00D64261">
            <w:pPr>
              <w:spacing w:line="360" w:lineRule="auto"/>
              <w:jc w:val="both"/>
              <w:rPr>
                <w:rFonts w:eastAsia="Calibri"/>
                <w:b/>
                <w:bCs/>
                <w:noProof/>
                <w:color w:val="FFFFFF" w:themeColor="background1"/>
                <w:lang w:val="es-DO"/>
              </w:rPr>
            </w:pPr>
            <w:r w:rsidRPr="00D3574F">
              <w:rPr>
                <w:rFonts w:eastAsia="Calibri"/>
                <w:b/>
                <w:bCs/>
                <w:noProof/>
                <w:color w:val="FFFFFF" w:themeColor="background1"/>
                <w:lang w:val="es-DO"/>
              </w:rPr>
              <w:t>$378,780,393.3</w:t>
            </w:r>
          </w:p>
        </w:tc>
      </w:tr>
      <w:bookmarkEnd w:id="35"/>
    </w:tbl>
    <w:p w14:paraId="2616559B" w14:textId="77777777" w:rsidR="00D3574F" w:rsidRPr="00D3574F" w:rsidRDefault="00D3574F" w:rsidP="00D64261">
      <w:pPr>
        <w:spacing w:line="360" w:lineRule="auto"/>
        <w:jc w:val="both"/>
        <w:rPr>
          <w:rFonts w:eastAsia="Calibri"/>
          <w:b/>
          <w:noProof/>
          <w:color w:val="4C4747"/>
          <w:lang w:val="es-MX"/>
        </w:rPr>
      </w:pPr>
    </w:p>
    <w:p w14:paraId="41DEF1B3" w14:textId="77777777" w:rsidR="00D3574F" w:rsidRPr="00AC7AC2" w:rsidRDefault="00D3574F" w:rsidP="00D64261">
      <w:pPr>
        <w:spacing w:line="360" w:lineRule="auto"/>
        <w:jc w:val="both"/>
        <w:rPr>
          <w:rFonts w:eastAsia="Calibri"/>
          <w:b/>
          <w:noProof/>
          <w:lang w:val="es-MX"/>
        </w:rPr>
      </w:pPr>
      <w:r w:rsidRPr="00AC7AC2">
        <w:rPr>
          <w:rFonts w:eastAsia="Calibri"/>
          <w:b/>
          <w:noProof/>
          <w:lang w:val="es-MX"/>
        </w:rPr>
        <w:t>Gestión Documental</w:t>
      </w:r>
    </w:p>
    <w:p w14:paraId="20EB4A6E" w14:textId="77777777" w:rsidR="00D3574F" w:rsidRPr="00AC7AC2" w:rsidRDefault="00D3574F" w:rsidP="00D64261">
      <w:pPr>
        <w:spacing w:line="360" w:lineRule="auto"/>
        <w:jc w:val="both"/>
        <w:rPr>
          <w:rFonts w:eastAsia="Calibri"/>
          <w:bCs/>
          <w:noProof/>
          <w:lang w:val="es-MX"/>
        </w:rPr>
      </w:pPr>
      <w:r w:rsidRPr="00AC7AC2">
        <w:rPr>
          <w:rFonts w:eastAsia="Calibri"/>
          <w:bCs/>
          <w:noProof/>
          <w:lang w:val="es-MX"/>
        </w:rPr>
        <w:t xml:space="preserve">La Tesorería Nacional tramitó 2,897 solicitudes de certificaciones al Instituto de Auxilios y Viviendas (INAVI), realizadas por los exservidores públicos de diferentes instituciones, a fin de gestionar la devolución de una proporción de los valores de descuento salarial que se les realizan durante todo su tiempo de servicio. </w:t>
      </w:r>
    </w:p>
    <w:p w14:paraId="7D930EBC" w14:textId="77777777" w:rsidR="00D3574F" w:rsidRPr="00AC7AC2" w:rsidRDefault="00D3574F" w:rsidP="00D64261">
      <w:pPr>
        <w:spacing w:line="360" w:lineRule="auto"/>
        <w:jc w:val="both"/>
        <w:rPr>
          <w:rFonts w:eastAsia="Calibri"/>
          <w:bCs/>
          <w:noProof/>
          <w:lang w:val="es-MX"/>
        </w:rPr>
      </w:pPr>
      <w:r w:rsidRPr="00AC7AC2">
        <w:rPr>
          <w:rFonts w:eastAsia="Calibri"/>
          <w:bCs/>
          <w:noProof/>
          <w:lang w:val="es-MX"/>
        </w:rPr>
        <w:t>En el periodo de enero-diciembre 2025, fueron formalizadas las siguientes cantidades de certificaciones por mes.</w:t>
      </w:r>
    </w:p>
    <w:p w14:paraId="7B73E777" w14:textId="77777777" w:rsidR="005028B7" w:rsidRPr="00AC7AC2" w:rsidRDefault="005028B7" w:rsidP="00D64261">
      <w:pPr>
        <w:spacing w:line="360" w:lineRule="auto"/>
        <w:jc w:val="both"/>
        <w:rPr>
          <w:rFonts w:eastAsia="Calibri"/>
          <w:b/>
          <w:bCs/>
          <w:noProof/>
          <w:lang w:val="es-MX"/>
        </w:rPr>
      </w:pPr>
    </w:p>
    <w:p w14:paraId="5E46F901" w14:textId="77777777" w:rsidR="005028B7" w:rsidRPr="00AC7AC2" w:rsidRDefault="005028B7" w:rsidP="00D64261">
      <w:pPr>
        <w:spacing w:line="360" w:lineRule="auto"/>
        <w:jc w:val="both"/>
        <w:rPr>
          <w:rFonts w:eastAsia="Calibri"/>
          <w:b/>
          <w:bCs/>
          <w:noProof/>
          <w:lang w:val="es-MX"/>
        </w:rPr>
      </w:pPr>
    </w:p>
    <w:p w14:paraId="0F2B3FC4" w14:textId="77777777" w:rsidR="005028B7" w:rsidRPr="00AC7AC2" w:rsidRDefault="005028B7" w:rsidP="00D64261">
      <w:pPr>
        <w:spacing w:line="360" w:lineRule="auto"/>
        <w:jc w:val="both"/>
        <w:rPr>
          <w:rFonts w:eastAsia="Calibri"/>
          <w:b/>
          <w:bCs/>
          <w:noProof/>
          <w:lang w:val="es-MX"/>
        </w:rPr>
      </w:pPr>
    </w:p>
    <w:p w14:paraId="0E81D22C" w14:textId="77777777" w:rsidR="005028B7" w:rsidRPr="00AC7AC2" w:rsidRDefault="005028B7" w:rsidP="00D64261">
      <w:pPr>
        <w:spacing w:line="360" w:lineRule="auto"/>
        <w:jc w:val="both"/>
        <w:rPr>
          <w:rFonts w:eastAsia="Calibri"/>
          <w:b/>
          <w:bCs/>
          <w:noProof/>
          <w:lang w:val="es-MX"/>
        </w:rPr>
      </w:pPr>
    </w:p>
    <w:p w14:paraId="395734BD" w14:textId="77777777" w:rsidR="005028B7" w:rsidRPr="00AC7AC2" w:rsidRDefault="005028B7" w:rsidP="00D64261">
      <w:pPr>
        <w:spacing w:line="360" w:lineRule="auto"/>
        <w:jc w:val="both"/>
        <w:rPr>
          <w:rFonts w:eastAsia="Calibri"/>
          <w:b/>
          <w:bCs/>
          <w:noProof/>
          <w:lang w:val="es-MX"/>
        </w:rPr>
      </w:pPr>
    </w:p>
    <w:p w14:paraId="44C15AFB" w14:textId="77777777" w:rsidR="005028B7" w:rsidRPr="00AC7AC2" w:rsidRDefault="005028B7" w:rsidP="00D64261">
      <w:pPr>
        <w:spacing w:line="360" w:lineRule="auto"/>
        <w:jc w:val="both"/>
        <w:rPr>
          <w:rFonts w:eastAsia="Calibri"/>
          <w:b/>
          <w:bCs/>
          <w:noProof/>
          <w:lang w:val="es-MX"/>
        </w:rPr>
      </w:pPr>
    </w:p>
    <w:p w14:paraId="0DA94C05" w14:textId="43C0582C" w:rsidR="00D3574F" w:rsidRPr="00AC7AC2" w:rsidRDefault="00D3574F" w:rsidP="00D64261">
      <w:pPr>
        <w:spacing w:after="0" w:line="360" w:lineRule="auto"/>
        <w:jc w:val="center"/>
        <w:rPr>
          <w:rFonts w:eastAsia="Calibri"/>
          <w:b/>
          <w:bCs/>
          <w:noProof/>
          <w:lang w:val="es-DO"/>
        </w:rPr>
      </w:pPr>
      <w:r w:rsidRPr="00AC7AC2">
        <w:rPr>
          <w:rFonts w:eastAsia="Calibri"/>
          <w:b/>
          <w:bCs/>
          <w:noProof/>
          <w:lang w:val="es-DO"/>
        </w:rPr>
        <w:lastRenderedPageBreak/>
        <w:t xml:space="preserve">Cuadro No. </w:t>
      </w:r>
      <w:r w:rsidR="008D7279" w:rsidRPr="00AC7AC2">
        <w:rPr>
          <w:rFonts w:eastAsia="Calibri"/>
          <w:b/>
          <w:bCs/>
          <w:noProof/>
          <w:lang w:val="es-DO"/>
        </w:rPr>
        <w:t>40</w:t>
      </w:r>
    </w:p>
    <w:p w14:paraId="32D609E6" w14:textId="77777777" w:rsidR="00D3574F" w:rsidRPr="00AC7AC2" w:rsidRDefault="00D3574F" w:rsidP="00D64261">
      <w:pPr>
        <w:spacing w:after="0" w:line="360" w:lineRule="auto"/>
        <w:jc w:val="center"/>
        <w:rPr>
          <w:rFonts w:eastAsia="Calibri"/>
          <w:b/>
          <w:bCs/>
          <w:noProof/>
          <w:lang w:val="es-DO"/>
        </w:rPr>
      </w:pPr>
      <w:r w:rsidRPr="00AC7AC2">
        <w:rPr>
          <w:rFonts w:eastAsia="Calibri"/>
          <w:b/>
          <w:bCs/>
          <w:noProof/>
          <w:lang w:val="es-DO"/>
        </w:rPr>
        <w:t>Tesorería Nacional</w:t>
      </w:r>
    </w:p>
    <w:tbl>
      <w:tblPr>
        <w:tblW w:w="5098" w:type="dxa"/>
        <w:jc w:val="center"/>
        <w:tblLook w:val="04A0" w:firstRow="1" w:lastRow="0" w:firstColumn="1" w:lastColumn="0" w:noHBand="0" w:noVBand="1"/>
      </w:tblPr>
      <w:tblGrid>
        <w:gridCol w:w="2400"/>
        <w:gridCol w:w="2698"/>
      </w:tblGrid>
      <w:tr w:rsidR="00D3574F" w:rsidRPr="00D3574F" w14:paraId="255825A2" w14:textId="77777777" w:rsidTr="006F7E31">
        <w:trPr>
          <w:trHeight w:val="585"/>
          <w:tblHeader/>
          <w:jc w:val="center"/>
        </w:trPr>
        <w:tc>
          <w:tcPr>
            <w:tcW w:w="5098" w:type="dxa"/>
            <w:gridSpan w:val="2"/>
            <w:tcBorders>
              <w:top w:val="single" w:sz="4" w:space="0" w:color="auto"/>
              <w:left w:val="single" w:sz="4" w:space="0" w:color="auto"/>
              <w:bottom w:val="single" w:sz="4" w:space="0" w:color="auto"/>
              <w:right w:val="single" w:sz="4" w:space="0" w:color="auto"/>
            </w:tcBorders>
            <w:shd w:val="clear" w:color="auto" w:fill="011C50"/>
            <w:vAlign w:val="center"/>
            <w:hideMark/>
          </w:tcPr>
          <w:p w14:paraId="58468B3A" w14:textId="77777777" w:rsidR="00D3574F" w:rsidRPr="00D3574F" w:rsidRDefault="00D3574F" w:rsidP="00D64261">
            <w:pPr>
              <w:spacing w:line="360" w:lineRule="auto"/>
              <w:jc w:val="both"/>
              <w:rPr>
                <w:rFonts w:eastAsia="Calibri"/>
                <w:b/>
                <w:bCs/>
                <w:noProof/>
                <w:color w:val="FFFFFF" w:themeColor="background1"/>
              </w:rPr>
            </w:pPr>
            <w:r w:rsidRPr="00D3574F">
              <w:rPr>
                <w:rFonts w:eastAsia="Calibri"/>
                <w:b/>
                <w:bCs/>
                <w:noProof/>
                <w:color w:val="FFFFFF" w:themeColor="background1"/>
                <w:lang w:val="es-MX"/>
              </w:rPr>
              <w:t>Cantidad de Certificaciones</w:t>
            </w:r>
          </w:p>
        </w:tc>
      </w:tr>
      <w:tr w:rsidR="00D3574F" w:rsidRPr="00D3574F" w14:paraId="33FA602D" w14:textId="77777777" w:rsidTr="006F7E31">
        <w:trPr>
          <w:trHeight w:val="570"/>
          <w:tblHeader/>
          <w:jc w:val="center"/>
        </w:trPr>
        <w:tc>
          <w:tcPr>
            <w:tcW w:w="2400" w:type="dxa"/>
            <w:tcBorders>
              <w:top w:val="nil"/>
              <w:left w:val="single" w:sz="4" w:space="0" w:color="auto"/>
              <w:bottom w:val="single" w:sz="4" w:space="0" w:color="auto"/>
              <w:right w:val="single" w:sz="4" w:space="0" w:color="auto"/>
            </w:tcBorders>
            <w:shd w:val="clear" w:color="auto" w:fill="011C50"/>
            <w:noWrap/>
            <w:vAlign w:val="center"/>
            <w:hideMark/>
          </w:tcPr>
          <w:p w14:paraId="41A89177" w14:textId="77777777" w:rsidR="00D3574F" w:rsidRPr="00D3574F" w:rsidRDefault="00D3574F" w:rsidP="00D64261">
            <w:pPr>
              <w:spacing w:line="360" w:lineRule="auto"/>
              <w:jc w:val="both"/>
              <w:rPr>
                <w:rFonts w:eastAsia="Calibri"/>
                <w:b/>
                <w:bCs/>
                <w:noProof/>
                <w:color w:val="FFFFFF" w:themeColor="background1"/>
              </w:rPr>
            </w:pPr>
            <w:r w:rsidRPr="00D3574F">
              <w:rPr>
                <w:rFonts w:eastAsia="Calibri"/>
                <w:b/>
                <w:bCs/>
                <w:noProof/>
                <w:color w:val="FFFFFF" w:themeColor="background1"/>
                <w:lang w:val="es-MX"/>
              </w:rPr>
              <w:t>Período</w:t>
            </w:r>
          </w:p>
        </w:tc>
        <w:tc>
          <w:tcPr>
            <w:tcW w:w="2698" w:type="dxa"/>
            <w:tcBorders>
              <w:top w:val="nil"/>
              <w:left w:val="nil"/>
              <w:bottom w:val="single" w:sz="4" w:space="0" w:color="auto"/>
              <w:right w:val="single" w:sz="4" w:space="0" w:color="auto"/>
            </w:tcBorders>
            <w:shd w:val="clear" w:color="auto" w:fill="011C50"/>
            <w:noWrap/>
            <w:vAlign w:val="center"/>
            <w:hideMark/>
          </w:tcPr>
          <w:p w14:paraId="7AE1655B" w14:textId="77777777" w:rsidR="00D3574F" w:rsidRPr="00D3574F" w:rsidRDefault="00D3574F" w:rsidP="00D64261">
            <w:pPr>
              <w:spacing w:line="360" w:lineRule="auto"/>
              <w:jc w:val="both"/>
              <w:rPr>
                <w:rFonts w:eastAsia="Calibri"/>
                <w:b/>
                <w:bCs/>
                <w:noProof/>
                <w:color w:val="FFFFFF" w:themeColor="background1"/>
              </w:rPr>
            </w:pPr>
            <w:r w:rsidRPr="00D3574F">
              <w:rPr>
                <w:rFonts w:eastAsia="Calibri"/>
                <w:b/>
                <w:bCs/>
                <w:noProof/>
                <w:color w:val="FFFFFF" w:themeColor="background1"/>
              </w:rPr>
              <w:t>Enviadas a INAVI</w:t>
            </w:r>
          </w:p>
        </w:tc>
      </w:tr>
      <w:tr w:rsidR="00D3574F" w:rsidRPr="00D3574F" w14:paraId="6C10DCED" w14:textId="77777777" w:rsidTr="006F7E31">
        <w:trPr>
          <w:trHeight w:val="300"/>
          <w:jc w:val="center"/>
        </w:trPr>
        <w:tc>
          <w:tcPr>
            <w:tcW w:w="2400" w:type="dxa"/>
            <w:tcBorders>
              <w:top w:val="nil"/>
              <w:left w:val="single" w:sz="4" w:space="0" w:color="auto"/>
              <w:bottom w:val="single" w:sz="4" w:space="0" w:color="auto"/>
              <w:right w:val="single" w:sz="4" w:space="0" w:color="auto"/>
            </w:tcBorders>
            <w:noWrap/>
            <w:vAlign w:val="center"/>
            <w:hideMark/>
          </w:tcPr>
          <w:p w14:paraId="27486B9A" w14:textId="77777777" w:rsidR="00D3574F" w:rsidRPr="00AC7AC2" w:rsidRDefault="00D3574F" w:rsidP="00D64261">
            <w:pPr>
              <w:spacing w:line="360" w:lineRule="auto"/>
              <w:jc w:val="both"/>
              <w:rPr>
                <w:rFonts w:eastAsia="Calibri"/>
                <w:noProof/>
              </w:rPr>
            </w:pPr>
            <w:r w:rsidRPr="00AC7AC2">
              <w:rPr>
                <w:rFonts w:eastAsia="Calibri"/>
                <w:noProof/>
                <w:lang w:val="es-MX"/>
              </w:rPr>
              <w:t>Enero</w:t>
            </w:r>
          </w:p>
        </w:tc>
        <w:tc>
          <w:tcPr>
            <w:tcW w:w="2698" w:type="dxa"/>
            <w:tcBorders>
              <w:top w:val="nil"/>
              <w:left w:val="nil"/>
              <w:bottom w:val="single" w:sz="4" w:space="0" w:color="auto"/>
              <w:right w:val="single" w:sz="4" w:space="0" w:color="auto"/>
            </w:tcBorders>
            <w:noWrap/>
            <w:vAlign w:val="center"/>
            <w:hideMark/>
          </w:tcPr>
          <w:p w14:paraId="2054B0D7" w14:textId="77777777" w:rsidR="00D3574F" w:rsidRPr="00AC7AC2" w:rsidRDefault="00D3574F" w:rsidP="00D64261">
            <w:pPr>
              <w:spacing w:line="360" w:lineRule="auto"/>
              <w:jc w:val="both"/>
              <w:rPr>
                <w:rFonts w:eastAsia="Calibri"/>
                <w:noProof/>
              </w:rPr>
            </w:pPr>
            <w:r w:rsidRPr="00AC7AC2">
              <w:rPr>
                <w:rFonts w:eastAsia="Calibri"/>
                <w:noProof/>
              </w:rPr>
              <w:t>212</w:t>
            </w:r>
          </w:p>
        </w:tc>
      </w:tr>
      <w:tr w:rsidR="00D3574F" w:rsidRPr="00D3574F" w14:paraId="513A9129" w14:textId="77777777" w:rsidTr="006F7E31">
        <w:trPr>
          <w:trHeight w:val="300"/>
          <w:jc w:val="center"/>
        </w:trPr>
        <w:tc>
          <w:tcPr>
            <w:tcW w:w="2400" w:type="dxa"/>
            <w:tcBorders>
              <w:top w:val="nil"/>
              <w:left w:val="single" w:sz="4" w:space="0" w:color="auto"/>
              <w:bottom w:val="single" w:sz="4" w:space="0" w:color="auto"/>
              <w:right w:val="single" w:sz="4" w:space="0" w:color="auto"/>
            </w:tcBorders>
            <w:noWrap/>
            <w:vAlign w:val="center"/>
            <w:hideMark/>
          </w:tcPr>
          <w:p w14:paraId="5DF87279" w14:textId="77777777" w:rsidR="00D3574F" w:rsidRPr="00AC7AC2" w:rsidRDefault="00D3574F" w:rsidP="00D64261">
            <w:pPr>
              <w:spacing w:line="360" w:lineRule="auto"/>
              <w:jc w:val="both"/>
              <w:rPr>
                <w:rFonts w:eastAsia="Calibri"/>
                <w:noProof/>
              </w:rPr>
            </w:pPr>
            <w:r w:rsidRPr="00AC7AC2">
              <w:rPr>
                <w:rFonts w:eastAsia="Calibri"/>
                <w:noProof/>
                <w:lang w:val="es-MX"/>
              </w:rPr>
              <w:t>Febrero</w:t>
            </w:r>
          </w:p>
        </w:tc>
        <w:tc>
          <w:tcPr>
            <w:tcW w:w="2698" w:type="dxa"/>
            <w:tcBorders>
              <w:top w:val="nil"/>
              <w:left w:val="nil"/>
              <w:bottom w:val="single" w:sz="4" w:space="0" w:color="auto"/>
              <w:right w:val="single" w:sz="4" w:space="0" w:color="auto"/>
            </w:tcBorders>
            <w:noWrap/>
            <w:vAlign w:val="center"/>
            <w:hideMark/>
          </w:tcPr>
          <w:p w14:paraId="1F4C67E5" w14:textId="77777777" w:rsidR="00D3574F" w:rsidRPr="00AC7AC2" w:rsidRDefault="00D3574F" w:rsidP="00D64261">
            <w:pPr>
              <w:spacing w:line="360" w:lineRule="auto"/>
              <w:jc w:val="both"/>
              <w:rPr>
                <w:rFonts w:eastAsia="Calibri"/>
                <w:noProof/>
              </w:rPr>
            </w:pPr>
            <w:r w:rsidRPr="00AC7AC2">
              <w:rPr>
                <w:rFonts w:eastAsia="Calibri"/>
                <w:noProof/>
              </w:rPr>
              <w:t>121</w:t>
            </w:r>
          </w:p>
        </w:tc>
      </w:tr>
      <w:tr w:rsidR="00D3574F" w:rsidRPr="00D3574F" w14:paraId="63C00C93" w14:textId="77777777" w:rsidTr="006F7E31">
        <w:trPr>
          <w:trHeight w:val="300"/>
          <w:jc w:val="center"/>
        </w:trPr>
        <w:tc>
          <w:tcPr>
            <w:tcW w:w="2400" w:type="dxa"/>
            <w:tcBorders>
              <w:top w:val="nil"/>
              <w:left w:val="single" w:sz="4" w:space="0" w:color="auto"/>
              <w:bottom w:val="single" w:sz="4" w:space="0" w:color="auto"/>
              <w:right w:val="single" w:sz="4" w:space="0" w:color="auto"/>
            </w:tcBorders>
            <w:noWrap/>
            <w:vAlign w:val="center"/>
          </w:tcPr>
          <w:p w14:paraId="4EDFAAFC" w14:textId="77777777" w:rsidR="00D3574F" w:rsidRPr="00AC7AC2" w:rsidRDefault="00D3574F" w:rsidP="00D64261">
            <w:pPr>
              <w:spacing w:line="360" w:lineRule="auto"/>
              <w:jc w:val="both"/>
              <w:rPr>
                <w:rFonts w:eastAsia="Calibri"/>
                <w:noProof/>
                <w:lang w:val="es-MX"/>
              </w:rPr>
            </w:pPr>
            <w:r w:rsidRPr="00AC7AC2">
              <w:rPr>
                <w:rFonts w:eastAsia="Calibri"/>
                <w:noProof/>
                <w:lang w:val="es-MX"/>
              </w:rPr>
              <w:t>Marzo</w:t>
            </w:r>
          </w:p>
        </w:tc>
        <w:tc>
          <w:tcPr>
            <w:tcW w:w="2698" w:type="dxa"/>
            <w:tcBorders>
              <w:top w:val="nil"/>
              <w:left w:val="nil"/>
              <w:bottom w:val="single" w:sz="4" w:space="0" w:color="auto"/>
              <w:right w:val="single" w:sz="4" w:space="0" w:color="auto"/>
            </w:tcBorders>
            <w:noWrap/>
            <w:vAlign w:val="center"/>
          </w:tcPr>
          <w:p w14:paraId="75AF5E42" w14:textId="77777777" w:rsidR="00D3574F" w:rsidRPr="00AC7AC2" w:rsidRDefault="00D3574F" w:rsidP="00D64261">
            <w:pPr>
              <w:spacing w:line="360" w:lineRule="auto"/>
              <w:jc w:val="both"/>
              <w:rPr>
                <w:rFonts w:eastAsia="Calibri"/>
                <w:noProof/>
              </w:rPr>
            </w:pPr>
            <w:r w:rsidRPr="00AC7AC2">
              <w:rPr>
                <w:rFonts w:eastAsia="Calibri"/>
                <w:noProof/>
              </w:rPr>
              <w:t>108</w:t>
            </w:r>
          </w:p>
        </w:tc>
      </w:tr>
      <w:tr w:rsidR="00D3574F" w:rsidRPr="00D3574F" w14:paraId="349BCEE1" w14:textId="77777777" w:rsidTr="006F7E31">
        <w:trPr>
          <w:trHeight w:val="300"/>
          <w:jc w:val="center"/>
        </w:trPr>
        <w:tc>
          <w:tcPr>
            <w:tcW w:w="2400" w:type="dxa"/>
            <w:tcBorders>
              <w:top w:val="nil"/>
              <w:left w:val="single" w:sz="4" w:space="0" w:color="auto"/>
              <w:bottom w:val="single" w:sz="4" w:space="0" w:color="auto"/>
              <w:right w:val="single" w:sz="4" w:space="0" w:color="auto"/>
            </w:tcBorders>
            <w:noWrap/>
            <w:vAlign w:val="center"/>
          </w:tcPr>
          <w:p w14:paraId="59AF5451" w14:textId="77777777" w:rsidR="00D3574F" w:rsidRPr="00AC7AC2" w:rsidRDefault="00D3574F" w:rsidP="00D64261">
            <w:pPr>
              <w:spacing w:line="360" w:lineRule="auto"/>
              <w:jc w:val="both"/>
              <w:rPr>
                <w:rFonts w:eastAsia="Calibri"/>
                <w:noProof/>
                <w:lang w:val="es-MX"/>
              </w:rPr>
            </w:pPr>
            <w:r w:rsidRPr="00AC7AC2">
              <w:rPr>
                <w:rFonts w:eastAsia="Calibri"/>
                <w:noProof/>
                <w:lang w:val="es-MX"/>
              </w:rPr>
              <w:t>Abril</w:t>
            </w:r>
          </w:p>
        </w:tc>
        <w:tc>
          <w:tcPr>
            <w:tcW w:w="2698" w:type="dxa"/>
            <w:tcBorders>
              <w:top w:val="nil"/>
              <w:left w:val="nil"/>
              <w:bottom w:val="single" w:sz="4" w:space="0" w:color="auto"/>
              <w:right w:val="single" w:sz="4" w:space="0" w:color="auto"/>
            </w:tcBorders>
            <w:noWrap/>
            <w:vAlign w:val="center"/>
          </w:tcPr>
          <w:p w14:paraId="36429D5D" w14:textId="77777777" w:rsidR="00D3574F" w:rsidRPr="00AC7AC2" w:rsidRDefault="00D3574F" w:rsidP="00D64261">
            <w:pPr>
              <w:spacing w:line="360" w:lineRule="auto"/>
              <w:jc w:val="both"/>
              <w:rPr>
                <w:rFonts w:eastAsia="Calibri"/>
                <w:noProof/>
              </w:rPr>
            </w:pPr>
            <w:r w:rsidRPr="00AC7AC2">
              <w:rPr>
                <w:rFonts w:eastAsia="Calibri"/>
                <w:noProof/>
              </w:rPr>
              <w:t>82</w:t>
            </w:r>
          </w:p>
        </w:tc>
      </w:tr>
      <w:tr w:rsidR="00D3574F" w:rsidRPr="00D3574F" w14:paraId="0EBDAE97" w14:textId="77777777" w:rsidTr="006F7E31">
        <w:trPr>
          <w:trHeight w:val="300"/>
          <w:jc w:val="center"/>
        </w:trPr>
        <w:tc>
          <w:tcPr>
            <w:tcW w:w="2400" w:type="dxa"/>
            <w:tcBorders>
              <w:top w:val="nil"/>
              <w:left w:val="single" w:sz="4" w:space="0" w:color="auto"/>
              <w:bottom w:val="single" w:sz="4" w:space="0" w:color="auto"/>
              <w:right w:val="single" w:sz="4" w:space="0" w:color="auto"/>
            </w:tcBorders>
            <w:noWrap/>
            <w:vAlign w:val="center"/>
          </w:tcPr>
          <w:p w14:paraId="585C5C43" w14:textId="77777777" w:rsidR="00D3574F" w:rsidRPr="00AC7AC2" w:rsidRDefault="00D3574F" w:rsidP="00D64261">
            <w:pPr>
              <w:spacing w:line="360" w:lineRule="auto"/>
              <w:jc w:val="both"/>
              <w:rPr>
                <w:rFonts w:eastAsia="Calibri"/>
                <w:noProof/>
                <w:lang w:val="es-MX"/>
              </w:rPr>
            </w:pPr>
            <w:r w:rsidRPr="00AC7AC2">
              <w:rPr>
                <w:rFonts w:eastAsia="Calibri"/>
                <w:noProof/>
                <w:lang w:val="es-MX"/>
              </w:rPr>
              <w:t>Mayo</w:t>
            </w:r>
          </w:p>
        </w:tc>
        <w:tc>
          <w:tcPr>
            <w:tcW w:w="2698" w:type="dxa"/>
            <w:tcBorders>
              <w:top w:val="nil"/>
              <w:left w:val="nil"/>
              <w:bottom w:val="single" w:sz="4" w:space="0" w:color="auto"/>
              <w:right w:val="single" w:sz="4" w:space="0" w:color="auto"/>
            </w:tcBorders>
            <w:noWrap/>
            <w:vAlign w:val="center"/>
          </w:tcPr>
          <w:p w14:paraId="6A4C5DF7" w14:textId="77777777" w:rsidR="00D3574F" w:rsidRPr="00AC7AC2" w:rsidRDefault="00D3574F" w:rsidP="00D64261">
            <w:pPr>
              <w:spacing w:line="360" w:lineRule="auto"/>
              <w:jc w:val="both"/>
              <w:rPr>
                <w:rFonts w:eastAsia="Calibri"/>
                <w:noProof/>
              </w:rPr>
            </w:pPr>
            <w:r w:rsidRPr="00AC7AC2">
              <w:rPr>
                <w:rFonts w:eastAsia="Calibri"/>
                <w:noProof/>
              </w:rPr>
              <w:t>636</w:t>
            </w:r>
          </w:p>
        </w:tc>
      </w:tr>
      <w:tr w:rsidR="00D3574F" w:rsidRPr="00D3574F" w14:paraId="4D3F1226" w14:textId="77777777" w:rsidTr="006F7E31">
        <w:trPr>
          <w:trHeight w:val="300"/>
          <w:jc w:val="center"/>
        </w:trPr>
        <w:tc>
          <w:tcPr>
            <w:tcW w:w="2400" w:type="dxa"/>
            <w:tcBorders>
              <w:top w:val="nil"/>
              <w:left w:val="single" w:sz="4" w:space="0" w:color="auto"/>
              <w:bottom w:val="single" w:sz="4" w:space="0" w:color="auto"/>
              <w:right w:val="single" w:sz="4" w:space="0" w:color="auto"/>
            </w:tcBorders>
            <w:noWrap/>
            <w:vAlign w:val="center"/>
          </w:tcPr>
          <w:p w14:paraId="1DDF92E0" w14:textId="77777777" w:rsidR="00D3574F" w:rsidRPr="00AC7AC2" w:rsidRDefault="00D3574F" w:rsidP="00D64261">
            <w:pPr>
              <w:spacing w:line="360" w:lineRule="auto"/>
              <w:jc w:val="both"/>
              <w:rPr>
                <w:rFonts w:eastAsia="Calibri"/>
                <w:noProof/>
                <w:lang w:val="es-MX"/>
              </w:rPr>
            </w:pPr>
            <w:r w:rsidRPr="00AC7AC2">
              <w:rPr>
                <w:rFonts w:eastAsia="Calibri"/>
                <w:noProof/>
                <w:lang w:val="es-MX"/>
              </w:rPr>
              <w:t xml:space="preserve">Junio </w:t>
            </w:r>
          </w:p>
        </w:tc>
        <w:tc>
          <w:tcPr>
            <w:tcW w:w="2698" w:type="dxa"/>
            <w:tcBorders>
              <w:top w:val="nil"/>
              <w:left w:val="nil"/>
              <w:bottom w:val="single" w:sz="4" w:space="0" w:color="auto"/>
              <w:right w:val="single" w:sz="4" w:space="0" w:color="auto"/>
            </w:tcBorders>
            <w:noWrap/>
            <w:vAlign w:val="center"/>
          </w:tcPr>
          <w:p w14:paraId="251261CF" w14:textId="5D235CC5" w:rsidR="00D3574F" w:rsidRPr="00AC7AC2" w:rsidRDefault="00D3574F" w:rsidP="00D64261">
            <w:pPr>
              <w:spacing w:line="360" w:lineRule="auto"/>
              <w:jc w:val="both"/>
              <w:rPr>
                <w:rFonts w:eastAsia="Calibri"/>
                <w:noProof/>
              </w:rPr>
            </w:pPr>
            <w:r w:rsidRPr="00AC7AC2">
              <w:rPr>
                <w:rFonts w:eastAsia="Calibri"/>
                <w:noProof/>
              </w:rPr>
              <w:t>745</w:t>
            </w:r>
          </w:p>
        </w:tc>
      </w:tr>
      <w:tr w:rsidR="00D3574F" w:rsidRPr="00D3574F" w14:paraId="07353D09" w14:textId="77777777" w:rsidTr="006F7E31">
        <w:trPr>
          <w:trHeight w:val="300"/>
          <w:jc w:val="center"/>
        </w:trPr>
        <w:tc>
          <w:tcPr>
            <w:tcW w:w="2400" w:type="dxa"/>
            <w:tcBorders>
              <w:top w:val="nil"/>
              <w:left w:val="single" w:sz="4" w:space="0" w:color="auto"/>
              <w:bottom w:val="single" w:sz="4" w:space="0" w:color="auto"/>
              <w:right w:val="single" w:sz="4" w:space="0" w:color="auto"/>
            </w:tcBorders>
            <w:noWrap/>
            <w:vAlign w:val="center"/>
          </w:tcPr>
          <w:p w14:paraId="07A80E61" w14:textId="77777777" w:rsidR="00D3574F" w:rsidRPr="00AC7AC2" w:rsidRDefault="00D3574F" w:rsidP="00D64261">
            <w:pPr>
              <w:spacing w:line="360" w:lineRule="auto"/>
              <w:jc w:val="both"/>
              <w:rPr>
                <w:rFonts w:eastAsia="Calibri"/>
                <w:noProof/>
                <w:lang w:val="es-MX"/>
              </w:rPr>
            </w:pPr>
            <w:r w:rsidRPr="00AC7AC2">
              <w:rPr>
                <w:rFonts w:eastAsia="Calibri"/>
                <w:noProof/>
                <w:lang w:val="es-MX"/>
              </w:rPr>
              <w:t xml:space="preserve">Julio </w:t>
            </w:r>
          </w:p>
        </w:tc>
        <w:tc>
          <w:tcPr>
            <w:tcW w:w="2698" w:type="dxa"/>
            <w:tcBorders>
              <w:top w:val="nil"/>
              <w:left w:val="nil"/>
              <w:bottom w:val="single" w:sz="4" w:space="0" w:color="auto"/>
              <w:right w:val="single" w:sz="4" w:space="0" w:color="auto"/>
            </w:tcBorders>
            <w:noWrap/>
            <w:vAlign w:val="center"/>
          </w:tcPr>
          <w:p w14:paraId="553C5928" w14:textId="77777777" w:rsidR="00D3574F" w:rsidRPr="00AC7AC2" w:rsidRDefault="00D3574F" w:rsidP="00D64261">
            <w:pPr>
              <w:spacing w:line="360" w:lineRule="auto"/>
              <w:jc w:val="both"/>
              <w:rPr>
                <w:rFonts w:eastAsia="Calibri"/>
                <w:noProof/>
              </w:rPr>
            </w:pPr>
            <w:r w:rsidRPr="00AC7AC2">
              <w:rPr>
                <w:rFonts w:eastAsia="Calibri"/>
                <w:noProof/>
              </w:rPr>
              <w:t>274</w:t>
            </w:r>
          </w:p>
        </w:tc>
      </w:tr>
      <w:tr w:rsidR="00D3574F" w:rsidRPr="00D3574F" w14:paraId="1043D0D6" w14:textId="77777777" w:rsidTr="006F7E31">
        <w:trPr>
          <w:trHeight w:val="300"/>
          <w:jc w:val="center"/>
        </w:trPr>
        <w:tc>
          <w:tcPr>
            <w:tcW w:w="2400" w:type="dxa"/>
            <w:tcBorders>
              <w:top w:val="nil"/>
              <w:left w:val="single" w:sz="4" w:space="0" w:color="auto"/>
              <w:bottom w:val="single" w:sz="4" w:space="0" w:color="auto"/>
              <w:right w:val="single" w:sz="4" w:space="0" w:color="auto"/>
            </w:tcBorders>
            <w:noWrap/>
            <w:vAlign w:val="center"/>
          </w:tcPr>
          <w:p w14:paraId="20732C28" w14:textId="77777777" w:rsidR="00D3574F" w:rsidRPr="00AC7AC2" w:rsidRDefault="00D3574F" w:rsidP="00D64261">
            <w:pPr>
              <w:spacing w:line="360" w:lineRule="auto"/>
              <w:jc w:val="both"/>
              <w:rPr>
                <w:rFonts w:eastAsia="Calibri"/>
                <w:noProof/>
                <w:lang w:val="es-MX"/>
              </w:rPr>
            </w:pPr>
            <w:r w:rsidRPr="00AC7AC2">
              <w:rPr>
                <w:rFonts w:eastAsia="Calibri"/>
                <w:noProof/>
                <w:lang w:val="es-MX"/>
              </w:rPr>
              <w:t xml:space="preserve">Agosto </w:t>
            </w:r>
          </w:p>
        </w:tc>
        <w:tc>
          <w:tcPr>
            <w:tcW w:w="2698" w:type="dxa"/>
            <w:tcBorders>
              <w:top w:val="nil"/>
              <w:left w:val="nil"/>
              <w:bottom w:val="single" w:sz="4" w:space="0" w:color="auto"/>
              <w:right w:val="single" w:sz="4" w:space="0" w:color="auto"/>
            </w:tcBorders>
            <w:noWrap/>
            <w:vAlign w:val="center"/>
          </w:tcPr>
          <w:p w14:paraId="7D71C29C" w14:textId="77777777" w:rsidR="00D3574F" w:rsidRPr="00AC7AC2" w:rsidRDefault="00D3574F" w:rsidP="00D64261">
            <w:pPr>
              <w:spacing w:line="360" w:lineRule="auto"/>
              <w:jc w:val="both"/>
              <w:rPr>
                <w:rFonts w:eastAsia="Calibri"/>
                <w:noProof/>
              </w:rPr>
            </w:pPr>
            <w:r w:rsidRPr="00AC7AC2">
              <w:rPr>
                <w:rFonts w:eastAsia="Calibri"/>
                <w:noProof/>
              </w:rPr>
              <w:t>192</w:t>
            </w:r>
          </w:p>
        </w:tc>
      </w:tr>
      <w:tr w:rsidR="00D3574F" w:rsidRPr="00D3574F" w14:paraId="4573F0B2" w14:textId="77777777" w:rsidTr="006F7E31">
        <w:trPr>
          <w:trHeight w:val="300"/>
          <w:jc w:val="center"/>
        </w:trPr>
        <w:tc>
          <w:tcPr>
            <w:tcW w:w="2400" w:type="dxa"/>
            <w:tcBorders>
              <w:top w:val="nil"/>
              <w:left w:val="single" w:sz="4" w:space="0" w:color="auto"/>
              <w:bottom w:val="single" w:sz="4" w:space="0" w:color="auto"/>
              <w:right w:val="single" w:sz="4" w:space="0" w:color="auto"/>
            </w:tcBorders>
            <w:noWrap/>
            <w:vAlign w:val="center"/>
          </w:tcPr>
          <w:p w14:paraId="14AF6674" w14:textId="77777777" w:rsidR="00D3574F" w:rsidRPr="00AC7AC2" w:rsidRDefault="00D3574F" w:rsidP="00D64261">
            <w:pPr>
              <w:spacing w:line="360" w:lineRule="auto"/>
              <w:jc w:val="both"/>
              <w:rPr>
                <w:rFonts w:eastAsia="Calibri"/>
                <w:noProof/>
                <w:lang w:val="es-MX"/>
              </w:rPr>
            </w:pPr>
            <w:r w:rsidRPr="00AC7AC2">
              <w:rPr>
                <w:rFonts w:eastAsia="Calibri"/>
                <w:noProof/>
                <w:lang w:val="es-MX"/>
              </w:rPr>
              <w:t xml:space="preserve">Septiembre </w:t>
            </w:r>
          </w:p>
        </w:tc>
        <w:tc>
          <w:tcPr>
            <w:tcW w:w="2698" w:type="dxa"/>
            <w:tcBorders>
              <w:top w:val="nil"/>
              <w:left w:val="nil"/>
              <w:bottom w:val="single" w:sz="4" w:space="0" w:color="auto"/>
              <w:right w:val="single" w:sz="4" w:space="0" w:color="auto"/>
            </w:tcBorders>
            <w:noWrap/>
            <w:vAlign w:val="center"/>
          </w:tcPr>
          <w:p w14:paraId="27FA3946" w14:textId="77777777" w:rsidR="00D3574F" w:rsidRPr="00AC7AC2" w:rsidRDefault="00D3574F" w:rsidP="00D64261">
            <w:pPr>
              <w:spacing w:line="360" w:lineRule="auto"/>
              <w:jc w:val="both"/>
              <w:rPr>
                <w:rFonts w:eastAsia="Calibri"/>
                <w:noProof/>
              </w:rPr>
            </w:pPr>
            <w:r w:rsidRPr="00AC7AC2">
              <w:rPr>
                <w:rFonts w:eastAsia="Calibri"/>
                <w:noProof/>
              </w:rPr>
              <w:t>178</w:t>
            </w:r>
          </w:p>
        </w:tc>
      </w:tr>
      <w:tr w:rsidR="00D3574F" w:rsidRPr="00D3574F" w14:paraId="76331654" w14:textId="77777777" w:rsidTr="006F7E31">
        <w:trPr>
          <w:trHeight w:val="300"/>
          <w:jc w:val="center"/>
        </w:trPr>
        <w:tc>
          <w:tcPr>
            <w:tcW w:w="2400" w:type="dxa"/>
            <w:tcBorders>
              <w:top w:val="nil"/>
              <w:left w:val="single" w:sz="4" w:space="0" w:color="auto"/>
              <w:bottom w:val="single" w:sz="4" w:space="0" w:color="auto"/>
              <w:right w:val="single" w:sz="4" w:space="0" w:color="auto"/>
            </w:tcBorders>
            <w:noWrap/>
            <w:vAlign w:val="center"/>
          </w:tcPr>
          <w:p w14:paraId="0BE5B455" w14:textId="77777777" w:rsidR="00D3574F" w:rsidRPr="00AC7AC2" w:rsidRDefault="00D3574F" w:rsidP="00D64261">
            <w:pPr>
              <w:spacing w:line="360" w:lineRule="auto"/>
              <w:jc w:val="both"/>
              <w:rPr>
                <w:rFonts w:eastAsia="Calibri"/>
                <w:noProof/>
                <w:lang w:val="es-MX"/>
              </w:rPr>
            </w:pPr>
            <w:r w:rsidRPr="00AC7AC2">
              <w:rPr>
                <w:rFonts w:eastAsia="Calibri"/>
                <w:noProof/>
                <w:lang w:val="es-MX"/>
              </w:rPr>
              <w:t xml:space="preserve">Octubre </w:t>
            </w:r>
          </w:p>
        </w:tc>
        <w:tc>
          <w:tcPr>
            <w:tcW w:w="2698" w:type="dxa"/>
            <w:tcBorders>
              <w:top w:val="nil"/>
              <w:left w:val="nil"/>
              <w:bottom w:val="single" w:sz="4" w:space="0" w:color="auto"/>
              <w:right w:val="single" w:sz="4" w:space="0" w:color="auto"/>
            </w:tcBorders>
            <w:noWrap/>
            <w:vAlign w:val="center"/>
          </w:tcPr>
          <w:p w14:paraId="0643E84A" w14:textId="77777777" w:rsidR="00D3574F" w:rsidRPr="00AC7AC2" w:rsidRDefault="00D3574F" w:rsidP="00D64261">
            <w:pPr>
              <w:spacing w:line="360" w:lineRule="auto"/>
              <w:jc w:val="both"/>
              <w:rPr>
                <w:rFonts w:eastAsia="Calibri"/>
                <w:noProof/>
              </w:rPr>
            </w:pPr>
            <w:r w:rsidRPr="00AC7AC2">
              <w:rPr>
                <w:rFonts w:eastAsia="Calibri"/>
                <w:noProof/>
              </w:rPr>
              <w:t>100</w:t>
            </w:r>
          </w:p>
        </w:tc>
      </w:tr>
      <w:tr w:rsidR="00D3574F" w:rsidRPr="00D3574F" w14:paraId="2C27F204" w14:textId="77777777" w:rsidTr="006F7E31">
        <w:trPr>
          <w:trHeight w:val="300"/>
          <w:jc w:val="center"/>
        </w:trPr>
        <w:tc>
          <w:tcPr>
            <w:tcW w:w="2400" w:type="dxa"/>
            <w:tcBorders>
              <w:top w:val="nil"/>
              <w:left w:val="single" w:sz="4" w:space="0" w:color="auto"/>
              <w:bottom w:val="single" w:sz="4" w:space="0" w:color="auto"/>
              <w:right w:val="single" w:sz="4" w:space="0" w:color="auto"/>
            </w:tcBorders>
            <w:noWrap/>
            <w:vAlign w:val="center"/>
          </w:tcPr>
          <w:p w14:paraId="20EC7E3E" w14:textId="77777777" w:rsidR="00D3574F" w:rsidRPr="00AC7AC2" w:rsidRDefault="00D3574F" w:rsidP="00D64261">
            <w:pPr>
              <w:spacing w:line="360" w:lineRule="auto"/>
              <w:jc w:val="both"/>
              <w:rPr>
                <w:rFonts w:eastAsia="Calibri"/>
                <w:noProof/>
                <w:lang w:val="es-MX"/>
              </w:rPr>
            </w:pPr>
            <w:r w:rsidRPr="00AC7AC2">
              <w:rPr>
                <w:rFonts w:eastAsia="Calibri"/>
                <w:noProof/>
                <w:lang w:val="es-MX"/>
              </w:rPr>
              <w:t xml:space="preserve">Noviembre </w:t>
            </w:r>
          </w:p>
        </w:tc>
        <w:tc>
          <w:tcPr>
            <w:tcW w:w="2698" w:type="dxa"/>
            <w:tcBorders>
              <w:top w:val="nil"/>
              <w:left w:val="nil"/>
              <w:bottom w:val="single" w:sz="4" w:space="0" w:color="auto"/>
              <w:right w:val="single" w:sz="4" w:space="0" w:color="auto"/>
            </w:tcBorders>
            <w:noWrap/>
            <w:vAlign w:val="center"/>
          </w:tcPr>
          <w:p w14:paraId="2BB3CF64" w14:textId="77777777" w:rsidR="00D3574F" w:rsidRPr="00AC7AC2" w:rsidRDefault="00D3574F" w:rsidP="00D64261">
            <w:pPr>
              <w:spacing w:line="360" w:lineRule="auto"/>
              <w:jc w:val="both"/>
              <w:rPr>
                <w:rFonts w:eastAsia="Calibri"/>
                <w:noProof/>
              </w:rPr>
            </w:pPr>
            <w:r w:rsidRPr="00AC7AC2">
              <w:rPr>
                <w:rFonts w:eastAsia="Calibri"/>
                <w:noProof/>
              </w:rPr>
              <w:t>99</w:t>
            </w:r>
          </w:p>
        </w:tc>
      </w:tr>
      <w:tr w:rsidR="00D3574F" w:rsidRPr="00D3574F" w14:paraId="117332CA" w14:textId="77777777" w:rsidTr="006F7E31">
        <w:trPr>
          <w:trHeight w:val="300"/>
          <w:jc w:val="center"/>
        </w:trPr>
        <w:tc>
          <w:tcPr>
            <w:tcW w:w="2400" w:type="dxa"/>
            <w:tcBorders>
              <w:top w:val="nil"/>
              <w:left w:val="single" w:sz="4" w:space="0" w:color="auto"/>
              <w:bottom w:val="single" w:sz="4" w:space="0" w:color="auto"/>
              <w:right w:val="single" w:sz="4" w:space="0" w:color="auto"/>
            </w:tcBorders>
            <w:noWrap/>
            <w:vAlign w:val="center"/>
          </w:tcPr>
          <w:p w14:paraId="137C5042" w14:textId="77777777" w:rsidR="00D3574F" w:rsidRPr="00AC7AC2" w:rsidRDefault="00D3574F" w:rsidP="00D64261">
            <w:pPr>
              <w:spacing w:line="360" w:lineRule="auto"/>
              <w:jc w:val="both"/>
              <w:rPr>
                <w:rFonts w:eastAsia="Calibri"/>
                <w:noProof/>
                <w:lang w:val="es-MX"/>
              </w:rPr>
            </w:pPr>
            <w:r w:rsidRPr="00AC7AC2">
              <w:rPr>
                <w:rFonts w:eastAsia="Calibri"/>
                <w:noProof/>
                <w:lang w:val="es-MX"/>
              </w:rPr>
              <w:t xml:space="preserve">Diciembre </w:t>
            </w:r>
          </w:p>
        </w:tc>
        <w:tc>
          <w:tcPr>
            <w:tcW w:w="2698" w:type="dxa"/>
            <w:tcBorders>
              <w:top w:val="nil"/>
              <w:left w:val="nil"/>
              <w:bottom w:val="single" w:sz="4" w:space="0" w:color="auto"/>
              <w:right w:val="single" w:sz="4" w:space="0" w:color="auto"/>
            </w:tcBorders>
            <w:noWrap/>
            <w:vAlign w:val="center"/>
          </w:tcPr>
          <w:p w14:paraId="231FAE6C" w14:textId="77777777" w:rsidR="00D3574F" w:rsidRPr="00AC7AC2" w:rsidRDefault="00D3574F" w:rsidP="00D64261">
            <w:pPr>
              <w:spacing w:line="360" w:lineRule="auto"/>
              <w:jc w:val="both"/>
              <w:rPr>
                <w:rFonts w:eastAsia="Calibri"/>
                <w:noProof/>
              </w:rPr>
            </w:pPr>
            <w:r w:rsidRPr="00AC7AC2">
              <w:rPr>
                <w:rFonts w:eastAsia="Calibri"/>
                <w:noProof/>
              </w:rPr>
              <w:t>150</w:t>
            </w:r>
          </w:p>
        </w:tc>
      </w:tr>
      <w:tr w:rsidR="00D3574F" w:rsidRPr="00D3574F" w14:paraId="7A79EDB7" w14:textId="77777777" w:rsidTr="006F7E31">
        <w:trPr>
          <w:trHeight w:val="102"/>
          <w:jc w:val="center"/>
        </w:trPr>
        <w:tc>
          <w:tcPr>
            <w:tcW w:w="2400" w:type="dxa"/>
            <w:tcBorders>
              <w:top w:val="nil"/>
              <w:left w:val="single" w:sz="4" w:space="0" w:color="auto"/>
              <w:bottom w:val="single" w:sz="4" w:space="0" w:color="auto"/>
              <w:right w:val="single" w:sz="4" w:space="0" w:color="auto"/>
            </w:tcBorders>
            <w:noWrap/>
            <w:vAlign w:val="center"/>
            <w:hideMark/>
          </w:tcPr>
          <w:p w14:paraId="0B7022CA" w14:textId="77777777" w:rsidR="00D3574F" w:rsidRPr="00AC7AC2" w:rsidRDefault="00D3574F" w:rsidP="00D64261">
            <w:pPr>
              <w:spacing w:line="360" w:lineRule="auto"/>
              <w:jc w:val="both"/>
              <w:rPr>
                <w:rFonts w:eastAsia="Calibri"/>
                <w:b/>
                <w:bCs/>
                <w:noProof/>
              </w:rPr>
            </w:pPr>
            <w:r w:rsidRPr="00AC7AC2">
              <w:rPr>
                <w:rFonts w:eastAsia="Calibri"/>
                <w:b/>
                <w:bCs/>
                <w:noProof/>
                <w:lang w:val="es-MX"/>
              </w:rPr>
              <w:t xml:space="preserve">Total </w:t>
            </w:r>
          </w:p>
        </w:tc>
        <w:tc>
          <w:tcPr>
            <w:tcW w:w="2698" w:type="dxa"/>
            <w:tcBorders>
              <w:top w:val="nil"/>
              <w:left w:val="nil"/>
              <w:bottom w:val="single" w:sz="4" w:space="0" w:color="auto"/>
              <w:right w:val="single" w:sz="4" w:space="0" w:color="auto"/>
            </w:tcBorders>
            <w:noWrap/>
            <w:vAlign w:val="center"/>
            <w:hideMark/>
          </w:tcPr>
          <w:p w14:paraId="67F343B9" w14:textId="77777777" w:rsidR="00D3574F" w:rsidRPr="00AC7AC2" w:rsidRDefault="00D3574F" w:rsidP="00D64261">
            <w:pPr>
              <w:spacing w:line="360" w:lineRule="auto"/>
              <w:jc w:val="both"/>
              <w:rPr>
                <w:rFonts w:eastAsia="Calibri"/>
                <w:b/>
                <w:bCs/>
                <w:noProof/>
              </w:rPr>
            </w:pPr>
            <w:r w:rsidRPr="00AC7AC2">
              <w:rPr>
                <w:rFonts w:eastAsia="Calibri"/>
                <w:b/>
                <w:bCs/>
                <w:noProof/>
              </w:rPr>
              <w:t>2,897</w:t>
            </w:r>
          </w:p>
        </w:tc>
      </w:tr>
    </w:tbl>
    <w:p w14:paraId="32A179B2" w14:textId="77777777" w:rsidR="00D3574F" w:rsidRPr="00D3574F" w:rsidRDefault="00D3574F" w:rsidP="00D64261">
      <w:pPr>
        <w:spacing w:line="360" w:lineRule="auto"/>
        <w:jc w:val="both"/>
        <w:rPr>
          <w:rFonts w:eastAsia="Calibri"/>
          <w:noProof/>
          <w:color w:val="4C4747"/>
          <w:lang w:val="es-MX"/>
        </w:rPr>
      </w:pPr>
    </w:p>
    <w:p w14:paraId="77C67103" w14:textId="77777777" w:rsidR="00D3574F" w:rsidRPr="00D3574F" w:rsidRDefault="00D3574F" w:rsidP="00D64261">
      <w:pPr>
        <w:spacing w:line="360" w:lineRule="auto"/>
        <w:jc w:val="both"/>
        <w:rPr>
          <w:rFonts w:eastAsia="Calibri"/>
          <w:noProof/>
          <w:color w:val="4C4747"/>
          <w:lang w:val="es-MX"/>
        </w:rPr>
      </w:pPr>
    </w:p>
    <w:p w14:paraId="12EA67A5" w14:textId="77777777" w:rsidR="00D3574F" w:rsidRDefault="00D3574F" w:rsidP="00D64261">
      <w:pPr>
        <w:spacing w:line="360" w:lineRule="auto"/>
        <w:jc w:val="both"/>
        <w:rPr>
          <w:rFonts w:eastAsia="Calibri"/>
          <w:noProof/>
          <w:color w:val="4C4747"/>
          <w:lang w:val="es-MX"/>
        </w:rPr>
      </w:pPr>
    </w:p>
    <w:p w14:paraId="58B0DAFC" w14:textId="77777777" w:rsidR="005028B7" w:rsidRDefault="005028B7" w:rsidP="00D64261">
      <w:pPr>
        <w:spacing w:line="360" w:lineRule="auto"/>
        <w:jc w:val="both"/>
        <w:rPr>
          <w:rFonts w:eastAsia="Calibri"/>
          <w:noProof/>
          <w:color w:val="4C4747"/>
          <w:lang w:val="es-MX"/>
        </w:rPr>
      </w:pPr>
    </w:p>
    <w:p w14:paraId="59B3B979" w14:textId="77777777" w:rsidR="005028B7" w:rsidRPr="00D3574F" w:rsidRDefault="005028B7" w:rsidP="00D64261">
      <w:pPr>
        <w:spacing w:line="360" w:lineRule="auto"/>
        <w:jc w:val="both"/>
        <w:rPr>
          <w:rFonts w:eastAsia="Calibri"/>
          <w:noProof/>
          <w:color w:val="4C4747"/>
          <w:lang w:val="es-MX"/>
        </w:rPr>
      </w:pPr>
    </w:p>
    <w:p w14:paraId="4596D99E" w14:textId="77777777" w:rsidR="00D3574F" w:rsidRPr="00AC7AC2" w:rsidRDefault="00D3574F" w:rsidP="00D64261">
      <w:pPr>
        <w:spacing w:line="360" w:lineRule="auto"/>
        <w:jc w:val="both"/>
        <w:rPr>
          <w:rFonts w:eastAsia="Calibri"/>
          <w:noProof/>
          <w:lang w:val="es-MX"/>
        </w:rPr>
      </w:pPr>
      <w:r w:rsidRPr="00AC7AC2">
        <w:rPr>
          <w:rFonts w:eastAsia="Calibri"/>
          <w:noProof/>
          <w:lang w:val="es-MX"/>
        </w:rPr>
        <w:lastRenderedPageBreak/>
        <w:t>En el período enero – diciembre 2025, la gestión de la sección Documental se resume como sigue:</w:t>
      </w:r>
    </w:p>
    <w:p w14:paraId="47275079" w14:textId="77777777" w:rsidR="00D3574F" w:rsidRPr="00AC7AC2" w:rsidRDefault="00D3574F" w:rsidP="00D64261">
      <w:pPr>
        <w:spacing w:line="360" w:lineRule="auto"/>
        <w:jc w:val="both"/>
        <w:rPr>
          <w:rFonts w:eastAsia="Calibri"/>
          <w:bCs/>
          <w:noProof/>
          <w:lang w:val="es-MX"/>
        </w:rPr>
      </w:pPr>
    </w:p>
    <w:p w14:paraId="4A471623" w14:textId="509DA1A7" w:rsidR="00D3574F" w:rsidRPr="00AC7AC2" w:rsidRDefault="00D3574F" w:rsidP="00D64261">
      <w:pPr>
        <w:spacing w:after="0" w:line="360" w:lineRule="auto"/>
        <w:jc w:val="center"/>
        <w:rPr>
          <w:rFonts w:eastAsia="Calibri"/>
          <w:b/>
          <w:bCs/>
          <w:noProof/>
          <w:lang w:val="es-DO"/>
        </w:rPr>
      </w:pPr>
      <w:r w:rsidRPr="00AC7AC2">
        <w:rPr>
          <w:rFonts w:eastAsia="Calibri"/>
          <w:b/>
          <w:bCs/>
          <w:noProof/>
          <w:lang w:val="es-DO"/>
        </w:rPr>
        <w:t xml:space="preserve">Cuadro No. </w:t>
      </w:r>
      <w:r w:rsidR="008D7279" w:rsidRPr="00AC7AC2">
        <w:rPr>
          <w:rFonts w:eastAsia="Calibri"/>
          <w:b/>
          <w:bCs/>
          <w:noProof/>
          <w:lang w:val="es-DO"/>
        </w:rPr>
        <w:t>41</w:t>
      </w:r>
    </w:p>
    <w:p w14:paraId="242910F0" w14:textId="77777777" w:rsidR="00D3574F" w:rsidRPr="00AC7AC2" w:rsidRDefault="00D3574F" w:rsidP="00D64261">
      <w:pPr>
        <w:spacing w:after="0" w:line="360" w:lineRule="auto"/>
        <w:jc w:val="center"/>
        <w:rPr>
          <w:rFonts w:eastAsia="Calibri"/>
          <w:b/>
          <w:bCs/>
          <w:noProof/>
          <w:lang w:val="es-DO"/>
        </w:rPr>
      </w:pPr>
      <w:r w:rsidRPr="00AC7AC2">
        <w:rPr>
          <w:rFonts w:eastAsia="Calibri"/>
          <w:b/>
          <w:bCs/>
          <w:noProof/>
          <w:lang w:val="es-DO"/>
        </w:rPr>
        <w:t>Tesorería Nacional</w:t>
      </w:r>
    </w:p>
    <w:tbl>
      <w:tblPr>
        <w:tblW w:w="7910" w:type="dxa"/>
        <w:jc w:val="center"/>
        <w:tblLook w:val="04A0" w:firstRow="1" w:lastRow="0" w:firstColumn="1" w:lastColumn="0" w:noHBand="0" w:noVBand="1"/>
      </w:tblPr>
      <w:tblGrid>
        <w:gridCol w:w="3130"/>
        <w:gridCol w:w="2390"/>
        <w:gridCol w:w="2390"/>
      </w:tblGrid>
      <w:tr w:rsidR="00D3574F" w:rsidRPr="00D3574F" w14:paraId="2593C1F4" w14:textId="77777777" w:rsidTr="006F7E31">
        <w:trPr>
          <w:trHeight w:val="570"/>
          <w:jc w:val="center"/>
        </w:trPr>
        <w:tc>
          <w:tcPr>
            <w:tcW w:w="313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567B80F5" w14:textId="77777777" w:rsidR="00D3574F" w:rsidRPr="00D3574F" w:rsidRDefault="00D3574F" w:rsidP="00D64261">
            <w:pPr>
              <w:spacing w:line="360" w:lineRule="auto"/>
              <w:jc w:val="both"/>
              <w:rPr>
                <w:rFonts w:eastAsia="Calibri"/>
                <w:b/>
                <w:bCs/>
                <w:noProof/>
                <w:color w:val="FFFFFF" w:themeColor="background1"/>
              </w:rPr>
            </w:pPr>
            <w:r w:rsidRPr="00D3574F">
              <w:rPr>
                <w:rFonts w:eastAsia="Calibri"/>
                <w:b/>
                <w:bCs/>
                <w:noProof/>
                <w:color w:val="FFFFFF" w:themeColor="background1"/>
                <w:lang w:val="es-MX"/>
              </w:rPr>
              <w:t>Período</w:t>
            </w:r>
          </w:p>
        </w:tc>
        <w:tc>
          <w:tcPr>
            <w:tcW w:w="2390" w:type="dxa"/>
            <w:tcBorders>
              <w:top w:val="single" w:sz="4" w:space="0" w:color="auto"/>
              <w:left w:val="nil"/>
              <w:bottom w:val="single" w:sz="4" w:space="0" w:color="auto"/>
              <w:right w:val="single" w:sz="4" w:space="0" w:color="auto"/>
            </w:tcBorders>
            <w:shd w:val="clear" w:color="auto" w:fill="011C50"/>
            <w:vAlign w:val="center"/>
            <w:hideMark/>
          </w:tcPr>
          <w:p w14:paraId="5B0F1291" w14:textId="77777777" w:rsidR="00D3574F" w:rsidRPr="00D3574F" w:rsidRDefault="00D3574F" w:rsidP="00D64261">
            <w:pPr>
              <w:spacing w:line="360" w:lineRule="auto"/>
              <w:jc w:val="both"/>
              <w:rPr>
                <w:rFonts w:eastAsia="Calibri"/>
                <w:b/>
                <w:bCs/>
                <w:noProof/>
                <w:color w:val="FFFFFF" w:themeColor="background1"/>
                <w:lang w:val="es-MX"/>
              </w:rPr>
            </w:pPr>
            <w:r w:rsidRPr="00D3574F">
              <w:rPr>
                <w:rFonts w:eastAsia="Calibri"/>
                <w:b/>
                <w:bCs/>
                <w:noProof/>
                <w:color w:val="FFFFFF" w:themeColor="background1"/>
                <w:lang w:val="es-MX"/>
              </w:rPr>
              <w:t>Correspondencias Recibidas</w:t>
            </w:r>
          </w:p>
        </w:tc>
        <w:tc>
          <w:tcPr>
            <w:tcW w:w="2390" w:type="dxa"/>
            <w:tcBorders>
              <w:top w:val="single" w:sz="4" w:space="0" w:color="auto"/>
              <w:left w:val="nil"/>
              <w:bottom w:val="single" w:sz="4" w:space="0" w:color="auto"/>
              <w:right w:val="single" w:sz="4" w:space="0" w:color="auto"/>
            </w:tcBorders>
            <w:shd w:val="clear" w:color="auto" w:fill="011C50"/>
            <w:vAlign w:val="center"/>
            <w:hideMark/>
          </w:tcPr>
          <w:p w14:paraId="6C481D2A" w14:textId="77777777" w:rsidR="00D3574F" w:rsidRPr="00D3574F" w:rsidRDefault="00D3574F" w:rsidP="00D64261">
            <w:pPr>
              <w:spacing w:line="360" w:lineRule="auto"/>
              <w:jc w:val="both"/>
              <w:rPr>
                <w:rFonts w:eastAsia="Calibri"/>
                <w:b/>
                <w:bCs/>
                <w:noProof/>
                <w:color w:val="FFFFFF" w:themeColor="background1"/>
                <w:lang w:val="es-MX"/>
              </w:rPr>
            </w:pPr>
            <w:r w:rsidRPr="00D3574F">
              <w:rPr>
                <w:rFonts w:eastAsia="Calibri"/>
                <w:b/>
                <w:bCs/>
                <w:noProof/>
                <w:color w:val="FFFFFF" w:themeColor="background1"/>
                <w:lang w:val="es-MX"/>
              </w:rPr>
              <w:t>Correspondencias Enviadas</w:t>
            </w:r>
          </w:p>
        </w:tc>
      </w:tr>
      <w:tr w:rsidR="00D3574F" w:rsidRPr="00D3574F" w14:paraId="3D1070E4" w14:textId="77777777" w:rsidTr="006F7E31">
        <w:trPr>
          <w:trHeight w:val="300"/>
          <w:jc w:val="center"/>
        </w:trPr>
        <w:tc>
          <w:tcPr>
            <w:tcW w:w="3130" w:type="dxa"/>
            <w:tcBorders>
              <w:top w:val="nil"/>
              <w:left w:val="single" w:sz="4" w:space="0" w:color="auto"/>
              <w:bottom w:val="single" w:sz="4" w:space="0" w:color="auto"/>
              <w:right w:val="single" w:sz="4" w:space="0" w:color="auto"/>
            </w:tcBorders>
            <w:vAlign w:val="center"/>
            <w:hideMark/>
          </w:tcPr>
          <w:p w14:paraId="3084847C" w14:textId="77777777" w:rsidR="00D3574F" w:rsidRPr="00AC7AC2" w:rsidRDefault="00D3574F" w:rsidP="00D64261">
            <w:pPr>
              <w:spacing w:line="360" w:lineRule="auto"/>
              <w:jc w:val="both"/>
              <w:rPr>
                <w:rFonts w:eastAsia="Calibri"/>
                <w:noProof/>
              </w:rPr>
            </w:pPr>
            <w:r w:rsidRPr="00AC7AC2">
              <w:rPr>
                <w:rFonts w:eastAsia="Calibri"/>
                <w:noProof/>
                <w:lang w:val="es-MX"/>
              </w:rPr>
              <w:t>Enero</w:t>
            </w:r>
          </w:p>
        </w:tc>
        <w:tc>
          <w:tcPr>
            <w:tcW w:w="2390" w:type="dxa"/>
            <w:tcBorders>
              <w:top w:val="nil"/>
              <w:left w:val="nil"/>
              <w:bottom w:val="single" w:sz="4" w:space="0" w:color="auto"/>
              <w:right w:val="single" w:sz="4" w:space="0" w:color="auto"/>
            </w:tcBorders>
            <w:vAlign w:val="center"/>
          </w:tcPr>
          <w:p w14:paraId="66DB5087" w14:textId="77777777" w:rsidR="00D3574F" w:rsidRPr="00AC7AC2" w:rsidRDefault="00D3574F" w:rsidP="00D64261">
            <w:pPr>
              <w:spacing w:line="360" w:lineRule="auto"/>
              <w:jc w:val="both"/>
              <w:rPr>
                <w:rFonts w:eastAsia="Calibri"/>
                <w:noProof/>
              </w:rPr>
            </w:pPr>
            <w:r w:rsidRPr="00AC7AC2">
              <w:rPr>
                <w:rFonts w:eastAsia="Calibri"/>
                <w:noProof/>
              </w:rPr>
              <w:t>399</w:t>
            </w:r>
          </w:p>
        </w:tc>
        <w:tc>
          <w:tcPr>
            <w:tcW w:w="2390" w:type="dxa"/>
            <w:tcBorders>
              <w:top w:val="nil"/>
              <w:left w:val="nil"/>
              <w:bottom w:val="single" w:sz="4" w:space="0" w:color="auto"/>
              <w:right w:val="single" w:sz="4" w:space="0" w:color="auto"/>
            </w:tcBorders>
            <w:vAlign w:val="center"/>
            <w:hideMark/>
          </w:tcPr>
          <w:p w14:paraId="06AD2FD3" w14:textId="77777777" w:rsidR="00D3574F" w:rsidRPr="00AC7AC2" w:rsidRDefault="00D3574F" w:rsidP="00D64261">
            <w:pPr>
              <w:spacing w:line="360" w:lineRule="auto"/>
              <w:jc w:val="both"/>
              <w:rPr>
                <w:rFonts w:eastAsia="Calibri"/>
                <w:noProof/>
              </w:rPr>
            </w:pPr>
            <w:r w:rsidRPr="00AC7AC2">
              <w:rPr>
                <w:rFonts w:eastAsia="Calibri"/>
                <w:noProof/>
              </w:rPr>
              <w:t>401</w:t>
            </w:r>
          </w:p>
        </w:tc>
      </w:tr>
      <w:tr w:rsidR="00D3574F" w:rsidRPr="00D3574F" w14:paraId="70AB3A92" w14:textId="77777777" w:rsidTr="006F7E31">
        <w:trPr>
          <w:trHeight w:val="300"/>
          <w:jc w:val="center"/>
        </w:trPr>
        <w:tc>
          <w:tcPr>
            <w:tcW w:w="3130" w:type="dxa"/>
            <w:tcBorders>
              <w:top w:val="nil"/>
              <w:left w:val="single" w:sz="4" w:space="0" w:color="auto"/>
              <w:bottom w:val="single" w:sz="4" w:space="0" w:color="auto"/>
              <w:right w:val="single" w:sz="4" w:space="0" w:color="auto"/>
            </w:tcBorders>
            <w:vAlign w:val="center"/>
            <w:hideMark/>
          </w:tcPr>
          <w:p w14:paraId="3AC7C05B" w14:textId="77777777" w:rsidR="00D3574F" w:rsidRPr="00AC7AC2" w:rsidRDefault="00D3574F" w:rsidP="00D64261">
            <w:pPr>
              <w:spacing w:line="360" w:lineRule="auto"/>
              <w:jc w:val="both"/>
              <w:rPr>
                <w:rFonts w:eastAsia="Calibri"/>
                <w:noProof/>
              </w:rPr>
            </w:pPr>
            <w:r w:rsidRPr="00AC7AC2">
              <w:rPr>
                <w:rFonts w:eastAsia="Calibri"/>
                <w:noProof/>
                <w:lang w:val="es-MX"/>
              </w:rPr>
              <w:t>Febrero</w:t>
            </w:r>
          </w:p>
        </w:tc>
        <w:tc>
          <w:tcPr>
            <w:tcW w:w="2390" w:type="dxa"/>
            <w:tcBorders>
              <w:top w:val="nil"/>
              <w:left w:val="nil"/>
              <w:bottom w:val="single" w:sz="4" w:space="0" w:color="auto"/>
              <w:right w:val="single" w:sz="4" w:space="0" w:color="auto"/>
            </w:tcBorders>
            <w:vAlign w:val="center"/>
          </w:tcPr>
          <w:p w14:paraId="1C2B419F" w14:textId="77777777" w:rsidR="00D3574F" w:rsidRPr="00AC7AC2" w:rsidRDefault="00D3574F" w:rsidP="00D64261">
            <w:pPr>
              <w:spacing w:line="360" w:lineRule="auto"/>
              <w:jc w:val="both"/>
              <w:rPr>
                <w:rFonts w:eastAsia="Calibri"/>
                <w:noProof/>
              </w:rPr>
            </w:pPr>
            <w:r w:rsidRPr="00AC7AC2">
              <w:rPr>
                <w:rFonts w:eastAsia="Calibri"/>
                <w:noProof/>
              </w:rPr>
              <w:t>452</w:t>
            </w:r>
          </w:p>
        </w:tc>
        <w:tc>
          <w:tcPr>
            <w:tcW w:w="2390" w:type="dxa"/>
            <w:tcBorders>
              <w:top w:val="nil"/>
              <w:left w:val="nil"/>
              <w:bottom w:val="single" w:sz="4" w:space="0" w:color="auto"/>
              <w:right w:val="single" w:sz="4" w:space="0" w:color="auto"/>
            </w:tcBorders>
            <w:vAlign w:val="center"/>
            <w:hideMark/>
          </w:tcPr>
          <w:p w14:paraId="42812D14" w14:textId="77777777" w:rsidR="00D3574F" w:rsidRPr="00AC7AC2" w:rsidRDefault="00D3574F" w:rsidP="00D64261">
            <w:pPr>
              <w:spacing w:line="360" w:lineRule="auto"/>
              <w:jc w:val="both"/>
              <w:rPr>
                <w:rFonts w:eastAsia="Calibri"/>
                <w:noProof/>
              </w:rPr>
            </w:pPr>
            <w:r w:rsidRPr="00AC7AC2">
              <w:rPr>
                <w:rFonts w:eastAsia="Calibri"/>
                <w:noProof/>
              </w:rPr>
              <w:t>561</w:t>
            </w:r>
          </w:p>
        </w:tc>
      </w:tr>
      <w:tr w:rsidR="00D3574F" w:rsidRPr="00D3574F" w14:paraId="31696E33" w14:textId="77777777" w:rsidTr="006F7E31">
        <w:trPr>
          <w:trHeight w:val="300"/>
          <w:jc w:val="center"/>
        </w:trPr>
        <w:tc>
          <w:tcPr>
            <w:tcW w:w="3130" w:type="dxa"/>
            <w:tcBorders>
              <w:top w:val="nil"/>
              <w:left w:val="single" w:sz="4" w:space="0" w:color="auto"/>
              <w:bottom w:val="single" w:sz="4" w:space="0" w:color="auto"/>
              <w:right w:val="single" w:sz="4" w:space="0" w:color="auto"/>
            </w:tcBorders>
            <w:vAlign w:val="center"/>
            <w:hideMark/>
          </w:tcPr>
          <w:p w14:paraId="73F2D8DD" w14:textId="77777777" w:rsidR="00D3574F" w:rsidRPr="00AC7AC2" w:rsidRDefault="00D3574F" w:rsidP="00D64261">
            <w:pPr>
              <w:spacing w:line="360" w:lineRule="auto"/>
              <w:jc w:val="both"/>
              <w:rPr>
                <w:rFonts w:eastAsia="Calibri"/>
                <w:noProof/>
              </w:rPr>
            </w:pPr>
            <w:r w:rsidRPr="00AC7AC2">
              <w:rPr>
                <w:rFonts w:eastAsia="Calibri"/>
                <w:noProof/>
                <w:lang w:val="es-MX"/>
              </w:rPr>
              <w:t>Marzo</w:t>
            </w:r>
          </w:p>
        </w:tc>
        <w:tc>
          <w:tcPr>
            <w:tcW w:w="2390" w:type="dxa"/>
            <w:tcBorders>
              <w:top w:val="nil"/>
              <w:left w:val="nil"/>
              <w:bottom w:val="single" w:sz="4" w:space="0" w:color="auto"/>
              <w:right w:val="single" w:sz="4" w:space="0" w:color="auto"/>
            </w:tcBorders>
            <w:vAlign w:val="center"/>
          </w:tcPr>
          <w:p w14:paraId="467690CB" w14:textId="77777777" w:rsidR="00D3574F" w:rsidRPr="00AC7AC2" w:rsidRDefault="00D3574F" w:rsidP="00D64261">
            <w:pPr>
              <w:spacing w:line="360" w:lineRule="auto"/>
              <w:jc w:val="both"/>
              <w:rPr>
                <w:rFonts w:eastAsia="Calibri"/>
                <w:noProof/>
              </w:rPr>
            </w:pPr>
            <w:r w:rsidRPr="00AC7AC2">
              <w:rPr>
                <w:rFonts w:eastAsia="Calibri"/>
                <w:noProof/>
              </w:rPr>
              <w:t>407</w:t>
            </w:r>
          </w:p>
        </w:tc>
        <w:tc>
          <w:tcPr>
            <w:tcW w:w="2390" w:type="dxa"/>
            <w:tcBorders>
              <w:top w:val="nil"/>
              <w:left w:val="nil"/>
              <w:bottom w:val="single" w:sz="4" w:space="0" w:color="auto"/>
              <w:right w:val="single" w:sz="4" w:space="0" w:color="auto"/>
            </w:tcBorders>
            <w:vAlign w:val="center"/>
            <w:hideMark/>
          </w:tcPr>
          <w:p w14:paraId="4D9D94FC" w14:textId="77777777" w:rsidR="00D3574F" w:rsidRPr="00AC7AC2" w:rsidRDefault="00D3574F" w:rsidP="00D64261">
            <w:pPr>
              <w:spacing w:line="360" w:lineRule="auto"/>
              <w:jc w:val="both"/>
              <w:rPr>
                <w:rFonts w:eastAsia="Calibri"/>
                <w:noProof/>
              </w:rPr>
            </w:pPr>
            <w:r w:rsidRPr="00AC7AC2">
              <w:rPr>
                <w:rFonts w:eastAsia="Calibri"/>
                <w:noProof/>
              </w:rPr>
              <w:t>462</w:t>
            </w:r>
          </w:p>
        </w:tc>
      </w:tr>
      <w:tr w:rsidR="00D3574F" w:rsidRPr="00D3574F" w14:paraId="70DB819E" w14:textId="77777777" w:rsidTr="006F7E31">
        <w:trPr>
          <w:trHeight w:val="300"/>
          <w:jc w:val="center"/>
        </w:trPr>
        <w:tc>
          <w:tcPr>
            <w:tcW w:w="3130" w:type="dxa"/>
            <w:tcBorders>
              <w:top w:val="nil"/>
              <w:left w:val="single" w:sz="4" w:space="0" w:color="auto"/>
              <w:bottom w:val="single" w:sz="4" w:space="0" w:color="auto"/>
              <w:right w:val="single" w:sz="4" w:space="0" w:color="auto"/>
            </w:tcBorders>
            <w:vAlign w:val="center"/>
          </w:tcPr>
          <w:p w14:paraId="34B56E86" w14:textId="77777777" w:rsidR="00D3574F" w:rsidRPr="00AC7AC2" w:rsidRDefault="00D3574F" w:rsidP="00D64261">
            <w:pPr>
              <w:spacing w:line="360" w:lineRule="auto"/>
              <w:jc w:val="both"/>
              <w:rPr>
                <w:rFonts w:eastAsia="Calibri"/>
                <w:noProof/>
                <w:lang w:val="es-MX"/>
              </w:rPr>
            </w:pPr>
            <w:r w:rsidRPr="00AC7AC2">
              <w:rPr>
                <w:rFonts w:eastAsia="Calibri"/>
                <w:noProof/>
                <w:lang w:val="es-MX"/>
              </w:rPr>
              <w:t>Abril</w:t>
            </w:r>
          </w:p>
        </w:tc>
        <w:tc>
          <w:tcPr>
            <w:tcW w:w="2390" w:type="dxa"/>
            <w:tcBorders>
              <w:top w:val="nil"/>
              <w:left w:val="nil"/>
              <w:bottom w:val="single" w:sz="4" w:space="0" w:color="auto"/>
              <w:right w:val="single" w:sz="4" w:space="0" w:color="auto"/>
            </w:tcBorders>
            <w:vAlign w:val="center"/>
          </w:tcPr>
          <w:p w14:paraId="2F5DD5E9" w14:textId="77777777" w:rsidR="00D3574F" w:rsidRPr="00AC7AC2" w:rsidRDefault="00D3574F" w:rsidP="00D64261">
            <w:pPr>
              <w:spacing w:line="360" w:lineRule="auto"/>
              <w:jc w:val="both"/>
              <w:rPr>
                <w:rFonts w:eastAsia="Calibri"/>
                <w:noProof/>
              </w:rPr>
            </w:pPr>
            <w:r w:rsidRPr="00AC7AC2">
              <w:rPr>
                <w:rFonts w:eastAsia="Calibri"/>
                <w:noProof/>
              </w:rPr>
              <w:t>653</w:t>
            </w:r>
          </w:p>
        </w:tc>
        <w:tc>
          <w:tcPr>
            <w:tcW w:w="2390" w:type="dxa"/>
            <w:tcBorders>
              <w:top w:val="nil"/>
              <w:left w:val="nil"/>
              <w:bottom w:val="single" w:sz="4" w:space="0" w:color="auto"/>
              <w:right w:val="single" w:sz="4" w:space="0" w:color="auto"/>
            </w:tcBorders>
            <w:vAlign w:val="center"/>
          </w:tcPr>
          <w:p w14:paraId="3DE40D35" w14:textId="77777777" w:rsidR="00D3574F" w:rsidRPr="00AC7AC2" w:rsidRDefault="00D3574F" w:rsidP="00D64261">
            <w:pPr>
              <w:spacing w:line="360" w:lineRule="auto"/>
              <w:jc w:val="both"/>
              <w:rPr>
                <w:rFonts w:eastAsia="Calibri"/>
                <w:noProof/>
              </w:rPr>
            </w:pPr>
            <w:r w:rsidRPr="00AC7AC2">
              <w:rPr>
                <w:rFonts w:eastAsia="Calibri"/>
                <w:noProof/>
              </w:rPr>
              <w:t>636</w:t>
            </w:r>
          </w:p>
        </w:tc>
      </w:tr>
      <w:tr w:rsidR="00D3574F" w:rsidRPr="00D3574F" w14:paraId="783B7501" w14:textId="77777777" w:rsidTr="006F7E31">
        <w:trPr>
          <w:trHeight w:val="300"/>
          <w:jc w:val="center"/>
        </w:trPr>
        <w:tc>
          <w:tcPr>
            <w:tcW w:w="3130" w:type="dxa"/>
            <w:tcBorders>
              <w:top w:val="nil"/>
              <w:left w:val="single" w:sz="4" w:space="0" w:color="auto"/>
              <w:bottom w:val="single" w:sz="4" w:space="0" w:color="auto"/>
              <w:right w:val="single" w:sz="4" w:space="0" w:color="auto"/>
            </w:tcBorders>
            <w:vAlign w:val="center"/>
          </w:tcPr>
          <w:p w14:paraId="300882A9" w14:textId="77777777" w:rsidR="00D3574F" w:rsidRPr="00AC7AC2" w:rsidRDefault="00D3574F" w:rsidP="00D64261">
            <w:pPr>
              <w:spacing w:line="360" w:lineRule="auto"/>
              <w:jc w:val="both"/>
              <w:rPr>
                <w:rFonts w:eastAsia="Calibri"/>
                <w:noProof/>
                <w:lang w:val="es-MX"/>
              </w:rPr>
            </w:pPr>
            <w:r w:rsidRPr="00AC7AC2">
              <w:rPr>
                <w:rFonts w:eastAsia="Calibri"/>
                <w:noProof/>
                <w:lang w:val="es-MX"/>
              </w:rPr>
              <w:t>Mayo</w:t>
            </w:r>
          </w:p>
        </w:tc>
        <w:tc>
          <w:tcPr>
            <w:tcW w:w="2390" w:type="dxa"/>
            <w:tcBorders>
              <w:top w:val="nil"/>
              <w:left w:val="nil"/>
              <w:bottom w:val="single" w:sz="4" w:space="0" w:color="auto"/>
              <w:right w:val="single" w:sz="4" w:space="0" w:color="auto"/>
            </w:tcBorders>
            <w:vAlign w:val="center"/>
          </w:tcPr>
          <w:p w14:paraId="51895566" w14:textId="77777777" w:rsidR="00D3574F" w:rsidRPr="00AC7AC2" w:rsidRDefault="00D3574F" w:rsidP="00D64261">
            <w:pPr>
              <w:spacing w:line="360" w:lineRule="auto"/>
              <w:jc w:val="both"/>
              <w:rPr>
                <w:rFonts w:eastAsia="Calibri"/>
                <w:noProof/>
              </w:rPr>
            </w:pPr>
            <w:r w:rsidRPr="00AC7AC2">
              <w:rPr>
                <w:rFonts w:eastAsia="Calibri"/>
                <w:noProof/>
              </w:rPr>
              <w:t>492</w:t>
            </w:r>
          </w:p>
        </w:tc>
        <w:tc>
          <w:tcPr>
            <w:tcW w:w="2390" w:type="dxa"/>
            <w:tcBorders>
              <w:top w:val="nil"/>
              <w:left w:val="nil"/>
              <w:bottom w:val="single" w:sz="4" w:space="0" w:color="auto"/>
              <w:right w:val="single" w:sz="4" w:space="0" w:color="auto"/>
            </w:tcBorders>
            <w:vAlign w:val="center"/>
          </w:tcPr>
          <w:p w14:paraId="1C9E1940" w14:textId="77777777" w:rsidR="00D3574F" w:rsidRPr="00AC7AC2" w:rsidRDefault="00D3574F" w:rsidP="00D64261">
            <w:pPr>
              <w:spacing w:line="360" w:lineRule="auto"/>
              <w:jc w:val="both"/>
              <w:rPr>
                <w:rFonts w:eastAsia="Calibri"/>
                <w:noProof/>
              </w:rPr>
            </w:pPr>
            <w:r w:rsidRPr="00AC7AC2">
              <w:rPr>
                <w:rFonts w:eastAsia="Calibri"/>
                <w:noProof/>
              </w:rPr>
              <w:t>531</w:t>
            </w:r>
          </w:p>
        </w:tc>
      </w:tr>
      <w:tr w:rsidR="00D3574F" w:rsidRPr="00D3574F" w14:paraId="278D0C47" w14:textId="77777777" w:rsidTr="006F7E31">
        <w:trPr>
          <w:trHeight w:val="300"/>
          <w:jc w:val="center"/>
        </w:trPr>
        <w:tc>
          <w:tcPr>
            <w:tcW w:w="3130" w:type="dxa"/>
            <w:tcBorders>
              <w:top w:val="nil"/>
              <w:left w:val="single" w:sz="4" w:space="0" w:color="auto"/>
              <w:bottom w:val="single" w:sz="4" w:space="0" w:color="auto"/>
              <w:right w:val="single" w:sz="4" w:space="0" w:color="auto"/>
            </w:tcBorders>
            <w:vAlign w:val="center"/>
          </w:tcPr>
          <w:p w14:paraId="1C048F84" w14:textId="77777777" w:rsidR="00D3574F" w:rsidRPr="00AC7AC2" w:rsidRDefault="00D3574F" w:rsidP="00D64261">
            <w:pPr>
              <w:spacing w:line="360" w:lineRule="auto"/>
              <w:jc w:val="both"/>
              <w:rPr>
                <w:rFonts w:eastAsia="Calibri"/>
                <w:noProof/>
                <w:lang w:val="es-MX"/>
              </w:rPr>
            </w:pPr>
            <w:r w:rsidRPr="00AC7AC2">
              <w:rPr>
                <w:rFonts w:eastAsia="Calibri"/>
                <w:noProof/>
                <w:lang w:val="es-MX"/>
              </w:rPr>
              <w:t>Junio</w:t>
            </w:r>
          </w:p>
        </w:tc>
        <w:tc>
          <w:tcPr>
            <w:tcW w:w="2390" w:type="dxa"/>
            <w:tcBorders>
              <w:top w:val="nil"/>
              <w:left w:val="nil"/>
              <w:bottom w:val="single" w:sz="4" w:space="0" w:color="auto"/>
              <w:right w:val="single" w:sz="4" w:space="0" w:color="auto"/>
            </w:tcBorders>
            <w:vAlign w:val="center"/>
          </w:tcPr>
          <w:p w14:paraId="76028102" w14:textId="77777777" w:rsidR="00D3574F" w:rsidRPr="00AC7AC2" w:rsidRDefault="00D3574F" w:rsidP="00D64261">
            <w:pPr>
              <w:spacing w:line="360" w:lineRule="auto"/>
              <w:jc w:val="both"/>
              <w:rPr>
                <w:rFonts w:eastAsia="Calibri"/>
                <w:noProof/>
              </w:rPr>
            </w:pPr>
            <w:r w:rsidRPr="00AC7AC2">
              <w:rPr>
                <w:rFonts w:eastAsia="Calibri"/>
                <w:noProof/>
              </w:rPr>
              <w:t>628</w:t>
            </w:r>
          </w:p>
        </w:tc>
        <w:tc>
          <w:tcPr>
            <w:tcW w:w="2390" w:type="dxa"/>
            <w:tcBorders>
              <w:top w:val="nil"/>
              <w:left w:val="nil"/>
              <w:bottom w:val="single" w:sz="4" w:space="0" w:color="auto"/>
              <w:right w:val="single" w:sz="4" w:space="0" w:color="auto"/>
            </w:tcBorders>
            <w:vAlign w:val="center"/>
          </w:tcPr>
          <w:p w14:paraId="591C238F" w14:textId="77777777" w:rsidR="00D3574F" w:rsidRPr="00AC7AC2" w:rsidRDefault="00D3574F" w:rsidP="00D64261">
            <w:pPr>
              <w:spacing w:line="360" w:lineRule="auto"/>
              <w:jc w:val="both"/>
              <w:rPr>
                <w:rFonts w:eastAsia="Calibri"/>
                <w:noProof/>
              </w:rPr>
            </w:pPr>
            <w:r w:rsidRPr="00AC7AC2">
              <w:rPr>
                <w:rFonts w:eastAsia="Calibri"/>
                <w:noProof/>
              </w:rPr>
              <w:t>531</w:t>
            </w:r>
          </w:p>
        </w:tc>
      </w:tr>
      <w:tr w:rsidR="00D3574F" w:rsidRPr="00D3574F" w14:paraId="7C4B0607" w14:textId="77777777" w:rsidTr="006F7E31">
        <w:trPr>
          <w:trHeight w:val="300"/>
          <w:jc w:val="center"/>
        </w:trPr>
        <w:tc>
          <w:tcPr>
            <w:tcW w:w="3130" w:type="dxa"/>
            <w:tcBorders>
              <w:top w:val="nil"/>
              <w:left w:val="single" w:sz="4" w:space="0" w:color="auto"/>
              <w:bottom w:val="single" w:sz="4" w:space="0" w:color="auto"/>
              <w:right w:val="single" w:sz="4" w:space="0" w:color="auto"/>
            </w:tcBorders>
            <w:vAlign w:val="center"/>
          </w:tcPr>
          <w:p w14:paraId="691CC5C6" w14:textId="77777777" w:rsidR="00D3574F" w:rsidRPr="00AC7AC2" w:rsidRDefault="00D3574F" w:rsidP="00D64261">
            <w:pPr>
              <w:spacing w:line="360" w:lineRule="auto"/>
              <w:jc w:val="both"/>
              <w:rPr>
                <w:rFonts w:eastAsia="Calibri"/>
                <w:noProof/>
                <w:lang w:val="es-MX"/>
              </w:rPr>
            </w:pPr>
            <w:r w:rsidRPr="00AC7AC2">
              <w:rPr>
                <w:rFonts w:eastAsia="Calibri"/>
                <w:noProof/>
                <w:lang w:val="es-MX"/>
              </w:rPr>
              <w:t>Julio</w:t>
            </w:r>
          </w:p>
        </w:tc>
        <w:tc>
          <w:tcPr>
            <w:tcW w:w="2390" w:type="dxa"/>
            <w:tcBorders>
              <w:top w:val="nil"/>
              <w:left w:val="nil"/>
              <w:bottom w:val="single" w:sz="4" w:space="0" w:color="auto"/>
              <w:right w:val="single" w:sz="4" w:space="0" w:color="auto"/>
            </w:tcBorders>
            <w:vAlign w:val="center"/>
          </w:tcPr>
          <w:p w14:paraId="0FDC2FCC" w14:textId="77777777" w:rsidR="00D3574F" w:rsidRPr="00AC7AC2" w:rsidRDefault="00D3574F" w:rsidP="00D64261">
            <w:pPr>
              <w:spacing w:line="360" w:lineRule="auto"/>
              <w:jc w:val="both"/>
              <w:rPr>
                <w:rFonts w:eastAsia="Calibri"/>
                <w:noProof/>
              </w:rPr>
            </w:pPr>
            <w:r w:rsidRPr="00AC7AC2">
              <w:rPr>
                <w:rFonts w:eastAsia="Calibri"/>
                <w:noProof/>
              </w:rPr>
              <w:t>714</w:t>
            </w:r>
          </w:p>
        </w:tc>
        <w:tc>
          <w:tcPr>
            <w:tcW w:w="2390" w:type="dxa"/>
            <w:tcBorders>
              <w:top w:val="nil"/>
              <w:left w:val="nil"/>
              <w:bottom w:val="single" w:sz="4" w:space="0" w:color="auto"/>
              <w:right w:val="single" w:sz="4" w:space="0" w:color="auto"/>
            </w:tcBorders>
            <w:vAlign w:val="center"/>
          </w:tcPr>
          <w:p w14:paraId="0D226A0C" w14:textId="77777777" w:rsidR="00D3574F" w:rsidRPr="00AC7AC2" w:rsidRDefault="00D3574F" w:rsidP="00D64261">
            <w:pPr>
              <w:spacing w:line="360" w:lineRule="auto"/>
              <w:jc w:val="both"/>
              <w:rPr>
                <w:rFonts w:eastAsia="Calibri"/>
                <w:noProof/>
              </w:rPr>
            </w:pPr>
            <w:r w:rsidRPr="00AC7AC2">
              <w:rPr>
                <w:rFonts w:eastAsia="Calibri"/>
                <w:noProof/>
              </w:rPr>
              <w:t>626</w:t>
            </w:r>
          </w:p>
        </w:tc>
      </w:tr>
      <w:tr w:rsidR="00D3574F" w:rsidRPr="00D3574F" w14:paraId="4CC9D901" w14:textId="77777777" w:rsidTr="006F7E31">
        <w:trPr>
          <w:trHeight w:val="300"/>
          <w:jc w:val="center"/>
        </w:trPr>
        <w:tc>
          <w:tcPr>
            <w:tcW w:w="3130" w:type="dxa"/>
            <w:tcBorders>
              <w:top w:val="nil"/>
              <w:left w:val="single" w:sz="4" w:space="0" w:color="auto"/>
              <w:bottom w:val="single" w:sz="4" w:space="0" w:color="auto"/>
              <w:right w:val="single" w:sz="4" w:space="0" w:color="auto"/>
            </w:tcBorders>
            <w:vAlign w:val="center"/>
          </w:tcPr>
          <w:p w14:paraId="6533392B" w14:textId="77777777" w:rsidR="00D3574F" w:rsidRPr="00AC7AC2" w:rsidRDefault="00D3574F" w:rsidP="00D64261">
            <w:pPr>
              <w:spacing w:line="360" w:lineRule="auto"/>
              <w:jc w:val="both"/>
              <w:rPr>
                <w:rFonts w:eastAsia="Calibri"/>
                <w:noProof/>
                <w:lang w:val="es-MX"/>
              </w:rPr>
            </w:pPr>
            <w:r w:rsidRPr="00AC7AC2">
              <w:rPr>
                <w:rFonts w:eastAsia="Calibri"/>
                <w:noProof/>
                <w:lang w:val="es-MX"/>
              </w:rPr>
              <w:t xml:space="preserve">Agosto </w:t>
            </w:r>
          </w:p>
        </w:tc>
        <w:tc>
          <w:tcPr>
            <w:tcW w:w="2390" w:type="dxa"/>
            <w:tcBorders>
              <w:top w:val="nil"/>
              <w:left w:val="nil"/>
              <w:bottom w:val="single" w:sz="4" w:space="0" w:color="auto"/>
              <w:right w:val="single" w:sz="4" w:space="0" w:color="auto"/>
            </w:tcBorders>
            <w:vAlign w:val="center"/>
          </w:tcPr>
          <w:p w14:paraId="792525EC" w14:textId="77777777" w:rsidR="00D3574F" w:rsidRPr="00AC7AC2" w:rsidRDefault="00D3574F" w:rsidP="00D64261">
            <w:pPr>
              <w:spacing w:line="360" w:lineRule="auto"/>
              <w:jc w:val="both"/>
              <w:rPr>
                <w:rFonts w:eastAsia="Calibri"/>
                <w:noProof/>
              </w:rPr>
            </w:pPr>
            <w:r w:rsidRPr="00AC7AC2">
              <w:rPr>
                <w:rFonts w:eastAsia="Calibri"/>
                <w:noProof/>
              </w:rPr>
              <w:t>568</w:t>
            </w:r>
          </w:p>
        </w:tc>
        <w:tc>
          <w:tcPr>
            <w:tcW w:w="2390" w:type="dxa"/>
            <w:tcBorders>
              <w:top w:val="nil"/>
              <w:left w:val="nil"/>
              <w:bottom w:val="single" w:sz="4" w:space="0" w:color="auto"/>
              <w:right w:val="single" w:sz="4" w:space="0" w:color="auto"/>
            </w:tcBorders>
            <w:vAlign w:val="center"/>
          </w:tcPr>
          <w:p w14:paraId="212CBFE1" w14:textId="77777777" w:rsidR="00D3574F" w:rsidRPr="00AC7AC2" w:rsidRDefault="00D3574F" w:rsidP="00D64261">
            <w:pPr>
              <w:spacing w:line="360" w:lineRule="auto"/>
              <w:jc w:val="both"/>
              <w:rPr>
                <w:rFonts w:eastAsia="Calibri"/>
                <w:noProof/>
              </w:rPr>
            </w:pPr>
            <w:r w:rsidRPr="00AC7AC2">
              <w:rPr>
                <w:rFonts w:eastAsia="Calibri"/>
                <w:noProof/>
              </w:rPr>
              <w:t>534</w:t>
            </w:r>
          </w:p>
        </w:tc>
      </w:tr>
      <w:tr w:rsidR="00D3574F" w:rsidRPr="00D3574F" w14:paraId="47E9CF9B" w14:textId="77777777" w:rsidTr="006F7E31">
        <w:trPr>
          <w:trHeight w:val="300"/>
          <w:jc w:val="center"/>
        </w:trPr>
        <w:tc>
          <w:tcPr>
            <w:tcW w:w="3130" w:type="dxa"/>
            <w:tcBorders>
              <w:top w:val="nil"/>
              <w:left w:val="single" w:sz="4" w:space="0" w:color="auto"/>
              <w:bottom w:val="single" w:sz="4" w:space="0" w:color="auto"/>
              <w:right w:val="single" w:sz="4" w:space="0" w:color="auto"/>
            </w:tcBorders>
            <w:vAlign w:val="center"/>
          </w:tcPr>
          <w:p w14:paraId="7696D307" w14:textId="77777777" w:rsidR="00D3574F" w:rsidRPr="00AC7AC2" w:rsidRDefault="00D3574F" w:rsidP="00D64261">
            <w:pPr>
              <w:spacing w:line="360" w:lineRule="auto"/>
              <w:jc w:val="both"/>
              <w:rPr>
                <w:rFonts w:eastAsia="Calibri"/>
                <w:noProof/>
                <w:lang w:val="es-MX"/>
              </w:rPr>
            </w:pPr>
            <w:r w:rsidRPr="00AC7AC2">
              <w:rPr>
                <w:rFonts w:eastAsia="Calibri"/>
                <w:noProof/>
                <w:lang w:val="es-MX"/>
              </w:rPr>
              <w:t xml:space="preserve">Septiembre </w:t>
            </w:r>
          </w:p>
        </w:tc>
        <w:tc>
          <w:tcPr>
            <w:tcW w:w="2390" w:type="dxa"/>
            <w:tcBorders>
              <w:top w:val="nil"/>
              <w:left w:val="nil"/>
              <w:bottom w:val="single" w:sz="4" w:space="0" w:color="auto"/>
              <w:right w:val="single" w:sz="4" w:space="0" w:color="auto"/>
            </w:tcBorders>
            <w:vAlign w:val="center"/>
          </w:tcPr>
          <w:p w14:paraId="132AA151" w14:textId="77777777" w:rsidR="00D3574F" w:rsidRPr="00AC7AC2" w:rsidRDefault="00D3574F" w:rsidP="00D64261">
            <w:pPr>
              <w:spacing w:line="360" w:lineRule="auto"/>
              <w:jc w:val="both"/>
              <w:rPr>
                <w:rFonts w:eastAsia="Calibri"/>
                <w:noProof/>
              </w:rPr>
            </w:pPr>
            <w:r w:rsidRPr="00AC7AC2">
              <w:rPr>
                <w:rFonts w:eastAsia="Calibri"/>
                <w:noProof/>
              </w:rPr>
              <w:t>719</w:t>
            </w:r>
          </w:p>
        </w:tc>
        <w:tc>
          <w:tcPr>
            <w:tcW w:w="2390" w:type="dxa"/>
            <w:tcBorders>
              <w:top w:val="nil"/>
              <w:left w:val="nil"/>
              <w:bottom w:val="single" w:sz="4" w:space="0" w:color="auto"/>
              <w:right w:val="single" w:sz="4" w:space="0" w:color="auto"/>
            </w:tcBorders>
            <w:vAlign w:val="center"/>
          </w:tcPr>
          <w:p w14:paraId="657B57F2" w14:textId="77777777" w:rsidR="00D3574F" w:rsidRPr="00AC7AC2" w:rsidRDefault="00D3574F" w:rsidP="00D64261">
            <w:pPr>
              <w:spacing w:line="360" w:lineRule="auto"/>
              <w:jc w:val="both"/>
              <w:rPr>
                <w:rFonts w:eastAsia="Calibri"/>
                <w:noProof/>
              </w:rPr>
            </w:pPr>
            <w:r w:rsidRPr="00AC7AC2">
              <w:rPr>
                <w:rFonts w:eastAsia="Calibri"/>
                <w:noProof/>
              </w:rPr>
              <w:t>603</w:t>
            </w:r>
          </w:p>
        </w:tc>
      </w:tr>
      <w:tr w:rsidR="00D3574F" w:rsidRPr="00D3574F" w14:paraId="55C0228C" w14:textId="77777777" w:rsidTr="006F7E31">
        <w:trPr>
          <w:trHeight w:val="300"/>
          <w:jc w:val="center"/>
        </w:trPr>
        <w:tc>
          <w:tcPr>
            <w:tcW w:w="3130" w:type="dxa"/>
            <w:tcBorders>
              <w:top w:val="nil"/>
              <w:left w:val="single" w:sz="4" w:space="0" w:color="auto"/>
              <w:bottom w:val="single" w:sz="4" w:space="0" w:color="auto"/>
              <w:right w:val="single" w:sz="4" w:space="0" w:color="auto"/>
            </w:tcBorders>
            <w:vAlign w:val="center"/>
          </w:tcPr>
          <w:p w14:paraId="6FCE4E57" w14:textId="77777777" w:rsidR="00D3574F" w:rsidRPr="00AC7AC2" w:rsidRDefault="00D3574F" w:rsidP="00D64261">
            <w:pPr>
              <w:spacing w:line="360" w:lineRule="auto"/>
              <w:jc w:val="both"/>
              <w:rPr>
                <w:rFonts w:eastAsia="Calibri"/>
                <w:noProof/>
                <w:lang w:val="es-MX"/>
              </w:rPr>
            </w:pPr>
            <w:r w:rsidRPr="00AC7AC2">
              <w:rPr>
                <w:rFonts w:eastAsia="Calibri"/>
                <w:noProof/>
                <w:lang w:val="es-MX"/>
              </w:rPr>
              <w:t xml:space="preserve">Octubre </w:t>
            </w:r>
          </w:p>
        </w:tc>
        <w:tc>
          <w:tcPr>
            <w:tcW w:w="2390" w:type="dxa"/>
            <w:tcBorders>
              <w:top w:val="nil"/>
              <w:left w:val="nil"/>
              <w:bottom w:val="single" w:sz="4" w:space="0" w:color="auto"/>
              <w:right w:val="single" w:sz="4" w:space="0" w:color="auto"/>
            </w:tcBorders>
            <w:vAlign w:val="center"/>
          </w:tcPr>
          <w:p w14:paraId="58A0420F" w14:textId="77777777" w:rsidR="00D3574F" w:rsidRPr="00AC7AC2" w:rsidRDefault="00D3574F" w:rsidP="00D64261">
            <w:pPr>
              <w:spacing w:line="360" w:lineRule="auto"/>
              <w:jc w:val="both"/>
              <w:rPr>
                <w:rFonts w:eastAsia="Calibri"/>
                <w:noProof/>
              </w:rPr>
            </w:pPr>
            <w:r w:rsidRPr="00AC7AC2">
              <w:rPr>
                <w:rFonts w:eastAsia="Calibri"/>
                <w:noProof/>
              </w:rPr>
              <w:t>563</w:t>
            </w:r>
          </w:p>
        </w:tc>
        <w:tc>
          <w:tcPr>
            <w:tcW w:w="2390" w:type="dxa"/>
            <w:tcBorders>
              <w:top w:val="nil"/>
              <w:left w:val="nil"/>
              <w:bottom w:val="single" w:sz="4" w:space="0" w:color="auto"/>
              <w:right w:val="single" w:sz="4" w:space="0" w:color="auto"/>
            </w:tcBorders>
            <w:vAlign w:val="center"/>
          </w:tcPr>
          <w:p w14:paraId="17132D5E" w14:textId="77777777" w:rsidR="00D3574F" w:rsidRPr="00AC7AC2" w:rsidRDefault="00D3574F" w:rsidP="00D64261">
            <w:pPr>
              <w:spacing w:line="360" w:lineRule="auto"/>
              <w:jc w:val="both"/>
              <w:rPr>
                <w:rFonts w:eastAsia="Calibri"/>
                <w:noProof/>
              </w:rPr>
            </w:pPr>
            <w:r w:rsidRPr="00AC7AC2">
              <w:rPr>
                <w:rFonts w:eastAsia="Calibri"/>
                <w:noProof/>
              </w:rPr>
              <w:t>555</w:t>
            </w:r>
          </w:p>
        </w:tc>
      </w:tr>
      <w:tr w:rsidR="00D3574F" w:rsidRPr="00D3574F" w14:paraId="0D7E1BF5" w14:textId="77777777" w:rsidTr="006F7E31">
        <w:trPr>
          <w:trHeight w:val="300"/>
          <w:jc w:val="center"/>
        </w:trPr>
        <w:tc>
          <w:tcPr>
            <w:tcW w:w="3130" w:type="dxa"/>
            <w:tcBorders>
              <w:top w:val="nil"/>
              <w:left w:val="single" w:sz="4" w:space="0" w:color="auto"/>
              <w:bottom w:val="single" w:sz="4" w:space="0" w:color="auto"/>
              <w:right w:val="single" w:sz="4" w:space="0" w:color="auto"/>
            </w:tcBorders>
            <w:vAlign w:val="center"/>
          </w:tcPr>
          <w:p w14:paraId="46FA45ED" w14:textId="77777777" w:rsidR="00D3574F" w:rsidRPr="00AC7AC2" w:rsidRDefault="00D3574F" w:rsidP="00D64261">
            <w:pPr>
              <w:spacing w:line="360" w:lineRule="auto"/>
              <w:jc w:val="both"/>
              <w:rPr>
                <w:rFonts w:eastAsia="Calibri"/>
                <w:noProof/>
                <w:lang w:val="es-MX"/>
              </w:rPr>
            </w:pPr>
            <w:r w:rsidRPr="00AC7AC2">
              <w:rPr>
                <w:rFonts w:eastAsia="Calibri"/>
                <w:noProof/>
                <w:lang w:val="es-MX"/>
              </w:rPr>
              <w:t xml:space="preserve">Noviembre </w:t>
            </w:r>
          </w:p>
        </w:tc>
        <w:tc>
          <w:tcPr>
            <w:tcW w:w="2390" w:type="dxa"/>
            <w:tcBorders>
              <w:top w:val="nil"/>
              <w:left w:val="nil"/>
              <w:bottom w:val="single" w:sz="4" w:space="0" w:color="auto"/>
              <w:right w:val="single" w:sz="4" w:space="0" w:color="auto"/>
            </w:tcBorders>
            <w:vAlign w:val="center"/>
          </w:tcPr>
          <w:p w14:paraId="0A59729D" w14:textId="77777777" w:rsidR="00D3574F" w:rsidRPr="00AC7AC2" w:rsidRDefault="00D3574F" w:rsidP="00D64261">
            <w:pPr>
              <w:spacing w:line="360" w:lineRule="auto"/>
              <w:jc w:val="both"/>
              <w:rPr>
                <w:rFonts w:eastAsia="Calibri"/>
                <w:noProof/>
              </w:rPr>
            </w:pPr>
            <w:r w:rsidRPr="00AC7AC2">
              <w:rPr>
                <w:rFonts w:eastAsia="Calibri"/>
                <w:noProof/>
              </w:rPr>
              <w:t>446</w:t>
            </w:r>
          </w:p>
        </w:tc>
        <w:tc>
          <w:tcPr>
            <w:tcW w:w="2390" w:type="dxa"/>
            <w:tcBorders>
              <w:top w:val="nil"/>
              <w:left w:val="nil"/>
              <w:bottom w:val="single" w:sz="4" w:space="0" w:color="auto"/>
              <w:right w:val="single" w:sz="4" w:space="0" w:color="auto"/>
            </w:tcBorders>
            <w:vAlign w:val="center"/>
          </w:tcPr>
          <w:p w14:paraId="248E9886" w14:textId="77777777" w:rsidR="00D3574F" w:rsidRPr="00AC7AC2" w:rsidRDefault="00D3574F" w:rsidP="00D64261">
            <w:pPr>
              <w:spacing w:line="360" w:lineRule="auto"/>
              <w:jc w:val="both"/>
              <w:rPr>
                <w:rFonts w:eastAsia="Calibri"/>
                <w:noProof/>
              </w:rPr>
            </w:pPr>
            <w:r w:rsidRPr="00AC7AC2">
              <w:rPr>
                <w:rFonts w:eastAsia="Calibri"/>
                <w:noProof/>
              </w:rPr>
              <w:t>404</w:t>
            </w:r>
          </w:p>
        </w:tc>
      </w:tr>
      <w:tr w:rsidR="00D3574F" w:rsidRPr="00D3574F" w14:paraId="4A5AA540" w14:textId="77777777" w:rsidTr="006F7E31">
        <w:trPr>
          <w:trHeight w:val="300"/>
          <w:jc w:val="center"/>
        </w:trPr>
        <w:tc>
          <w:tcPr>
            <w:tcW w:w="3130" w:type="dxa"/>
            <w:tcBorders>
              <w:top w:val="nil"/>
              <w:left w:val="single" w:sz="4" w:space="0" w:color="auto"/>
              <w:bottom w:val="single" w:sz="4" w:space="0" w:color="auto"/>
              <w:right w:val="single" w:sz="4" w:space="0" w:color="auto"/>
            </w:tcBorders>
            <w:vAlign w:val="center"/>
          </w:tcPr>
          <w:p w14:paraId="3A034039" w14:textId="77777777" w:rsidR="00D3574F" w:rsidRPr="00AC7AC2" w:rsidRDefault="00D3574F" w:rsidP="00D64261">
            <w:pPr>
              <w:spacing w:line="360" w:lineRule="auto"/>
              <w:jc w:val="both"/>
              <w:rPr>
                <w:rFonts w:eastAsia="Calibri"/>
                <w:noProof/>
                <w:lang w:val="es-MX"/>
              </w:rPr>
            </w:pPr>
            <w:r w:rsidRPr="00AC7AC2">
              <w:rPr>
                <w:rFonts w:eastAsia="Calibri"/>
                <w:noProof/>
                <w:lang w:val="es-MX"/>
              </w:rPr>
              <w:t xml:space="preserve">Diciembre </w:t>
            </w:r>
          </w:p>
        </w:tc>
        <w:tc>
          <w:tcPr>
            <w:tcW w:w="2390" w:type="dxa"/>
            <w:tcBorders>
              <w:top w:val="nil"/>
              <w:left w:val="nil"/>
              <w:bottom w:val="single" w:sz="4" w:space="0" w:color="auto"/>
              <w:right w:val="single" w:sz="4" w:space="0" w:color="auto"/>
            </w:tcBorders>
            <w:vAlign w:val="center"/>
          </w:tcPr>
          <w:p w14:paraId="29C3A9B8" w14:textId="77777777" w:rsidR="00D3574F" w:rsidRPr="00AC7AC2" w:rsidRDefault="00D3574F" w:rsidP="00D64261">
            <w:pPr>
              <w:spacing w:line="360" w:lineRule="auto"/>
              <w:jc w:val="both"/>
              <w:rPr>
                <w:rFonts w:eastAsia="Calibri"/>
                <w:noProof/>
              </w:rPr>
            </w:pPr>
            <w:r w:rsidRPr="00AC7AC2">
              <w:rPr>
                <w:rFonts w:eastAsia="Calibri"/>
                <w:noProof/>
              </w:rPr>
              <w:t>550</w:t>
            </w:r>
          </w:p>
        </w:tc>
        <w:tc>
          <w:tcPr>
            <w:tcW w:w="2390" w:type="dxa"/>
            <w:tcBorders>
              <w:top w:val="nil"/>
              <w:left w:val="nil"/>
              <w:bottom w:val="single" w:sz="4" w:space="0" w:color="auto"/>
              <w:right w:val="single" w:sz="4" w:space="0" w:color="auto"/>
            </w:tcBorders>
            <w:vAlign w:val="center"/>
          </w:tcPr>
          <w:p w14:paraId="5252B79B" w14:textId="77777777" w:rsidR="00D3574F" w:rsidRPr="00AC7AC2" w:rsidRDefault="00D3574F" w:rsidP="00D64261">
            <w:pPr>
              <w:spacing w:line="360" w:lineRule="auto"/>
              <w:jc w:val="both"/>
              <w:rPr>
                <w:rFonts w:eastAsia="Calibri"/>
                <w:noProof/>
              </w:rPr>
            </w:pPr>
            <w:r w:rsidRPr="00AC7AC2">
              <w:rPr>
                <w:rFonts w:eastAsia="Calibri"/>
                <w:noProof/>
              </w:rPr>
              <w:t>540</w:t>
            </w:r>
          </w:p>
        </w:tc>
      </w:tr>
      <w:tr w:rsidR="00D3574F" w:rsidRPr="00D3574F" w14:paraId="6EF3A493" w14:textId="77777777" w:rsidTr="006F7E31">
        <w:trPr>
          <w:trHeight w:val="420"/>
          <w:jc w:val="center"/>
        </w:trPr>
        <w:tc>
          <w:tcPr>
            <w:tcW w:w="3130" w:type="dxa"/>
            <w:tcBorders>
              <w:top w:val="nil"/>
              <w:left w:val="single" w:sz="4" w:space="0" w:color="auto"/>
              <w:bottom w:val="single" w:sz="4" w:space="0" w:color="auto"/>
              <w:right w:val="single" w:sz="4" w:space="0" w:color="auto"/>
            </w:tcBorders>
            <w:shd w:val="clear" w:color="auto" w:fill="011C50"/>
            <w:vAlign w:val="bottom"/>
            <w:hideMark/>
          </w:tcPr>
          <w:p w14:paraId="12827054" w14:textId="77777777" w:rsidR="00D3574F" w:rsidRPr="00D3574F" w:rsidRDefault="00D3574F" w:rsidP="00D64261">
            <w:pPr>
              <w:spacing w:line="360" w:lineRule="auto"/>
              <w:jc w:val="both"/>
              <w:rPr>
                <w:rFonts w:eastAsia="Calibri"/>
                <w:b/>
                <w:bCs/>
                <w:noProof/>
                <w:color w:val="FFFFFF" w:themeColor="background1"/>
              </w:rPr>
            </w:pPr>
            <w:r w:rsidRPr="00D3574F">
              <w:rPr>
                <w:rFonts w:eastAsia="Calibri"/>
                <w:b/>
                <w:bCs/>
                <w:noProof/>
                <w:color w:val="FFFFFF" w:themeColor="background1"/>
              </w:rPr>
              <w:t>Total</w:t>
            </w:r>
          </w:p>
        </w:tc>
        <w:tc>
          <w:tcPr>
            <w:tcW w:w="2390" w:type="dxa"/>
            <w:tcBorders>
              <w:top w:val="nil"/>
              <w:left w:val="nil"/>
              <w:bottom w:val="single" w:sz="4" w:space="0" w:color="auto"/>
              <w:right w:val="single" w:sz="4" w:space="0" w:color="auto"/>
            </w:tcBorders>
            <w:shd w:val="clear" w:color="auto" w:fill="011C50"/>
            <w:vAlign w:val="center"/>
            <w:hideMark/>
          </w:tcPr>
          <w:p w14:paraId="311C0575" w14:textId="77777777" w:rsidR="00D3574F" w:rsidRPr="00D3574F" w:rsidRDefault="00D3574F" w:rsidP="00D64261">
            <w:pPr>
              <w:spacing w:line="360" w:lineRule="auto"/>
              <w:jc w:val="both"/>
              <w:rPr>
                <w:rFonts w:eastAsia="Calibri"/>
                <w:b/>
                <w:bCs/>
                <w:noProof/>
                <w:color w:val="FFFFFF" w:themeColor="background1"/>
              </w:rPr>
            </w:pPr>
            <w:r w:rsidRPr="00D3574F">
              <w:rPr>
                <w:rFonts w:eastAsia="Calibri"/>
                <w:b/>
                <w:bCs/>
                <w:noProof/>
                <w:color w:val="FFFFFF" w:themeColor="background1"/>
              </w:rPr>
              <w:t>6,591</w:t>
            </w:r>
          </w:p>
        </w:tc>
        <w:tc>
          <w:tcPr>
            <w:tcW w:w="2390" w:type="dxa"/>
            <w:tcBorders>
              <w:top w:val="nil"/>
              <w:left w:val="nil"/>
              <w:bottom w:val="single" w:sz="4" w:space="0" w:color="auto"/>
              <w:right w:val="single" w:sz="4" w:space="0" w:color="auto"/>
            </w:tcBorders>
            <w:shd w:val="clear" w:color="auto" w:fill="011C50"/>
            <w:vAlign w:val="center"/>
            <w:hideMark/>
          </w:tcPr>
          <w:p w14:paraId="1B0A2329" w14:textId="77777777" w:rsidR="00D3574F" w:rsidRPr="00D3574F" w:rsidRDefault="00D3574F" w:rsidP="00D64261">
            <w:pPr>
              <w:spacing w:line="360" w:lineRule="auto"/>
              <w:jc w:val="both"/>
              <w:rPr>
                <w:rFonts w:eastAsia="Calibri"/>
                <w:b/>
                <w:bCs/>
                <w:noProof/>
                <w:color w:val="FFFFFF" w:themeColor="background1"/>
              </w:rPr>
            </w:pPr>
            <w:r w:rsidRPr="00D3574F">
              <w:rPr>
                <w:rFonts w:eastAsia="Calibri"/>
                <w:b/>
                <w:bCs/>
                <w:noProof/>
                <w:color w:val="FFFFFF" w:themeColor="background1"/>
              </w:rPr>
              <w:t>6,384</w:t>
            </w:r>
          </w:p>
        </w:tc>
      </w:tr>
    </w:tbl>
    <w:p w14:paraId="13FD7C96" w14:textId="77777777" w:rsidR="00D3574F" w:rsidRPr="00D3574F" w:rsidRDefault="00D3574F" w:rsidP="00D64261">
      <w:pPr>
        <w:spacing w:line="360" w:lineRule="auto"/>
        <w:jc w:val="both"/>
        <w:rPr>
          <w:rFonts w:eastAsia="Calibri"/>
          <w:b/>
          <w:bCs/>
          <w:noProof/>
          <w:color w:val="4C4747"/>
          <w:lang w:val="es-MX"/>
        </w:rPr>
      </w:pPr>
    </w:p>
    <w:p w14:paraId="7EA15098" w14:textId="77777777" w:rsidR="00D3574F" w:rsidRPr="00D3574F" w:rsidRDefault="00D3574F" w:rsidP="00D64261">
      <w:pPr>
        <w:spacing w:line="360" w:lineRule="auto"/>
        <w:jc w:val="both"/>
        <w:rPr>
          <w:rFonts w:eastAsia="Calibri"/>
          <w:b/>
          <w:bCs/>
          <w:noProof/>
          <w:color w:val="4C4747"/>
          <w:lang w:val="es-MX"/>
        </w:rPr>
      </w:pPr>
    </w:p>
    <w:p w14:paraId="0D9DC9B6" w14:textId="77777777" w:rsidR="00D3574F" w:rsidRPr="00D3574F" w:rsidRDefault="00D3574F" w:rsidP="00D64261">
      <w:pPr>
        <w:spacing w:line="360" w:lineRule="auto"/>
        <w:jc w:val="both"/>
        <w:rPr>
          <w:rFonts w:eastAsia="Calibri"/>
          <w:b/>
          <w:bCs/>
          <w:noProof/>
          <w:color w:val="4C4747"/>
          <w:lang w:val="es-MX"/>
        </w:rPr>
      </w:pPr>
    </w:p>
    <w:p w14:paraId="79501392" w14:textId="77777777" w:rsidR="00D3574F" w:rsidRPr="00AC7AC2" w:rsidRDefault="00D3574F" w:rsidP="00D64261">
      <w:pPr>
        <w:spacing w:line="360" w:lineRule="auto"/>
        <w:jc w:val="both"/>
        <w:rPr>
          <w:rFonts w:eastAsia="Calibri"/>
          <w:b/>
          <w:bCs/>
          <w:noProof/>
          <w:lang w:val="es-MX"/>
        </w:rPr>
      </w:pPr>
      <w:r w:rsidRPr="00AC7AC2">
        <w:rPr>
          <w:rFonts w:eastAsia="Calibri"/>
          <w:b/>
          <w:bCs/>
          <w:noProof/>
          <w:lang w:val="es-MX"/>
        </w:rPr>
        <w:lastRenderedPageBreak/>
        <w:t>Gestión de compras</w:t>
      </w:r>
    </w:p>
    <w:p w14:paraId="100BBAAF" w14:textId="39737A2B" w:rsidR="00D3574F" w:rsidRPr="00AC7AC2" w:rsidRDefault="00D3574F" w:rsidP="00D64261">
      <w:pPr>
        <w:spacing w:line="360" w:lineRule="auto"/>
        <w:jc w:val="both"/>
        <w:rPr>
          <w:rFonts w:eastAsia="Calibri"/>
          <w:noProof/>
          <w:lang w:val="es-MX"/>
        </w:rPr>
      </w:pPr>
      <w:r w:rsidRPr="00AC7AC2">
        <w:rPr>
          <w:rFonts w:eastAsia="Calibri"/>
          <w:noProof/>
          <w:lang w:val="es-MX"/>
        </w:rPr>
        <w:t xml:space="preserve">La Tesorería Nacional adjudicó 195 procesos de compras, durante el periodo enero – </w:t>
      </w:r>
      <w:r w:rsidR="00AB1A1D">
        <w:rPr>
          <w:rFonts w:eastAsia="Calibri"/>
          <w:noProof/>
          <w:lang w:val="es-MX"/>
        </w:rPr>
        <w:t>diciembre</w:t>
      </w:r>
      <w:r w:rsidRPr="00AC7AC2">
        <w:rPr>
          <w:rFonts w:eastAsia="Calibri"/>
          <w:noProof/>
          <w:lang w:val="es-MX"/>
        </w:rPr>
        <w:t xml:space="preserve"> 2025. </w:t>
      </w:r>
    </w:p>
    <w:p w14:paraId="2D057BC1" w14:textId="77777777" w:rsidR="00D3574F" w:rsidRPr="00AC7AC2" w:rsidRDefault="00D3574F" w:rsidP="00D64261">
      <w:pPr>
        <w:spacing w:line="360" w:lineRule="auto"/>
        <w:jc w:val="both"/>
        <w:rPr>
          <w:rFonts w:eastAsia="Calibri"/>
          <w:noProof/>
          <w:lang w:val="es-MX"/>
        </w:rPr>
      </w:pPr>
    </w:p>
    <w:p w14:paraId="46696D16" w14:textId="78161BC4" w:rsidR="00D3574F" w:rsidRPr="00AC7AC2" w:rsidRDefault="00D3574F" w:rsidP="00D64261">
      <w:pPr>
        <w:spacing w:after="0" w:line="360" w:lineRule="auto"/>
        <w:jc w:val="center"/>
        <w:rPr>
          <w:rFonts w:eastAsia="Calibri"/>
          <w:b/>
          <w:bCs/>
          <w:noProof/>
          <w:lang w:val="es-DO"/>
        </w:rPr>
      </w:pPr>
      <w:r w:rsidRPr="00AC7AC2">
        <w:rPr>
          <w:rFonts w:eastAsia="Calibri"/>
          <w:b/>
          <w:bCs/>
          <w:noProof/>
          <w:lang w:val="es-DO"/>
        </w:rPr>
        <w:t xml:space="preserve">Cuadro No. </w:t>
      </w:r>
      <w:r w:rsidR="008D7279" w:rsidRPr="00AC7AC2">
        <w:rPr>
          <w:rFonts w:eastAsia="Calibri"/>
          <w:b/>
          <w:bCs/>
          <w:noProof/>
          <w:lang w:val="es-DO"/>
        </w:rPr>
        <w:t>42</w:t>
      </w:r>
    </w:p>
    <w:p w14:paraId="558AB3E4" w14:textId="77777777" w:rsidR="00D3574F" w:rsidRPr="00AC7AC2" w:rsidRDefault="00D3574F" w:rsidP="00D64261">
      <w:pPr>
        <w:spacing w:after="0" w:line="360" w:lineRule="auto"/>
        <w:jc w:val="center"/>
        <w:rPr>
          <w:rFonts w:eastAsia="Calibri"/>
          <w:b/>
          <w:bCs/>
          <w:noProof/>
          <w:lang w:val="es-DO"/>
        </w:rPr>
      </w:pPr>
      <w:r w:rsidRPr="00AC7AC2">
        <w:rPr>
          <w:rFonts w:eastAsia="Calibri"/>
          <w:b/>
          <w:bCs/>
          <w:noProof/>
          <w:lang w:val="es-DO"/>
        </w:rPr>
        <w:t>Tesorería Nacional</w:t>
      </w:r>
    </w:p>
    <w:tbl>
      <w:tblPr>
        <w:tblW w:w="5812" w:type="dxa"/>
        <w:jc w:val="center"/>
        <w:tblLayout w:type="fixed"/>
        <w:tblLook w:val="04A0" w:firstRow="1" w:lastRow="0" w:firstColumn="1" w:lastColumn="0" w:noHBand="0" w:noVBand="1"/>
      </w:tblPr>
      <w:tblGrid>
        <w:gridCol w:w="3877"/>
        <w:gridCol w:w="1935"/>
      </w:tblGrid>
      <w:tr w:rsidR="00D3574F" w:rsidRPr="00D3574F" w14:paraId="4B02A028" w14:textId="77777777" w:rsidTr="006F7E31">
        <w:trPr>
          <w:trHeight w:val="309"/>
          <w:jc w:val="center"/>
        </w:trPr>
        <w:tc>
          <w:tcPr>
            <w:tcW w:w="3877"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452415EF" w14:textId="77777777" w:rsidR="00D3574F" w:rsidRPr="00D3574F" w:rsidRDefault="00D3574F" w:rsidP="00D64261">
            <w:pPr>
              <w:spacing w:line="360" w:lineRule="auto"/>
              <w:jc w:val="both"/>
              <w:rPr>
                <w:rFonts w:eastAsia="Calibri"/>
                <w:noProof/>
                <w:color w:val="FFFFFF" w:themeColor="background1"/>
              </w:rPr>
            </w:pPr>
            <w:r w:rsidRPr="00D3574F">
              <w:rPr>
                <w:rFonts w:eastAsia="Calibri"/>
                <w:noProof/>
                <w:color w:val="FFFFFF" w:themeColor="background1"/>
                <w:lang w:val="es-MX"/>
              </w:rPr>
              <w:t>TIPOS DE COMPRAS</w:t>
            </w:r>
          </w:p>
        </w:tc>
        <w:tc>
          <w:tcPr>
            <w:tcW w:w="1935" w:type="dxa"/>
            <w:tcBorders>
              <w:top w:val="single" w:sz="4" w:space="0" w:color="auto"/>
              <w:left w:val="nil"/>
              <w:bottom w:val="single" w:sz="4" w:space="0" w:color="auto"/>
              <w:right w:val="single" w:sz="4" w:space="0" w:color="auto"/>
            </w:tcBorders>
            <w:shd w:val="clear" w:color="auto" w:fill="011C50"/>
            <w:vAlign w:val="center"/>
            <w:hideMark/>
          </w:tcPr>
          <w:p w14:paraId="146A3F14" w14:textId="77777777" w:rsidR="00D3574F" w:rsidRPr="00D3574F" w:rsidRDefault="00D3574F" w:rsidP="00D64261">
            <w:pPr>
              <w:spacing w:line="360" w:lineRule="auto"/>
              <w:jc w:val="both"/>
              <w:rPr>
                <w:rFonts w:eastAsia="Calibri"/>
                <w:noProof/>
                <w:color w:val="FFFFFF" w:themeColor="background1"/>
              </w:rPr>
            </w:pPr>
            <w:r w:rsidRPr="00D3574F">
              <w:rPr>
                <w:rFonts w:eastAsia="Calibri"/>
                <w:noProof/>
                <w:color w:val="FFFFFF" w:themeColor="background1"/>
                <w:lang w:val="es-MX"/>
              </w:rPr>
              <w:t>CANTIDAD DE PROCESOS</w:t>
            </w:r>
          </w:p>
        </w:tc>
      </w:tr>
      <w:tr w:rsidR="00D3574F" w:rsidRPr="00D3574F" w14:paraId="7040247E" w14:textId="77777777" w:rsidTr="006F7E31">
        <w:trPr>
          <w:trHeight w:val="221"/>
          <w:jc w:val="center"/>
        </w:trPr>
        <w:tc>
          <w:tcPr>
            <w:tcW w:w="3877" w:type="dxa"/>
            <w:tcBorders>
              <w:top w:val="nil"/>
              <w:left w:val="single" w:sz="4" w:space="0" w:color="auto"/>
              <w:bottom w:val="single" w:sz="4" w:space="0" w:color="auto"/>
              <w:right w:val="single" w:sz="4" w:space="0" w:color="auto"/>
            </w:tcBorders>
            <w:noWrap/>
            <w:vAlign w:val="center"/>
            <w:hideMark/>
          </w:tcPr>
          <w:p w14:paraId="3EC6F9B8" w14:textId="77777777" w:rsidR="00D3574F" w:rsidRPr="00AC7AC2" w:rsidRDefault="00D3574F" w:rsidP="00D64261">
            <w:pPr>
              <w:spacing w:line="360" w:lineRule="auto"/>
              <w:jc w:val="both"/>
              <w:rPr>
                <w:rFonts w:eastAsia="Calibri"/>
                <w:noProof/>
              </w:rPr>
            </w:pPr>
            <w:r w:rsidRPr="00AC7AC2">
              <w:rPr>
                <w:rFonts w:eastAsia="Calibri"/>
                <w:noProof/>
                <w:lang w:val="es-MX"/>
              </w:rPr>
              <w:t>DEBAJO DEL UMBRAL</w:t>
            </w:r>
          </w:p>
        </w:tc>
        <w:tc>
          <w:tcPr>
            <w:tcW w:w="1935" w:type="dxa"/>
            <w:tcBorders>
              <w:top w:val="nil"/>
              <w:left w:val="nil"/>
              <w:bottom w:val="single" w:sz="4" w:space="0" w:color="auto"/>
              <w:right w:val="single" w:sz="4" w:space="0" w:color="auto"/>
            </w:tcBorders>
            <w:noWrap/>
            <w:vAlign w:val="center"/>
          </w:tcPr>
          <w:p w14:paraId="7266E3DA" w14:textId="77777777" w:rsidR="00D3574F" w:rsidRPr="00AC7AC2" w:rsidRDefault="00D3574F" w:rsidP="00D64261">
            <w:pPr>
              <w:spacing w:line="360" w:lineRule="auto"/>
              <w:jc w:val="both"/>
              <w:rPr>
                <w:rFonts w:eastAsia="Calibri"/>
                <w:noProof/>
              </w:rPr>
            </w:pPr>
            <w:r w:rsidRPr="00AC7AC2">
              <w:rPr>
                <w:rFonts w:eastAsia="Calibri"/>
                <w:noProof/>
              </w:rPr>
              <w:t>137</w:t>
            </w:r>
          </w:p>
        </w:tc>
      </w:tr>
      <w:tr w:rsidR="00D3574F" w:rsidRPr="00D3574F" w14:paraId="0F01A709" w14:textId="77777777" w:rsidTr="006F7E31">
        <w:trPr>
          <w:trHeight w:val="221"/>
          <w:jc w:val="center"/>
        </w:trPr>
        <w:tc>
          <w:tcPr>
            <w:tcW w:w="3877" w:type="dxa"/>
            <w:tcBorders>
              <w:top w:val="nil"/>
              <w:left w:val="single" w:sz="4" w:space="0" w:color="auto"/>
              <w:bottom w:val="single" w:sz="4" w:space="0" w:color="auto"/>
              <w:right w:val="single" w:sz="4" w:space="0" w:color="auto"/>
            </w:tcBorders>
            <w:noWrap/>
            <w:vAlign w:val="center"/>
            <w:hideMark/>
          </w:tcPr>
          <w:p w14:paraId="67C4F12E" w14:textId="77777777" w:rsidR="00D3574F" w:rsidRPr="00AC7AC2" w:rsidRDefault="00D3574F" w:rsidP="00D64261">
            <w:pPr>
              <w:spacing w:line="360" w:lineRule="auto"/>
              <w:jc w:val="both"/>
              <w:rPr>
                <w:rFonts w:eastAsia="Calibri"/>
                <w:noProof/>
              </w:rPr>
            </w:pPr>
            <w:r w:rsidRPr="00AC7AC2">
              <w:rPr>
                <w:rFonts w:eastAsia="Calibri"/>
                <w:noProof/>
                <w:lang w:val="es-MX"/>
              </w:rPr>
              <w:t>COMPRAS MENORES</w:t>
            </w:r>
          </w:p>
        </w:tc>
        <w:tc>
          <w:tcPr>
            <w:tcW w:w="1935" w:type="dxa"/>
            <w:tcBorders>
              <w:top w:val="nil"/>
              <w:left w:val="nil"/>
              <w:bottom w:val="single" w:sz="4" w:space="0" w:color="auto"/>
              <w:right w:val="single" w:sz="4" w:space="0" w:color="auto"/>
            </w:tcBorders>
            <w:noWrap/>
            <w:vAlign w:val="center"/>
          </w:tcPr>
          <w:p w14:paraId="096551D9" w14:textId="77777777" w:rsidR="00D3574F" w:rsidRPr="00AC7AC2" w:rsidRDefault="00D3574F" w:rsidP="00D64261">
            <w:pPr>
              <w:spacing w:line="360" w:lineRule="auto"/>
              <w:jc w:val="both"/>
              <w:rPr>
                <w:rFonts w:eastAsia="Calibri"/>
                <w:noProof/>
              </w:rPr>
            </w:pPr>
            <w:r w:rsidRPr="00AC7AC2">
              <w:rPr>
                <w:rFonts w:eastAsia="Calibri"/>
                <w:noProof/>
              </w:rPr>
              <w:t>30</w:t>
            </w:r>
          </w:p>
        </w:tc>
      </w:tr>
      <w:tr w:rsidR="00D3574F" w:rsidRPr="00D3574F" w14:paraId="2A5362CF" w14:textId="77777777" w:rsidTr="006F7E31">
        <w:trPr>
          <w:trHeight w:val="221"/>
          <w:jc w:val="center"/>
        </w:trPr>
        <w:tc>
          <w:tcPr>
            <w:tcW w:w="3877" w:type="dxa"/>
            <w:tcBorders>
              <w:top w:val="nil"/>
              <w:left w:val="single" w:sz="4" w:space="0" w:color="auto"/>
              <w:bottom w:val="single" w:sz="4" w:space="0" w:color="auto"/>
              <w:right w:val="single" w:sz="4" w:space="0" w:color="auto"/>
            </w:tcBorders>
            <w:noWrap/>
            <w:vAlign w:val="center"/>
            <w:hideMark/>
          </w:tcPr>
          <w:p w14:paraId="4D71B665" w14:textId="77777777" w:rsidR="00D3574F" w:rsidRPr="00AC7AC2" w:rsidRDefault="00D3574F" w:rsidP="00D64261">
            <w:pPr>
              <w:spacing w:line="360" w:lineRule="auto"/>
              <w:jc w:val="both"/>
              <w:rPr>
                <w:rFonts w:eastAsia="Calibri"/>
                <w:noProof/>
              </w:rPr>
            </w:pPr>
            <w:r w:rsidRPr="00AC7AC2">
              <w:rPr>
                <w:rFonts w:eastAsia="Calibri"/>
                <w:noProof/>
                <w:lang w:val="es-MX"/>
              </w:rPr>
              <w:t>COMPARACION DE PRECIOS</w:t>
            </w:r>
          </w:p>
        </w:tc>
        <w:tc>
          <w:tcPr>
            <w:tcW w:w="1935" w:type="dxa"/>
            <w:tcBorders>
              <w:top w:val="nil"/>
              <w:left w:val="nil"/>
              <w:bottom w:val="single" w:sz="4" w:space="0" w:color="auto"/>
              <w:right w:val="single" w:sz="4" w:space="0" w:color="auto"/>
            </w:tcBorders>
            <w:noWrap/>
            <w:vAlign w:val="center"/>
          </w:tcPr>
          <w:p w14:paraId="1E6F2E64" w14:textId="77777777" w:rsidR="00D3574F" w:rsidRPr="00AC7AC2" w:rsidRDefault="00D3574F" w:rsidP="00D64261">
            <w:pPr>
              <w:spacing w:line="360" w:lineRule="auto"/>
              <w:jc w:val="both"/>
              <w:rPr>
                <w:rFonts w:eastAsia="Calibri"/>
                <w:noProof/>
              </w:rPr>
            </w:pPr>
            <w:r w:rsidRPr="00AC7AC2">
              <w:rPr>
                <w:rFonts w:eastAsia="Calibri"/>
                <w:noProof/>
              </w:rPr>
              <w:t>13</w:t>
            </w:r>
          </w:p>
        </w:tc>
      </w:tr>
      <w:tr w:rsidR="00D3574F" w:rsidRPr="00D3574F" w14:paraId="5E34A083" w14:textId="77777777" w:rsidTr="006F7E31">
        <w:trPr>
          <w:trHeight w:val="221"/>
          <w:jc w:val="center"/>
        </w:trPr>
        <w:tc>
          <w:tcPr>
            <w:tcW w:w="3877" w:type="dxa"/>
            <w:tcBorders>
              <w:top w:val="nil"/>
              <w:left w:val="single" w:sz="4" w:space="0" w:color="auto"/>
              <w:bottom w:val="single" w:sz="4" w:space="0" w:color="auto"/>
              <w:right w:val="single" w:sz="4" w:space="0" w:color="auto"/>
            </w:tcBorders>
            <w:noWrap/>
            <w:vAlign w:val="center"/>
          </w:tcPr>
          <w:p w14:paraId="5C0266AE" w14:textId="77777777" w:rsidR="00D3574F" w:rsidRPr="00AC7AC2" w:rsidRDefault="00D3574F" w:rsidP="00D64261">
            <w:pPr>
              <w:spacing w:line="360" w:lineRule="auto"/>
              <w:jc w:val="both"/>
              <w:rPr>
                <w:rFonts w:eastAsia="Calibri"/>
                <w:noProof/>
                <w:lang w:val="es-MX"/>
              </w:rPr>
            </w:pPr>
            <w:r w:rsidRPr="00AC7AC2">
              <w:rPr>
                <w:rFonts w:eastAsia="Calibri"/>
                <w:noProof/>
                <w:lang w:val="es-MX"/>
              </w:rPr>
              <w:t xml:space="preserve">PROCESO DE EXCEPCION </w:t>
            </w:r>
          </w:p>
        </w:tc>
        <w:tc>
          <w:tcPr>
            <w:tcW w:w="1935" w:type="dxa"/>
            <w:tcBorders>
              <w:top w:val="nil"/>
              <w:left w:val="nil"/>
              <w:bottom w:val="single" w:sz="4" w:space="0" w:color="auto"/>
              <w:right w:val="single" w:sz="4" w:space="0" w:color="auto"/>
            </w:tcBorders>
            <w:noWrap/>
            <w:vAlign w:val="center"/>
          </w:tcPr>
          <w:p w14:paraId="632A05FD" w14:textId="77777777" w:rsidR="00D3574F" w:rsidRPr="00AC7AC2" w:rsidRDefault="00D3574F" w:rsidP="00D64261">
            <w:pPr>
              <w:spacing w:line="360" w:lineRule="auto"/>
              <w:jc w:val="both"/>
              <w:rPr>
                <w:rFonts w:eastAsia="Calibri"/>
                <w:noProof/>
              </w:rPr>
            </w:pPr>
            <w:r w:rsidRPr="00AC7AC2">
              <w:rPr>
                <w:rFonts w:eastAsia="Calibri"/>
                <w:noProof/>
              </w:rPr>
              <w:t>14</w:t>
            </w:r>
          </w:p>
        </w:tc>
      </w:tr>
      <w:tr w:rsidR="00D3574F" w:rsidRPr="00D3574F" w14:paraId="6177532F" w14:textId="77777777" w:rsidTr="006F7E31">
        <w:trPr>
          <w:trHeight w:val="221"/>
          <w:jc w:val="center"/>
        </w:trPr>
        <w:tc>
          <w:tcPr>
            <w:tcW w:w="3877" w:type="dxa"/>
            <w:tcBorders>
              <w:top w:val="nil"/>
              <w:left w:val="single" w:sz="4" w:space="0" w:color="auto"/>
              <w:bottom w:val="single" w:sz="4" w:space="0" w:color="auto"/>
              <w:right w:val="single" w:sz="4" w:space="0" w:color="auto"/>
            </w:tcBorders>
            <w:noWrap/>
            <w:vAlign w:val="center"/>
          </w:tcPr>
          <w:p w14:paraId="23FEA71F" w14:textId="77777777" w:rsidR="00D3574F" w:rsidRPr="00AC7AC2" w:rsidRDefault="00D3574F" w:rsidP="00D64261">
            <w:pPr>
              <w:spacing w:line="360" w:lineRule="auto"/>
              <w:jc w:val="both"/>
              <w:rPr>
                <w:rFonts w:eastAsia="Calibri"/>
                <w:noProof/>
                <w:lang w:val="es-MX"/>
              </w:rPr>
            </w:pPr>
            <w:r w:rsidRPr="00AC7AC2">
              <w:rPr>
                <w:rFonts w:eastAsia="Calibri"/>
                <w:noProof/>
                <w:lang w:val="es-MX"/>
              </w:rPr>
              <w:t>LICITACION PUBLICA</w:t>
            </w:r>
          </w:p>
        </w:tc>
        <w:tc>
          <w:tcPr>
            <w:tcW w:w="1935" w:type="dxa"/>
            <w:tcBorders>
              <w:top w:val="nil"/>
              <w:left w:val="nil"/>
              <w:bottom w:val="single" w:sz="4" w:space="0" w:color="auto"/>
              <w:right w:val="single" w:sz="4" w:space="0" w:color="auto"/>
            </w:tcBorders>
            <w:noWrap/>
            <w:vAlign w:val="center"/>
          </w:tcPr>
          <w:p w14:paraId="7B5E0874" w14:textId="77777777" w:rsidR="00D3574F" w:rsidRPr="00AC7AC2" w:rsidRDefault="00D3574F" w:rsidP="00D64261">
            <w:pPr>
              <w:spacing w:line="360" w:lineRule="auto"/>
              <w:jc w:val="both"/>
              <w:rPr>
                <w:rFonts w:eastAsia="Calibri"/>
                <w:noProof/>
              </w:rPr>
            </w:pPr>
            <w:r w:rsidRPr="00AC7AC2">
              <w:rPr>
                <w:rFonts w:eastAsia="Calibri"/>
                <w:noProof/>
              </w:rPr>
              <w:t>1</w:t>
            </w:r>
          </w:p>
        </w:tc>
      </w:tr>
      <w:tr w:rsidR="00D3574F" w:rsidRPr="00D3574F" w14:paraId="4991D123" w14:textId="77777777" w:rsidTr="006F7E31">
        <w:trPr>
          <w:trHeight w:val="341"/>
          <w:jc w:val="center"/>
        </w:trPr>
        <w:tc>
          <w:tcPr>
            <w:tcW w:w="3877" w:type="dxa"/>
            <w:tcBorders>
              <w:top w:val="nil"/>
              <w:left w:val="single" w:sz="4" w:space="0" w:color="auto"/>
              <w:bottom w:val="nil"/>
              <w:right w:val="single" w:sz="4" w:space="0" w:color="auto"/>
            </w:tcBorders>
            <w:shd w:val="clear" w:color="auto" w:fill="011C50"/>
            <w:noWrap/>
            <w:vAlign w:val="center"/>
            <w:hideMark/>
          </w:tcPr>
          <w:p w14:paraId="39BF1475" w14:textId="77777777" w:rsidR="00D3574F" w:rsidRPr="00D3574F" w:rsidRDefault="00D3574F" w:rsidP="00D64261">
            <w:pPr>
              <w:spacing w:line="360" w:lineRule="auto"/>
              <w:jc w:val="both"/>
              <w:rPr>
                <w:rFonts w:eastAsia="Calibri"/>
                <w:b/>
                <w:bCs/>
                <w:noProof/>
                <w:color w:val="FFFFFF" w:themeColor="background1"/>
              </w:rPr>
            </w:pPr>
            <w:r w:rsidRPr="00D3574F">
              <w:rPr>
                <w:rFonts w:eastAsia="Calibri"/>
                <w:b/>
                <w:bCs/>
                <w:noProof/>
                <w:color w:val="FFFFFF" w:themeColor="background1"/>
                <w:lang w:val="es-MX"/>
              </w:rPr>
              <w:t>TOTAL</w:t>
            </w:r>
          </w:p>
        </w:tc>
        <w:tc>
          <w:tcPr>
            <w:tcW w:w="1935" w:type="dxa"/>
            <w:tcBorders>
              <w:top w:val="nil"/>
              <w:left w:val="nil"/>
              <w:bottom w:val="nil"/>
              <w:right w:val="single" w:sz="4" w:space="0" w:color="auto"/>
            </w:tcBorders>
            <w:shd w:val="clear" w:color="auto" w:fill="011C50"/>
            <w:noWrap/>
            <w:vAlign w:val="center"/>
          </w:tcPr>
          <w:p w14:paraId="728092EF" w14:textId="77777777" w:rsidR="00D3574F" w:rsidRPr="00D3574F" w:rsidRDefault="00D3574F" w:rsidP="00D64261">
            <w:pPr>
              <w:spacing w:line="360" w:lineRule="auto"/>
              <w:jc w:val="both"/>
              <w:rPr>
                <w:rFonts w:eastAsia="Calibri"/>
                <w:b/>
                <w:bCs/>
                <w:noProof/>
                <w:color w:val="FFFFFF" w:themeColor="background1"/>
              </w:rPr>
            </w:pPr>
            <w:r w:rsidRPr="00D3574F">
              <w:rPr>
                <w:rFonts w:eastAsia="Calibri"/>
                <w:b/>
                <w:bCs/>
                <w:noProof/>
                <w:color w:val="FFFFFF" w:themeColor="background1"/>
              </w:rPr>
              <w:t>195</w:t>
            </w:r>
          </w:p>
        </w:tc>
      </w:tr>
    </w:tbl>
    <w:p w14:paraId="7A10FE5C" w14:textId="77777777" w:rsidR="00D3574F" w:rsidRPr="00D3574F" w:rsidRDefault="00D3574F" w:rsidP="00D64261">
      <w:pPr>
        <w:spacing w:line="360" w:lineRule="auto"/>
        <w:jc w:val="both"/>
        <w:rPr>
          <w:rFonts w:eastAsia="Calibri"/>
          <w:noProof/>
          <w:color w:val="4C4747"/>
          <w:lang w:val="es-MX"/>
        </w:rPr>
      </w:pPr>
    </w:p>
    <w:p w14:paraId="78FAF6AC" w14:textId="77777777" w:rsidR="00D3574F" w:rsidRPr="00D3574F" w:rsidRDefault="00D3574F" w:rsidP="00D64261">
      <w:pPr>
        <w:spacing w:line="360" w:lineRule="auto"/>
        <w:jc w:val="both"/>
        <w:rPr>
          <w:rFonts w:eastAsia="Calibri"/>
          <w:noProof/>
          <w:color w:val="4C4747"/>
          <w:lang w:val="es-MX"/>
        </w:rPr>
      </w:pPr>
    </w:p>
    <w:p w14:paraId="4ED60A03" w14:textId="77777777" w:rsidR="00D3574F" w:rsidRPr="00AC7AC2" w:rsidRDefault="00D3574F" w:rsidP="00D64261">
      <w:pPr>
        <w:spacing w:line="360" w:lineRule="auto"/>
        <w:jc w:val="both"/>
        <w:rPr>
          <w:rFonts w:eastAsia="Calibri"/>
          <w:noProof/>
          <w:lang w:val="es-MX"/>
        </w:rPr>
      </w:pPr>
      <w:r w:rsidRPr="00AC7AC2">
        <w:rPr>
          <w:rFonts w:eastAsia="Calibri"/>
          <w:noProof/>
          <w:lang w:val="es-MX"/>
        </w:rPr>
        <w:t>La distribución de la gestión de compra por tipo de Empresa y por Procesos, podemos visualizarlo en el siguiente cuadro:</w:t>
      </w:r>
    </w:p>
    <w:p w14:paraId="044AF3BA" w14:textId="77777777" w:rsidR="00D3574F" w:rsidRDefault="00D3574F" w:rsidP="00D64261">
      <w:pPr>
        <w:spacing w:line="360" w:lineRule="auto"/>
        <w:jc w:val="both"/>
        <w:rPr>
          <w:rFonts w:eastAsia="Calibri"/>
          <w:noProof/>
          <w:color w:val="4C4747"/>
          <w:lang w:val="es-MX"/>
        </w:rPr>
      </w:pPr>
      <w:r w:rsidRPr="00D3574F">
        <w:rPr>
          <w:rFonts w:eastAsia="Calibri"/>
          <w:noProof/>
          <w:color w:val="4C4747"/>
          <w:lang w:val="es-MX"/>
        </w:rPr>
        <w:t xml:space="preserve">   </w:t>
      </w:r>
    </w:p>
    <w:p w14:paraId="337F725C" w14:textId="77777777" w:rsidR="005028B7" w:rsidRDefault="005028B7" w:rsidP="00D64261">
      <w:pPr>
        <w:spacing w:line="360" w:lineRule="auto"/>
        <w:jc w:val="both"/>
        <w:rPr>
          <w:rFonts w:eastAsia="Calibri"/>
          <w:noProof/>
          <w:color w:val="4C4747"/>
          <w:lang w:val="es-MX"/>
        </w:rPr>
      </w:pPr>
    </w:p>
    <w:p w14:paraId="7B1401D0" w14:textId="77777777" w:rsidR="005028B7" w:rsidRDefault="005028B7" w:rsidP="00D64261">
      <w:pPr>
        <w:spacing w:line="360" w:lineRule="auto"/>
        <w:jc w:val="both"/>
        <w:rPr>
          <w:rFonts w:eastAsia="Calibri"/>
          <w:noProof/>
          <w:color w:val="4C4747"/>
          <w:lang w:val="es-MX"/>
        </w:rPr>
      </w:pPr>
    </w:p>
    <w:p w14:paraId="2CDED1FC" w14:textId="77777777" w:rsidR="005028B7" w:rsidRDefault="005028B7" w:rsidP="00D64261">
      <w:pPr>
        <w:spacing w:line="360" w:lineRule="auto"/>
        <w:jc w:val="both"/>
        <w:rPr>
          <w:rFonts w:eastAsia="Calibri"/>
          <w:noProof/>
          <w:color w:val="4C4747"/>
          <w:lang w:val="es-MX"/>
        </w:rPr>
      </w:pPr>
    </w:p>
    <w:p w14:paraId="213E10AA" w14:textId="77777777" w:rsidR="00B046C6" w:rsidRPr="00D3574F" w:rsidRDefault="00B046C6" w:rsidP="00D64261">
      <w:pPr>
        <w:spacing w:line="360" w:lineRule="auto"/>
        <w:jc w:val="both"/>
        <w:rPr>
          <w:rFonts w:eastAsia="Calibri"/>
          <w:noProof/>
          <w:color w:val="4C4747"/>
          <w:lang w:val="es-MX"/>
        </w:rPr>
      </w:pPr>
    </w:p>
    <w:p w14:paraId="4A74E9DB" w14:textId="101D208A" w:rsidR="00D3574F" w:rsidRPr="00AC7AC2" w:rsidRDefault="00D3574F" w:rsidP="00D64261">
      <w:pPr>
        <w:spacing w:after="0" w:line="360" w:lineRule="auto"/>
        <w:jc w:val="center"/>
        <w:rPr>
          <w:rFonts w:eastAsia="Calibri"/>
          <w:b/>
          <w:bCs/>
          <w:noProof/>
          <w:lang w:val="es-DO"/>
        </w:rPr>
      </w:pPr>
      <w:r w:rsidRPr="00AC7AC2">
        <w:rPr>
          <w:rFonts w:eastAsia="Calibri"/>
          <w:b/>
          <w:bCs/>
          <w:noProof/>
          <w:lang w:val="es-DO"/>
        </w:rPr>
        <w:lastRenderedPageBreak/>
        <w:t xml:space="preserve">Cuadro No. </w:t>
      </w:r>
      <w:r w:rsidR="008D7279" w:rsidRPr="00AC7AC2">
        <w:rPr>
          <w:rFonts w:eastAsia="Calibri"/>
          <w:b/>
          <w:bCs/>
          <w:noProof/>
          <w:lang w:val="es-DO"/>
        </w:rPr>
        <w:t>43</w:t>
      </w:r>
    </w:p>
    <w:p w14:paraId="023C54BF" w14:textId="77777777" w:rsidR="00D3574F" w:rsidRPr="00AC7AC2" w:rsidRDefault="00D3574F" w:rsidP="00D64261">
      <w:pPr>
        <w:spacing w:after="0" w:line="360" w:lineRule="auto"/>
        <w:jc w:val="center"/>
        <w:rPr>
          <w:rFonts w:eastAsia="Calibri"/>
          <w:b/>
          <w:bCs/>
          <w:noProof/>
          <w:lang w:val="es-DO"/>
        </w:rPr>
      </w:pPr>
      <w:r w:rsidRPr="00AC7AC2">
        <w:rPr>
          <w:rFonts w:eastAsia="Calibri"/>
          <w:b/>
          <w:bCs/>
          <w:noProof/>
          <w:lang w:val="es-DO"/>
        </w:rPr>
        <w:t>Tesorería Nacional</w:t>
      </w:r>
    </w:p>
    <w:tbl>
      <w:tblPr>
        <w:tblW w:w="0" w:type="auto"/>
        <w:jc w:val="center"/>
        <w:tblLook w:val="04A0" w:firstRow="1" w:lastRow="0" w:firstColumn="1" w:lastColumn="0" w:noHBand="0" w:noVBand="1"/>
      </w:tblPr>
      <w:tblGrid>
        <w:gridCol w:w="2464"/>
        <w:gridCol w:w="1397"/>
      </w:tblGrid>
      <w:tr w:rsidR="00D3574F" w:rsidRPr="00D3574F" w14:paraId="4B86C05B" w14:textId="77777777" w:rsidTr="006F7E31">
        <w:trPr>
          <w:trHeight w:val="420"/>
          <w:jc w:val="center"/>
        </w:trPr>
        <w:tc>
          <w:tcPr>
            <w:tcW w:w="2464"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5F8BE339" w14:textId="77777777" w:rsidR="00D3574F" w:rsidRPr="00D3574F" w:rsidRDefault="00D3574F" w:rsidP="00D64261">
            <w:pPr>
              <w:spacing w:line="360" w:lineRule="auto"/>
              <w:jc w:val="both"/>
              <w:rPr>
                <w:rFonts w:eastAsia="Calibri"/>
                <w:noProof/>
                <w:color w:val="FFFFFF" w:themeColor="background1"/>
              </w:rPr>
            </w:pPr>
            <w:r w:rsidRPr="00D3574F">
              <w:rPr>
                <w:rFonts w:eastAsia="Calibri"/>
                <w:noProof/>
                <w:color w:val="FFFFFF" w:themeColor="background1"/>
                <w:lang w:val="es-MX"/>
              </w:rPr>
              <w:t>TIPO DE EMPRESA</w:t>
            </w:r>
          </w:p>
        </w:tc>
        <w:tc>
          <w:tcPr>
            <w:tcW w:w="1222" w:type="dxa"/>
            <w:tcBorders>
              <w:top w:val="single" w:sz="4" w:space="0" w:color="auto"/>
              <w:left w:val="nil"/>
              <w:bottom w:val="single" w:sz="4" w:space="0" w:color="auto"/>
              <w:right w:val="single" w:sz="4" w:space="0" w:color="auto"/>
            </w:tcBorders>
            <w:shd w:val="clear" w:color="auto" w:fill="011C50"/>
            <w:vAlign w:val="center"/>
            <w:hideMark/>
          </w:tcPr>
          <w:p w14:paraId="1498F8A0" w14:textId="77777777" w:rsidR="00D3574F" w:rsidRPr="00D3574F" w:rsidRDefault="00D3574F" w:rsidP="00D64261">
            <w:pPr>
              <w:spacing w:line="360" w:lineRule="auto"/>
              <w:jc w:val="both"/>
              <w:rPr>
                <w:rFonts w:eastAsia="Calibri"/>
                <w:noProof/>
                <w:color w:val="FFFFFF" w:themeColor="background1"/>
              </w:rPr>
            </w:pPr>
            <w:r w:rsidRPr="00D3574F">
              <w:rPr>
                <w:rFonts w:eastAsia="Calibri"/>
                <w:noProof/>
                <w:color w:val="FFFFFF" w:themeColor="background1"/>
                <w:lang w:val="es-MX"/>
              </w:rPr>
              <w:t>ACTIVOS</w:t>
            </w:r>
          </w:p>
        </w:tc>
      </w:tr>
      <w:tr w:rsidR="00D3574F" w:rsidRPr="00D3574F" w14:paraId="493F796A" w14:textId="77777777" w:rsidTr="006F7E31">
        <w:trPr>
          <w:trHeight w:val="300"/>
          <w:jc w:val="center"/>
        </w:trPr>
        <w:tc>
          <w:tcPr>
            <w:tcW w:w="2464" w:type="dxa"/>
            <w:tcBorders>
              <w:top w:val="nil"/>
              <w:left w:val="single" w:sz="4" w:space="0" w:color="auto"/>
              <w:bottom w:val="single" w:sz="4" w:space="0" w:color="auto"/>
              <w:right w:val="single" w:sz="4" w:space="0" w:color="auto"/>
            </w:tcBorders>
            <w:noWrap/>
            <w:vAlign w:val="center"/>
            <w:hideMark/>
          </w:tcPr>
          <w:p w14:paraId="0B8E3FAC" w14:textId="77777777" w:rsidR="00D3574F" w:rsidRPr="00AC7AC2" w:rsidRDefault="00D3574F" w:rsidP="00D64261">
            <w:pPr>
              <w:spacing w:line="360" w:lineRule="auto"/>
              <w:jc w:val="both"/>
              <w:rPr>
                <w:rFonts w:eastAsia="Calibri"/>
                <w:noProof/>
              </w:rPr>
            </w:pPr>
            <w:r w:rsidRPr="00AC7AC2">
              <w:rPr>
                <w:rFonts w:eastAsia="Calibri"/>
                <w:noProof/>
                <w:lang w:val="es-MX"/>
              </w:rPr>
              <w:t>MI PYME</w:t>
            </w:r>
          </w:p>
        </w:tc>
        <w:tc>
          <w:tcPr>
            <w:tcW w:w="1222" w:type="dxa"/>
            <w:tcBorders>
              <w:top w:val="nil"/>
              <w:left w:val="nil"/>
              <w:bottom w:val="single" w:sz="4" w:space="0" w:color="auto"/>
              <w:right w:val="single" w:sz="4" w:space="0" w:color="auto"/>
            </w:tcBorders>
            <w:noWrap/>
            <w:vAlign w:val="center"/>
          </w:tcPr>
          <w:p w14:paraId="6B2D7070" w14:textId="77777777" w:rsidR="00D3574F" w:rsidRPr="00AC7AC2" w:rsidRDefault="00D3574F" w:rsidP="00D64261">
            <w:pPr>
              <w:spacing w:line="360" w:lineRule="auto"/>
              <w:jc w:val="both"/>
              <w:rPr>
                <w:rFonts w:eastAsia="Calibri"/>
                <w:noProof/>
              </w:rPr>
            </w:pPr>
            <w:r w:rsidRPr="00AC7AC2">
              <w:rPr>
                <w:rFonts w:eastAsia="Calibri"/>
                <w:noProof/>
              </w:rPr>
              <w:t>31</w:t>
            </w:r>
          </w:p>
        </w:tc>
      </w:tr>
      <w:tr w:rsidR="00D3574F" w:rsidRPr="00D3574F" w14:paraId="226BBD42" w14:textId="77777777" w:rsidTr="006F7E31">
        <w:trPr>
          <w:trHeight w:val="300"/>
          <w:jc w:val="center"/>
        </w:trPr>
        <w:tc>
          <w:tcPr>
            <w:tcW w:w="2464" w:type="dxa"/>
            <w:tcBorders>
              <w:top w:val="nil"/>
              <w:left w:val="single" w:sz="4" w:space="0" w:color="auto"/>
              <w:bottom w:val="single" w:sz="4" w:space="0" w:color="auto"/>
              <w:right w:val="single" w:sz="4" w:space="0" w:color="auto"/>
            </w:tcBorders>
            <w:noWrap/>
            <w:vAlign w:val="center"/>
            <w:hideMark/>
          </w:tcPr>
          <w:p w14:paraId="2321B3BF" w14:textId="77777777" w:rsidR="00D3574F" w:rsidRPr="00AC7AC2" w:rsidRDefault="00D3574F" w:rsidP="00D64261">
            <w:pPr>
              <w:spacing w:line="360" w:lineRule="auto"/>
              <w:jc w:val="both"/>
              <w:rPr>
                <w:rFonts w:eastAsia="Calibri"/>
                <w:noProof/>
              </w:rPr>
            </w:pPr>
            <w:r w:rsidRPr="00AC7AC2">
              <w:rPr>
                <w:rFonts w:eastAsia="Calibri"/>
                <w:noProof/>
                <w:lang w:val="es-MX"/>
              </w:rPr>
              <w:t>GRANDE</w:t>
            </w:r>
          </w:p>
        </w:tc>
        <w:tc>
          <w:tcPr>
            <w:tcW w:w="1222" w:type="dxa"/>
            <w:tcBorders>
              <w:top w:val="nil"/>
              <w:left w:val="nil"/>
              <w:bottom w:val="single" w:sz="4" w:space="0" w:color="auto"/>
              <w:right w:val="single" w:sz="4" w:space="0" w:color="auto"/>
            </w:tcBorders>
            <w:noWrap/>
            <w:vAlign w:val="center"/>
          </w:tcPr>
          <w:p w14:paraId="5EF970DD" w14:textId="77777777" w:rsidR="00D3574F" w:rsidRPr="00AC7AC2" w:rsidRDefault="00D3574F" w:rsidP="00D64261">
            <w:pPr>
              <w:spacing w:line="360" w:lineRule="auto"/>
              <w:jc w:val="both"/>
              <w:rPr>
                <w:rFonts w:eastAsia="Calibri"/>
                <w:noProof/>
              </w:rPr>
            </w:pPr>
            <w:r w:rsidRPr="00AC7AC2">
              <w:rPr>
                <w:rFonts w:eastAsia="Calibri"/>
                <w:noProof/>
              </w:rPr>
              <w:t>130</w:t>
            </w:r>
          </w:p>
        </w:tc>
      </w:tr>
      <w:tr w:rsidR="00D3574F" w:rsidRPr="00D3574F" w14:paraId="5210DD68" w14:textId="77777777" w:rsidTr="006F7E31">
        <w:trPr>
          <w:trHeight w:val="300"/>
          <w:jc w:val="center"/>
        </w:trPr>
        <w:tc>
          <w:tcPr>
            <w:tcW w:w="2464" w:type="dxa"/>
            <w:tcBorders>
              <w:top w:val="nil"/>
              <w:left w:val="single" w:sz="4" w:space="0" w:color="auto"/>
              <w:bottom w:val="single" w:sz="4" w:space="0" w:color="auto"/>
              <w:right w:val="single" w:sz="4" w:space="0" w:color="auto"/>
            </w:tcBorders>
            <w:noWrap/>
            <w:vAlign w:val="center"/>
            <w:hideMark/>
          </w:tcPr>
          <w:p w14:paraId="1A4840D4" w14:textId="77777777" w:rsidR="00D3574F" w:rsidRPr="00AC7AC2" w:rsidRDefault="00D3574F" w:rsidP="00D64261">
            <w:pPr>
              <w:spacing w:line="360" w:lineRule="auto"/>
              <w:jc w:val="both"/>
              <w:rPr>
                <w:rFonts w:eastAsia="Calibri"/>
                <w:noProof/>
              </w:rPr>
            </w:pPr>
            <w:r w:rsidRPr="00AC7AC2">
              <w:rPr>
                <w:rFonts w:eastAsia="Calibri"/>
                <w:noProof/>
                <w:lang w:val="es-MX"/>
              </w:rPr>
              <w:t>MY PIME MUJER</w:t>
            </w:r>
          </w:p>
        </w:tc>
        <w:tc>
          <w:tcPr>
            <w:tcW w:w="1222" w:type="dxa"/>
            <w:tcBorders>
              <w:top w:val="nil"/>
              <w:left w:val="nil"/>
              <w:bottom w:val="single" w:sz="4" w:space="0" w:color="auto"/>
              <w:right w:val="single" w:sz="4" w:space="0" w:color="auto"/>
            </w:tcBorders>
            <w:noWrap/>
            <w:vAlign w:val="center"/>
          </w:tcPr>
          <w:p w14:paraId="60EBD32A" w14:textId="77777777" w:rsidR="00D3574F" w:rsidRPr="00AC7AC2" w:rsidRDefault="00D3574F" w:rsidP="00D64261">
            <w:pPr>
              <w:spacing w:line="360" w:lineRule="auto"/>
              <w:jc w:val="both"/>
              <w:rPr>
                <w:rFonts w:eastAsia="Calibri"/>
                <w:noProof/>
                <w:u w:val="single"/>
              </w:rPr>
            </w:pPr>
            <w:r w:rsidRPr="00AC7AC2">
              <w:rPr>
                <w:rFonts w:eastAsia="Calibri"/>
                <w:noProof/>
                <w:u w:val="single"/>
              </w:rPr>
              <w:t>34</w:t>
            </w:r>
          </w:p>
        </w:tc>
      </w:tr>
      <w:tr w:rsidR="00D3574F" w:rsidRPr="00D3574F" w14:paraId="6E6C1EED" w14:textId="77777777" w:rsidTr="006F7E31">
        <w:trPr>
          <w:trHeight w:val="300"/>
          <w:jc w:val="center"/>
        </w:trPr>
        <w:tc>
          <w:tcPr>
            <w:tcW w:w="2464" w:type="dxa"/>
            <w:tcBorders>
              <w:top w:val="nil"/>
              <w:left w:val="single" w:sz="4" w:space="0" w:color="auto"/>
              <w:bottom w:val="single" w:sz="4" w:space="0" w:color="auto"/>
              <w:right w:val="single" w:sz="4" w:space="0" w:color="auto"/>
            </w:tcBorders>
            <w:shd w:val="clear" w:color="auto" w:fill="011C50"/>
            <w:noWrap/>
            <w:vAlign w:val="center"/>
            <w:hideMark/>
          </w:tcPr>
          <w:p w14:paraId="6C0AAEE1" w14:textId="77777777" w:rsidR="00D3574F" w:rsidRPr="00D3574F" w:rsidRDefault="00D3574F" w:rsidP="00D64261">
            <w:pPr>
              <w:spacing w:line="360" w:lineRule="auto"/>
              <w:jc w:val="both"/>
              <w:rPr>
                <w:rFonts w:eastAsia="Calibri"/>
                <w:b/>
                <w:bCs/>
                <w:noProof/>
                <w:color w:val="FFFFFF" w:themeColor="background1"/>
              </w:rPr>
            </w:pPr>
            <w:r w:rsidRPr="00D3574F">
              <w:rPr>
                <w:rFonts w:eastAsia="Calibri"/>
                <w:b/>
                <w:bCs/>
                <w:noProof/>
                <w:color w:val="FFFFFF" w:themeColor="background1"/>
                <w:lang w:val="es-MX"/>
              </w:rPr>
              <w:t>TOTAL</w:t>
            </w:r>
          </w:p>
        </w:tc>
        <w:tc>
          <w:tcPr>
            <w:tcW w:w="1222" w:type="dxa"/>
            <w:tcBorders>
              <w:top w:val="nil"/>
              <w:left w:val="nil"/>
              <w:bottom w:val="single" w:sz="4" w:space="0" w:color="auto"/>
              <w:right w:val="single" w:sz="4" w:space="0" w:color="auto"/>
            </w:tcBorders>
            <w:shd w:val="clear" w:color="auto" w:fill="011C50"/>
            <w:noWrap/>
            <w:vAlign w:val="center"/>
          </w:tcPr>
          <w:p w14:paraId="70E3CE3E" w14:textId="77777777" w:rsidR="00D3574F" w:rsidRPr="00D3574F" w:rsidRDefault="00D3574F" w:rsidP="00D64261">
            <w:pPr>
              <w:spacing w:line="360" w:lineRule="auto"/>
              <w:jc w:val="both"/>
              <w:rPr>
                <w:rFonts w:eastAsia="Calibri"/>
                <w:b/>
                <w:bCs/>
                <w:noProof/>
                <w:color w:val="FFFFFF" w:themeColor="background1"/>
              </w:rPr>
            </w:pPr>
            <w:r w:rsidRPr="00D3574F">
              <w:rPr>
                <w:rFonts w:eastAsia="Calibri"/>
                <w:b/>
                <w:bCs/>
                <w:noProof/>
                <w:color w:val="FFFFFF" w:themeColor="background1"/>
              </w:rPr>
              <w:t>195</w:t>
            </w:r>
          </w:p>
        </w:tc>
      </w:tr>
    </w:tbl>
    <w:p w14:paraId="1312837C" w14:textId="6A4C8127" w:rsidR="00D3574F" w:rsidRPr="00AC7AC2" w:rsidRDefault="00D3574F" w:rsidP="00D64261">
      <w:pPr>
        <w:spacing w:line="360" w:lineRule="auto"/>
        <w:jc w:val="both"/>
        <w:rPr>
          <w:rFonts w:eastAsia="Calibri"/>
          <w:i/>
          <w:iCs/>
          <w:noProof/>
          <w:sz w:val="18"/>
          <w:szCs w:val="18"/>
          <w:lang w:val="es-DO"/>
        </w:rPr>
      </w:pPr>
      <w:r w:rsidRPr="00AC7AC2">
        <w:rPr>
          <w:rFonts w:eastAsia="Calibri"/>
          <w:bCs/>
          <w:noProof/>
          <w:sz w:val="18"/>
          <w:szCs w:val="18"/>
          <w:lang w:val="es-MX"/>
        </w:rPr>
        <w:tab/>
      </w:r>
      <w:r w:rsidRPr="00AC7AC2">
        <w:rPr>
          <w:rFonts w:eastAsia="Calibri"/>
          <w:bCs/>
          <w:noProof/>
          <w:sz w:val="18"/>
          <w:szCs w:val="18"/>
          <w:lang w:val="es-MX"/>
        </w:rPr>
        <w:tab/>
        <w:t xml:space="preserve">     </w:t>
      </w:r>
      <w:r w:rsidRPr="00AC7AC2">
        <w:rPr>
          <w:rFonts w:eastAsia="Calibri"/>
          <w:i/>
          <w:iCs/>
          <w:noProof/>
          <w:sz w:val="18"/>
          <w:szCs w:val="18"/>
          <w:lang w:val="es-DO"/>
        </w:rPr>
        <w:t>Fuente: Departamento Administrativo y Financiero</w:t>
      </w:r>
    </w:p>
    <w:p w14:paraId="484AF421" w14:textId="77777777" w:rsidR="00D3574F" w:rsidRPr="00D3574F" w:rsidRDefault="00D3574F" w:rsidP="00D64261">
      <w:pPr>
        <w:spacing w:line="360" w:lineRule="auto"/>
        <w:jc w:val="both"/>
        <w:rPr>
          <w:rFonts w:eastAsia="Calibri"/>
          <w:bCs/>
          <w:noProof/>
          <w:color w:val="4C4747"/>
          <w:lang w:val="es-MX"/>
        </w:rPr>
      </w:pPr>
    </w:p>
    <w:p w14:paraId="7E8465C9" w14:textId="77777777" w:rsidR="00D3574F" w:rsidRPr="00AC7AC2" w:rsidRDefault="00D3574F" w:rsidP="00D64261">
      <w:pPr>
        <w:spacing w:line="360" w:lineRule="auto"/>
        <w:jc w:val="both"/>
        <w:rPr>
          <w:rFonts w:eastAsia="Calibri"/>
          <w:bCs/>
          <w:noProof/>
          <w:lang w:val="es-MX"/>
        </w:rPr>
      </w:pPr>
      <w:r w:rsidRPr="00AC7AC2">
        <w:rPr>
          <w:rFonts w:eastAsia="Calibri"/>
          <w:bCs/>
          <w:noProof/>
          <w:lang w:val="es-MX"/>
        </w:rPr>
        <w:t>El indicador SISCOMPRAS de la Tesorería Nacional alcanzó un 90.68%, demostrando el compromiso de la institución con el cumplimiento de las normativas y leyes que rigen las compras públicas.</w:t>
      </w:r>
    </w:p>
    <w:p w14:paraId="3841BB05" w14:textId="77777777" w:rsidR="00D3574F" w:rsidRPr="00AC7AC2" w:rsidRDefault="00D3574F" w:rsidP="00D64261">
      <w:pPr>
        <w:spacing w:line="360" w:lineRule="auto"/>
        <w:jc w:val="both"/>
        <w:rPr>
          <w:rFonts w:eastAsia="Calibri"/>
          <w:bCs/>
          <w:noProof/>
          <w:lang w:val="es-MX"/>
        </w:rPr>
      </w:pPr>
      <w:r w:rsidRPr="00AC7AC2">
        <w:rPr>
          <w:rFonts w:eastAsia="Calibri"/>
          <w:bCs/>
          <w:noProof/>
          <w:lang w:val="es-MX"/>
        </w:rPr>
        <w:t xml:space="preserve">La Tesorería Nacional contribuyó a fomentar la agricultura familiar y la sostenibilidad desde la cadena de valor, a través de la organización y celebración del Mercadito Orgánico y Artesanal, En esta actividad participaron agricultores, artesanos y emprendedores con un total de 21 puntos de venta, alcanzando en ventas de RD$215,088.46. </w:t>
      </w:r>
    </w:p>
    <w:p w14:paraId="4CB070FA" w14:textId="77777777" w:rsidR="00D3574F" w:rsidRPr="00AC7AC2" w:rsidRDefault="00D3574F" w:rsidP="00D64261">
      <w:pPr>
        <w:spacing w:line="360" w:lineRule="auto"/>
        <w:jc w:val="both"/>
        <w:rPr>
          <w:rFonts w:eastAsia="Calibri"/>
          <w:bCs/>
          <w:noProof/>
          <w:lang w:val="es-MX"/>
        </w:rPr>
      </w:pPr>
      <w:r w:rsidRPr="00AC7AC2">
        <w:rPr>
          <w:rFonts w:eastAsia="Calibri"/>
          <w:bCs/>
          <w:noProof/>
          <w:lang w:val="es-MX"/>
        </w:rPr>
        <w:t xml:space="preserve">Celebraremos la última edición del año del </w:t>
      </w:r>
      <w:r w:rsidRPr="00AC7AC2">
        <w:rPr>
          <w:rFonts w:eastAsia="Calibri"/>
          <w:b/>
          <w:bCs/>
          <w:noProof/>
          <w:lang w:val="es-MX"/>
        </w:rPr>
        <w:t>“Mercadito Agrícola y Artesanal”</w:t>
      </w:r>
      <w:r w:rsidRPr="00AC7AC2">
        <w:rPr>
          <w:rFonts w:eastAsia="Calibri"/>
          <w:bCs/>
          <w:noProof/>
          <w:lang w:val="es-MX"/>
        </w:rPr>
        <w:t>, una iniciativa orientada a la promoción y comercialización de productos de agricultores familiares y pequeños artesanos, contribuyendo así al fortalecimiento de su desarrollo económico y social.</w:t>
      </w:r>
    </w:p>
    <w:p w14:paraId="27EB0F92" w14:textId="77777777" w:rsidR="00D3574F" w:rsidRPr="00AC7AC2" w:rsidRDefault="00D3574F" w:rsidP="00D64261">
      <w:pPr>
        <w:spacing w:line="360" w:lineRule="auto"/>
        <w:jc w:val="both"/>
        <w:rPr>
          <w:rFonts w:eastAsia="Calibri"/>
          <w:bCs/>
          <w:noProof/>
          <w:lang w:val="es-MX"/>
        </w:rPr>
      </w:pPr>
      <w:r w:rsidRPr="00AC7AC2">
        <w:rPr>
          <w:rFonts w:eastAsia="Calibri"/>
          <w:bCs/>
          <w:noProof/>
          <w:lang w:val="es-MX"/>
        </w:rPr>
        <w:t xml:space="preserve">Este espacio consolidó como un punto de encuentro que impulsa la dinamización económica local y fortalece la sostenibilidad de </w:t>
      </w:r>
      <w:r w:rsidRPr="00AC7AC2">
        <w:rPr>
          <w:rFonts w:eastAsia="Calibri"/>
          <w:bCs/>
          <w:noProof/>
          <w:lang w:val="es-MX"/>
        </w:rPr>
        <w:lastRenderedPageBreak/>
        <w:t xml:space="preserve">productores, artesanos y emprendedores. Se estima que en esta edición participarán </w:t>
      </w:r>
      <w:r w:rsidRPr="00AC7AC2">
        <w:rPr>
          <w:rFonts w:eastAsia="Calibri"/>
          <w:b/>
          <w:bCs/>
          <w:noProof/>
          <w:lang w:val="es-MX"/>
        </w:rPr>
        <w:t>más de 30 suplidores</w:t>
      </w:r>
      <w:r w:rsidRPr="00AC7AC2">
        <w:rPr>
          <w:rFonts w:eastAsia="Calibri"/>
          <w:bCs/>
          <w:noProof/>
          <w:lang w:val="es-MX"/>
        </w:rPr>
        <w:t xml:space="preserve">, proyectando </w:t>
      </w:r>
      <w:r w:rsidRPr="00AC7AC2">
        <w:rPr>
          <w:rFonts w:eastAsia="Calibri"/>
          <w:b/>
          <w:bCs/>
          <w:noProof/>
          <w:lang w:val="es-MX"/>
        </w:rPr>
        <w:t>ventas superiores a RD$200,000.00</w:t>
      </w:r>
      <w:r w:rsidRPr="00AC7AC2">
        <w:rPr>
          <w:rFonts w:eastAsia="Calibri"/>
          <w:bCs/>
          <w:noProof/>
          <w:lang w:val="es-MX"/>
        </w:rPr>
        <w:t>.</w:t>
      </w:r>
    </w:p>
    <w:p w14:paraId="7FC12B54" w14:textId="77777777" w:rsidR="00D3574F" w:rsidRPr="00AC7AC2" w:rsidRDefault="00D3574F" w:rsidP="00D64261">
      <w:pPr>
        <w:spacing w:line="360" w:lineRule="auto"/>
        <w:jc w:val="both"/>
        <w:rPr>
          <w:rFonts w:eastAsia="Calibri"/>
          <w:noProof/>
          <w:lang w:val="es-419"/>
        </w:rPr>
      </w:pPr>
      <w:r w:rsidRPr="00AC7AC2">
        <w:rPr>
          <w:rFonts w:eastAsia="Calibri"/>
          <w:bCs/>
          <w:noProof/>
          <w:lang w:val="es-MX"/>
        </w:rPr>
        <w:t>Tesorería Nacional, completó en un 100% la versión de escritorio (entrada y salida de correspondencia) del Sistema de Transparencia Documental (TRANSDOC),</w:t>
      </w:r>
      <w:r w:rsidRPr="00AC7AC2">
        <w:rPr>
          <w:rFonts w:eastAsia="Calibri"/>
          <w:noProof/>
          <w:lang w:val="es-419"/>
        </w:rPr>
        <w:t xml:space="preserve"> </w:t>
      </w:r>
      <w:r w:rsidRPr="00AC7AC2">
        <w:rPr>
          <w:rFonts w:eastAsia="Calibri"/>
          <w:bCs/>
          <w:noProof/>
          <w:lang w:val="es-MX"/>
        </w:rPr>
        <w:t>Este sistema tiene objetivo automatizar los procesos vinculados a los documentos oficiales que llegan a la institución, que se producen internamente y salen hacia destinatarios externos, lo cual hará más ágil y efectiva la gestión que realiza cada una de las áreas, automatizando la gestión de la correspondencia, reduciendo las intermediaciones burocráticas y el uso de impresiones y copias</w:t>
      </w:r>
    </w:p>
    <w:p w14:paraId="4B4EFA12" w14:textId="77777777" w:rsidR="00916F88" w:rsidRPr="00AC7AC2" w:rsidRDefault="00916F88" w:rsidP="00D64261">
      <w:pPr>
        <w:spacing w:line="360" w:lineRule="auto"/>
        <w:jc w:val="both"/>
        <w:rPr>
          <w:rFonts w:eastAsia="Calibri"/>
          <w:noProof/>
          <w:highlight w:val="yellow"/>
          <w:lang w:val="es-419"/>
        </w:rPr>
      </w:pPr>
    </w:p>
    <w:p w14:paraId="2BED8EC2" w14:textId="77777777" w:rsidR="008209E2" w:rsidRPr="00AC7AC2" w:rsidRDefault="008209E2" w:rsidP="00D64261">
      <w:pPr>
        <w:spacing w:line="360" w:lineRule="auto"/>
        <w:jc w:val="both"/>
        <w:rPr>
          <w:rFonts w:eastAsia="Calibri"/>
          <w:noProof/>
          <w:lang w:val="es-DO"/>
        </w:rPr>
      </w:pPr>
      <w:r w:rsidRPr="00AC7AC2">
        <w:rPr>
          <w:rFonts w:eastAsia="Calibri"/>
          <w:noProof/>
          <w:lang w:val="es-DO"/>
        </w:rPr>
        <w:t xml:space="preserve">4.2 Desempeño de los Recursos Humanos </w:t>
      </w:r>
    </w:p>
    <w:p w14:paraId="7B87A074"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La Tesorería Nacional alcanzó mediante la gestión del talento humano en la institución por medio de la implementación del Plan de Dotación de Personal enero- diciembre 2025 conforme a los requerimientos de ingreso y perfil del cargo, un total de 10 servidores, de los cuales 6 corresponden al género masculino y 4 al género femenino, del total del personal ingresado, 5 pertenecen al grupo ocupacional I, 3 al grupo ocupacional II, 1 al grupo ocupacional IV y 1 al grupo ocupacional V</w:t>
      </w:r>
      <w:bookmarkStart w:id="36" w:name="_Hlk151565955"/>
      <w:r w:rsidRPr="00AC7AC2">
        <w:rPr>
          <w:rFonts w:eastAsia="Calibri"/>
          <w:noProof/>
          <w:lang w:val="es-DO"/>
        </w:rPr>
        <w:t>.</w:t>
      </w:r>
    </w:p>
    <w:p w14:paraId="1D23754F" w14:textId="77777777" w:rsidR="00916F88" w:rsidRPr="00AC7AC2" w:rsidRDefault="00916F88" w:rsidP="00D64261">
      <w:pPr>
        <w:spacing w:line="360" w:lineRule="auto"/>
        <w:jc w:val="both"/>
        <w:rPr>
          <w:rFonts w:eastAsia="Calibri"/>
          <w:noProof/>
          <w:lang w:val="es-DO"/>
        </w:rPr>
      </w:pPr>
    </w:p>
    <w:p w14:paraId="74581237" w14:textId="77777777" w:rsidR="00916F88" w:rsidRPr="00AC7AC2" w:rsidRDefault="00916F88" w:rsidP="00D64261">
      <w:pPr>
        <w:spacing w:line="360" w:lineRule="auto"/>
        <w:jc w:val="both"/>
        <w:rPr>
          <w:rFonts w:eastAsia="Calibri"/>
          <w:noProof/>
          <w:lang w:val="es-DO"/>
        </w:rPr>
      </w:pPr>
    </w:p>
    <w:p w14:paraId="2410E280" w14:textId="77777777" w:rsidR="00916F88" w:rsidRPr="00AC7AC2" w:rsidRDefault="00916F88" w:rsidP="00D64261">
      <w:pPr>
        <w:spacing w:line="360" w:lineRule="auto"/>
        <w:jc w:val="both"/>
        <w:rPr>
          <w:rFonts w:eastAsia="Calibri"/>
          <w:noProof/>
          <w:lang w:val="es-DO"/>
        </w:rPr>
      </w:pPr>
    </w:p>
    <w:p w14:paraId="6B12E90C" w14:textId="77777777" w:rsidR="005028B7" w:rsidRPr="00AC7AC2" w:rsidRDefault="005028B7" w:rsidP="00D64261">
      <w:pPr>
        <w:spacing w:line="360" w:lineRule="auto"/>
        <w:jc w:val="both"/>
        <w:rPr>
          <w:rFonts w:eastAsia="Calibri"/>
          <w:noProof/>
          <w:lang w:val="es-DO"/>
        </w:rPr>
      </w:pPr>
    </w:p>
    <w:p w14:paraId="1305F0B1" w14:textId="77777777" w:rsidR="00B046C6" w:rsidRPr="00AC7AC2" w:rsidRDefault="00B046C6" w:rsidP="00D64261">
      <w:pPr>
        <w:spacing w:line="360" w:lineRule="auto"/>
        <w:jc w:val="both"/>
        <w:rPr>
          <w:rFonts w:eastAsia="Calibri"/>
          <w:noProof/>
          <w:lang w:val="es-DO"/>
        </w:rPr>
      </w:pPr>
    </w:p>
    <w:p w14:paraId="36CE09FD" w14:textId="5B757E18" w:rsidR="00916F88" w:rsidRPr="00AC7AC2" w:rsidRDefault="00916F88" w:rsidP="00D64261">
      <w:pPr>
        <w:spacing w:after="0" w:line="360" w:lineRule="auto"/>
        <w:jc w:val="center"/>
        <w:rPr>
          <w:rFonts w:eastAsia="Calibri"/>
          <w:b/>
          <w:bCs/>
          <w:noProof/>
          <w:lang w:val="es-DO"/>
        </w:rPr>
      </w:pPr>
      <w:r w:rsidRPr="00AC7AC2">
        <w:rPr>
          <w:rFonts w:eastAsia="Calibri"/>
          <w:b/>
          <w:bCs/>
          <w:noProof/>
          <w:lang w:val="es-DO"/>
        </w:rPr>
        <w:lastRenderedPageBreak/>
        <w:t xml:space="preserve">Cuadro No. </w:t>
      </w:r>
      <w:r w:rsidR="008D7279" w:rsidRPr="00AC7AC2">
        <w:rPr>
          <w:rFonts w:eastAsia="Calibri"/>
          <w:b/>
          <w:bCs/>
          <w:noProof/>
          <w:lang w:val="es-DO"/>
        </w:rPr>
        <w:t>44</w:t>
      </w:r>
    </w:p>
    <w:p w14:paraId="1961FF50" w14:textId="77777777" w:rsidR="00916F88" w:rsidRPr="00AC7AC2" w:rsidRDefault="00916F88" w:rsidP="00D64261">
      <w:pPr>
        <w:spacing w:after="0" w:line="360" w:lineRule="auto"/>
        <w:jc w:val="center"/>
        <w:rPr>
          <w:rFonts w:eastAsia="Calibri"/>
          <w:b/>
          <w:bCs/>
          <w:noProof/>
          <w:lang w:val="es-DO"/>
        </w:rPr>
      </w:pPr>
      <w:r w:rsidRPr="00AC7AC2">
        <w:rPr>
          <w:rFonts w:eastAsia="Calibri"/>
          <w:b/>
          <w:bCs/>
          <w:noProof/>
          <w:lang w:val="es-DO"/>
        </w:rPr>
        <w:t>Tesorería Nacional</w:t>
      </w:r>
    </w:p>
    <w:p w14:paraId="5F8C4FB7" w14:textId="77777777" w:rsidR="00916F88" w:rsidRPr="00AC7AC2" w:rsidRDefault="00916F88" w:rsidP="00D64261">
      <w:pPr>
        <w:spacing w:after="0" w:line="360" w:lineRule="auto"/>
        <w:jc w:val="center"/>
        <w:rPr>
          <w:rFonts w:eastAsia="Calibri"/>
          <w:noProof/>
          <w:lang w:val="es-419"/>
        </w:rPr>
      </w:pPr>
      <w:r w:rsidRPr="00AC7AC2">
        <w:rPr>
          <w:rFonts w:eastAsia="Calibri"/>
          <w:b/>
          <w:bCs/>
          <w:noProof/>
          <w:lang w:val="es-DO"/>
        </w:rPr>
        <w:t>Información sobre cantidad de Hombres y Mujeres por Grupo Ocupacional</w:t>
      </w:r>
      <w:bookmarkEnd w:id="36"/>
    </w:p>
    <w:tbl>
      <w:tblPr>
        <w:tblW w:w="9513" w:type="dxa"/>
        <w:jc w:val="center"/>
        <w:tblCellMar>
          <w:left w:w="70" w:type="dxa"/>
          <w:right w:w="70" w:type="dxa"/>
        </w:tblCellMar>
        <w:tblLook w:val="04A0" w:firstRow="1" w:lastRow="0" w:firstColumn="1" w:lastColumn="0" w:noHBand="0" w:noVBand="1"/>
      </w:tblPr>
      <w:tblGrid>
        <w:gridCol w:w="3187"/>
        <w:gridCol w:w="420"/>
        <w:gridCol w:w="420"/>
        <w:gridCol w:w="440"/>
        <w:gridCol w:w="434"/>
        <w:gridCol w:w="334"/>
        <w:gridCol w:w="420"/>
        <w:gridCol w:w="340"/>
        <w:gridCol w:w="440"/>
        <w:gridCol w:w="434"/>
        <w:gridCol w:w="334"/>
        <w:gridCol w:w="609"/>
        <w:gridCol w:w="567"/>
        <w:gridCol w:w="1134"/>
      </w:tblGrid>
      <w:tr w:rsidR="00916F88" w:rsidRPr="00916F88" w14:paraId="450B669D" w14:textId="77777777" w:rsidTr="00B00075">
        <w:trPr>
          <w:trHeight w:val="293"/>
          <w:tblHeader/>
          <w:jc w:val="center"/>
        </w:trPr>
        <w:tc>
          <w:tcPr>
            <w:tcW w:w="3187" w:type="dxa"/>
            <w:vMerge w:val="restart"/>
            <w:tcBorders>
              <w:top w:val="single" w:sz="4" w:space="0" w:color="auto"/>
              <w:left w:val="single" w:sz="4" w:space="0" w:color="auto"/>
              <w:bottom w:val="single" w:sz="4" w:space="0" w:color="000000"/>
              <w:right w:val="single" w:sz="4" w:space="0" w:color="auto"/>
            </w:tcBorders>
            <w:shd w:val="clear" w:color="auto" w:fill="011C50"/>
            <w:noWrap/>
            <w:vAlign w:val="center"/>
            <w:hideMark/>
          </w:tcPr>
          <w:p w14:paraId="24DB0D67" w14:textId="77777777" w:rsidR="00916F88" w:rsidRPr="00916F88" w:rsidRDefault="00916F88" w:rsidP="00B00075">
            <w:pPr>
              <w:spacing w:line="360" w:lineRule="auto"/>
              <w:jc w:val="center"/>
              <w:rPr>
                <w:rFonts w:eastAsia="Calibri"/>
                <w:noProof/>
                <w:color w:val="FFFFFF" w:themeColor="background1"/>
                <w:lang w:val="es-DO"/>
              </w:rPr>
            </w:pPr>
            <w:r w:rsidRPr="00916F88">
              <w:rPr>
                <w:rFonts w:eastAsia="Calibri"/>
                <w:noProof/>
                <w:color w:val="FFFFFF" w:themeColor="background1"/>
                <w:lang w:val="es-DO"/>
              </w:rPr>
              <w:t>Áreas</w:t>
            </w:r>
          </w:p>
        </w:tc>
        <w:tc>
          <w:tcPr>
            <w:tcW w:w="2048" w:type="dxa"/>
            <w:gridSpan w:val="5"/>
            <w:tcBorders>
              <w:top w:val="single" w:sz="4" w:space="0" w:color="auto"/>
              <w:left w:val="nil"/>
              <w:bottom w:val="single" w:sz="4" w:space="0" w:color="auto"/>
              <w:right w:val="single" w:sz="4" w:space="0" w:color="auto"/>
            </w:tcBorders>
            <w:shd w:val="clear" w:color="auto" w:fill="011C50"/>
            <w:noWrap/>
            <w:vAlign w:val="bottom"/>
            <w:hideMark/>
          </w:tcPr>
          <w:p w14:paraId="029DEDCE" w14:textId="1670C728" w:rsidR="00916F88" w:rsidRPr="00916F88" w:rsidRDefault="00916F88" w:rsidP="00B00075">
            <w:pPr>
              <w:spacing w:line="360" w:lineRule="auto"/>
              <w:jc w:val="center"/>
              <w:rPr>
                <w:rFonts w:eastAsia="Calibri"/>
                <w:noProof/>
                <w:color w:val="FFFFFF" w:themeColor="background1"/>
                <w:lang w:val="es-DO"/>
              </w:rPr>
            </w:pPr>
            <w:r w:rsidRPr="00916F88">
              <w:rPr>
                <w:rFonts w:eastAsia="Calibri"/>
                <w:noProof/>
                <w:color w:val="FFFFFF" w:themeColor="background1"/>
                <w:lang w:val="es-DO"/>
              </w:rPr>
              <w:t>Femenino</w:t>
            </w:r>
          </w:p>
        </w:tc>
        <w:tc>
          <w:tcPr>
            <w:tcW w:w="1968" w:type="dxa"/>
            <w:gridSpan w:val="5"/>
            <w:tcBorders>
              <w:top w:val="single" w:sz="4" w:space="0" w:color="auto"/>
              <w:left w:val="nil"/>
              <w:bottom w:val="single" w:sz="4" w:space="0" w:color="auto"/>
              <w:right w:val="single" w:sz="4" w:space="0" w:color="auto"/>
            </w:tcBorders>
            <w:shd w:val="clear" w:color="auto" w:fill="011C50"/>
            <w:noWrap/>
            <w:vAlign w:val="bottom"/>
            <w:hideMark/>
          </w:tcPr>
          <w:p w14:paraId="7FB8B2F3" w14:textId="7F9507CB" w:rsidR="00916F88" w:rsidRPr="00916F88" w:rsidRDefault="00916F88" w:rsidP="00B00075">
            <w:pPr>
              <w:spacing w:line="360" w:lineRule="auto"/>
              <w:jc w:val="center"/>
              <w:rPr>
                <w:rFonts w:eastAsia="Calibri"/>
                <w:noProof/>
                <w:color w:val="FFFFFF" w:themeColor="background1"/>
                <w:lang w:val="es-DO"/>
              </w:rPr>
            </w:pPr>
            <w:r w:rsidRPr="00916F88">
              <w:rPr>
                <w:rFonts w:eastAsia="Calibri"/>
                <w:noProof/>
                <w:color w:val="FFFFFF" w:themeColor="background1"/>
                <w:lang w:val="es-DO"/>
              </w:rPr>
              <w:t>Masculino</w:t>
            </w:r>
          </w:p>
        </w:tc>
        <w:tc>
          <w:tcPr>
            <w:tcW w:w="2310" w:type="dxa"/>
            <w:gridSpan w:val="3"/>
            <w:tcBorders>
              <w:top w:val="single" w:sz="4" w:space="0" w:color="auto"/>
              <w:left w:val="nil"/>
              <w:bottom w:val="single" w:sz="4" w:space="0" w:color="auto"/>
              <w:right w:val="single" w:sz="4" w:space="0" w:color="auto"/>
            </w:tcBorders>
            <w:shd w:val="clear" w:color="auto" w:fill="011C50"/>
            <w:noWrap/>
            <w:vAlign w:val="bottom"/>
            <w:hideMark/>
          </w:tcPr>
          <w:p w14:paraId="6BB6208B" w14:textId="1358F4C7" w:rsidR="00916F88" w:rsidRPr="00916F88" w:rsidRDefault="00916F88" w:rsidP="00B00075">
            <w:pPr>
              <w:spacing w:line="360" w:lineRule="auto"/>
              <w:jc w:val="center"/>
              <w:rPr>
                <w:rFonts w:eastAsia="Calibri"/>
                <w:noProof/>
                <w:color w:val="FFFFFF" w:themeColor="background1"/>
                <w:lang w:val="es-DO"/>
              </w:rPr>
            </w:pPr>
            <w:r w:rsidRPr="00916F88">
              <w:rPr>
                <w:rFonts w:eastAsia="Calibri"/>
                <w:noProof/>
                <w:color w:val="FFFFFF" w:themeColor="background1"/>
                <w:lang w:val="es-DO"/>
              </w:rPr>
              <w:t>Totales</w:t>
            </w:r>
          </w:p>
        </w:tc>
      </w:tr>
      <w:tr w:rsidR="00916F88" w:rsidRPr="00916F88" w14:paraId="6A0E29BC" w14:textId="77777777" w:rsidTr="00B00075">
        <w:trPr>
          <w:trHeight w:val="293"/>
          <w:tblHeader/>
          <w:jc w:val="center"/>
        </w:trPr>
        <w:tc>
          <w:tcPr>
            <w:tcW w:w="3187" w:type="dxa"/>
            <w:vMerge/>
            <w:tcBorders>
              <w:top w:val="single" w:sz="4" w:space="0" w:color="auto"/>
              <w:left w:val="single" w:sz="4" w:space="0" w:color="auto"/>
              <w:bottom w:val="single" w:sz="4" w:space="0" w:color="000000"/>
              <w:right w:val="single" w:sz="4" w:space="0" w:color="auto"/>
            </w:tcBorders>
            <w:shd w:val="clear" w:color="auto" w:fill="011C50"/>
            <w:vAlign w:val="center"/>
            <w:hideMark/>
          </w:tcPr>
          <w:p w14:paraId="616C6116" w14:textId="77777777" w:rsidR="00916F88" w:rsidRPr="00916F88" w:rsidRDefault="00916F88" w:rsidP="00B00075">
            <w:pPr>
              <w:spacing w:line="360" w:lineRule="auto"/>
              <w:jc w:val="center"/>
              <w:rPr>
                <w:rFonts w:eastAsia="Calibri"/>
                <w:noProof/>
                <w:color w:val="4C4747"/>
                <w:lang w:val="es-DO"/>
              </w:rPr>
            </w:pPr>
          </w:p>
        </w:tc>
        <w:tc>
          <w:tcPr>
            <w:tcW w:w="420" w:type="dxa"/>
            <w:tcBorders>
              <w:top w:val="nil"/>
              <w:left w:val="nil"/>
              <w:bottom w:val="single" w:sz="4" w:space="0" w:color="auto"/>
              <w:right w:val="single" w:sz="4" w:space="0" w:color="auto"/>
            </w:tcBorders>
            <w:shd w:val="clear" w:color="auto" w:fill="D9D9D9"/>
            <w:noWrap/>
            <w:vAlign w:val="bottom"/>
            <w:hideMark/>
          </w:tcPr>
          <w:p w14:paraId="15D570D8" w14:textId="77777777" w:rsidR="00916F88" w:rsidRPr="00AC7AC2" w:rsidRDefault="00916F88" w:rsidP="00B00075">
            <w:pPr>
              <w:spacing w:line="360" w:lineRule="auto"/>
              <w:jc w:val="center"/>
              <w:rPr>
                <w:rFonts w:eastAsia="Calibri"/>
                <w:noProof/>
                <w:lang w:val="es-DO"/>
              </w:rPr>
            </w:pPr>
            <w:r w:rsidRPr="00AC7AC2">
              <w:rPr>
                <w:rFonts w:eastAsia="Calibri"/>
                <w:noProof/>
                <w:lang w:val="es-DO"/>
              </w:rPr>
              <w:t>I</w:t>
            </w:r>
          </w:p>
        </w:tc>
        <w:tc>
          <w:tcPr>
            <w:tcW w:w="420" w:type="dxa"/>
            <w:tcBorders>
              <w:top w:val="nil"/>
              <w:left w:val="nil"/>
              <w:bottom w:val="single" w:sz="4" w:space="0" w:color="auto"/>
              <w:right w:val="single" w:sz="4" w:space="0" w:color="auto"/>
            </w:tcBorders>
            <w:shd w:val="clear" w:color="auto" w:fill="D9D9D9"/>
            <w:noWrap/>
            <w:vAlign w:val="bottom"/>
            <w:hideMark/>
          </w:tcPr>
          <w:p w14:paraId="3856DEDE" w14:textId="77777777" w:rsidR="00916F88" w:rsidRPr="00AC7AC2" w:rsidRDefault="00916F88" w:rsidP="00B00075">
            <w:pPr>
              <w:spacing w:line="360" w:lineRule="auto"/>
              <w:jc w:val="center"/>
              <w:rPr>
                <w:rFonts w:eastAsia="Calibri"/>
                <w:noProof/>
                <w:lang w:val="es-DO"/>
              </w:rPr>
            </w:pPr>
            <w:r w:rsidRPr="00AC7AC2">
              <w:rPr>
                <w:rFonts w:eastAsia="Calibri"/>
                <w:noProof/>
                <w:lang w:val="es-DO"/>
              </w:rPr>
              <w:t>II</w:t>
            </w:r>
          </w:p>
        </w:tc>
        <w:tc>
          <w:tcPr>
            <w:tcW w:w="440" w:type="dxa"/>
            <w:tcBorders>
              <w:top w:val="nil"/>
              <w:left w:val="nil"/>
              <w:bottom w:val="single" w:sz="4" w:space="0" w:color="auto"/>
              <w:right w:val="single" w:sz="4" w:space="0" w:color="auto"/>
            </w:tcBorders>
            <w:shd w:val="clear" w:color="auto" w:fill="D9D9D9"/>
            <w:noWrap/>
            <w:vAlign w:val="bottom"/>
            <w:hideMark/>
          </w:tcPr>
          <w:p w14:paraId="77B0C0AA" w14:textId="77777777" w:rsidR="00916F88" w:rsidRPr="00AC7AC2" w:rsidRDefault="00916F88" w:rsidP="00B00075">
            <w:pPr>
              <w:spacing w:line="360" w:lineRule="auto"/>
              <w:jc w:val="center"/>
              <w:rPr>
                <w:rFonts w:eastAsia="Calibri"/>
                <w:noProof/>
                <w:lang w:val="es-DO"/>
              </w:rPr>
            </w:pPr>
            <w:r w:rsidRPr="00AC7AC2">
              <w:rPr>
                <w:rFonts w:eastAsia="Calibri"/>
                <w:noProof/>
                <w:lang w:val="es-DO"/>
              </w:rPr>
              <w:t>III</w:t>
            </w:r>
          </w:p>
        </w:tc>
        <w:tc>
          <w:tcPr>
            <w:tcW w:w="434" w:type="dxa"/>
            <w:tcBorders>
              <w:top w:val="nil"/>
              <w:left w:val="nil"/>
              <w:bottom w:val="single" w:sz="4" w:space="0" w:color="auto"/>
              <w:right w:val="single" w:sz="4" w:space="0" w:color="auto"/>
            </w:tcBorders>
            <w:shd w:val="clear" w:color="auto" w:fill="D9D9D9"/>
            <w:noWrap/>
            <w:vAlign w:val="bottom"/>
            <w:hideMark/>
          </w:tcPr>
          <w:p w14:paraId="52DC27AD" w14:textId="77777777" w:rsidR="00916F88" w:rsidRPr="00AC7AC2" w:rsidRDefault="00916F88" w:rsidP="00B00075">
            <w:pPr>
              <w:spacing w:line="360" w:lineRule="auto"/>
              <w:jc w:val="center"/>
              <w:rPr>
                <w:rFonts w:eastAsia="Calibri"/>
                <w:noProof/>
                <w:lang w:val="es-DO"/>
              </w:rPr>
            </w:pPr>
            <w:r w:rsidRPr="00AC7AC2">
              <w:rPr>
                <w:rFonts w:eastAsia="Calibri"/>
                <w:noProof/>
                <w:lang w:val="es-DO"/>
              </w:rPr>
              <w:t>IV</w:t>
            </w:r>
          </w:p>
        </w:tc>
        <w:tc>
          <w:tcPr>
            <w:tcW w:w="334" w:type="dxa"/>
            <w:tcBorders>
              <w:top w:val="nil"/>
              <w:left w:val="nil"/>
              <w:bottom w:val="single" w:sz="4" w:space="0" w:color="auto"/>
              <w:right w:val="single" w:sz="4" w:space="0" w:color="auto"/>
            </w:tcBorders>
            <w:shd w:val="clear" w:color="auto" w:fill="D9D9D9"/>
            <w:noWrap/>
            <w:vAlign w:val="bottom"/>
            <w:hideMark/>
          </w:tcPr>
          <w:p w14:paraId="62EB03AB" w14:textId="77777777" w:rsidR="00916F88" w:rsidRPr="00AC7AC2" w:rsidRDefault="00916F88" w:rsidP="00B00075">
            <w:pPr>
              <w:spacing w:line="360" w:lineRule="auto"/>
              <w:jc w:val="center"/>
              <w:rPr>
                <w:rFonts w:eastAsia="Calibri"/>
                <w:noProof/>
                <w:lang w:val="es-DO"/>
              </w:rPr>
            </w:pPr>
            <w:r w:rsidRPr="00AC7AC2">
              <w:rPr>
                <w:rFonts w:eastAsia="Calibri"/>
                <w:noProof/>
                <w:lang w:val="es-DO"/>
              </w:rPr>
              <w:t>V</w:t>
            </w:r>
          </w:p>
        </w:tc>
        <w:tc>
          <w:tcPr>
            <w:tcW w:w="420" w:type="dxa"/>
            <w:tcBorders>
              <w:top w:val="nil"/>
              <w:left w:val="nil"/>
              <w:bottom w:val="single" w:sz="4" w:space="0" w:color="auto"/>
              <w:right w:val="single" w:sz="4" w:space="0" w:color="auto"/>
            </w:tcBorders>
            <w:shd w:val="clear" w:color="auto" w:fill="D9D9D9"/>
            <w:noWrap/>
            <w:vAlign w:val="bottom"/>
            <w:hideMark/>
          </w:tcPr>
          <w:p w14:paraId="6CF89F92" w14:textId="77777777" w:rsidR="00916F88" w:rsidRPr="00AC7AC2" w:rsidRDefault="00916F88" w:rsidP="00B00075">
            <w:pPr>
              <w:spacing w:line="360" w:lineRule="auto"/>
              <w:jc w:val="center"/>
              <w:rPr>
                <w:rFonts w:eastAsia="Calibri"/>
                <w:noProof/>
                <w:lang w:val="es-DO"/>
              </w:rPr>
            </w:pPr>
            <w:r w:rsidRPr="00AC7AC2">
              <w:rPr>
                <w:rFonts w:eastAsia="Calibri"/>
                <w:noProof/>
                <w:lang w:val="es-DO"/>
              </w:rPr>
              <w:t>I</w:t>
            </w:r>
          </w:p>
        </w:tc>
        <w:tc>
          <w:tcPr>
            <w:tcW w:w="340" w:type="dxa"/>
            <w:tcBorders>
              <w:top w:val="nil"/>
              <w:left w:val="nil"/>
              <w:bottom w:val="single" w:sz="4" w:space="0" w:color="auto"/>
              <w:right w:val="single" w:sz="4" w:space="0" w:color="auto"/>
            </w:tcBorders>
            <w:shd w:val="clear" w:color="auto" w:fill="D9D9D9"/>
            <w:noWrap/>
            <w:vAlign w:val="bottom"/>
            <w:hideMark/>
          </w:tcPr>
          <w:p w14:paraId="190E85D3" w14:textId="77777777" w:rsidR="00916F88" w:rsidRPr="00AC7AC2" w:rsidRDefault="00916F88" w:rsidP="00B00075">
            <w:pPr>
              <w:spacing w:line="360" w:lineRule="auto"/>
              <w:jc w:val="center"/>
              <w:rPr>
                <w:rFonts w:eastAsia="Calibri"/>
                <w:noProof/>
                <w:lang w:val="es-DO"/>
              </w:rPr>
            </w:pPr>
            <w:r w:rsidRPr="00AC7AC2">
              <w:rPr>
                <w:rFonts w:eastAsia="Calibri"/>
                <w:noProof/>
                <w:lang w:val="es-DO"/>
              </w:rPr>
              <w:t>II</w:t>
            </w:r>
          </w:p>
        </w:tc>
        <w:tc>
          <w:tcPr>
            <w:tcW w:w="440" w:type="dxa"/>
            <w:tcBorders>
              <w:top w:val="nil"/>
              <w:left w:val="nil"/>
              <w:bottom w:val="single" w:sz="4" w:space="0" w:color="auto"/>
              <w:right w:val="single" w:sz="4" w:space="0" w:color="auto"/>
            </w:tcBorders>
            <w:shd w:val="clear" w:color="auto" w:fill="D9D9D9"/>
            <w:noWrap/>
            <w:vAlign w:val="bottom"/>
            <w:hideMark/>
          </w:tcPr>
          <w:p w14:paraId="5D30A4C6" w14:textId="77777777" w:rsidR="00916F88" w:rsidRPr="00AC7AC2" w:rsidRDefault="00916F88" w:rsidP="00B00075">
            <w:pPr>
              <w:spacing w:line="360" w:lineRule="auto"/>
              <w:jc w:val="center"/>
              <w:rPr>
                <w:rFonts w:eastAsia="Calibri"/>
                <w:noProof/>
                <w:lang w:val="es-DO"/>
              </w:rPr>
            </w:pPr>
            <w:r w:rsidRPr="00AC7AC2">
              <w:rPr>
                <w:rFonts w:eastAsia="Calibri"/>
                <w:noProof/>
                <w:lang w:val="es-DO"/>
              </w:rPr>
              <w:t>III</w:t>
            </w:r>
          </w:p>
        </w:tc>
        <w:tc>
          <w:tcPr>
            <w:tcW w:w="434" w:type="dxa"/>
            <w:tcBorders>
              <w:top w:val="nil"/>
              <w:left w:val="nil"/>
              <w:bottom w:val="single" w:sz="4" w:space="0" w:color="auto"/>
              <w:right w:val="single" w:sz="4" w:space="0" w:color="auto"/>
            </w:tcBorders>
            <w:shd w:val="clear" w:color="auto" w:fill="D9D9D9"/>
            <w:noWrap/>
            <w:vAlign w:val="bottom"/>
            <w:hideMark/>
          </w:tcPr>
          <w:p w14:paraId="2E2E37D1" w14:textId="77777777" w:rsidR="00916F88" w:rsidRPr="00AC7AC2" w:rsidRDefault="00916F88" w:rsidP="00B00075">
            <w:pPr>
              <w:spacing w:line="360" w:lineRule="auto"/>
              <w:jc w:val="center"/>
              <w:rPr>
                <w:rFonts w:eastAsia="Calibri"/>
                <w:noProof/>
                <w:lang w:val="es-DO"/>
              </w:rPr>
            </w:pPr>
            <w:r w:rsidRPr="00AC7AC2">
              <w:rPr>
                <w:rFonts w:eastAsia="Calibri"/>
                <w:noProof/>
                <w:lang w:val="es-DO"/>
              </w:rPr>
              <w:t>IV</w:t>
            </w:r>
          </w:p>
        </w:tc>
        <w:tc>
          <w:tcPr>
            <w:tcW w:w="334" w:type="dxa"/>
            <w:tcBorders>
              <w:top w:val="nil"/>
              <w:left w:val="nil"/>
              <w:bottom w:val="single" w:sz="4" w:space="0" w:color="auto"/>
              <w:right w:val="single" w:sz="4" w:space="0" w:color="auto"/>
            </w:tcBorders>
            <w:shd w:val="clear" w:color="auto" w:fill="D9D9D9"/>
            <w:noWrap/>
            <w:vAlign w:val="bottom"/>
            <w:hideMark/>
          </w:tcPr>
          <w:p w14:paraId="3E201861" w14:textId="77777777" w:rsidR="00916F88" w:rsidRPr="00AC7AC2" w:rsidRDefault="00916F88" w:rsidP="00B00075">
            <w:pPr>
              <w:spacing w:line="360" w:lineRule="auto"/>
              <w:jc w:val="center"/>
              <w:rPr>
                <w:rFonts w:eastAsia="Calibri"/>
                <w:noProof/>
                <w:lang w:val="es-DO"/>
              </w:rPr>
            </w:pPr>
            <w:r w:rsidRPr="00AC7AC2">
              <w:rPr>
                <w:rFonts w:eastAsia="Calibri"/>
                <w:noProof/>
                <w:lang w:val="es-DO"/>
              </w:rPr>
              <w:t>V</w:t>
            </w:r>
          </w:p>
        </w:tc>
        <w:tc>
          <w:tcPr>
            <w:tcW w:w="609" w:type="dxa"/>
            <w:tcBorders>
              <w:top w:val="nil"/>
              <w:left w:val="nil"/>
              <w:bottom w:val="single" w:sz="4" w:space="0" w:color="auto"/>
              <w:right w:val="single" w:sz="4" w:space="0" w:color="auto"/>
            </w:tcBorders>
            <w:shd w:val="clear" w:color="auto" w:fill="D9D9D9"/>
            <w:noWrap/>
            <w:vAlign w:val="bottom"/>
            <w:hideMark/>
          </w:tcPr>
          <w:p w14:paraId="705417B4" w14:textId="25E08DF6" w:rsidR="00916F88" w:rsidRPr="00AC7AC2" w:rsidRDefault="00B00075" w:rsidP="00B00075">
            <w:pPr>
              <w:spacing w:line="360" w:lineRule="auto"/>
              <w:jc w:val="center"/>
              <w:rPr>
                <w:rFonts w:eastAsia="Calibri"/>
                <w:b/>
                <w:bCs/>
                <w:noProof/>
                <w:lang w:val="es-DO"/>
              </w:rPr>
            </w:pPr>
            <w:r w:rsidRPr="00AC7AC2">
              <w:rPr>
                <w:rFonts w:eastAsia="Calibri"/>
                <w:b/>
                <w:bCs/>
                <w:noProof/>
                <w:lang w:val="es-DO"/>
              </w:rPr>
              <w:t>F</w:t>
            </w:r>
          </w:p>
        </w:tc>
        <w:tc>
          <w:tcPr>
            <w:tcW w:w="567" w:type="dxa"/>
            <w:tcBorders>
              <w:top w:val="nil"/>
              <w:left w:val="nil"/>
              <w:bottom w:val="single" w:sz="4" w:space="0" w:color="auto"/>
              <w:right w:val="single" w:sz="4" w:space="0" w:color="auto"/>
            </w:tcBorders>
            <w:shd w:val="clear" w:color="auto" w:fill="D9D9D9"/>
            <w:noWrap/>
            <w:vAlign w:val="bottom"/>
            <w:hideMark/>
          </w:tcPr>
          <w:p w14:paraId="651E45C1" w14:textId="56B33DD9" w:rsidR="00916F88" w:rsidRPr="00AC7AC2" w:rsidRDefault="00B00075" w:rsidP="00B00075">
            <w:pPr>
              <w:spacing w:line="360" w:lineRule="auto"/>
              <w:jc w:val="center"/>
              <w:rPr>
                <w:rFonts w:eastAsia="Calibri"/>
                <w:b/>
                <w:bCs/>
                <w:noProof/>
                <w:lang w:val="es-DO"/>
              </w:rPr>
            </w:pPr>
            <w:r w:rsidRPr="00AC7AC2">
              <w:rPr>
                <w:rFonts w:eastAsia="Calibri"/>
                <w:b/>
                <w:bCs/>
                <w:noProof/>
                <w:lang w:val="es-DO"/>
              </w:rPr>
              <w:t>M</w:t>
            </w:r>
          </w:p>
        </w:tc>
        <w:tc>
          <w:tcPr>
            <w:tcW w:w="1134" w:type="dxa"/>
            <w:tcBorders>
              <w:top w:val="nil"/>
              <w:left w:val="nil"/>
              <w:bottom w:val="single" w:sz="4" w:space="0" w:color="auto"/>
              <w:right w:val="single" w:sz="4" w:space="0" w:color="auto"/>
            </w:tcBorders>
            <w:shd w:val="clear" w:color="auto" w:fill="D9D9D9"/>
            <w:noWrap/>
            <w:vAlign w:val="bottom"/>
            <w:hideMark/>
          </w:tcPr>
          <w:p w14:paraId="5566F692" w14:textId="35589994" w:rsidR="00916F88" w:rsidRPr="00AC7AC2" w:rsidRDefault="00916F88" w:rsidP="00B00075">
            <w:pPr>
              <w:spacing w:line="360" w:lineRule="auto"/>
              <w:jc w:val="center"/>
              <w:rPr>
                <w:rFonts w:eastAsia="Calibri"/>
                <w:b/>
                <w:bCs/>
                <w:noProof/>
                <w:lang w:val="es-DO"/>
              </w:rPr>
            </w:pPr>
            <w:r w:rsidRPr="00AC7AC2">
              <w:rPr>
                <w:rFonts w:eastAsia="Calibri"/>
                <w:b/>
                <w:bCs/>
                <w:noProof/>
                <w:lang w:val="es-DO"/>
              </w:rPr>
              <w:t>General</w:t>
            </w:r>
          </w:p>
        </w:tc>
      </w:tr>
      <w:tr w:rsidR="00916F88" w:rsidRPr="00916F88" w14:paraId="59AE84AD" w14:textId="77777777" w:rsidTr="00B00075">
        <w:trPr>
          <w:trHeight w:val="536"/>
          <w:jc w:val="center"/>
        </w:trPr>
        <w:tc>
          <w:tcPr>
            <w:tcW w:w="3187" w:type="dxa"/>
            <w:tcBorders>
              <w:top w:val="nil"/>
              <w:left w:val="single" w:sz="4" w:space="0" w:color="auto"/>
              <w:bottom w:val="single" w:sz="4" w:space="0" w:color="auto"/>
              <w:right w:val="single" w:sz="4" w:space="0" w:color="auto"/>
            </w:tcBorders>
            <w:vAlign w:val="bottom"/>
            <w:hideMark/>
          </w:tcPr>
          <w:p w14:paraId="3C640450"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Despacho de Tesorero Nacional</w:t>
            </w:r>
          </w:p>
        </w:tc>
        <w:tc>
          <w:tcPr>
            <w:tcW w:w="420" w:type="dxa"/>
            <w:tcBorders>
              <w:top w:val="nil"/>
              <w:left w:val="nil"/>
              <w:bottom w:val="single" w:sz="4" w:space="0" w:color="auto"/>
              <w:right w:val="single" w:sz="4" w:space="0" w:color="auto"/>
            </w:tcBorders>
            <w:vAlign w:val="bottom"/>
            <w:hideMark/>
          </w:tcPr>
          <w:p w14:paraId="640643EE"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20" w:type="dxa"/>
            <w:tcBorders>
              <w:top w:val="nil"/>
              <w:left w:val="nil"/>
              <w:bottom w:val="single" w:sz="4" w:space="0" w:color="auto"/>
              <w:right w:val="single" w:sz="4" w:space="0" w:color="auto"/>
            </w:tcBorders>
            <w:vAlign w:val="bottom"/>
            <w:hideMark/>
          </w:tcPr>
          <w:p w14:paraId="5F68FD9E"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40" w:type="dxa"/>
            <w:tcBorders>
              <w:top w:val="nil"/>
              <w:left w:val="nil"/>
              <w:bottom w:val="single" w:sz="4" w:space="0" w:color="auto"/>
              <w:right w:val="single" w:sz="4" w:space="0" w:color="auto"/>
            </w:tcBorders>
            <w:vAlign w:val="center"/>
            <w:hideMark/>
          </w:tcPr>
          <w:p w14:paraId="59D66F69"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434" w:type="dxa"/>
            <w:tcBorders>
              <w:top w:val="nil"/>
              <w:left w:val="nil"/>
              <w:bottom w:val="single" w:sz="4" w:space="0" w:color="auto"/>
              <w:right w:val="single" w:sz="4" w:space="0" w:color="auto"/>
            </w:tcBorders>
            <w:vAlign w:val="center"/>
            <w:hideMark/>
          </w:tcPr>
          <w:p w14:paraId="127D0742"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334" w:type="dxa"/>
            <w:tcBorders>
              <w:top w:val="nil"/>
              <w:left w:val="nil"/>
              <w:bottom w:val="single" w:sz="4" w:space="0" w:color="auto"/>
              <w:right w:val="single" w:sz="4" w:space="0" w:color="auto"/>
            </w:tcBorders>
            <w:vAlign w:val="bottom"/>
            <w:hideMark/>
          </w:tcPr>
          <w:p w14:paraId="618C28F8"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20" w:type="dxa"/>
            <w:tcBorders>
              <w:top w:val="nil"/>
              <w:left w:val="nil"/>
              <w:bottom w:val="single" w:sz="4" w:space="0" w:color="auto"/>
              <w:right w:val="single" w:sz="4" w:space="0" w:color="auto"/>
            </w:tcBorders>
            <w:vAlign w:val="center"/>
            <w:hideMark/>
          </w:tcPr>
          <w:p w14:paraId="590CA28F" w14:textId="77777777" w:rsidR="00916F88" w:rsidRPr="00AC7AC2" w:rsidRDefault="00916F88" w:rsidP="00D64261">
            <w:pPr>
              <w:spacing w:line="360" w:lineRule="auto"/>
              <w:jc w:val="both"/>
              <w:rPr>
                <w:rFonts w:eastAsia="Calibri"/>
                <w:noProof/>
                <w:lang w:val="es-DO"/>
              </w:rPr>
            </w:pPr>
            <w:r w:rsidRPr="00AC7AC2">
              <w:rPr>
                <w:rFonts w:eastAsia="Calibri"/>
                <w:noProof/>
              </w:rPr>
              <w:t>2</w:t>
            </w:r>
          </w:p>
        </w:tc>
        <w:tc>
          <w:tcPr>
            <w:tcW w:w="340" w:type="dxa"/>
            <w:tcBorders>
              <w:top w:val="nil"/>
              <w:left w:val="nil"/>
              <w:bottom w:val="single" w:sz="4" w:space="0" w:color="auto"/>
              <w:right w:val="single" w:sz="4" w:space="0" w:color="auto"/>
            </w:tcBorders>
            <w:vAlign w:val="bottom"/>
            <w:hideMark/>
          </w:tcPr>
          <w:p w14:paraId="54C53A70"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40" w:type="dxa"/>
            <w:tcBorders>
              <w:top w:val="nil"/>
              <w:left w:val="nil"/>
              <w:bottom w:val="single" w:sz="4" w:space="0" w:color="auto"/>
              <w:right w:val="single" w:sz="4" w:space="0" w:color="auto"/>
            </w:tcBorders>
            <w:vAlign w:val="bottom"/>
            <w:hideMark/>
          </w:tcPr>
          <w:p w14:paraId="2D5FC982"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34" w:type="dxa"/>
            <w:tcBorders>
              <w:top w:val="nil"/>
              <w:left w:val="nil"/>
              <w:bottom w:val="single" w:sz="4" w:space="0" w:color="auto"/>
              <w:right w:val="single" w:sz="4" w:space="0" w:color="auto"/>
            </w:tcBorders>
            <w:vAlign w:val="bottom"/>
            <w:hideMark/>
          </w:tcPr>
          <w:p w14:paraId="4EC24C81"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334" w:type="dxa"/>
            <w:tcBorders>
              <w:top w:val="nil"/>
              <w:left w:val="nil"/>
              <w:bottom w:val="single" w:sz="4" w:space="0" w:color="auto"/>
              <w:right w:val="single" w:sz="4" w:space="0" w:color="auto"/>
            </w:tcBorders>
            <w:vAlign w:val="center"/>
            <w:hideMark/>
          </w:tcPr>
          <w:p w14:paraId="0EFDC742" w14:textId="77777777" w:rsidR="00916F88" w:rsidRPr="00AC7AC2" w:rsidRDefault="00916F88" w:rsidP="00D64261">
            <w:pPr>
              <w:spacing w:line="360" w:lineRule="auto"/>
              <w:jc w:val="both"/>
              <w:rPr>
                <w:rFonts w:eastAsia="Calibri"/>
                <w:noProof/>
                <w:lang w:val="es-DO"/>
              </w:rPr>
            </w:pPr>
            <w:r w:rsidRPr="00AC7AC2">
              <w:rPr>
                <w:rFonts w:eastAsia="Calibri"/>
                <w:noProof/>
              </w:rPr>
              <w:t>5</w:t>
            </w:r>
          </w:p>
        </w:tc>
        <w:tc>
          <w:tcPr>
            <w:tcW w:w="609" w:type="dxa"/>
            <w:tcBorders>
              <w:top w:val="nil"/>
              <w:left w:val="nil"/>
              <w:bottom w:val="single" w:sz="4" w:space="0" w:color="auto"/>
              <w:right w:val="single" w:sz="4" w:space="0" w:color="auto"/>
            </w:tcBorders>
            <w:vAlign w:val="center"/>
            <w:hideMark/>
          </w:tcPr>
          <w:p w14:paraId="38D1F303" w14:textId="77777777" w:rsidR="00916F88" w:rsidRPr="00AC7AC2" w:rsidRDefault="00916F88" w:rsidP="00D64261">
            <w:pPr>
              <w:spacing w:line="360" w:lineRule="auto"/>
              <w:jc w:val="both"/>
              <w:rPr>
                <w:rFonts w:eastAsia="Calibri"/>
                <w:noProof/>
                <w:lang w:val="es-DO"/>
              </w:rPr>
            </w:pPr>
            <w:r w:rsidRPr="00AC7AC2">
              <w:rPr>
                <w:rFonts w:eastAsia="Calibri"/>
                <w:noProof/>
              </w:rPr>
              <w:t>2</w:t>
            </w:r>
          </w:p>
        </w:tc>
        <w:tc>
          <w:tcPr>
            <w:tcW w:w="567" w:type="dxa"/>
            <w:tcBorders>
              <w:top w:val="nil"/>
              <w:left w:val="nil"/>
              <w:bottom w:val="single" w:sz="4" w:space="0" w:color="auto"/>
              <w:right w:val="single" w:sz="4" w:space="0" w:color="auto"/>
            </w:tcBorders>
            <w:vAlign w:val="center"/>
            <w:hideMark/>
          </w:tcPr>
          <w:p w14:paraId="6964913B" w14:textId="77777777" w:rsidR="00916F88" w:rsidRPr="00AC7AC2" w:rsidRDefault="00916F88" w:rsidP="00D64261">
            <w:pPr>
              <w:spacing w:line="360" w:lineRule="auto"/>
              <w:jc w:val="both"/>
              <w:rPr>
                <w:rFonts w:eastAsia="Calibri"/>
                <w:noProof/>
                <w:lang w:val="es-DO"/>
              </w:rPr>
            </w:pPr>
            <w:r w:rsidRPr="00AC7AC2">
              <w:rPr>
                <w:rFonts w:eastAsia="Calibri"/>
                <w:noProof/>
              </w:rPr>
              <w:t>7</w:t>
            </w:r>
          </w:p>
        </w:tc>
        <w:tc>
          <w:tcPr>
            <w:tcW w:w="1134" w:type="dxa"/>
            <w:tcBorders>
              <w:top w:val="nil"/>
              <w:left w:val="nil"/>
              <w:bottom w:val="single" w:sz="4" w:space="0" w:color="auto"/>
              <w:right w:val="single" w:sz="4" w:space="0" w:color="auto"/>
            </w:tcBorders>
            <w:vAlign w:val="center"/>
            <w:hideMark/>
          </w:tcPr>
          <w:p w14:paraId="522467CA" w14:textId="77777777" w:rsidR="00916F88" w:rsidRPr="00AC7AC2" w:rsidRDefault="00916F88" w:rsidP="00D64261">
            <w:pPr>
              <w:spacing w:line="360" w:lineRule="auto"/>
              <w:jc w:val="both"/>
              <w:rPr>
                <w:rFonts w:eastAsia="Calibri"/>
                <w:noProof/>
                <w:lang w:val="es-DO"/>
              </w:rPr>
            </w:pPr>
            <w:r w:rsidRPr="00AC7AC2">
              <w:rPr>
                <w:rFonts w:eastAsia="Calibri"/>
                <w:noProof/>
              </w:rPr>
              <w:t>9</w:t>
            </w:r>
          </w:p>
        </w:tc>
      </w:tr>
      <w:tr w:rsidR="00916F88" w:rsidRPr="00916F88" w14:paraId="03F2E71F" w14:textId="77777777" w:rsidTr="00B00075">
        <w:trPr>
          <w:trHeight w:val="536"/>
          <w:jc w:val="center"/>
        </w:trPr>
        <w:tc>
          <w:tcPr>
            <w:tcW w:w="3187" w:type="dxa"/>
            <w:tcBorders>
              <w:top w:val="nil"/>
              <w:left w:val="single" w:sz="4" w:space="0" w:color="auto"/>
              <w:bottom w:val="single" w:sz="4" w:space="0" w:color="auto"/>
              <w:right w:val="single" w:sz="4" w:space="0" w:color="auto"/>
            </w:tcBorders>
            <w:vAlign w:val="bottom"/>
            <w:hideMark/>
          </w:tcPr>
          <w:p w14:paraId="1724C7F4"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Departamento De Comunicaciones</w:t>
            </w:r>
          </w:p>
        </w:tc>
        <w:tc>
          <w:tcPr>
            <w:tcW w:w="420" w:type="dxa"/>
            <w:tcBorders>
              <w:top w:val="nil"/>
              <w:left w:val="nil"/>
              <w:bottom w:val="single" w:sz="4" w:space="0" w:color="auto"/>
              <w:right w:val="single" w:sz="4" w:space="0" w:color="auto"/>
            </w:tcBorders>
            <w:vAlign w:val="bottom"/>
            <w:hideMark/>
          </w:tcPr>
          <w:p w14:paraId="79178CB7"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20" w:type="dxa"/>
            <w:tcBorders>
              <w:top w:val="nil"/>
              <w:left w:val="nil"/>
              <w:bottom w:val="single" w:sz="4" w:space="0" w:color="auto"/>
              <w:right w:val="single" w:sz="4" w:space="0" w:color="auto"/>
            </w:tcBorders>
            <w:vAlign w:val="bottom"/>
            <w:hideMark/>
          </w:tcPr>
          <w:p w14:paraId="177E47B6"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440" w:type="dxa"/>
            <w:tcBorders>
              <w:top w:val="nil"/>
              <w:left w:val="nil"/>
              <w:bottom w:val="single" w:sz="4" w:space="0" w:color="auto"/>
              <w:right w:val="single" w:sz="4" w:space="0" w:color="auto"/>
            </w:tcBorders>
            <w:vAlign w:val="bottom"/>
            <w:hideMark/>
          </w:tcPr>
          <w:p w14:paraId="6291D513"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434" w:type="dxa"/>
            <w:tcBorders>
              <w:top w:val="nil"/>
              <w:left w:val="nil"/>
              <w:bottom w:val="single" w:sz="4" w:space="0" w:color="auto"/>
              <w:right w:val="single" w:sz="4" w:space="0" w:color="auto"/>
            </w:tcBorders>
            <w:vAlign w:val="center"/>
            <w:hideMark/>
          </w:tcPr>
          <w:p w14:paraId="0FA83071" w14:textId="77777777" w:rsidR="00916F88" w:rsidRPr="00AC7AC2" w:rsidRDefault="00916F88" w:rsidP="00D64261">
            <w:pPr>
              <w:spacing w:line="360" w:lineRule="auto"/>
              <w:jc w:val="both"/>
              <w:rPr>
                <w:rFonts w:eastAsia="Calibri"/>
                <w:noProof/>
                <w:lang w:val="es-DO"/>
              </w:rPr>
            </w:pPr>
            <w:r w:rsidRPr="00AC7AC2">
              <w:rPr>
                <w:rFonts w:eastAsia="Calibri"/>
                <w:noProof/>
              </w:rPr>
              <w:t>6</w:t>
            </w:r>
          </w:p>
        </w:tc>
        <w:tc>
          <w:tcPr>
            <w:tcW w:w="334" w:type="dxa"/>
            <w:tcBorders>
              <w:top w:val="nil"/>
              <w:left w:val="nil"/>
              <w:bottom w:val="single" w:sz="4" w:space="0" w:color="auto"/>
              <w:right w:val="single" w:sz="4" w:space="0" w:color="auto"/>
            </w:tcBorders>
            <w:vAlign w:val="bottom"/>
            <w:hideMark/>
          </w:tcPr>
          <w:p w14:paraId="4257202A"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20" w:type="dxa"/>
            <w:tcBorders>
              <w:top w:val="nil"/>
              <w:left w:val="nil"/>
              <w:bottom w:val="single" w:sz="4" w:space="0" w:color="auto"/>
              <w:right w:val="single" w:sz="4" w:space="0" w:color="auto"/>
            </w:tcBorders>
            <w:vAlign w:val="bottom"/>
            <w:hideMark/>
          </w:tcPr>
          <w:p w14:paraId="2379BF2E"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340" w:type="dxa"/>
            <w:tcBorders>
              <w:top w:val="nil"/>
              <w:left w:val="nil"/>
              <w:bottom w:val="single" w:sz="4" w:space="0" w:color="auto"/>
              <w:right w:val="single" w:sz="4" w:space="0" w:color="auto"/>
            </w:tcBorders>
            <w:vAlign w:val="bottom"/>
            <w:hideMark/>
          </w:tcPr>
          <w:p w14:paraId="10A80BF9"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40" w:type="dxa"/>
            <w:tcBorders>
              <w:top w:val="nil"/>
              <w:left w:val="nil"/>
              <w:bottom w:val="single" w:sz="4" w:space="0" w:color="auto"/>
              <w:right w:val="single" w:sz="4" w:space="0" w:color="auto"/>
            </w:tcBorders>
            <w:vAlign w:val="bottom"/>
            <w:hideMark/>
          </w:tcPr>
          <w:p w14:paraId="19E01525"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34" w:type="dxa"/>
            <w:tcBorders>
              <w:top w:val="nil"/>
              <w:left w:val="nil"/>
              <w:bottom w:val="single" w:sz="4" w:space="0" w:color="auto"/>
              <w:right w:val="single" w:sz="4" w:space="0" w:color="auto"/>
            </w:tcBorders>
            <w:vAlign w:val="center"/>
            <w:hideMark/>
          </w:tcPr>
          <w:p w14:paraId="4497DD12" w14:textId="77777777" w:rsidR="00916F88" w:rsidRPr="00AC7AC2" w:rsidRDefault="00916F88" w:rsidP="00D64261">
            <w:pPr>
              <w:spacing w:line="360" w:lineRule="auto"/>
              <w:jc w:val="both"/>
              <w:rPr>
                <w:rFonts w:eastAsia="Calibri"/>
                <w:noProof/>
                <w:lang w:val="es-DO"/>
              </w:rPr>
            </w:pPr>
            <w:r w:rsidRPr="00AC7AC2">
              <w:rPr>
                <w:rFonts w:eastAsia="Calibri"/>
                <w:noProof/>
              </w:rPr>
              <w:t>3</w:t>
            </w:r>
          </w:p>
        </w:tc>
        <w:tc>
          <w:tcPr>
            <w:tcW w:w="334" w:type="dxa"/>
            <w:tcBorders>
              <w:top w:val="nil"/>
              <w:left w:val="nil"/>
              <w:bottom w:val="single" w:sz="4" w:space="0" w:color="auto"/>
              <w:right w:val="single" w:sz="4" w:space="0" w:color="auto"/>
            </w:tcBorders>
            <w:vAlign w:val="center"/>
            <w:hideMark/>
          </w:tcPr>
          <w:p w14:paraId="1108D0F6"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609" w:type="dxa"/>
            <w:tcBorders>
              <w:top w:val="nil"/>
              <w:left w:val="nil"/>
              <w:bottom w:val="single" w:sz="4" w:space="0" w:color="auto"/>
              <w:right w:val="single" w:sz="4" w:space="0" w:color="auto"/>
            </w:tcBorders>
            <w:vAlign w:val="center"/>
            <w:hideMark/>
          </w:tcPr>
          <w:p w14:paraId="1A45238B" w14:textId="77777777" w:rsidR="00916F88" w:rsidRPr="00AC7AC2" w:rsidRDefault="00916F88" w:rsidP="00D64261">
            <w:pPr>
              <w:spacing w:line="360" w:lineRule="auto"/>
              <w:jc w:val="both"/>
              <w:rPr>
                <w:rFonts w:eastAsia="Calibri"/>
                <w:noProof/>
                <w:lang w:val="es-DO"/>
              </w:rPr>
            </w:pPr>
            <w:r w:rsidRPr="00AC7AC2">
              <w:rPr>
                <w:rFonts w:eastAsia="Calibri"/>
                <w:noProof/>
              </w:rPr>
              <w:t>8</w:t>
            </w:r>
          </w:p>
        </w:tc>
        <w:tc>
          <w:tcPr>
            <w:tcW w:w="567" w:type="dxa"/>
            <w:tcBorders>
              <w:top w:val="nil"/>
              <w:left w:val="nil"/>
              <w:bottom w:val="single" w:sz="4" w:space="0" w:color="auto"/>
              <w:right w:val="single" w:sz="4" w:space="0" w:color="auto"/>
            </w:tcBorders>
            <w:vAlign w:val="center"/>
            <w:hideMark/>
          </w:tcPr>
          <w:p w14:paraId="69714B7C" w14:textId="77777777" w:rsidR="00916F88" w:rsidRPr="00AC7AC2" w:rsidRDefault="00916F88" w:rsidP="00D64261">
            <w:pPr>
              <w:spacing w:line="360" w:lineRule="auto"/>
              <w:jc w:val="both"/>
              <w:rPr>
                <w:rFonts w:eastAsia="Calibri"/>
                <w:noProof/>
                <w:lang w:val="es-DO"/>
              </w:rPr>
            </w:pPr>
            <w:r w:rsidRPr="00AC7AC2">
              <w:rPr>
                <w:rFonts w:eastAsia="Calibri"/>
                <w:noProof/>
              </w:rPr>
              <w:t>5</w:t>
            </w:r>
          </w:p>
        </w:tc>
        <w:tc>
          <w:tcPr>
            <w:tcW w:w="1134" w:type="dxa"/>
            <w:tcBorders>
              <w:top w:val="nil"/>
              <w:left w:val="nil"/>
              <w:bottom w:val="single" w:sz="4" w:space="0" w:color="auto"/>
              <w:right w:val="single" w:sz="4" w:space="0" w:color="auto"/>
            </w:tcBorders>
            <w:vAlign w:val="center"/>
            <w:hideMark/>
          </w:tcPr>
          <w:p w14:paraId="3A69B288" w14:textId="77777777" w:rsidR="00916F88" w:rsidRPr="00AC7AC2" w:rsidRDefault="00916F88" w:rsidP="00D64261">
            <w:pPr>
              <w:spacing w:line="360" w:lineRule="auto"/>
              <w:jc w:val="both"/>
              <w:rPr>
                <w:rFonts w:eastAsia="Calibri"/>
                <w:noProof/>
                <w:lang w:val="es-DO"/>
              </w:rPr>
            </w:pPr>
            <w:r w:rsidRPr="00AC7AC2">
              <w:rPr>
                <w:rFonts w:eastAsia="Calibri"/>
                <w:noProof/>
              </w:rPr>
              <w:t>13</w:t>
            </w:r>
          </w:p>
        </w:tc>
      </w:tr>
      <w:tr w:rsidR="00916F88" w:rsidRPr="00916F88" w14:paraId="6EE99BD5" w14:textId="77777777" w:rsidTr="00B00075">
        <w:trPr>
          <w:trHeight w:val="536"/>
          <w:jc w:val="center"/>
        </w:trPr>
        <w:tc>
          <w:tcPr>
            <w:tcW w:w="3187" w:type="dxa"/>
            <w:tcBorders>
              <w:top w:val="nil"/>
              <w:left w:val="single" w:sz="4" w:space="0" w:color="auto"/>
              <w:bottom w:val="single" w:sz="4" w:space="0" w:color="auto"/>
              <w:right w:val="single" w:sz="4" w:space="0" w:color="auto"/>
            </w:tcBorders>
            <w:vAlign w:val="bottom"/>
            <w:hideMark/>
          </w:tcPr>
          <w:p w14:paraId="18995054"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Departamento De Planificación Y Desarrollo</w:t>
            </w:r>
          </w:p>
        </w:tc>
        <w:tc>
          <w:tcPr>
            <w:tcW w:w="420" w:type="dxa"/>
            <w:tcBorders>
              <w:top w:val="nil"/>
              <w:left w:val="nil"/>
              <w:bottom w:val="single" w:sz="4" w:space="0" w:color="auto"/>
              <w:right w:val="single" w:sz="4" w:space="0" w:color="auto"/>
            </w:tcBorders>
            <w:vAlign w:val="bottom"/>
            <w:hideMark/>
          </w:tcPr>
          <w:p w14:paraId="4CAB659B" w14:textId="77777777" w:rsidR="00916F88" w:rsidRPr="00AC7AC2" w:rsidRDefault="00916F88" w:rsidP="00D64261">
            <w:pPr>
              <w:spacing w:line="360" w:lineRule="auto"/>
              <w:jc w:val="both"/>
              <w:rPr>
                <w:rFonts w:eastAsia="Calibri"/>
                <w:noProof/>
                <w:lang w:val="es-DO"/>
              </w:rPr>
            </w:pPr>
            <w:r w:rsidRPr="00AC7AC2">
              <w:rPr>
                <w:rFonts w:eastAsia="Calibri"/>
                <w:noProof/>
                <w:lang w:val="es-419"/>
              </w:rPr>
              <w:t> </w:t>
            </w:r>
          </w:p>
        </w:tc>
        <w:tc>
          <w:tcPr>
            <w:tcW w:w="420" w:type="dxa"/>
            <w:tcBorders>
              <w:top w:val="nil"/>
              <w:left w:val="nil"/>
              <w:bottom w:val="single" w:sz="4" w:space="0" w:color="auto"/>
              <w:right w:val="single" w:sz="4" w:space="0" w:color="auto"/>
            </w:tcBorders>
            <w:vAlign w:val="center"/>
            <w:hideMark/>
          </w:tcPr>
          <w:p w14:paraId="6665C2E6" w14:textId="77777777" w:rsidR="00916F88" w:rsidRPr="00AC7AC2" w:rsidRDefault="00916F88" w:rsidP="00D64261">
            <w:pPr>
              <w:spacing w:line="360" w:lineRule="auto"/>
              <w:jc w:val="both"/>
              <w:rPr>
                <w:rFonts w:eastAsia="Calibri"/>
                <w:noProof/>
                <w:lang w:val="es-DO"/>
              </w:rPr>
            </w:pPr>
            <w:r w:rsidRPr="00AC7AC2">
              <w:rPr>
                <w:rFonts w:eastAsia="Calibri"/>
                <w:noProof/>
              </w:rPr>
              <w:t>2</w:t>
            </w:r>
          </w:p>
        </w:tc>
        <w:tc>
          <w:tcPr>
            <w:tcW w:w="440" w:type="dxa"/>
            <w:tcBorders>
              <w:top w:val="nil"/>
              <w:left w:val="nil"/>
              <w:bottom w:val="single" w:sz="4" w:space="0" w:color="auto"/>
              <w:right w:val="single" w:sz="4" w:space="0" w:color="auto"/>
            </w:tcBorders>
            <w:vAlign w:val="bottom"/>
            <w:hideMark/>
          </w:tcPr>
          <w:p w14:paraId="68F2D85B"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34" w:type="dxa"/>
            <w:tcBorders>
              <w:top w:val="nil"/>
              <w:left w:val="nil"/>
              <w:bottom w:val="single" w:sz="4" w:space="0" w:color="auto"/>
              <w:right w:val="single" w:sz="4" w:space="0" w:color="auto"/>
            </w:tcBorders>
            <w:vAlign w:val="center"/>
            <w:hideMark/>
          </w:tcPr>
          <w:p w14:paraId="4762FCFD" w14:textId="77777777" w:rsidR="00916F88" w:rsidRPr="00AC7AC2" w:rsidRDefault="00916F88" w:rsidP="00D64261">
            <w:pPr>
              <w:spacing w:line="360" w:lineRule="auto"/>
              <w:jc w:val="both"/>
              <w:rPr>
                <w:rFonts w:eastAsia="Calibri"/>
                <w:noProof/>
                <w:lang w:val="es-DO"/>
              </w:rPr>
            </w:pPr>
            <w:r w:rsidRPr="00AC7AC2">
              <w:rPr>
                <w:rFonts w:eastAsia="Calibri"/>
                <w:noProof/>
              </w:rPr>
              <w:t>4</w:t>
            </w:r>
          </w:p>
        </w:tc>
        <w:tc>
          <w:tcPr>
            <w:tcW w:w="334" w:type="dxa"/>
            <w:tcBorders>
              <w:top w:val="nil"/>
              <w:left w:val="nil"/>
              <w:bottom w:val="single" w:sz="4" w:space="0" w:color="auto"/>
              <w:right w:val="single" w:sz="4" w:space="0" w:color="auto"/>
            </w:tcBorders>
            <w:vAlign w:val="center"/>
            <w:hideMark/>
          </w:tcPr>
          <w:p w14:paraId="3B905F43" w14:textId="77777777" w:rsidR="00916F88" w:rsidRPr="00AC7AC2" w:rsidRDefault="00916F88" w:rsidP="00D64261">
            <w:pPr>
              <w:spacing w:line="360" w:lineRule="auto"/>
              <w:jc w:val="both"/>
              <w:rPr>
                <w:rFonts w:eastAsia="Calibri"/>
                <w:noProof/>
                <w:lang w:val="es-DO"/>
              </w:rPr>
            </w:pPr>
            <w:r w:rsidRPr="00AC7AC2">
              <w:rPr>
                <w:rFonts w:eastAsia="Calibri"/>
                <w:noProof/>
              </w:rPr>
              <w:t>2</w:t>
            </w:r>
          </w:p>
        </w:tc>
        <w:tc>
          <w:tcPr>
            <w:tcW w:w="420" w:type="dxa"/>
            <w:tcBorders>
              <w:top w:val="nil"/>
              <w:left w:val="nil"/>
              <w:bottom w:val="single" w:sz="4" w:space="0" w:color="auto"/>
              <w:right w:val="single" w:sz="4" w:space="0" w:color="auto"/>
            </w:tcBorders>
            <w:vAlign w:val="bottom"/>
            <w:hideMark/>
          </w:tcPr>
          <w:p w14:paraId="2CA34FA7"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340" w:type="dxa"/>
            <w:tcBorders>
              <w:top w:val="nil"/>
              <w:left w:val="nil"/>
              <w:bottom w:val="single" w:sz="4" w:space="0" w:color="auto"/>
              <w:right w:val="single" w:sz="4" w:space="0" w:color="auto"/>
            </w:tcBorders>
            <w:vAlign w:val="bottom"/>
            <w:hideMark/>
          </w:tcPr>
          <w:p w14:paraId="103389FF"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40" w:type="dxa"/>
            <w:tcBorders>
              <w:top w:val="nil"/>
              <w:left w:val="nil"/>
              <w:bottom w:val="single" w:sz="4" w:space="0" w:color="auto"/>
              <w:right w:val="single" w:sz="4" w:space="0" w:color="auto"/>
            </w:tcBorders>
            <w:vAlign w:val="bottom"/>
            <w:hideMark/>
          </w:tcPr>
          <w:p w14:paraId="2441A453"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34" w:type="dxa"/>
            <w:tcBorders>
              <w:top w:val="nil"/>
              <w:left w:val="nil"/>
              <w:bottom w:val="single" w:sz="4" w:space="0" w:color="auto"/>
              <w:right w:val="single" w:sz="4" w:space="0" w:color="auto"/>
            </w:tcBorders>
            <w:vAlign w:val="center"/>
            <w:hideMark/>
          </w:tcPr>
          <w:p w14:paraId="0549CFD5"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334" w:type="dxa"/>
            <w:tcBorders>
              <w:top w:val="nil"/>
              <w:left w:val="nil"/>
              <w:bottom w:val="single" w:sz="4" w:space="0" w:color="auto"/>
              <w:right w:val="single" w:sz="4" w:space="0" w:color="auto"/>
            </w:tcBorders>
            <w:vAlign w:val="center"/>
            <w:hideMark/>
          </w:tcPr>
          <w:p w14:paraId="7BB6E362"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609" w:type="dxa"/>
            <w:tcBorders>
              <w:top w:val="nil"/>
              <w:left w:val="nil"/>
              <w:bottom w:val="single" w:sz="4" w:space="0" w:color="auto"/>
              <w:right w:val="single" w:sz="4" w:space="0" w:color="auto"/>
            </w:tcBorders>
            <w:vAlign w:val="center"/>
            <w:hideMark/>
          </w:tcPr>
          <w:p w14:paraId="323E31F8" w14:textId="77777777" w:rsidR="00916F88" w:rsidRPr="00AC7AC2" w:rsidRDefault="00916F88" w:rsidP="00D64261">
            <w:pPr>
              <w:spacing w:line="360" w:lineRule="auto"/>
              <w:jc w:val="both"/>
              <w:rPr>
                <w:rFonts w:eastAsia="Calibri"/>
                <w:noProof/>
                <w:lang w:val="es-DO"/>
              </w:rPr>
            </w:pPr>
            <w:r w:rsidRPr="00AC7AC2">
              <w:rPr>
                <w:rFonts w:eastAsia="Calibri"/>
                <w:noProof/>
              </w:rPr>
              <w:t>8</w:t>
            </w:r>
          </w:p>
        </w:tc>
        <w:tc>
          <w:tcPr>
            <w:tcW w:w="567" w:type="dxa"/>
            <w:tcBorders>
              <w:top w:val="nil"/>
              <w:left w:val="nil"/>
              <w:bottom w:val="single" w:sz="4" w:space="0" w:color="auto"/>
              <w:right w:val="single" w:sz="4" w:space="0" w:color="auto"/>
            </w:tcBorders>
            <w:vAlign w:val="center"/>
            <w:hideMark/>
          </w:tcPr>
          <w:p w14:paraId="170FCB3E" w14:textId="77777777" w:rsidR="00916F88" w:rsidRPr="00AC7AC2" w:rsidRDefault="00916F88" w:rsidP="00D64261">
            <w:pPr>
              <w:spacing w:line="360" w:lineRule="auto"/>
              <w:jc w:val="both"/>
              <w:rPr>
                <w:rFonts w:eastAsia="Calibri"/>
                <w:noProof/>
                <w:lang w:val="es-DO"/>
              </w:rPr>
            </w:pPr>
            <w:r w:rsidRPr="00AC7AC2">
              <w:rPr>
                <w:rFonts w:eastAsia="Calibri"/>
                <w:noProof/>
              </w:rPr>
              <w:t>2</w:t>
            </w:r>
          </w:p>
        </w:tc>
        <w:tc>
          <w:tcPr>
            <w:tcW w:w="1134" w:type="dxa"/>
            <w:tcBorders>
              <w:top w:val="nil"/>
              <w:left w:val="nil"/>
              <w:bottom w:val="single" w:sz="4" w:space="0" w:color="auto"/>
              <w:right w:val="single" w:sz="4" w:space="0" w:color="auto"/>
            </w:tcBorders>
            <w:vAlign w:val="center"/>
            <w:hideMark/>
          </w:tcPr>
          <w:p w14:paraId="53F4BC53" w14:textId="77777777" w:rsidR="00916F88" w:rsidRPr="00AC7AC2" w:rsidRDefault="00916F88" w:rsidP="00D64261">
            <w:pPr>
              <w:spacing w:line="360" w:lineRule="auto"/>
              <w:jc w:val="both"/>
              <w:rPr>
                <w:rFonts w:eastAsia="Calibri"/>
                <w:noProof/>
                <w:lang w:val="es-DO"/>
              </w:rPr>
            </w:pPr>
            <w:r w:rsidRPr="00AC7AC2">
              <w:rPr>
                <w:rFonts w:eastAsia="Calibri"/>
                <w:noProof/>
              </w:rPr>
              <w:t>10</w:t>
            </w:r>
          </w:p>
        </w:tc>
      </w:tr>
      <w:tr w:rsidR="00916F88" w:rsidRPr="00916F88" w14:paraId="034EEDF4" w14:textId="77777777" w:rsidTr="00B00075">
        <w:trPr>
          <w:trHeight w:val="536"/>
          <w:jc w:val="center"/>
        </w:trPr>
        <w:tc>
          <w:tcPr>
            <w:tcW w:w="3187" w:type="dxa"/>
            <w:tcBorders>
              <w:top w:val="nil"/>
              <w:left w:val="single" w:sz="4" w:space="0" w:color="auto"/>
              <w:bottom w:val="single" w:sz="4" w:space="0" w:color="auto"/>
              <w:right w:val="single" w:sz="4" w:space="0" w:color="auto"/>
            </w:tcBorders>
            <w:vAlign w:val="bottom"/>
            <w:hideMark/>
          </w:tcPr>
          <w:p w14:paraId="130C38DC"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Departamento de Recursos Humanos</w:t>
            </w:r>
          </w:p>
        </w:tc>
        <w:tc>
          <w:tcPr>
            <w:tcW w:w="420" w:type="dxa"/>
            <w:tcBorders>
              <w:top w:val="nil"/>
              <w:left w:val="nil"/>
              <w:bottom w:val="single" w:sz="4" w:space="0" w:color="auto"/>
              <w:right w:val="single" w:sz="4" w:space="0" w:color="auto"/>
            </w:tcBorders>
            <w:vAlign w:val="bottom"/>
            <w:hideMark/>
          </w:tcPr>
          <w:p w14:paraId="56EE1AC6"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20" w:type="dxa"/>
            <w:tcBorders>
              <w:top w:val="nil"/>
              <w:left w:val="nil"/>
              <w:bottom w:val="single" w:sz="4" w:space="0" w:color="auto"/>
              <w:right w:val="single" w:sz="4" w:space="0" w:color="auto"/>
            </w:tcBorders>
            <w:vAlign w:val="center"/>
            <w:hideMark/>
          </w:tcPr>
          <w:p w14:paraId="07860961" w14:textId="77777777" w:rsidR="00916F88" w:rsidRPr="00AC7AC2" w:rsidRDefault="00916F88" w:rsidP="00D64261">
            <w:pPr>
              <w:spacing w:line="360" w:lineRule="auto"/>
              <w:jc w:val="both"/>
              <w:rPr>
                <w:rFonts w:eastAsia="Calibri"/>
                <w:noProof/>
                <w:lang w:val="es-DO"/>
              </w:rPr>
            </w:pPr>
            <w:r w:rsidRPr="00AC7AC2">
              <w:rPr>
                <w:rFonts w:eastAsia="Calibri"/>
                <w:noProof/>
              </w:rPr>
              <w:t>2</w:t>
            </w:r>
          </w:p>
        </w:tc>
        <w:tc>
          <w:tcPr>
            <w:tcW w:w="440" w:type="dxa"/>
            <w:tcBorders>
              <w:top w:val="nil"/>
              <w:left w:val="nil"/>
              <w:bottom w:val="single" w:sz="4" w:space="0" w:color="auto"/>
              <w:right w:val="single" w:sz="4" w:space="0" w:color="auto"/>
            </w:tcBorders>
            <w:vAlign w:val="bottom"/>
            <w:hideMark/>
          </w:tcPr>
          <w:p w14:paraId="3C2293D9"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34" w:type="dxa"/>
            <w:tcBorders>
              <w:top w:val="nil"/>
              <w:left w:val="nil"/>
              <w:bottom w:val="single" w:sz="4" w:space="0" w:color="auto"/>
              <w:right w:val="single" w:sz="4" w:space="0" w:color="auto"/>
            </w:tcBorders>
            <w:vAlign w:val="center"/>
            <w:hideMark/>
          </w:tcPr>
          <w:p w14:paraId="158EBBDC"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334" w:type="dxa"/>
            <w:tcBorders>
              <w:top w:val="nil"/>
              <w:left w:val="nil"/>
              <w:bottom w:val="single" w:sz="4" w:space="0" w:color="auto"/>
              <w:right w:val="single" w:sz="4" w:space="0" w:color="auto"/>
            </w:tcBorders>
            <w:vAlign w:val="center"/>
            <w:hideMark/>
          </w:tcPr>
          <w:p w14:paraId="1FC99A1A" w14:textId="77777777" w:rsidR="00916F88" w:rsidRPr="00AC7AC2" w:rsidRDefault="00916F88" w:rsidP="00D64261">
            <w:pPr>
              <w:spacing w:line="360" w:lineRule="auto"/>
              <w:jc w:val="both"/>
              <w:rPr>
                <w:rFonts w:eastAsia="Calibri"/>
                <w:noProof/>
                <w:lang w:val="es-DO"/>
              </w:rPr>
            </w:pPr>
            <w:r w:rsidRPr="00AC7AC2">
              <w:rPr>
                <w:rFonts w:eastAsia="Calibri"/>
                <w:noProof/>
              </w:rPr>
              <w:t>2</w:t>
            </w:r>
          </w:p>
        </w:tc>
        <w:tc>
          <w:tcPr>
            <w:tcW w:w="420" w:type="dxa"/>
            <w:tcBorders>
              <w:top w:val="nil"/>
              <w:left w:val="nil"/>
              <w:bottom w:val="single" w:sz="4" w:space="0" w:color="auto"/>
              <w:right w:val="single" w:sz="4" w:space="0" w:color="auto"/>
            </w:tcBorders>
            <w:vAlign w:val="bottom"/>
            <w:hideMark/>
          </w:tcPr>
          <w:p w14:paraId="14298D3F"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340" w:type="dxa"/>
            <w:tcBorders>
              <w:top w:val="nil"/>
              <w:left w:val="nil"/>
              <w:bottom w:val="single" w:sz="4" w:space="0" w:color="auto"/>
              <w:right w:val="single" w:sz="4" w:space="0" w:color="auto"/>
            </w:tcBorders>
            <w:vAlign w:val="bottom"/>
            <w:hideMark/>
          </w:tcPr>
          <w:p w14:paraId="191C6D66"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40" w:type="dxa"/>
            <w:tcBorders>
              <w:top w:val="nil"/>
              <w:left w:val="nil"/>
              <w:bottom w:val="single" w:sz="4" w:space="0" w:color="auto"/>
              <w:right w:val="single" w:sz="4" w:space="0" w:color="auto"/>
            </w:tcBorders>
            <w:vAlign w:val="bottom"/>
            <w:hideMark/>
          </w:tcPr>
          <w:p w14:paraId="729DAEC7"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34" w:type="dxa"/>
            <w:tcBorders>
              <w:top w:val="nil"/>
              <w:left w:val="nil"/>
              <w:bottom w:val="single" w:sz="4" w:space="0" w:color="auto"/>
              <w:right w:val="single" w:sz="4" w:space="0" w:color="auto"/>
            </w:tcBorders>
            <w:vAlign w:val="center"/>
            <w:hideMark/>
          </w:tcPr>
          <w:p w14:paraId="2647087F" w14:textId="77777777" w:rsidR="00916F88" w:rsidRPr="00AC7AC2" w:rsidRDefault="00916F88" w:rsidP="00D64261">
            <w:pPr>
              <w:spacing w:line="360" w:lineRule="auto"/>
              <w:jc w:val="both"/>
              <w:rPr>
                <w:rFonts w:eastAsia="Calibri"/>
                <w:noProof/>
                <w:lang w:val="es-DO"/>
              </w:rPr>
            </w:pPr>
            <w:r w:rsidRPr="00AC7AC2">
              <w:rPr>
                <w:rFonts w:eastAsia="Calibri"/>
                <w:noProof/>
              </w:rPr>
              <w:t>3</w:t>
            </w:r>
          </w:p>
        </w:tc>
        <w:tc>
          <w:tcPr>
            <w:tcW w:w="334" w:type="dxa"/>
            <w:tcBorders>
              <w:top w:val="nil"/>
              <w:left w:val="nil"/>
              <w:bottom w:val="single" w:sz="4" w:space="0" w:color="auto"/>
              <w:right w:val="single" w:sz="4" w:space="0" w:color="auto"/>
            </w:tcBorders>
            <w:vAlign w:val="bottom"/>
            <w:hideMark/>
          </w:tcPr>
          <w:p w14:paraId="0E1DC1E3"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609" w:type="dxa"/>
            <w:tcBorders>
              <w:top w:val="nil"/>
              <w:left w:val="nil"/>
              <w:bottom w:val="single" w:sz="4" w:space="0" w:color="auto"/>
              <w:right w:val="single" w:sz="4" w:space="0" w:color="auto"/>
            </w:tcBorders>
            <w:vAlign w:val="center"/>
            <w:hideMark/>
          </w:tcPr>
          <w:p w14:paraId="26A3DB76" w14:textId="77777777" w:rsidR="00916F88" w:rsidRPr="00AC7AC2" w:rsidRDefault="00916F88" w:rsidP="00D64261">
            <w:pPr>
              <w:spacing w:line="360" w:lineRule="auto"/>
              <w:jc w:val="both"/>
              <w:rPr>
                <w:rFonts w:eastAsia="Calibri"/>
                <w:noProof/>
                <w:lang w:val="es-DO"/>
              </w:rPr>
            </w:pPr>
            <w:r w:rsidRPr="00AC7AC2">
              <w:rPr>
                <w:rFonts w:eastAsia="Calibri"/>
                <w:noProof/>
              </w:rPr>
              <w:t>5</w:t>
            </w:r>
          </w:p>
        </w:tc>
        <w:tc>
          <w:tcPr>
            <w:tcW w:w="567" w:type="dxa"/>
            <w:tcBorders>
              <w:top w:val="nil"/>
              <w:left w:val="nil"/>
              <w:bottom w:val="single" w:sz="4" w:space="0" w:color="auto"/>
              <w:right w:val="single" w:sz="4" w:space="0" w:color="auto"/>
            </w:tcBorders>
            <w:vAlign w:val="center"/>
            <w:hideMark/>
          </w:tcPr>
          <w:p w14:paraId="772707F8" w14:textId="77777777" w:rsidR="00916F88" w:rsidRPr="00AC7AC2" w:rsidRDefault="00916F88" w:rsidP="00D64261">
            <w:pPr>
              <w:spacing w:line="360" w:lineRule="auto"/>
              <w:jc w:val="both"/>
              <w:rPr>
                <w:rFonts w:eastAsia="Calibri"/>
                <w:noProof/>
                <w:lang w:val="es-DO"/>
              </w:rPr>
            </w:pPr>
            <w:r w:rsidRPr="00AC7AC2">
              <w:rPr>
                <w:rFonts w:eastAsia="Calibri"/>
                <w:noProof/>
              </w:rPr>
              <w:t>4</w:t>
            </w:r>
          </w:p>
        </w:tc>
        <w:tc>
          <w:tcPr>
            <w:tcW w:w="1134" w:type="dxa"/>
            <w:tcBorders>
              <w:top w:val="nil"/>
              <w:left w:val="nil"/>
              <w:bottom w:val="single" w:sz="4" w:space="0" w:color="auto"/>
              <w:right w:val="single" w:sz="4" w:space="0" w:color="auto"/>
            </w:tcBorders>
            <w:vAlign w:val="center"/>
            <w:hideMark/>
          </w:tcPr>
          <w:p w14:paraId="2F69A796" w14:textId="77777777" w:rsidR="00916F88" w:rsidRPr="00AC7AC2" w:rsidRDefault="00916F88" w:rsidP="00D64261">
            <w:pPr>
              <w:spacing w:line="360" w:lineRule="auto"/>
              <w:jc w:val="both"/>
              <w:rPr>
                <w:rFonts w:eastAsia="Calibri"/>
                <w:noProof/>
                <w:lang w:val="es-DO"/>
              </w:rPr>
            </w:pPr>
            <w:r w:rsidRPr="00AC7AC2">
              <w:rPr>
                <w:rFonts w:eastAsia="Calibri"/>
                <w:noProof/>
              </w:rPr>
              <w:t>9</w:t>
            </w:r>
          </w:p>
        </w:tc>
      </w:tr>
      <w:tr w:rsidR="00916F88" w:rsidRPr="00916F88" w14:paraId="4F5AE87C" w14:textId="77777777" w:rsidTr="00B00075">
        <w:trPr>
          <w:trHeight w:val="536"/>
          <w:jc w:val="center"/>
        </w:trPr>
        <w:tc>
          <w:tcPr>
            <w:tcW w:w="3187" w:type="dxa"/>
            <w:tcBorders>
              <w:top w:val="nil"/>
              <w:left w:val="single" w:sz="4" w:space="0" w:color="auto"/>
              <w:bottom w:val="single" w:sz="4" w:space="0" w:color="auto"/>
              <w:right w:val="single" w:sz="4" w:space="0" w:color="auto"/>
            </w:tcBorders>
            <w:vAlign w:val="bottom"/>
            <w:hideMark/>
          </w:tcPr>
          <w:p w14:paraId="060B4F8F"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Departamento de Tecnología de la Información y Comunicación</w:t>
            </w:r>
          </w:p>
        </w:tc>
        <w:tc>
          <w:tcPr>
            <w:tcW w:w="420" w:type="dxa"/>
            <w:tcBorders>
              <w:top w:val="nil"/>
              <w:left w:val="nil"/>
              <w:bottom w:val="single" w:sz="4" w:space="0" w:color="auto"/>
              <w:right w:val="single" w:sz="4" w:space="0" w:color="auto"/>
            </w:tcBorders>
            <w:vAlign w:val="bottom"/>
            <w:hideMark/>
          </w:tcPr>
          <w:p w14:paraId="7AF7D0FA" w14:textId="77777777" w:rsidR="00916F88" w:rsidRPr="00AC7AC2" w:rsidRDefault="00916F88" w:rsidP="00D64261">
            <w:pPr>
              <w:spacing w:line="360" w:lineRule="auto"/>
              <w:jc w:val="both"/>
              <w:rPr>
                <w:rFonts w:eastAsia="Calibri"/>
                <w:noProof/>
                <w:lang w:val="es-DO"/>
              </w:rPr>
            </w:pPr>
            <w:r w:rsidRPr="00AC7AC2">
              <w:rPr>
                <w:rFonts w:eastAsia="Calibri"/>
                <w:noProof/>
                <w:lang w:val="es-419"/>
              </w:rPr>
              <w:t> </w:t>
            </w:r>
          </w:p>
        </w:tc>
        <w:tc>
          <w:tcPr>
            <w:tcW w:w="420" w:type="dxa"/>
            <w:tcBorders>
              <w:top w:val="nil"/>
              <w:left w:val="nil"/>
              <w:bottom w:val="single" w:sz="4" w:space="0" w:color="auto"/>
              <w:right w:val="single" w:sz="4" w:space="0" w:color="auto"/>
            </w:tcBorders>
            <w:vAlign w:val="bottom"/>
            <w:hideMark/>
          </w:tcPr>
          <w:p w14:paraId="10190837" w14:textId="77777777" w:rsidR="00916F88" w:rsidRPr="00AC7AC2" w:rsidRDefault="00916F88" w:rsidP="00D64261">
            <w:pPr>
              <w:spacing w:line="360" w:lineRule="auto"/>
              <w:jc w:val="both"/>
              <w:rPr>
                <w:rFonts w:eastAsia="Calibri"/>
                <w:noProof/>
                <w:lang w:val="es-DO"/>
              </w:rPr>
            </w:pPr>
            <w:r w:rsidRPr="00AC7AC2">
              <w:rPr>
                <w:rFonts w:eastAsia="Calibri"/>
                <w:noProof/>
                <w:lang w:val="es-419"/>
              </w:rPr>
              <w:t> </w:t>
            </w:r>
          </w:p>
        </w:tc>
        <w:tc>
          <w:tcPr>
            <w:tcW w:w="440" w:type="dxa"/>
            <w:tcBorders>
              <w:top w:val="nil"/>
              <w:left w:val="nil"/>
              <w:bottom w:val="single" w:sz="4" w:space="0" w:color="auto"/>
              <w:right w:val="single" w:sz="4" w:space="0" w:color="auto"/>
            </w:tcBorders>
            <w:vAlign w:val="center"/>
            <w:hideMark/>
          </w:tcPr>
          <w:p w14:paraId="2B5CE4D9" w14:textId="77777777" w:rsidR="00916F88" w:rsidRPr="00AC7AC2" w:rsidRDefault="00916F88" w:rsidP="00D64261">
            <w:pPr>
              <w:spacing w:line="360" w:lineRule="auto"/>
              <w:jc w:val="both"/>
              <w:rPr>
                <w:rFonts w:eastAsia="Calibri"/>
                <w:noProof/>
                <w:lang w:val="es-DO"/>
              </w:rPr>
            </w:pPr>
            <w:r w:rsidRPr="00AC7AC2">
              <w:rPr>
                <w:rFonts w:eastAsia="Calibri"/>
                <w:noProof/>
              </w:rPr>
              <w:t>2</w:t>
            </w:r>
          </w:p>
        </w:tc>
        <w:tc>
          <w:tcPr>
            <w:tcW w:w="434" w:type="dxa"/>
            <w:tcBorders>
              <w:top w:val="nil"/>
              <w:left w:val="nil"/>
              <w:bottom w:val="single" w:sz="4" w:space="0" w:color="auto"/>
              <w:right w:val="single" w:sz="4" w:space="0" w:color="auto"/>
            </w:tcBorders>
            <w:vAlign w:val="center"/>
            <w:hideMark/>
          </w:tcPr>
          <w:p w14:paraId="25C41B85"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334" w:type="dxa"/>
            <w:tcBorders>
              <w:top w:val="nil"/>
              <w:left w:val="nil"/>
              <w:bottom w:val="single" w:sz="4" w:space="0" w:color="auto"/>
              <w:right w:val="single" w:sz="4" w:space="0" w:color="auto"/>
            </w:tcBorders>
            <w:vAlign w:val="bottom"/>
            <w:hideMark/>
          </w:tcPr>
          <w:p w14:paraId="6F608A1E"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20" w:type="dxa"/>
            <w:tcBorders>
              <w:top w:val="nil"/>
              <w:left w:val="nil"/>
              <w:bottom w:val="single" w:sz="4" w:space="0" w:color="auto"/>
              <w:right w:val="single" w:sz="4" w:space="0" w:color="auto"/>
            </w:tcBorders>
            <w:vAlign w:val="bottom"/>
            <w:hideMark/>
          </w:tcPr>
          <w:p w14:paraId="659F81B4"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340" w:type="dxa"/>
            <w:tcBorders>
              <w:top w:val="nil"/>
              <w:left w:val="nil"/>
              <w:bottom w:val="single" w:sz="4" w:space="0" w:color="auto"/>
              <w:right w:val="single" w:sz="4" w:space="0" w:color="auto"/>
            </w:tcBorders>
            <w:vAlign w:val="bottom"/>
            <w:hideMark/>
          </w:tcPr>
          <w:p w14:paraId="333FCA4E"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40" w:type="dxa"/>
            <w:tcBorders>
              <w:top w:val="nil"/>
              <w:left w:val="nil"/>
              <w:bottom w:val="single" w:sz="4" w:space="0" w:color="auto"/>
              <w:right w:val="single" w:sz="4" w:space="0" w:color="auto"/>
            </w:tcBorders>
            <w:vAlign w:val="center"/>
            <w:hideMark/>
          </w:tcPr>
          <w:p w14:paraId="3140EC1A" w14:textId="77777777" w:rsidR="00916F88" w:rsidRPr="00AC7AC2" w:rsidRDefault="00916F88" w:rsidP="00D64261">
            <w:pPr>
              <w:spacing w:line="360" w:lineRule="auto"/>
              <w:jc w:val="both"/>
              <w:rPr>
                <w:rFonts w:eastAsia="Calibri"/>
                <w:noProof/>
                <w:lang w:val="es-DO"/>
              </w:rPr>
            </w:pPr>
            <w:r w:rsidRPr="00AC7AC2">
              <w:rPr>
                <w:rFonts w:eastAsia="Calibri"/>
                <w:noProof/>
              </w:rPr>
              <w:t>3</w:t>
            </w:r>
          </w:p>
        </w:tc>
        <w:tc>
          <w:tcPr>
            <w:tcW w:w="434" w:type="dxa"/>
            <w:tcBorders>
              <w:top w:val="nil"/>
              <w:left w:val="nil"/>
              <w:bottom w:val="single" w:sz="4" w:space="0" w:color="auto"/>
              <w:right w:val="single" w:sz="4" w:space="0" w:color="auto"/>
            </w:tcBorders>
            <w:vAlign w:val="center"/>
            <w:hideMark/>
          </w:tcPr>
          <w:p w14:paraId="22AE6C27" w14:textId="77777777" w:rsidR="00916F88" w:rsidRPr="00AC7AC2" w:rsidRDefault="00916F88" w:rsidP="00D64261">
            <w:pPr>
              <w:spacing w:line="360" w:lineRule="auto"/>
              <w:jc w:val="both"/>
              <w:rPr>
                <w:rFonts w:eastAsia="Calibri"/>
                <w:noProof/>
                <w:lang w:val="es-DO"/>
              </w:rPr>
            </w:pPr>
            <w:r w:rsidRPr="00AC7AC2">
              <w:rPr>
                <w:rFonts w:eastAsia="Calibri"/>
                <w:noProof/>
              </w:rPr>
              <w:t>2</w:t>
            </w:r>
          </w:p>
        </w:tc>
        <w:tc>
          <w:tcPr>
            <w:tcW w:w="334" w:type="dxa"/>
            <w:tcBorders>
              <w:top w:val="nil"/>
              <w:left w:val="nil"/>
              <w:bottom w:val="single" w:sz="4" w:space="0" w:color="auto"/>
              <w:right w:val="single" w:sz="4" w:space="0" w:color="auto"/>
            </w:tcBorders>
            <w:vAlign w:val="center"/>
            <w:hideMark/>
          </w:tcPr>
          <w:p w14:paraId="1877CB51" w14:textId="77777777" w:rsidR="00916F88" w:rsidRPr="00AC7AC2" w:rsidRDefault="00916F88" w:rsidP="00D64261">
            <w:pPr>
              <w:spacing w:line="360" w:lineRule="auto"/>
              <w:jc w:val="both"/>
              <w:rPr>
                <w:rFonts w:eastAsia="Calibri"/>
                <w:noProof/>
                <w:lang w:val="es-DO"/>
              </w:rPr>
            </w:pPr>
            <w:r w:rsidRPr="00AC7AC2">
              <w:rPr>
                <w:rFonts w:eastAsia="Calibri"/>
                <w:noProof/>
              </w:rPr>
              <w:t>3</w:t>
            </w:r>
          </w:p>
        </w:tc>
        <w:tc>
          <w:tcPr>
            <w:tcW w:w="609" w:type="dxa"/>
            <w:tcBorders>
              <w:top w:val="nil"/>
              <w:left w:val="nil"/>
              <w:bottom w:val="single" w:sz="4" w:space="0" w:color="auto"/>
              <w:right w:val="single" w:sz="4" w:space="0" w:color="auto"/>
            </w:tcBorders>
            <w:vAlign w:val="center"/>
            <w:hideMark/>
          </w:tcPr>
          <w:p w14:paraId="46BFB047" w14:textId="77777777" w:rsidR="00916F88" w:rsidRPr="00AC7AC2" w:rsidRDefault="00916F88" w:rsidP="00D64261">
            <w:pPr>
              <w:spacing w:line="360" w:lineRule="auto"/>
              <w:jc w:val="both"/>
              <w:rPr>
                <w:rFonts w:eastAsia="Calibri"/>
                <w:noProof/>
                <w:lang w:val="es-DO"/>
              </w:rPr>
            </w:pPr>
            <w:r w:rsidRPr="00AC7AC2">
              <w:rPr>
                <w:rFonts w:eastAsia="Calibri"/>
                <w:noProof/>
              </w:rPr>
              <w:t>3</w:t>
            </w:r>
          </w:p>
        </w:tc>
        <w:tc>
          <w:tcPr>
            <w:tcW w:w="567" w:type="dxa"/>
            <w:tcBorders>
              <w:top w:val="nil"/>
              <w:left w:val="nil"/>
              <w:bottom w:val="single" w:sz="4" w:space="0" w:color="auto"/>
              <w:right w:val="single" w:sz="4" w:space="0" w:color="auto"/>
            </w:tcBorders>
            <w:vAlign w:val="center"/>
            <w:hideMark/>
          </w:tcPr>
          <w:p w14:paraId="42DA6311" w14:textId="77777777" w:rsidR="00916F88" w:rsidRPr="00AC7AC2" w:rsidRDefault="00916F88" w:rsidP="00D64261">
            <w:pPr>
              <w:spacing w:line="360" w:lineRule="auto"/>
              <w:jc w:val="both"/>
              <w:rPr>
                <w:rFonts w:eastAsia="Calibri"/>
                <w:noProof/>
                <w:lang w:val="es-DO"/>
              </w:rPr>
            </w:pPr>
            <w:r w:rsidRPr="00AC7AC2">
              <w:rPr>
                <w:rFonts w:eastAsia="Calibri"/>
                <w:noProof/>
              </w:rPr>
              <w:t>8</w:t>
            </w:r>
          </w:p>
        </w:tc>
        <w:tc>
          <w:tcPr>
            <w:tcW w:w="1134" w:type="dxa"/>
            <w:tcBorders>
              <w:top w:val="nil"/>
              <w:left w:val="nil"/>
              <w:bottom w:val="single" w:sz="4" w:space="0" w:color="auto"/>
              <w:right w:val="single" w:sz="4" w:space="0" w:color="auto"/>
            </w:tcBorders>
            <w:vAlign w:val="center"/>
            <w:hideMark/>
          </w:tcPr>
          <w:p w14:paraId="4F1763C2" w14:textId="77777777" w:rsidR="00916F88" w:rsidRPr="00AC7AC2" w:rsidRDefault="00916F88" w:rsidP="00D64261">
            <w:pPr>
              <w:spacing w:line="360" w:lineRule="auto"/>
              <w:jc w:val="both"/>
              <w:rPr>
                <w:rFonts w:eastAsia="Calibri"/>
                <w:noProof/>
                <w:lang w:val="es-DO"/>
              </w:rPr>
            </w:pPr>
            <w:r w:rsidRPr="00AC7AC2">
              <w:rPr>
                <w:rFonts w:eastAsia="Calibri"/>
                <w:noProof/>
              </w:rPr>
              <w:t>11</w:t>
            </w:r>
          </w:p>
        </w:tc>
      </w:tr>
      <w:tr w:rsidR="00916F88" w:rsidRPr="00916F88" w14:paraId="4D373BA9" w14:textId="77777777" w:rsidTr="00B00075">
        <w:trPr>
          <w:trHeight w:val="285"/>
          <w:jc w:val="center"/>
        </w:trPr>
        <w:tc>
          <w:tcPr>
            <w:tcW w:w="3187" w:type="dxa"/>
            <w:tcBorders>
              <w:top w:val="nil"/>
              <w:left w:val="single" w:sz="4" w:space="0" w:color="auto"/>
              <w:bottom w:val="single" w:sz="4" w:space="0" w:color="auto"/>
              <w:right w:val="single" w:sz="4" w:space="0" w:color="auto"/>
            </w:tcBorders>
            <w:vAlign w:val="bottom"/>
            <w:hideMark/>
          </w:tcPr>
          <w:p w14:paraId="6D95C32C"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Departamento Jurídico</w:t>
            </w:r>
          </w:p>
        </w:tc>
        <w:tc>
          <w:tcPr>
            <w:tcW w:w="420" w:type="dxa"/>
            <w:tcBorders>
              <w:top w:val="nil"/>
              <w:left w:val="nil"/>
              <w:bottom w:val="single" w:sz="4" w:space="0" w:color="auto"/>
              <w:right w:val="single" w:sz="4" w:space="0" w:color="auto"/>
            </w:tcBorders>
            <w:vAlign w:val="bottom"/>
            <w:hideMark/>
          </w:tcPr>
          <w:p w14:paraId="256D5EEE"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20" w:type="dxa"/>
            <w:tcBorders>
              <w:top w:val="nil"/>
              <w:left w:val="nil"/>
              <w:bottom w:val="single" w:sz="4" w:space="0" w:color="auto"/>
              <w:right w:val="single" w:sz="4" w:space="0" w:color="auto"/>
            </w:tcBorders>
            <w:vAlign w:val="center"/>
            <w:hideMark/>
          </w:tcPr>
          <w:p w14:paraId="6FDF9252"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440" w:type="dxa"/>
            <w:tcBorders>
              <w:top w:val="nil"/>
              <w:left w:val="nil"/>
              <w:bottom w:val="single" w:sz="4" w:space="0" w:color="auto"/>
              <w:right w:val="single" w:sz="4" w:space="0" w:color="auto"/>
            </w:tcBorders>
            <w:vAlign w:val="center"/>
            <w:hideMark/>
          </w:tcPr>
          <w:p w14:paraId="6EFD4707" w14:textId="77777777" w:rsidR="00916F88" w:rsidRPr="00AC7AC2" w:rsidRDefault="00916F88" w:rsidP="00D64261">
            <w:pPr>
              <w:spacing w:line="360" w:lineRule="auto"/>
              <w:jc w:val="both"/>
              <w:rPr>
                <w:rFonts w:eastAsia="Calibri"/>
                <w:noProof/>
                <w:lang w:val="es-DO"/>
              </w:rPr>
            </w:pPr>
            <w:r w:rsidRPr="00AC7AC2">
              <w:rPr>
                <w:rFonts w:eastAsia="Calibri"/>
                <w:noProof/>
              </w:rPr>
              <w:t>2</w:t>
            </w:r>
          </w:p>
        </w:tc>
        <w:tc>
          <w:tcPr>
            <w:tcW w:w="434" w:type="dxa"/>
            <w:tcBorders>
              <w:top w:val="nil"/>
              <w:left w:val="nil"/>
              <w:bottom w:val="single" w:sz="4" w:space="0" w:color="auto"/>
              <w:right w:val="single" w:sz="4" w:space="0" w:color="auto"/>
            </w:tcBorders>
            <w:vAlign w:val="center"/>
            <w:hideMark/>
          </w:tcPr>
          <w:p w14:paraId="059ABF79" w14:textId="77777777" w:rsidR="00916F88" w:rsidRPr="00AC7AC2" w:rsidRDefault="00916F88" w:rsidP="00D64261">
            <w:pPr>
              <w:spacing w:line="360" w:lineRule="auto"/>
              <w:jc w:val="both"/>
              <w:rPr>
                <w:rFonts w:eastAsia="Calibri"/>
                <w:noProof/>
                <w:lang w:val="es-DO"/>
              </w:rPr>
            </w:pPr>
            <w:r w:rsidRPr="00AC7AC2">
              <w:rPr>
                <w:rFonts w:eastAsia="Calibri"/>
                <w:noProof/>
              </w:rPr>
              <w:t>3</w:t>
            </w:r>
          </w:p>
        </w:tc>
        <w:tc>
          <w:tcPr>
            <w:tcW w:w="334" w:type="dxa"/>
            <w:tcBorders>
              <w:top w:val="nil"/>
              <w:left w:val="nil"/>
              <w:bottom w:val="single" w:sz="4" w:space="0" w:color="auto"/>
              <w:right w:val="single" w:sz="4" w:space="0" w:color="auto"/>
            </w:tcBorders>
            <w:vAlign w:val="center"/>
            <w:hideMark/>
          </w:tcPr>
          <w:p w14:paraId="1CB0360A"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420" w:type="dxa"/>
            <w:tcBorders>
              <w:top w:val="nil"/>
              <w:left w:val="nil"/>
              <w:bottom w:val="single" w:sz="4" w:space="0" w:color="auto"/>
              <w:right w:val="single" w:sz="4" w:space="0" w:color="auto"/>
            </w:tcBorders>
            <w:vAlign w:val="bottom"/>
            <w:hideMark/>
          </w:tcPr>
          <w:p w14:paraId="2F15D023"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340" w:type="dxa"/>
            <w:tcBorders>
              <w:top w:val="nil"/>
              <w:left w:val="nil"/>
              <w:bottom w:val="single" w:sz="4" w:space="0" w:color="auto"/>
              <w:right w:val="single" w:sz="4" w:space="0" w:color="auto"/>
            </w:tcBorders>
            <w:vAlign w:val="bottom"/>
            <w:hideMark/>
          </w:tcPr>
          <w:p w14:paraId="72DE9286"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40" w:type="dxa"/>
            <w:tcBorders>
              <w:top w:val="nil"/>
              <w:left w:val="nil"/>
              <w:bottom w:val="single" w:sz="4" w:space="0" w:color="auto"/>
              <w:right w:val="single" w:sz="4" w:space="0" w:color="auto"/>
            </w:tcBorders>
            <w:vAlign w:val="center"/>
            <w:hideMark/>
          </w:tcPr>
          <w:p w14:paraId="5FA80747" w14:textId="77777777" w:rsidR="00916F88" w:rsidRPr="00AC7AC2" w:rsidRDefault="00916F88" w:rsidP="00D64261">
            <w:pPr>
              <w:spacing w:line="360" w:lineRule="auto"/>
              <w:jc w:val="both"/>
              <w:rPr>
                <w:rFonts w:eastAsia="Calibri"/>
                <w:noProof/>
                <w:lang w:val="es-DO"/>
              </w:rPr>
            </w:pPr>
            <w:r w:rsidRPr="00AC7AC2">
              <w:rPr>
                <w:rFonts w:eastAsia="Calibri"/>
                <w:noProof/>
              </w:rPr>
              <w:t>2</w:t>
            </w:r>
          </w:p>
        </w:tc>
        <w:tc>
          <w:tcPr>
            <w:tcW w:w="434" w:type="dxa"/>
            <w:tcBorders>
              <w:top w:val="nil"/>
              <w:left w:val="nil"/>
              <w:bottom w:val="single" w:sz="4" w:space="0" w:color="auto"/>
              <w:right w:val="single" w:sz="4" w:space="0" w:color="auto"/>
            </w:tcBorders>
            <w:vAlign w:val="center"/>
            <w:hideMark/>
          </w:tcPr>
          <w:p w14:paraId="4C2C1E83" w14:textId="77777777" w:rsidR="00916F88" w:rsidRPr="00AC7AC2" w:rsidRDefault="00916F88" w:rsidP="00D64261">
            <w:pPr>
              <w:spacing w:line="360" w:lineRule="auto"/>
              <w:jc w:val="both"/>
              <w:rPr>
                <w:rFonts w:eastAsia="Calibri"/>
                <w:noProof/>
                <w:lang w:val="es-DO"/>
              </w:rPr>
            </w:pPr>
            <w:r w:rsidRPr="00AC7AC2">
              <w:rPr>
                <w:rFonts w:eastAsia="Calibri"/>
                <w:noProof/>
              </w:rPr>
              <w:t>2</w:t>
            </w:r>
          </w:p>
        </w:tc>
        <w:tc>
          <w:tcPr>
            <w:tcW w:w="334" w:type="dxa"/>
            <w:tcBorders>
              <w:top w:val="nil"/>
              <w:left w:val="nil"/>
              <w:bottom w:val="single" w:sz="4" w:space="0" w:color="auto"/>
              <w:right w:val="single" w:sz="4" w:space="0" w:color="auto"/>
            </w:tcBorders>
            <w:vAlign w:val="bottom"/>
            <w:hideMark/>
          </w:tcPr>
          <w:p w14:paraId="539B5AC2"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609" w:type="dxa"/>
            <w:tcBorders>
              <w:top w:val="nil"/>
              <w:left w:val="nil"/>
              <w:bottom w:val="single" w:sz="4" w:space="0" w:color="auto"/>
              <w:right w:val="single" w:sz="4" w:space="0" w:color="auto"/>
            </w:tcBorders>
            <w:vAlign w:val="center"/>
            <w:hideMark/>
          </w:tcPr>
          <w:p w14:paraId="09F5B625" w14:textId="77777777" w:rsidR="00916F88" w:rsidRPr="00AC7AC2" w:rsidRDefault="00916F88" w:rsidP="00D64261">
            <w:pPr>
              <w:spacing w:line="360" w:lineRule="auto"/>
              <w:jc w:val="both"/>
              <w:rPr>
                <w:rFonts w:eastAsia="Calibri"/>
                <w:noProof/>
                <w:lang w:val="es-DO"/>
              </w:rPr>
            </w:pPr>
            <w:r w:rsidRPr="00AC7AC2">
              <w:rPr>
                <w:rFonts w:eastAsia="Calibri"/>
                <w:noProof/>
              </w:rPr>
              <w:t>7</w:t>
            </w:r>
          </w:p>
        </w:tc>
        <w:tc>
          <w:tcPr>
            <w:tcW w:w="567" w:type="dxa"/>
            <w:tcBorders>
              <w:top w:val="nil"/>
              <w:left w:val="nil"/>
              <w:bottom w:val="single" w:sz="4" w:space="0" w:color="auto"/>
              <w:right w:val="single" w:sz="4" w:space="0" w:color="auto"/>
            </w:tcBorders>
            <w:vAlign w:val="center"/>
            <w:hideMark/>
          </w:tcPr>
          <w:p w14:paraId="325971F9" w14:textId="77777777" w:rsidR="00916F88" w:rsidRPr="00AC7AC2" w:rsidRDefault="00916F88" w:rsidP="00D64261">
            <w:pPr>
              <w:spacing w:line="360" w:lineRule="auto"/>
              <w:jc w:val="both"/>
              <w:rPr>
                <w:rFonts w:eastAsia="Calibri"/>
                <w:noProof/>
                <w:lang w:val="es-DO"/>
              </w:rPr>
            </w:pPr>
            <w:r w:rsidRPr="00AC7AC2">
              <w:rPr>
                <w:rFonts w:eastAsia="Calibri"/>
                <w:noProof/>
              </w:rPr>
              <w:t>4</w:t>
            </w:r>
          </w:p>
        </w:tc>
        <w:tc>
          <w:tcPr>
            <w:tcW w:w="1134" w:type="dxa"/>
            <w:tcBorders>
              <w:top w:val="nil"/>
              <w:left w:val="nil"/>
              <w:bottom w:val="single" w:sz="4" w:space="0" w:color="auto"/>
              <w:right w:val="single" w:sz="4" w:space="0" w:color="auto"/>
            </w:tcBorders>
            <w:vAlign w:val="center"/>
            <w:hideMark/>
          </w:tcPr>
          <w:p w14:paraId="2C7630B4" w14:textId="77777777" w:rsidR="00916F88" w:rsidRPr="00AC7AC2" w:rsidRDefault="00916F88" w:rsidP="00D64261">
            <w:pPr>
              <w:spacing w:line="360" w:lineRule="auto"/>
              <w:jc w:val="both"/>
              <w:rPr>
                <w:rFonts w:eastAsia="Calibri"/>
                <w:noProof/>
                <w:lang w:val="es-DO"/>
              </w:rPr>
            </w:pPr>
            <w:r w:rsidRPr="00AC7AC2">
              <w:rPr>
                <w:rFonts w:eastAsia="Calibri"/>
                <w:noProof/>
              </w:rPr>
              <w:t>11</w:t>
            </w:r>
          </w:p>
        </w:tc>
      </w:tr>
      <w:tr w:rsidR="00916F88" w:rsidRPr="00916F88" w14:paraId="357C8212" w14:textId="77777777" w:rsidTr="00B00075">
        <w:trPr>
          <w:trHeight w:val="536"/>
          <w:jc w:val="center"/>
        </w:trPr>
        <w:tc>
          <w:tcPr>
            <w:tcW w:w="3187" w:type="dxa"/>
            <w:tcBorders>
              <w:top w:val="nil"/>
              <w:left w:val="single" w:sz="4" w:space="0" w:color="auto"/>
              <w:bottom w:val="single" w:sz="4" w:space="0" w:color="auto"/>
              <w:right w:val="single" w:sz="4" w:space="0" w:color="auto"/>
            </w:tcBorders>
            <w:vAlign w:val="bottom"/>
            <w:hideMark/>
          </w:tcPr>
          <w:p w14:paraId="5AF8AD2B"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Departamento Administrativo y Financiero</w:t>
            </w:r>
          </w:p>
        </w:tc>
        <w:tc>
          <w:tcPr>
            <w:tcW w:w="420" w:type="dxa"/>
            <w:tcBorders>
              <w:top w:val="nil"/>
              <w:left w:val="nil"/>
              <w:bottom w:val="single" w:sz="4" w:space="0" w:color="auto"/>
              <w:right w:val="single" w:sz="4" w:space="0" w:color="auto"/>
            </w:tcBorders>
            <w:vAlign w:val="center"/>
            <w:hideMark/>
          </w:tcPr>
          <w:p w14:paraId="11181E3F" w14:textId="77777777" w:rsidR="00916F88" w:rsidRPr="00AC7AC2" w:rsidRDefault="00916F88" w:rsidP="00D64261">
            <w:pPr>
              <w:spacing w:line="360" w:lineRule="auto"/>
              <w:jc w:val="both"/>
              <w:rPr>
                <w:rFonts w:eastAsia="Calibri"/>
                <w:noProof/>
                <w:lang w:val="es-DO"/>
              </w:rPr>
            </w:pPr>
            <w:r w:rsidRPr="00AC7AC2">
              <w:rPr>
                <w:rFonts w:eastAsia="Calibri"/>
                <w:noProof/>
              </w:rPr>
              <w:t>19</w:t>
            </w:r>
          </w:p>
        </w:tc>
        <w:tc>
          <w:tcPr>
            <w:tcW w:w="420" w:type="dxa"/>
            <w:tcBorders>
              <w:top w:val="nil"/>
              <w:left w:val="nil"/>
              <w:bottom w:val="single" w:sz="4" w:space="0" w:color="auto"/>
              <w:right w:val="single" w:sz="4" w:space="0" w:color="auto"/>
            </w:tcBorders>
            <w:vAlign w:val="center"/>
            <w:hideMark/>
          </w:tcPr>
          <w:p w14:paraId="654CFF45" w14:textId="77777777" w:rsidR="00916F88" w:rsidRPr="00AC7AC2" w:rsidRDefault="00916F88" w:rsidP="00D64261">
            <w:pPr>
              <w:spacing w:line="360" w:lineRule="auto"/>
              <w:jc w:val="both"/>
              <w:rPr>
                <w:rFonts w:eastAsia="Calibri"/>
                <w:noProof/>
                <w:lang w:val="es-DO"/>
              </w:rPr>
            </w:pPr>
            <w:r w:rsidRPr="00AC7AC2">
              <w:rPr>
                <w:rFonts w:eastAsia="Calibri"/>
                <w:noProof/>
              </w:rPr>
              <w:t>11</w:t>
            </w:r>
          </w:p>
        </w:tc>
        <w:tc>
          <w:tcPr>
            <w:tcW w:w="440" w:type="dxa"/>
            <w:tcBorders>
              <w:top w:val="nil"/>
              <w:left w:val="nil"/>
              <w:bottom w:val="single" w:sz="4" w:space="0" w:color="auto"/>
              <w:right w:val="single" w:sz="4" w:space="0" w:color="auto"/>
            </w:tcBorders>
            <w:vAlign w:val="center"/>
            <w:hideMark/>
          </w:tcPr>
          <w:p w14:paraId="55E9F699" w14:textId="77777777" w:rsidR="00916F88" w:rsidRPr="00AC7AC2" w:rsidRDefault="00916F88" w:rsidP="00D64261">
            <w:pPr>
              <w:spacing w:line="360" w:lineRule="auto"/>
              <w:jc w:val="both"/>
              <w:rPr>
                <w:rFonts w:eastAsia="Calibri"/>
                <w:noProof/>
                <w:lang w:val="es-DO"/>
              </w:rPr>
            </w:pPr>
            <w:r w:rsidRPr="00AC7AC2">
              <w:rPr>
                <w:rFonts w:eastAsia="Calibri"/>
                <w:noProof/>
              </w:rPr>
              <w:t>5</w:t>
            </w:r>
          </w:p>
        </w:tc>
        <w:tc>
          <w:tcPr>
            <w:tcW w:w="434" w:type="dxa"/>
            <w:tcBorders>
              <w:top w:val="nil"/>
              <w:left w:val="nil"/>
              <w:bottom w:val="single" w:sz="4" w:space="0" w:color="auto"/>
              <w:right w:val="single" w:sz="4" w:space="0" w:color="auto"/>
            </w:tcBorders>
            <w:vAlign w:val="center"/>
            <w:hideMark/>
          </w:tcPr>
          <w:p w14:paraId="0BA62114" w14:textId="77777777" w:rsidR="00916F88" w:rsidRPr="00AC7AC2" w:rsidRDefault="00916F88" w:rsidP="00D64261">
            <w:pPr>
              <w:spacing w:line="360" w:lineRule="auto"/>
              <w:jc w:val="both"/>
              <w:rPr>
                <w:rFonts w:eastAsia="Calibri"/>
                <w:noProof/>
                <w:lang w:val="es-DO"/>
              </w:rPr>
            </w:pPr>
            <w:r w:rsidRPr="00AC7AC2">
              <w:rPr>
                <w:rFonts w:eastAsia="Calibri"/>
                <w:noProof/>
              </w:rPr>
              <w:t>11</w:t>
            </w:r>
          </w:p>
        </w:tc>
        <w:tc>
          <w:tcPr>
            <w:tcW w:w="334" w:type="dxa"/>
            <w:tcBorders>
              <w:top w:val="nil"/>
              <w:left w:val="nil"/>
              <w:bottom w:val="single" w:sz="4" w:space="0" w:color="auto"/>
              <w:right w:val="single" w:sz="4" w:space="0" w:color="auto"/>
            </w:tcBorders>
            <w:vAlign w:val="center"/>
            <w:hideMark/>
          </w:tcPr>
          <w:p w14:paraId="7F4FB967" w14:textId="77777777" w:rsidR="00916F88" w:rsidRPr="00AC7AC2" w:rsidRDefault="00916F88" w:rsidP="00D64261">
            <w:pPr>
              <w:spacing w:line="360" w:lineRule="auto"/>
              <w:jc w:val="both"/>
              <w:rPr>
                <w:rFonts w:eastAsia="Calibri"/>
                <w:noProof/>
                <w:lang w:val="es-DO"/>
              </w:rPr>
            </w:pPr>
            <w:r w:rsidRPr="00AC7AC2">
              <w:rPr>
                <w:rFonts w:eastAsia="Calibri"/>
                <w:noProof/>
              </w:rPr>
              <w:t>2</w:t>
            </w:r>
          </w:p>
        </w:tc>
        <w:tc>
          <w:tcPr>
            <w:tcW w:w="420" w:type="dxa"/>
            <w:tcBorders>
              <w:top w:val="nil"/>
              <w:left w:val="nil"/>
              <w:bottom w:val="single" w:sz="4" w:space="0" w:color="auto"/>
              <w:right w:val="single" w:sz="4" w:space="0" w:color="auto"/>
            </w:tcBorders>
            <w:vAlign w:val="center"/>
            <w:hideMark/>
          </w:tcPr>
          <w:p w14:paraId="3088AD03" w14:textId="77777777" w:rsidR="00916F88" w:rsidRPr="00AC7AC2" w:rsidRDefault="00916F88" w:rsidP="00D64261">
            <w:pPr>
              <w:spacing w:line="360" w:lineRule="auto"/>
              <w:jc w:val="both"/>
              <w:rPr>
                <w:rFonts w:eastAsia="Calibri"/>
                <w:noProof/>
                <w:lang w:val="es-DO"/>
              </w:rPr>
            </w:pPr>
            <w:r w:rsidRPr="00AC7AC2">
              <w:rPr>
                <w:rFonts w:eastAsia="Calibri"/>
                <w:noProof/>
              </w:rPr>
              <w:t>55</w:t>
            </w:r>
          </w:p>
        </w:tc>
        <w:tc>
          <w:tcPr>
            <w:tcW w:w="340" w:type="dxa"/>
            <w:tcBorders>
              <w:top w:val="nil"/>
              <w:left w:val="nil"/>
              <w:bottom w:val="single" w:sz="4" w:space="0" w:color="auto"/>
              <w:right w:val="single" w:sz="4" w:space="0" w:color="auto"/>
            </w:tcBorders>
            <w:vAlign w:val="center"/>
            <w:hideMark/>
          </w:tcPr>
          <w:p w14:paraId="06622B07" w14:textId="77777777" w:rsidR="00916F88" w:rsidRPr="00AC7AC2" w:rsidRDefault="00916F88" w:rsidP="00D64261">
            <w:pPr>
              <w:spacing w:line="360" w:lineRule="auto"/>
              <w:jc w:val="both"/>
              <w:rPr>
                <w:rFonts w:eastAsia="Calibri"/>
                <w:noProof/>
                <w:lang w:val="es-DO"/>
              </w:rPr>
            </w:pPr>
            <w:r w:rsidRPr="00AC7AC2">
              <w:rPr>
                <w:rFonts w:eastAsia="Calibri"/>
                <w:noProof/>
              </w:rPr>
              <w:t>9</w:t>
            </w:r>
          </w:p>
        </w:tc>
        <w:tc>
          <w:tcPr>
            <w:tcW w:w="440" w:type="dxa"/>
            <w:tcBorders>
              <w:top w:val="nil"/>
              <w:left w:val="nil"/>
              <w:bottom w:val="single" w:sz="4" w:space="0" w:color="auto"/>
              <w:right w:val="single" w:sz="4" w:space="0" w:color="auto"/>
            </w:tcBorders>
            <w:vAlign w:val="center"/>
            <w:hideMark/>
          </w:tcPr>
          <w:p w14:paraId="7F196456" w14:textId="77777777" w:rsidR="00916F88" w:rsidRPr="00AC7AC2" w:rsidRDefault="00916F88" w:rsidP="00D64261">
            <w:pPr>
              <w:spacing w:line="360" w:lineRule="auto"/>
              <w:jc w:val="both"/>
              <w:rPr>
                <w:rFonts w:eastAsia="Calibri"/>
                <w:noProof/>
                <w:lang w:val="es-DO"/>
              </w:rPr>
            </w:pPr>
            <w:r w:rsidRPr="00AC7AC2">
              <w:rPr>
                <w:rFonts w:eastAsia="Calibri"/>
                <w:noProof/>
              </w:rPr>
              <w:t>2</w:t>
            </w:r>
          </w:p>
        </w:tc>
        <w:tc>
          <w:tcPr>
            <w:tcW w:w="434" w:type="dxa"/>
            <w:tcBorders>
              <w:top w:val="nil"/>
              <w:left w:val="nil"/>
              <w:bottom w:val="single" w:sz="4" w:space="0" w:color="auto"/>
              <w:right w:val="single" w:sz="4" w:space="0" w:color="auto"/>
            </w:tcBorders>
            <w:vAlign w:val="center"/>
            <w:hideMark/>
          </w:tcPr>
          <w:p w14:paraId="0C2B2B4F" w14:textId="77777777" w:rsidR="00916F88" w:rsidRPr="00AC7AC2" w:rsidRDefault="00916F88" w:rsidP="00D64261">
            <w:pPr>
              <w:spacing w:line="360" w:lineRule="auto"/>
              <w:jc w:val="both"/>
              <w:rPr>
                <w:rFonts w:eastAsia="Calibri"/>
                <w:noProof/>
                <w:lang w:val="es-DO"/>
              </w:rPr>
            </w:pPr>
            <w:r w:rsidRPr="00AC7AC2">
              <w:rPr>
                <w:rFonts w:eastAsia="Calibri"/>
                <w:noProof/>
              </w:rPr>
              <w:t>2</w:t>
            </w:r>
          </w:p>
        </w:tc>
        <w:tc>
          <w:tcPr>
            <w:tcW w:w="334" w:type="dxa"/>
            <w:tcBorders>
              <w:top w:val="nil"/>
              <w:left w:val="nil"/>
              <w:bottom w:val="single" w:sz="4" w:space="0" w:color="auto"/>
              <w:right w:val="single" w:sz="4" w:space="0" w:color="auto"/>
            </w:tcBorders>
            <w:vAlign w:val="center"/>
            <w:hideMark/>
          </w:tcPr>
          <w:p w14:paraId="6F29371C" w14:textId="77777777" w:rsidR="00916F88" w:rsidRPr="00AC7AC2" w:rsidRDefault="00916F88" w:rsidP="00D64261">
            <w:pPr>
              <w:spacing w:line="360" w:lineRule="auto"/>
              <w:jc w:val="both"/>
              <w:rPr>
                <w:rFonts w:eastAsia="Calibri"/>
                <w:noProof/>
                <w:lang w:val="es-DO"/>
              </w:rPr>
            </w:pPr>
            <w:r w:rsidRPr="00AC7AC2">
              <w:rPr>
                <w:rFonts w:eastAsia="Calibri"/>
                <w:noProof/>
              </w:rPr>
              <w:t>4</w:t>
            </w:r>
          </w:p>
        </w:tc>
        <w:tc>
          <w:tcPr>
            <w:tcW w:w="609" w:type="dxa"/>
            <w:tcBorders>
              <w:top w:val="nil"/>
              <w:left w:val="nil"/>
              <w:bottom w:val="single" w:sz="4" w:space="0" w:color="auto"/>
              <w:right w:val="single" w:sz="4" w:space="0" w:color="auto"/>
            </w:tcBorders>
            <w:vAlign w:val="center"/>
            <w:hideMark/>
          </w:tcPr>
          <w:p w14:paraId="1B341CF8" w14:textId="77777777" w:rsidR="00916F88" w:rsidRPr="00AC7AC2" w:rsidRDefault="00916F88" w:rsidP="00D64261">
            <w:pPr>
              <w:spacing w:line="360" w:lineRule="auto"/>
              <w:jc w:val="both"/>
              <w:rPr>
                <w:rFonts w:eastAsia="Calibri"/>
                <w:noProof/>
                <w:lang w:val="es-DO"/>
              </w:rPr>
            </w:pPr>
            <w:r w:rsidRPr="00AC7AC2">
              <w:rPr>
                <w:rFonts w:eastAsia="Calibri"/>
                <w:noProof/>
              </w:rPr>
              <w:t>48</w:t>
            </w:r>
          </w:p>
        </w:tc>
        <w:tc>
          <w:tcPr>
            <w:tcW w:w="567" w:type="dxa"/>
            <w:tcBorders>
              <w:top w:val="nil"/>
              <w:left w:val="nil"/>
              <w:bottom w:val="single" w:sz="4" w:space="0" w:color="auto"/>
              <w:right w:val="single" w:sz="4" w:space="0" w:color="auto"/>
            </w:tcBorders>
            <w:vAlign w:val="center"/>
            <w:hideMark/>
          </w:tcPr>
          <w:p w14:paraId="394809DF" w14:textId="77777777" w:rsidR="00916F88" w:rsidRPr="00AC7AC2" w:rsidRDefault="00916F88" w:rsidP="00D64261">
            <w:pPr>
              <w:spacing w:line="360" w:lineRule="auto"/>
              <w:jc w:val="both"/>
              <w:rPr>
                <w:rFonts w:eastAsia="Calibri"/>
                <w:noProof/>
                <w:lang w:val="es-DO"/>
              </w:rPr>
            </w:pPr>
            <w:r w:rsidRPr="00AC7AC2">
              <w:rPr>
                <w:rFonts w:eastAsia="Calibri"/>
                <w:noProof/>
              </w:rPr>
              <w:t>72</w:t>
            </w:r>
          </w:p>
        </w:tc>
        <w:tc>
          <w:tcPr>
            <w:tcW w:w="1134" w:type="dxa"/>
            <w:tcBorders>
              <w:top w:val="nil"/>
              <w:left w:val="nil"/>
              <w:bottom w:val="single" w:sz="4" w:space="0" w:color="auto"/>
              <w:right w:val="single" w:sz="4" w:space="0" w:color="auto"/>
            </w:tcBorders>
            <w:vAlign w:val="center"/>
            <w:hideMark/>
          </w:tcPr>
          <w:p w14:paraId="1BAF7732" w14:textId="77777777" w:rsidR="00916F88" w:rsidRPr="00AC7AC2" w:rsidRDefault="00916F88" w:rsidP="00D64261">
            <w:pPr>
              <w:spacing w:line="360" w:lineRule="auto"/>
              <w:jc w:val="both"/>
              <w:rPr>
                <w:rFonts w:eastAsia="Calibri"/>
                <w:noProof/>
                <w:lang w:val="es-DO"/>
              </w:rPr>
            </w:pPr>
            <w:r w:rsidRPr="00AC7AC2">
              <w:rPr>
                <w:rFonts w:eastAsia="Calibri"/>
                <w:noProof/>
              </w:rPr>
              <w:t>120</w:t>
            </w:r>
          </w:p>
        </w:tc>
      </w:tr>
      <w:tr w:rsidR="00916F88" w:rsidRPr="00916F88" w14:paraId="00EF8A75" w14:textId="77777777" w:rsidTr="00B00075">
        <w:trPr>
          <w:trHeight w:val="536"/>
          <w:jc w:val="center"/>
        </w:trPr>
        <w:tc>
          <w:tcPr>
            <w:tcW w:w="3187" w:type="dxa"/>
            <w:tcBorders>
              <w:top w:val="nil"/>
              <w:left w:val="single" w:sz="4" w:space="0" w:color="auto"/>
              <w:bottom w:val="single" w:sz="4" w:space="0" w:color="auto"/>
              <w:right w:val="single" w:sz="4" w:space="0" w:color="auto"/>
            </w:tcBorders>
            <w:vAlign w:val="bottom"/>
            <w:hideMark/>
          </w:tcPr>
          <w:p w14:paraId="0496BC44"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 xml:space="preserve">Dirección de Administración de </w:t>
            </w:r>
            <w:r w:rsidRPr="00AC7AC2">
              <w:rPr>
                <w:rFonts w:eastAsia="Calibri"/>
                <w:noProof/>
                <w:lang w:val="es-DO"/>
              </w:rPr>
              <w:lastRenderedPageBreak/>
              <w:t>Cuentas Y Registros Financieros</w:t>
            </w:r>
          </w:p>
        </w:tc>
        <w:tc>
          <w:tcPr>
            <w:tcW w:w="420" w:type="dxa"/>
            <w:tcBorders>
              <w:top w:val="nil"/>
              <w:left w:val="nil"/>
              <w:bottom w:val="single" w:sz="4" w:space="0" w:color="auto"/>
              <w:right w:val="single" w:sz="4" w:space="0" w:color="auto"/>
            </w:tcBorders>
            <w:vAlign w:val="bottom"/>
            <w:hideMark/>
          </w:tcPr>
          <w:p w14:paraId="25C13A5F" w14:textId="77777777" w:rsidR="00916F88" w:rsidRPr="00AC7AC2" w:rsidRDefault="00916F88" w:rsidP="00D64261">
            <w:pPr>
              <w:spacing w:line="360" w:lineRule="auto"/>
              <w:jc w:val="both"/>
              <w:rPr>
                <w:rFonts w:eastAsia="Calibri"/>
                <w:noProof/>
                <w:lang w:val="es-DO"/>
              </w:rPr>
            </w:pPr>
            <w:r w:rsidRPr="00AC7AC2">
              <w:rPr>
                <w:rFonts w:eastAsia="Calibri"/>
                <w:noProof/>
                <w:lang w:val="es-419"/>
              </w:rPr>
              <w:lastRenderedPageBreak/>
              <w:t> </w:t>
            </w:r>
          </w:p>
        </w:tc>
        <w:tc>
          <w:tcPr>
            <w:tcW w:w="420" w:type="dxa"/>
            <w:tcBorders>
              <w:top w:val="nil"/>
              <w:left w:val="nil"/>
              <w:bottom w:val="single" w:sz="4" w:space="0" w:color="auto"/>
              <w:right w:val="single" w:sz="4" w:space="0" w:color="auto"/>
            </w:tcBorders>
            <w:vAlign w:val="center"/>
            <w:hideMark/>
          </w:tcPr>
          <w:p w14:paraId="00E914CC"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440" w:type="dxa"/>
            <w:tcBorders>
              <w:top w:val="nil"/>
              <w:left w:val="nil"/>
              <w:bottom w:val="single" w:sz="4" w:space="0" w:color="auto"/>
              <w:right w:val="single" w:sz="4" w:space="0" w:color="auto"/>
            </w:tcBorders>
            <w:vAlign w:val="bottom"/>
            <w:hideMark/>
          </w:tcPr>
          <w:p w14:paraId="08CF9820"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34" w:type="dxa"/>
            <w:tcBorders>
              <w:top w:val="nil"/>
              <w:left w:val="nil"/>
              <w:bottom w:val="single" w:sz="4" w:space="0" w:color="auto"/>
              <w:right w:val="single" w:sz="4" w:space="0" w:color="auto"/>
            </w:tcBorders>
            <w:vAlign w:val="center"/>
            <w:hideMark/>
          </w:tcPr>
          <w:p w14:paraId="1F0BB814" w14:textId="77777777" w:rsidR="00916F88" w:rsidRPr="00AC7AC2" w:rsidRDefault="00916F88" w:rsidP="00D64261">
            <w:pPr>
              <w:spacing w:line="360" w:lineRule="auto"/>
              <w:jc w:val="both"/>
              <w:rPr>
                <w:rFonts w:eastAsia="Calibri"/>
                <w:noProof/>
                <w:lang w:val="es-DO"/>
              </w:rPr>
            </w:pPr>
            <w:r w:rsidRPr="00AC7AC2">
              <w:rPr>
                <w:rFonts w:eastAsia="Calibri"/>
                <w:noProof/>
              </w:rPr>
              <w:t>9</w:t>
            </w:r>
          </w:p>
        </w:tc>
        <w:tc>
          <w:tcPr>
            <w:tcW w:w="334" w:type="dxa"/>
            <w:tcBorders>
              <w:top w:val="nil"/>
              <w:left w:val="nil"/>
              <w:bottom w:val="single" w:sz="4" w:space="0" w:color="auto"/>
              <w:right w:val="single" w:sz="4" w:space="0" w:color="auto"/>
            </w:tcBorders>
            <w:vAlign w:val="center"/>
            <w:hideMark/>
          </w:tcPr>
          <w:p w14:paraId="1FA19BF1" w14:textId="77777777" w:rsidR="00916F88" w:rsidRPr="00AC7AC2" w:rsidRDefault="00916F88" w:rsidP="00D64261">
            <w:pPr>
              <w:spacing w:line="360" w:lineRule="auto"/>
              <w:jc w:val="both"/>
              <w:rPr>
                <w:rFonts w:eastAsia="Calibri"/>
                <w:noProof/>
                <w:lang w:val="es-DO"/>
              </w:rPr>
            </w:pPr>
            <w:r w:rsidRPr="00AC7AC2">
              <w:rPr>
                <w:rFonts w:eastAsia="Calibri"/>
                <w:noProof/>
              </w:rPr>
              <w:t>3</w:t>
            </w:r>
          </w:p>
        </w:tc>
        <w:tc>
          <w:tcPr>
            <w:tcW w:w="420" w:type="dxa"/>
            <w:tcBorders>
              <w:top w:val="nil"/>
              <w:left w:val="nil"/>
              <w:bottom w:val="single" w:sz="4" w:space="0" w:color="auto"/>
              <w:right w:val="single" w:sz="4" w:space="0" w:color="auto"/>
            </w:tcBorders>
            <w:vAlign w:val="bottom"/>
            <w:hideMark/>
          </w:tcPr>
          <w:p w14:paraId="15E81F05"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340" w:type="dxa"/>
            <w:tcBorders>
              <w:top w:val="nil"/>
              <w:left w:val="nil"/>
              <w:bottom w:val="single" w:sz="4" w:space="0" w:color="auto"/>
              <w:right w:val="single" w:sz="4" w:space="0" w:color="auto"/>
            </w:tcBorders>
            <w:vAlign w:val="bottom"/>
            <w:hideMark/>
          </w:tcPr>
          <w:p w14:paraId="04FAAFF7"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40" w:type="dxa"/>
            <w:tcBorders>
              <w:top w:val="nil"/>
              <w:left w:val="nil"/>
              <w:bottom w:val="single" w:sz="4" w:space="0" w:color="auto"/>
              <w:right w:val="single" w:sz="4" w:space="0" w:color="auto"/>
            </w:tcBorders>
            <w:vAlign w:val="bottom"/>
            <w:hideMark/>
          </w:tcPr>
          <w:p w14:paraId="203D47D9"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34" w:type="dxa"/>
            <w:tcBorders>
              <w:top w:val="nil"/>
              <w:left w:val="nil"/>
              <w:bottom w:val="single" w:sz="4" w:space="0" w:color="auto"/>
              <w:right w:val="single" w:sz="4" w:space="0" w:color="auto"/>
            </w:tcBorders>
            <w:vAlign w:val="center"/>
            <w:hideMark/>
          </w:tcPr>
          <w:p w14:paraId="69FA18FF" w14:textId="77777777" w:rsidR="00916F88" w:rsidRPr="00AC7AC2" w:rsidRDefault="00916F88" w:rsidP="00D64261">
            <w:pPr>
              <w:spacing w:line="360" w:lineRule="auto"/>
              <w:jc w:val="both"/>
              <w:rPr>
                <w:rFonts w:eastAsia="Calibri"/>
                <w:noProof/>
                <w:lang w:val="es-DO"/>
              </w:rPr>
            </w:pPr>
            <w:r w:rsidRPr="00AC7AC2">
              <w:rPr>
                <w:rFonts w:eastAsia="Calibri"/>
                <w:noProof/>
              </w:rPr>
              <w:t>3</w:t>
            </w:r>
          </w:p>
        </w:tc>
        <w:tc>
          <w:tcPr>
            <w:tcW w:w="334" w:type="dxa"/>
            <w:tcBorders>
              <w:top w:val="nil"/>
              <w:left w:val="nil"/>
              <w:bottom w:val="single" w:sz="4" w:space="0" w:color="auto"/>
              <w:right w:val="single" w:sz="4" w:space="0" w:color="auto"/>
            </w:tcBorders>
            <w:vAlign w:val="bottom"/>
            <w:hideMark/>
          </w:tcPr>
          <w:p w14:paraId="3A9DE9EF"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609" w:type="dxa"/>
            <w:tcBorders>
              <w:top w:val="nil"/>
              <w:left w:val="nil"/>
              <w:bottom w:val="single" w:sz="4" w:space="0" w:color="auto"/>
              <w:right w:val="single" w:sz="4" w:space="0" w:color="auto"/>
            </w:tcBorders>
            <w:vAlign w:val="center"/>
            <w:hideMark/>
          </w:tcPr>
          <w:p w14:paraId="57243836" w14:textId="77777777" w:rsidR="00916F88" w:rsidRPr="00AC7AC2" w:rsidRDefault="00916F88" w:rsidP="00D64261">
            <w:pPr>
              <w:spacing w:line="360" w:lineRule="auto"/>
              <w:jc w:val="both"/>
              <w:rPr>
                <w:rFonts w:eastAsia="Calibri"/>
                <w:noProof/>
                <w:lang w:val="es-DO"/>
              </w:rPr>
            </w:pPr>
            <w:r w:rsidRPr="00AC7AC2">
              <w:rPr>
                <w:rFonts w:eastAsia="Calibri"/>
                <w:noProof/>
              </w:rPr>
              <w:t>13</w:t>
            </w:r>
          </w:p>
        </w:tc>
        <w:tc>
          <w:tcPr>
            <w:tcW w:w="567" w:type="dxa"/>
            <w:tcBorders>
              <w:top w:val="nil"/>
              <w:left w:val="nil"/>
              <w:bottom w:val="single" w:sz="4" w:space="0" w:color="auto"/>
              <w:right w:val="single" w:sz="4" w:space="0" w:color="auto"/>
            </w:tcBorders>
            <w:vAlign w:val="center"/>
            <w:hideMark/>
          </w:tcPr>
          <w:p w14:paraId="238D46E9" w14:textId="77777777" w:rsidR="00916F88" w:rsidRPr="00AC7AC2" w:rsidRDefault="00916F88" w:rsidP="00D64261">
            <w:pPr>
              <w:spacing w:line="360" w:lineRule="auto"/>
              <w:jc w:val="both"/>
              <w:rPr>
                <w:rFonts w:eastAsia="Calibri"/>
                <w:noProof/>
                <w:lang w:val="es-DO"/>
              </w:rPr>
            </w:pPr>
            <w:r w:rsidRPr="00AC7AC2">
              <w:rPr>
                <w:rFonts w:eastAsia="Calibri"/>
                <w:noProof/>
              </w:rPr>
              <w:t>3</w:t>
            </w:r>
          </w:p>
        </w:tc>
        <w:tc>
          <w:tcPr>
            <w:tcW w:w="1134" w:type="dxa"/>
            <w:tcBorders>
              <w:top w:val="nil"/>
              <w:left w:val="nil"/>
              <w:bottom w:val="single" w:sz="4" w:space="0" w:color="auto"/>
              <w:right w:val="single" w:sz="4" w:space="0" w:color="auto"/>
            </w:tcBorders>
            <w:vAlign w:val="center"/>
            <w:hideMark/>
          </w:tcPr>
          <w:p w14:paraId="7DE62392" w14:textId="77777777" w:rsidR="00916F88" w:rsidRPr="00AC7AC2" w:rsidRDefault="00916F88" w:rsidP="00D64261">
            <w:pPr>
              <w:spacing w:line="360" w:lineRule="auto"/>
              <w:jc w:val="both"/>
              <w:rPr>
                <w:rFonts w:eastAsia="Calibri"/>
                <w:noProof/>
                <w:lang w:val="es-DO"/>
              </w:rPr>
            </w:pPr>
            <w:r w:rsidRPr="00AC7AC2">
              <w:rPr>
                <w:rFonts w:eastAsia="Calibri"/>
                <w:noProof/>
              </w:rPr>
              <w:t>16</w:t>
            </w:r>
          </w:p>
        </w:tc>
      </w:tr>
      <w:tr w:rsidR="00916F88" w:rsidRPr="00916F88" w14:paraId="2D601068" w14:textId="77777777" w:rsidTr="00B00075">
        <w:trPr>
          <w:trHeight w:val="536"/>
          <w:jc w:val="center"/>
        </w:trPr>
        <w:tc>
          <w:tcPr>
            <w:tcW w:w="3187" w:type="dxa"/>
            <w:tcBorders>
              <w:top w:val="nil"/>
              <w:left w:val="single" w:sz="4" w:space="0" w:color="auto"/>
              <w:bottom w:val="single" w:sz="4" w:space="0" w:color="auto"/>
              <w:right w:val="single" w:sz="4" w:space="0" w:color="auto"/>
            </w:tcBorders>
            <w:vAlign w:val="bottom"/>
            <w:hideMark/>
          </w:tcPr>
          <w:p w14:paraId="009F6C12"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Dirección de Administración de Desembolsos</w:t>
            </w:r>
          </w:p>
        </w:tc>
        <w:tc>
          <w:tcPr>
            <w:tcW w:w="420" w:type="dxa"/>
            <w:tcBorders>
              <w:top w:val="nil"/>
              <w:left w:val="nil"/>
              <w:bottom w:val="single" w:sz="4" w:space="0" w:color="auto"/>
              <w:right w:val="single" w:sz="4" w:space="0" w:color="auto"/>
            </w:tcBorders>
            <w:vAlign w:val="bottom"/>
            <w:hideMark/>
          </w:tcPr>
          <w:p w14:paraId="7F019F8A" w14:textId="77777777" w:rsidR="00916F88" w:rsidRPr="00AC7AC2" w:rsidRDefault="00916F88" w:rsidP="00D64261">
            <w:pPr>
              <w:spacing w:line="360" w:lineRule="auto"/>
              <w:jc w:val="both"/>
              <w:rPr>
                <w:rFonts w:eastAsia="Calibri"/>
                <w:noProof/>
                <w:lang w:val="es-DO"/>
              </w:rPr>
            </w:pPr>
            <w:r w:rsidRPr="00AC7AC2">
              <w:rPr>
                <w:rFonts w:eastAsia="Calibri"/>
                <w:noProof/>
                <w:lang w:val="es-419"/>
              </w:rPr>
              <w:t> </w:t>
            </w:r>
          </w:p>
        </w:tc>
        <w:tc>
          <w:tcPr>
            <w:tcW w:w="420" w:type="dxa"/>
            <w:tcBorders>
              <w:top w:val="nil"/>
              <w:left w:val="nil"/>
              <w:bottom w:val="single" w:sz="4" w:space="0" w:color="auto"/>
              <w:right w:val="single" w:sz="4" w:space="0" w:color="auto"/>
            </w:tcBorders>
            <w:vAlign w:val="center"/>
            <w:hideMark/>
          </w:tcPr>
          <w:p w14:paraId="7C5274E3" w14:textId="77777777" w:rsidR="00916F88" w:rsidRPr="00AC7AC2" w:rsidRDefault="00916F88" w:rsidP="00D64261">
            <w:pPr>
              <w:spacing w:line="360" w:lineRule="auto"/>
              <w:jc w:val="both"/>
              <w:rPr>
                <w:rFonts w:eastAsia="Calibri"/>
                <w:noProof/>
                <w:lang w:val="es-DO"/>
              </w:rPr>
            </w:pPr>
            <w:r w:rsidRPr="00AC7AC2">
              <w:rPr>
                <w:rFonts w:eastAsia="Calibri"/>
                <w:noProof/>
              </w:rPr>
              <w:t>2</w:t>
            </w:r>
          </w:p>
        </w:tc>
        <w:tc>
          <w:tcPr>
            <w:tcW w:w="440" w:type="dxa"/>
            <w:tcBorders>
              <w:top w:val="nil"/>
              <w:left w:val="nil"/>
              <w:bottom w:val="single" w:sz="4" w:space="0" w:color="auto"/>
              <w:right w:val="single" w:sz="4" w:space="0" w:color="auto"/>
            </w:tcBorders>
            <w:vAlign w:val="center"/>
            <w:hideMark/>
          </w:tcPr>
          <w:p w14:paraId="025B34CF" w14:textId="77777777" w:rsidR="00916F88" w:rsidRPr="00AC7AC2" w:rsidRDefault="00916F88" w:rsidP="00D64261">
            <w:pPr>
              <w:spacing w:line="360" w:lineRule="auto"/>
              <w:jc w:val="both"/>
              <w:rPr>
                <w:rFonts w:eastAsia="Calibri"/>
                <w:noProof/>
                <w:lang w:val="es-DO"/>
              </w:rPr>
            </w:pPr>
            <w:r w:rsidRPr="00AC7AC2">
              <w:rPr>
                <w:rFonts w:eastAsia="Calibri"/>
                <w:noProof/>
              </w:rPr>
              <w:t>4</w:t>
            </w:r>
          </w:p>
        </w:tc>
        <w:tc>
          <w:tcPr>
            <w:tcW w:w="434" w:type="dxa"/>
            <w:tcBorders>
              <w:top w:val="nil"/>
              <w:left w:val="nil"/>
              <w:bottom w:val="single" w:sz="4" w:space="0" w:color="auto"/>
              <w:right w:val="single" w:sz="4" w:space="0" w:color="auto"/>
            </w:tcBorders>
            <w:vAlign w:val="center"/>
            <w:hideMark/>
          </w:tcPr>
          <w:p w14:paraId="0005A4EC" w14:textId="77777777" w:rsidR="00916F88" w:rsidRPr="00AC7AC2" w:rsidRDefault="00916F88" w:rsidP="00D64261">
            <w:pPr>
              <w:spacing w:line="360" w:lineRule="auto"/>
              <w:jc w:val="both"/>
              <w:rPr>
                <w:rFonts w:eastAsia="Calibri"/>
                <w:noProof/>
                <w:lang w:val="es-DO"/>
              </w:rPr>
            </w:pPr>
            <w:r w:rsidRPr="00AC7AC2">
              <w:rPr>
                <w:rFonts w:eastAsia="Calibri"/>
                <w:noProof/>
              </w:rPr>
              <w:t>4</w:t>
            </w:r>
          </w:p>
        </w:tc>
        <w:tc>
          <w:tcPr>
            <w:tcW w:w="334" w:type="dxa"/>
            <w:tcBorders>
              <w:top w:val="nil"/>
              <w:left w:val="nil"/>
              <w:bottom w:val="single" w:sz="4" w:space="0" w:color="auto"/>
              <w:right w:val="single" w:sz="4" w:space="0" w:color="auto"/>
            </w:tcBorders>
            <w:vAlign w:val="center"/>
            <w:hideMark/>
          </w:tcPr>
          <w:p w14:paraId="73949C4B"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420" w:type="dxa"/>
            <w:tcBorders>
              <w:top w:val="nil"/>
              <w:left w:val="nil"/>
              <w:bottom w:val="single" w:sz="4" w:space="0" w:color="auto"/>
              <w:right w:val="single" w:sz="4" w:space="0" w:color="auto"/>
            </w:tcBorders>
            <w:vAlign w:val="bottom"/>
            <w:hideMark/>
          </w:tcPr>
          <w:p w14:paraId="273CE0AE"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340" w:type="dxa"/>
            <w:tcBorders>
              <w:top w:val="nil"/>
              <w:left w:val="nil"/>
              <w:bottom w:val="single" w:sz="4" w:space="0" w:color="auto"/>
              <w:right w:val="single" w:sz="4" w:space="0" w:color="auto"/>
            </w:tcBorders>
            <w:vAlign w:val="bottom"/>
            <w:hideMark/>
          </w:tcPr>
          <w:p w14:paraId="65842A6E"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40" w:type="dxa"/>
            <w:tcBorders>
              <w:top w:val="nil"/>
              <w:left w:val="nil"/>
              <w:bottom w:val="single" w:sz="4" w:space="0" w:color="auto"/>
              <w:right w:val="single" w:sz="4" w:space="0" w:color="auto"/>
            </w:tcBorders>
            <w:vAlign w:val="center"/>
            <w:hideMark/>
          </w:tcPr>
          <w:p w14:paraId="1A5CB925" w14:textId="77777777" w:rsidR="00916F88" w:rsidRPr="00AC7AC2" w:rsidRDefault="00916F88" w:rsidP="00D64261">
            <w:pPr>
              <w:spacing w:line="360" w:lineRule="auto"/>
              <w:jc w:val="both"/>
              <w:rPr>
                <w:rFonts w:eastAsia="Calibri"/>
                <w:noProof/>
                <w:lang w:val="es-DO"/>
              </w:rPr>
            </w:pPr>
            <w:r w:rsidRPr="00AC7AC2">
              <w:rPr>
                <w:rFonts w:eastAsia="Calibri"/>
                <w:noProof/>
              </w:rPr>
              <w:t>3</w:t>
            </w:r>
          </w:p>
        </w:tc>
        <w:tc>
          <w:tcPr>
            <w:tcW w:w="434" w:type="dxa"/>
            <w:tcBorders>
              <w:top w:val="nil"/>
              <w:left w:val="nil"/>
              <w:bottom w:val="single" w:sz="4" w:space="0" w:color="auto"/>
              <w:right w:val="single" w:sz="4" w:space="0" w:color="auto"/>
            </w:tcBorders>
            <w:vAlign w:val="center"/>
            <w:hideMark/>
          </w:tcPr>
          <w:p w14:paraId="72378B97" w14:textId="77777777" w:rsidR="00916F88" w:rsidRPr="00AC7AC2" w:rsidRDefault="00916F88" w:rsidP="00D64261">
            <w:pPr>
              <w:spacing w:line="360" w:lineRule="auto"/>
              <w:jc w:val="both"/>
              <w:rPr>
                <w:rFonts w:eastAsia="Calibri"/>
                <w:noProof/>
                <w:lang w:val="es-DO"/>
              </w:rPr>
            </w:pPr>
            <w:r w:rsidRPr="00AC7AC2">
              <w:rPr>
                <w:rFonts w:eastAsia="Calibri"/>
                <w:noProof/>
              </w:rPr>
              <w:t>6</w:t>
            </w:r>
          </w:p>
        </w:tc>
        <w:tc>
          <w:tcPr>
            <w:tcW w:w="334" w:type="dxa"/>
            <w:tcBorders>
              <w:top w:val="nil"/>
              <w:left w:val="nil"/>
              <w:bottom w:val="single" w:sz="4" w:space="0" w:color="auto"/>
              <w:right w:val="single" w:sz="4" w:space="0" w:color="auto"/>
            </w:tcBorders>
            <w:vAlign w:val="center"/>
            <w:hideMark/>
          </w:tcPr>
          <w:p w14:paraId="57F3272D" w14:textId="77777777" w:rsidR="00916F88" w:rsidRPr="00AC7AC2" w:rsidRDefault="00916F88" w:rsidP="00D64261">
            <w:pPr>
              <w:spacing w:line="360" w:lineRule="auto"/>
              <w:jc w:val="both"/>
              <w:rPr>
                <w:rFonts w:eastAsia="Calibri"/>
                <w:noProof/>
                <w:lang w:val="es-DO"/>
              </w:rPr>
            </w:pPr>
            <w:r w:rsidRPr="00AC7AC2">
              <w:rPr>
                <w:rFonts w:eastAsia="Calibri"/>
                <w:noProof/>
              </w:rPr>
              <w:t>2</w:t>
            </w:r>
          </w:p>
        </w:tc>
        <w:tc>
          <w:tcPr>
            <w:tcW w:w="609" w:type="dxa"/>
            <w:tcBorders>
              <w:top w:val="nil"/>
              <w:left w:val="nil"/>
              <w:bottom w:val="single" w:sz="4" w:space="0" w:color="auto"/>
              <w:right w:val="single" w:sz="4" w:space="0" w:color="auto"/>
            </w:tcBorders>
            <w:vAlign w:val="center"/>
            <w:hideMark/>
          </w:tcPr>
          <w:p w14:paraId="2632C4FD" w14:textId="77777777" w:rsidR="00916F88" w:rsidRPr="00AC7AC2" w:rsidRDefault="00916F88" w:rsidP="00D64261">
            <w:pPr>
              <w:spacing w:line="360" w:lineRule="auto"/>
              <w:jc w:val="both"/>
              <w:rPr>
                <w:rFonts w:eastAsia="Calibri"/>
                <w:noProof/>
                <w:lang w:val="es-DO"/>
              </w:rPr>
            </w:pPr>
            <w:r w:rsidRPr="00AC7AC2">
              <w:rPr>
                <w:rFonts w:eastAsia="Calibri"/>
                <w:noProof/>
              </w:rPr>
              <w:t>11</w:t>
            </w:r>
          </w:p>
        </w:tc>
        <w:tc>
          <w:tcPr>
            <w:tcW w:w="567" w:type="dxa"/>
            <w:tcBorders>
              <w:top w:val="nil"/>
              <w:left w:val="nil"/>
              <w:bottom w:val="single" w:sz="4" w:space="0" w:color="auto"/>
              <w:right w:val="single" w:sz="4" w:space="0" w:color="auto"/>
            </w:tcBorders>
            <w:vAlign w:val="center"/>
            <w:hideMark/>
          </w:tcPr>
          <w:p w14:paraId="04BBD702" w14:textId="77777777" w:rsidR="00916F88" w:rsidRPr="00AC7AC2" w:rsidRDefault="00916F88" w:rsidP="00D64261">
            <w:pPr>
              <w:spacing w:line="360" w:lineRule="auto"/>
              <w:jc w:val="both"/>
              <w:rPr>
                <w:rFonts w:eastAsia="Calibri"/>
                <w:noProof/>
                <w:lang w:val="es-DO"/>
              </w:rPr>
            </w:pPr>
            <w:r w:rsidRPr="00AC7AC2">
              <w:rPr>
                <w:rFonts w:eastAsia="Calibri"/>
                <w:noProof/>
              </w:rPr>
              <w:t>11</w:t>
            </w:r>
          </w:p>
        </w:tc>
        <w:tc>
          <w:tcPr>
            <w:tcW w:w="1134" w:type="dxa"/>
            <w:tcBorders>
              <w:top w:val="nil"/>
              <w:left w:val="nil"/>
              <w:bottom w:val="single" w:sz="4" w:space="0" w:color="auto"/>
              <w:right w:val="single" w:sz="4" w:space="0" w:color="auto"/>
            </w:tcBorders>
            <w:vAlign w:val="center"/>
            <w:hideMark/>
          </w:tcPr>
          <w:p w14:paraId="35342AF0" w14:textId="77777777" w:rsidR="00916F88" w:rsidRPr="00AC7AC2" w:rsidRDefault="00916F88" w:rsidP="00D64261">
            <w:pPr>
              <w:spacing w:line="360" w:lineRule="auto"/>
              <w:jc w:val="both"/>
              <w:rPr>
                <w:rFonts w:eastAsia="Calibri"/>
                <w:noProof/>
                <w:lang w:val="es-DO"/>
              </w:rPr>
            </w:pPr>
            <w:r w:rsidRPr="00AC7AC2">
              <w:rPr>
                <w:rFonts w:eastAsia="Calibri"/>
                <w:noProof/>
              </w:rPr>
              <w:t>22</w:t>
            </w:r>
          </w:p>
        </w:tc>
      </w:tr>
      <w:tr w:rsidR="00916F88" w:rsidRPr="00916F88" w14:paraId="5AE0C43A" w14:textId="77777777" w:rsidTr="00B00075">
        <w:trPr>
          <w:trHeight w:val="536"/>
          <w:jc w:val="center"/>
        </w:trPr>
        <w:tc>
          <w:tcPr>
            <w:tcW w:w="3187" w:type="dxa"/>
            <w:tcBorders>
              <w:top w:val="nil"/>
              <w:left w:val="single" w:sz="4" w:space="0" w:color="auto"/>
              <w:bottom w:val="single" w:sz="4" w:space="0" w:color="auto"/>
              <w:right w:val="single" w:sz="4" w:space="0" w:color="auto"/>
            </w:tcBorders>
            <w:vAlign w:val="bottom"/>
            <w:hideMark/>
          </w:tcPr>
          <w:p w14:paraId="596229BD"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Dirección de Administración de Fondos</w:t>
            </w:r>
          </w:p>
        </w:tc>
        <w:tc>
          <w:tcPr>
            <w:tcW w:w="420" w:type="dxa"/>
            <w:tcBorders>
              <w:top w:val="nil"/>
              <w:left w:val="nil"/>
              <w:bottom w:val="single" w:sz="4" w:space="0" w:color="auto"/>
              <w:right w:val="single" w:sz="4" w:space="0" w:color="auto"/>
            </w:tcBorders>
            <w:vAlign w:val="bottom"/>
            <w:hideMark/>
          </w:tcPr>
          <w:p w14:paraId="25E82E33" w14:textId="77777777" w:rsidR="00916F88" w:rsidRPr="00AC7AC2" w:rsidRDefault="00916F88" w:rsidP="00D64261">
            <w:pPr>
              <w:spacing w:line="360" w:lineRule="auto"/>
              <w:jc w:val="both"/>
              <w:rPr>
                <w:rFonts w:eastAsia="Calibri"/>
                <w:noProof/>
                <w:lang w:val="es-DO"/>
              </w:rPr>
            </w:pPr>
            <w:r w:rsidRPr="00AC7AC2">
              <w:rPr>
                <w:rFonts w:eastAsia="Calibri"/>
                <w:noProof/>
                <w:lang w:val="es-419"/>
              </w:rPr>
              <w:t> </w:t>
            </w:r>
          </w:p>
        </w:tc>
        <w:tc>
          <w:tcPr>
            <w:tcW w:w="420" w:type="dxa"/>
            <w:tcBorders>
              <w:top w:val="nil"/>
              <w:left w:val="nil"/>
              <w:bottom w:val="single" w:sz="4" w:space="0" w:color="auto"/>
              <w:right w:val="single" w:sz="4" w:space="0" w:color="auto"/>
            </w:tcBorders>
            <w:vAlign w:val="center"/>
            <w:hideMark/>
          </w:tcPr>
          <w:p w14:paraId="57411BA4"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440" w:type="dxa"/>
            <w:tcBorders>
              <w:top w:val="nil"/>
              <w:left w:val="nil"/>
              <w:bottom w:val="single" w:sz="4" w:space="0" w:color="auto"/>
              <w:right w:val="single" w:sz="4" w:space="0" w:color="auto"/>
            </w:tcBorders>
            <w:vAlign w:val="center"/>
            <w:hideMark/>
          </w:tcPr>
          <w:p w14:paraId="77CE367F" w14:textId="77777777" w:rsidR="00916F88" w:rsidRPr="00AC7AC2" w:rsidRDefault="00916F88" w:rsidP="00D64261">
            <w:pPr>
              <w:spacing w:line="360" w:lineRule="auto"/>
              <w:jc w:val="both"/>
              <w:rPr>
                <w:rFonts w:eastAsia="Calibri"/>
                <w:noProof/>
                <w:lang w:val="es-DO"/>
              </w:rPr>
            </w:pPr>
            <w:r w:rsidRPr="00AC7AC2">
              <w:rPr>
                <w:rFonts w:eastAsia="Calibri"/>
                <w:noProof/>
              </w:rPr>
              <w:t>5</w:t>
            </w:r>
          </w:p>
        </w:tc>
        <w:tc>
          <w:tcPr>
            <w:tcW w:w="434" w:type="dxa"/>
            <w:tcBorders>
              <w:top w:val="nil"/>
              <w:left w:val="nil"/>
              <w:bottom w:val="single" w:sz="4" w:space="0" w:color="auto"/>
              <w:right w:val="single" w:sz="4" w:space="0" w:color="auto"/>
            </w:tcBorders>
            <w:vAlign w:val="center"/>
            <w:hideMark/>
          </w:tcPr>
          <w:p w14:paraId="3D0D90C3" w14:textId="77777777" w:rsidR="00916F88" w:rsidRPr="00AC7AC2" w:rsidRDefault="00916F88" w:rsidP="00D64261">
            <w:pPr>
              <w:spacing w:line="360" w:lineRule="auto"/>
              <w:jc w:val="both"/>
              <w:rPr>
                <w:rFonts w:eastAsia="Calibri"/>
                <w:noProof/>
                <w:lang w:val="es-DO"/>
              </w:rPr>
            </w:pPr>
            <w:r w:rsidRPr="00AC7AC2">
              <w:rPr>
                <w:rFonts w:eastAsia="Calibri"/>
                <w:noProof/>
              </w:rPr>
              <w:t>8</w:t>
            </w:r>
          </w:p>
        </w:tc>
        <w:tc>
          <w:tcPr>
            <w:tcW w:w="334" w:type="dxa"/>
            <w:tcBorders>
              <w:top w:val="nil"/>
              <w:left w:val="nil"/>
              <w:bottom w:val="single" w:sz="4" w:space="0" w:color="auto"/>
              <w:right w:val="single" w:sz="4" w:space="0" w:color="auto"/>
            </w:tcBorders>
            <w:vAlign w:val="center"/>
            <w:hideMark/>
          </w:tcPr>
          <w:p w14:paraId="4C774E99" w14:textId="77777777" w:rsidR="00916F88" w:rsidRPr="00AC7AC2" w:rsidRDefault="00916F88" w:rsidP="00D64261">
            <w:pPr>
              <w:spacing w:line="360" w:lineRule="auto"/>
              <w:jc w:val="both"/>
              <w:rPr>
                <w:rFonts w:eastAsia="Calibri"/>
                <w:noProof/>
                <w:lang w:val="es-DO"/>
              </w:rPr>
            </w:pPr>
            <w:r w:rsidRPr="00AC7AC2">
              <w:rPr>
                <w:rFonts w:eastAsia="Calibri"/>
                <w:noProof/>
              </w:rPr>
              <w:t>2</w:t>
            </w:r>
          </w:p>
        </w:tc>
        <w:tc>
          <w:tcPr>
            <w:tcW w:w="420" w:type="dxa"/>
            <w:tcBorders>
              <w:top w:val="nil"/>
              <w:left w:val="nil"/>
              <w:bottom w:val="single" w:sz="4" w:space="0" w:color="auto"/>
              <w:right w:val="single" w:sz="4" w:space="0" w:color="auto"/>
            </w:tcBorders>
            <w:vAlign w:val="bottom"/>
            <w:hideMark/>
          </w:tcPr>
          <w:p w14:paraId="180F218B"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340" w:type="dxa"/>
            <w:tcBorders>
              <w:top w:val="nil"/>
              <w:left w:val="nil"/>
              <w:bottom w:val="single" w:sz="4" w:space="0" w:color="auto"/>
              <w:right w:val="single" w:sz="4" w:space="0" w:color="auto"/>
            </w:tcBorders>
            <w:vAlign w:val="center"/>
            <w:hideMark/>
          </w:tcPr>
          <w:p w14:paraId="1786A2CC"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440" w:type="dxa"/>
            <w:tcBorders>
              <w:top w:val="nil"/>
              <w:left w:val="nil"/>
              <w:bottom w:val="single" w:sz="4" w:space="0" w:color="auto"/>
              <w:right w:val="single" w:sz="4" w:space="0" w:color="auto"/>
            </w:tcBorders>
            <w:vAlign w:val="center"/>
            <w:hideMark/>
          </w:tcPr>
          <w:p w14:paraId="232022A9"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434" w:type="dxa"/>
            <w:tcBorders>
              <w:top w:val="nil"/>
              <w:left w:val="nil"/>
              <w:bottom w:val="single" w:sz="4" w:space="0" w:color="auto"/>
              <w:right w:val="single" w:sz="4" w:space="0" w:color="auto"/>
            </w:tcBorders>
            <w:vAlign w:val="center"/>
            <w:hideMark/>
          </w:tcPr>
          <w:p w14:paraId="22DE69DD" w14:textId="77777777" w:rsidR="00916F88" w:rsidRPr="00AC7AC2" w:rsidRDefault="00916F88" w:rsidP="00D64261">
            <w:pPr>
              <w:spacing w:line="360" w:lineRule="auto"/>
              <w:jc w:val="both"/>
              <w:rPr>
                <w:rFonts w:eastAsia="Calibri"/>
                <w:noProof/>
                <w:lang w:val="es-DO"/>
              </w:rPr>
            </w:pPr>
            <w:r w:rsidRPr="00AC7AC2">
              <w:rPr>
                <w:rFonts w:eastAsia="Calibri"/>
                <w:noProof/>
              </w:rPr>
              <w:t>3</w:t>
            </w:r>
          </w:p>
        </w:tc>
        <w:tc>
          <w:tcPr>
            <w:tcW w:w="334" w:type="dxa"/>
            <w:tcBorders>
              <w:top w:val="nil"/>
              <w:left w:val="nil"/>
              <w:bottom w:val="single" w:sz="4" w:space="0" w:color="auto"/>
              <w:right w:val="single" w:sz="4" w:space="0" w:color="auto"/>
            </w:tcBorders>
            <w:vAlign w:val="center"/>
            <w:hideMark/>
          </w:tcPr>
          <w:p w14:paraId="49900D2A"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609" w:type="dxa"/>
            <w:tcBorders>
              <w:top w:val="nil"/>
              <w:left w:val="nil"/>
              <w:bottom w:val="single" w:sz="4" w:space="0" w:color="auto"/>
              <w:right w:val="single" w:sz="4" w:space="0" w:color="auto"/>
            </w:tcBorders>
            <w:vAlign w:val="center"/>
            <w:hideMark/>
          </w:tcPr>
          <w:p w14:paraId="3655E1D8" w14:textId="77777777" w:rsidR="00916F88" w:rsidRPr="00AC7AC2" w:rsidRDefault="00916F88" w:rsidP="00D64261">
            <w:pPr>
              <w:spacing w:line="360" w:lineRule="auto"/>
              <w:jc w:val="both"/>
              <w:rPr>
                <w:rFonts w:eastAsia="Calibri"/>
                <w:noProof/>
                <w:lang w:val="es-DO"/>
              </w:rPr>
            </w:pPr>
            <w:r w:rsidRPr="00AC7AC2">
              <w:rPr>
                <w:rFonts w:eastAsia="Calibri"/>
                <w:noProof/>
              </w:rPr>
              <w:t>16</w:t>
            </w:r>
          </w:p>
        </w:tc>
        <w:tc>
          <w:tcPr>
            <w:tcW w:w="567" w:type="dxa"/>
            <w:tcBorders>
              <w:top w:val="nil"/>
              <w:left w:val="nil"/>
              <w:bottom w:val="single" w:sz="4" w:space="0" w:color="auto"/>
              <w:right w:val="single" w:sz="4" w:space="0" w:color="auto"/>
            </w:tcBorders>
            <w:vAlign w:val="center"/>
            <w:hideMark/>
          </w:tcPr>
          <w:p w14:paraId="17C5F04A" w14:textId="77777777" w:rsidR="00916F88" w:rsidRPr="00AC7AC2" w:rsidRDefault="00916F88" w:rsidP="00D64261">
            <w:pPr>
              <w:spacing w:line="360" w:lineRule="auto"/>
              <w:jc w:val="both"/>
              <w:rPr>
                <w:rFonts w:eastAsia="Calibri"/>
                <w:noProof/>
                <w:lang w:val="es-DO"/>
              </w:rPr>
            </w:pPr>
            <w:r w:rsidRPr="00AC7AC2">
              <w:rPr>
                <w:rFonts w:eastAsia="Calibri"/>
                <w:noProof/>
              </w:rPr>
              <w:t>6</w:t>
            </w:r>
          </w:p>
        </w:tc>
        <w:tc>
          <w:tcPr>
            <w:tcW w:w="1134" w:type="dxa"/>
            <w:tcBorders>
              <w:top w:val="nil"/>
              <w:left w:val="nil"/>
              <w:bottom w:val="single" w:sz="4" w:space="0" w:color="auto"/>
              <w:right w:val="single" w:sz="4" w:space="0" w:color="auto"/>
            </w:tcBorders>
            <w:vAlign w:val="center"/>
            <w:hideMark/>
          </w:tcPr>
          <w:p w14:paraId="1FA0120A" w14:textId="77777777" w:rsidR="00916F88" w:rsidRPr="00AC7AC2" w:rsidRDefault="00916F88" w:rsidP="00D64261">
            <w:pPr>
              <w:spacing w:line="360" w:lineRule="auto"/>
              <w:jc w:val="both"/>
              <w:rPr>
                <w:rFonts w:eastAsia="Calibri"/>
                <w:noProof/>
                <w:lang w:val="es-DO"/>
              </w:rPr>
            </w:pPr>
            <w:r w:rsidRPr="00AC7AC2">
              <w:rPr>
                <w:rFonts w:eastAsia="Calibri"/>
                <w:noProof/>
              </w:rPr>
              <w:t>22</w:t>
            </w:r>
          </w:p>
        </w:tc>
      </w:tr>
      <w:tr w:rsidR="00916F88" w:rsidRPr="00916F88" w14:paraId="787A595D" w14:textId="77777777" w:rsidTr="00B00075">
        <w:trPr>
          <w:trHeight w:val="536"/>
          <w:jc w:val="center"/>
        </w:trPr>
        <w:tc>
          <w:tcPr>
            <w:tcW w:w="3187" w:type="dxa"/>
            <w:tcBorders>
              <w:top w:val="nil"/>
              <w:left w:val="single" w:sz="4" w:space="0" w:color="auto"/>
              <w:bottom w:val="single" w:sz="4" w:space="0" w:color="auto"/>
              <w:right w:val="single" w:sz="4" w:space="0" w:color="auto"/>
            </w:tcBorders>
            <w:vAlign w:val="bottom"/>
            <w:hideMark/>
          </w:tcPr>
          <w:p w14:paraId="7BD4C08E"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Dirección de Normas y Atención a las Tesorerías Institucionales</w:t>
            </w:r>
          </w:p>
        </w:tc>
        <w:tc>
          <w:tcPr>
            <w:tcW w:w="420" w:type="dxa"/>
            <w:tcBorders>
              <w:top w:val="nil"/>
              <w:left w:val="nil"/>
              <w:bottom w:val="single" w:sz="4" w:space="0" w:color="auto"/>
              <w:right w:val="single" w:sz="4" w:space="0" w:color="auto"/>
            </w:tcBorders>
            <w:vAlign w:val="bottom"/>
            <w:hideMark/>
          </w:tcPr>
          <w:p w14:paraId="2BEBFF79" w14:textId="77777777" w:rsidR="00916F88" w:rsidRPr="00AC7AC2" w:rsidRDefault="00916F88" w:rsidP="00D64261">
            <w:pPr>
              <w:spacing w:line="360" w:lineRule="auto"/>
              <w:jc w:val="both"/>
              <w:rPr>
                <w:rFonts w:eastAsia="Calibri"/>
                <w:noProof/>
                <w:lang w:val="es-DO"/>
              </w:rPr>
            </w:pPr>
            <w:r w:rsidRPr="00AC7AC2">
              <w:rPr>
                <w:rFonts w:eastAsia="Calibri"/>
                <w:noProof/>
                <w:lang w:val="es-419"/>
              </w:rPr>
              <w:t> </w:t>
            </w:r>
          </w:p>
        </w:tc>
        <w:tc>
          <w:tcPr>
            <w:tcW w:w="420" w:type="dxa"/>
            <w:tcBorders>
              <w:top w:val="nil"/>
              <w:left w:val="nil"/>
              <w:bottom w:val="single" w:sz="4" w:space="0" w:color="auto"/>
              <w:right w:val="single" w:sz="4" w:space="0" w:color="auto"/>
            </w:tcBorders>
            <w:vAlign w:val="center"/>
            <w:hideMark/>
          </w:tcPr>
          <w:p w14:paraId="17B4906A"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440" w:type="dxa"/>
            <w:tcBorders>
              <w:top w:val="nil"/>
              <w:left w:val="nil"/>
              <w:bottom w:val="single" w:sz="4" w:space="0" w:color="auto"/>
              <w:right w:val="single" w:sz="4" w:space="0" w:color="auto"/>
            </w:tcBorders>
            <w:vAlign w:val="center"/>
            <w:hideMark/>
          </w:tcPr>
          <w:p w14:paraId="0514E29E"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434" w:type="dxa"/>
            <w:tcBorders>
              <w:top w:val="nil"/>
              <w:left w:val="nil"/>
              <w:bottom w:val="single" w:sz="4" w:space="0" w:color="auto"/>
              <w:right w:val="single" w:sz="4" w:space="0" w:color="auto"/>
            </w:tcBorders>
            <w:vAlign w:val="center"/>
            <w:hideMark/>
          </w:tcPr>
          <w:p w14:paraId="0D466C0B" w14:textId="77777777" w:rsidR="00916F88" w:rsidRPr="00AC7AC2" w:rsidRDefault="00916F88" w:rsidP="00D64261">
            <w:pPr>
              <w:spacing w:line="360" w:lineRule="auto"/>
              <w:jc w:val="both"/>
              <w:rPr>
                <w:rFonts w:eastAsia="Calibri"/>
                <w:noProof/>
                <w:lang w:val="es-DO"/>
              </w:rPr>
            </w:pPr>
            <w:r w:rsidRPr="00AC7AC2">
              <w:rPr>
                <w:rFonts w:eastAsia="Calibri"/>
                <w:noProof/>
              </w:rPr>
              <w:t>5</w:t>
            </w:r>
          </w:p>
        </w:tc>
        <w:tc>
          <w:tcPr>
            <w:tcW w:w="334" w:type="dxa"/>
            <w:tcBorders>
              <w:top w:val="nil"/>
              <w:left w:val="nil"/>
              <w:bottom w:val="single" w:sz="4" w:space="0" w:color="auto"/>
              <w:right w:val="single" w:sz="4" w:space="0" w:color="auto"/>
            </w:tcBorders>
            <w:vAlign w:val="center"/>
            <w:hideMark/>
          </w:tcPr>
          <w:p w14:paraId="61AB8EA7"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420" w:type="dxa"/>
            <w:tcBorders>
              <w:top w:val="nil"/>
              <w:left w:val="nil"/>
              <w:bottom w:val="single" w:sz="4" w:space="0" w:color="auto"/>
              <w:right w:val="single" w:sz="4" w:space="0" w:color="auto"/>
            </w:tcBorders>
            <w:vAlign w:val="bottom"/>
            <w:hideMark/>
          </w:tcPr>
          <w:p w14:paraId="0D8C8067"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340" w:type="dxa"/>
            <w:tcBorders>
              <w:top w:val="nil"/>
              <w:left w:val="nil"/>
              <w:bottom w:val="single" w:sz="4" w:space="0" w:color="auto"/>
              <w:right w:val="single" w:sz="4" w:space="0" w:color="auto"/>
            </w:tcBorders>
            <w:vAlign w:val="bottom"/>
            <w:hideMark/>
          </w:tcPr>
          <w:p w14:paraId="622699D3"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40" w:type="dxa"/>
            <w:tcBorders>
              <w:top w:val="nil"/>
              <w:left w:val="nil"/>
              <w:bottom w:val="single" w:sz="4" w:space="0" w:color="auto"/>
              <w:right w:val="single" w:sz="4" w:space="0" w:color="auto"/>
            </w:tcBorders>
            <w:vAlign w:val="bottom"/>
            <w:hideMark/>
          </w:tcPr>
          <w:p w14:paraId="7DE82C82"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34" w:type="dxa"/>
            <w:tcBorders>
              <w:top w:val="nil"/>
              <w:left w:val="nil"/>
              <w:bottom w:val="single" w:sz="4" w:space="0" w:color="auto"/>
              <w:right w:val="single" w:sz="4" w:space="0" w:color="auto"/>
            </w:tcBorders>
            <w:vAlign w:val="center"/>
            <w:hideMark/>
          </w:tcPr>
          <w:p w14:paraId="4F0076E7"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334" w:type="dxa"/>
            <w:tcBorders>
              <w:top w:val="nil"/>
              <w:left w:val="nil"/>
              <w:bottom w:val="single" w:sz="4" w:space="0" w:color="auto"/>
              <w:right w:val="single" w:sz="4" w:space="0" w:color="auto"/>
            </w:tcBorders>
            <w:vAlign w:val="center"/>
            <w:hideMark/>
          </w:tcPr>
          <w:p w14:paraId="5FDE6989"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609" w:type="dxa"/>
            <w:tcBorders>
              <w:top w:val="nil"/>
              <w:left w:val="nil"/>
              <w:bottom w:val="single" w:sz="4" w:space="0" w:color="auto"/>
              <w:right w:val="single" w:sz="4" w:space="0" w:color="auto"/>
            </w:tcBorders>
            <w:vAlign w:val="center"/>
            <w:hideMark/>
          </w:tcPr>
          <w:p w14:paraId="7283A301" w14:textId="77777777" w:rsidR="00916F88" w:rsidRPr="00AC7AC2" w:rsidRDefault="00916F88" w:rsidP="00D64261">
            <w:pPr>
              <w:spacing w:line="360" w:lineRule="auto"/>
              <w:jc w:val="both"/>
              <w:rPr>
                <w:rFonts w:eastAsia="Calibri"/>
                <w:noProof/>
                <w:lang w:val="es-DO"/>
              </w:rPr>
            </w:pPr>
            <w:r w:rsidRPr="00AC7AC2">
              <w:rPr>
                <w:rFonts w:eastAsia="Calibri"/>
                <w:noProof/>
              </w:rPr>
              <w:t>8</w:t>
            </w:r>
          </w:p>
        </w:tc>
        <w:tc>
          <w:tcPr>
            <w:tcW w:w="567" w:type="dxa"/>
            <w:tcBorders>
              <w:top w:val="nil"/>
              <w:left w:val="nil"/>
              <w:bottom w:val="single" w:sz="4" w:space="0" w:color="auto"/>
              <w:right w:val="single" w:sz="4" w:space="0" w:color="auto"/>
            </w:tcBorders>
            <w:vAlign w:val="center"/>
            <w:hideMark/>
          </w:tcPr>
          <w:p w14:paraId="3F114F54"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1134" w:type="dxa"/>
            <w:tcBorders>
              <w:top w:val="nil"/>
              <w:left w:val="nil"/>
              <w:bottom w:val="single" w:sz="4" w:space="0" w:color="auto"/>
              <w:right w:val="single" w:sz="4" w:space="0" w:color="auto"/>
            </w:tcBorders>
            <w:vAlign w:val="center"/>
            <w:hideMark/>
          </w:tcPr>
          <w:p w14:paraId="161D2DFF" w14:textId="77777777" w:rsidR="00916F88" w:rsidRPr="00AC7AC2" w:rsidRDefault="00916F88" w:rsidP="00D64261">
            <w:pPr>
              <w:spacing w:line="360" w:lineRule="auto"/>
              <w:jc w:val="both"/>
              <w:rPr>
                <w:rFonts w:eastAsia="Calibri"/>
                <w:noProof/>
                <w:lang w:val="es-DO"/>
              </w:rPr>
            </w:pPr>
            <w:r w:rsidRPr="00AC7AC2">
              <w:rPr>
                <w:rFonts w:eastAsia="Calibri"/>
                <w:noProof/>
              </w:rPr>
              <w:t>9</w:t>
            </w:r>
          </w:p>
        </w:tc>
      </w:tr>
      <w:tr w:rsidR="00916F88" w:rsidRPr="00916F88" w14:paraId="6D267F5E" w14:textId="77777777" w:rsidTr="00B00075">
        <w:trPr>
          <w:trHeight w:val="536"/>
          <w:jc w:val="center"/>
        </w:trPr>
        <w:tc>
          <w:tcPr>
            <w:tcW w:w="3187" w:type="dxa"/>
            <w:tcBorders>
              <w:top w:val="nil"/>
              <w:left w:val="single" w:sz="4" w:space="0" w:color="auto"/>
              <w:bottom w:val="single" w:sz="4" w:space="0" w:color="auto"/>
              <w:right w:val="single" w:sz="4" w:space="0" w:color="auto"/>
            </w:tcBorders>
            <w:vAlign w:val="bottom"/>
            <w:hideMark/>
          </w:tcPr>
          <w:p w14:paraId="08C33ACD"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 xml:space="preserve">Dirección de Programación y Evaluación Financiera </w:t>
            </w:r>
          </w:p>
        </w:tc>
        <w:tc>
          <w:tcPr>
            <w:tcW w:w="420" w:type="dxa"/>
            <w:tcBorders>
              <w:top w:val="nil"/>
              <w:left w:val="nil"/>
              <w:bottom w:val="single" w:sz="4" w:space="0" w:color="auto"/>
              <w:right w:val="single" w:sz="4" w:space="0" w:color="auto"/>
            </w:tcBorders>
            <w:vAlign w:val="center"/>
            <w:hideMark/>
          </w:tcPr>
          <w:p w14:paraId="44B3813F" w14:textId="77777777" w:rsidR="00916F88" w:rsidRPr="00AC7AC2" w:rsidRDefault="00916F88" w:rsidP="00D64261">
            <w:pPr>
              <w:spacing w:line="360" w:lineRule="auto"/>
              <w:jc w:val="both"/>
              <w:rPr>
                <w:rFonts w:eastAsia="Calibri"/>
                <w:noProof/>
                <w:lang w:val="es-DO"/>
              </w:rPr>
            </w:pPr>
            <w:r w:rsidRPr="00AC7AC2">
              <w:rPr>
                <w:rFonts w:eastAsia="Calibri"/>
                <w:noProof/>
                <w:lang w:val="es-419"/>
              </w:rPr>
              <w:t> </w:t>
            </w:r>
          </w:p>
        </w:tc>
        <w:tc>
          <w:tcPr>
            <w:tcW w:w="420" w:type="dxa"/>
            <w:tcBorders>
              <w:top w:val="nil"/>
              <w:left w:val="nil"/>
              <w:bottom w:val="single" w:sz="4" w:space="0" w:color="auto"/>
              <w:right w:val="single" w:sz="4" w:space="0" w:color="auto"/>
            </w:tcBorders>
            <w:vAlign w:val="center"/>
            <w:hideMark/>
          </w:tcPr>
          <w:p w14:paraId="35721F43" w14:textId="77777777" w:rsidR="00916F88" w:rsidRPr="00AC7AC2" w:rsidRDefault="00916F88" w:rsidP="00D64261">
            <w:pPr>
              <w:spacing w:line="360" w:lineRule="auto"/>
              <w:jc w:val="both"/>
              <w:rPr>
                <w:rFonts w:eastAsia="Calibri"/>
                <w:noProof/>
                <w:lang w:val="es-DO"/>
              </w:rPr>
            </w:pPr>
            <w:r w:rsidRPr="00AC7AC2">
              <w:rPr>
                <w:rFonts w:eastAsia="Calibri"/>
                <w:noProof/>
                <w:lang w:val="es-419"/>
              </w:rPr>
              <w:t> </w:t>
            </w:r>
          </w:p>
        </w:tc>
        <w:tc>
          <w:tcPr>
            <w:tcW w:w="440" w:type="dxa"/>
            <w:tcBorders>
              <w:top w:val="nil"/>
              <w:left w:val="nil"/>
              <w:bottom w:val="single" w:sz="4" w:space="0" w:color="auto"/>
              <w:right w:val="single" w:sz="4" w:space="0" w:color="auto"/>
            </w:tcBorders>
            <w:vAlign w:val="center"/>
            <w:hideMark/>
          </w:tcPr>
          <w:p w14:paraId="76260ADA"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434" w:type="dxa"/>
            <w:tcBorders>
              <w:top w:val="nil"/>
              <w:left w:val="nil"/>
              <w:bottom w:val="single" w:sz="4" w:space="0" w:color="auto"/>
              <w:right w:val="single" w:sz="4" w:space="0" w:color="auto"/>
            </w:tcBorders>
            <w:vAlign w:val="center"/>
            <w:hideMark/>
          </w:tcPr>
          <w:p w14:paraId="2C7B5245"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334" w:type="dxa"/>
            <w:tcBorders>
              <w:top w:val="nil"/>
              <w:left w:val="nil"/>
              <w:bottom w:val="single" w:sz="4" w:space="0" w:color="auto"/>
              <w:right w:val="single" w:sz="4" w:space="0" w:color="auto"/>
            </w:tcBorders>
            <w:vAlign w:val="center"/>
            <w:hideMark/>
          </w:tcPr>
          <w:p w14:paraId="120FEB53"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420" w:type="dxa"/>
            <w:tcBorders>
              <w:top w:val="nil"/>
              <w:left w:val="nil"/>
              <w:bottom w:val="single" w:sz="4" w:space="0" w:color="auto"/>
              <w:right w:val="single" w:sz="4" w:space="0" w:color="auto"/>
            </w:tcBorders>
            <w:vAlign w:val="center"/>
            <w:hideMark/>
          </w:tcPr>
          <w:p w14:paraId="07C382DB"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340" w:type="dxa"/>
            <w:tcBorders>
              <w:top w:val="nil"/>
              <w:left w:val="nil"/>
              <w:bottom w:val="single" w:sz="4" w:space="0" w:color="auto"/>
              <w:right w:val="single" w:sz="4" w:space="0" w:color="auto"/>
            </w:tcBorders>
            <w:vAlign w:val="center"/>
            <w:hideMark/>
          </w:tcPr>
          <w:p w14:paraId="727FCBC5"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40" w:type="dxa"/>
            <w:tcBorders>
              <w:top w:val="nil"/>
              <w:left w:val="nil"/>
              <w:bottom w:val="single" w:sz="4" w:space="0" w:color="auto"/>
              <w:right w:val="single" w:sz="4" w:space="0" w:color="auto"/>
            </w:tcBorders>
            <w:vAlign w:val="center"/>
            <w:hideMark/>
          </w:tcPr>
          <w:p w14:paraId="2BB937F5"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34" w:type="dxa"/>
            <w:tcBorders>
              <w:top w:val="nil"/>
              <w:left w:val="nil"/>
              <w:bottom w:val="single" w:sz="4" w:space="0" w:color="auto"/>
              <w:right w:val="single" w:sz="4" w:space="0" w:color="auto"/>
            </w:tcBorders>
            <w:vAlign w:val="center"/>
            <w:hideMark/>
          </w:tcPr>
          <w:p w14:paraId="7BA4815A" w14:textId="77777777" w:rsidR="00916F88" w:rsidRPr="00AC7AC2" w:rsidRDefault="00916F88" w:rsidP="00D64261">
            <w:pPr>
              <w:spacing w:line="360" w:lineRule="auto"/>
              <w:jc w:val="both"/>
              <w:rPr>
                <w:rFonts w:eastAsia="Calibri"/>
                <w:noProof/>
                <w:lang w:val="es-DO"/>
              </w:rPr>
            </w:pPr>
            <w:r w:rsidRPr="00AC7AC2">
              <w:rPr>
                <w:rFonts w:eastAsia="Calibri"/>
                <w:noProof/>
              </w:rPr>
              <w:t>2</w:t>
            </w:r>
          </w:p>
        </w:tc>
        <w:tc>
          <w:tcPr>
            <w:tcW w:w="334" w:type="dxa"/>
            <w:tcBorders>
              <w:top w:val="nil"/>
              <w:left w:val="nil"/>
              <w:bottom w:val="single" w:sz="4" w:space="0" w:color="auto"/>
              <w:right w:val="single" w:sz="4" w:space="0" w:color="auto"/>
            </w:tcBorders>
            <w:vAlign w:val="center"/>
            <w:hideMark/>
          </w:tcPr>
          <w:p w14:paraId="7103413E" w14:textId="77777777" w:rsidR="00916F88" w:rsidRPr="00AC7AC2" w:rsidRDefault="00916F88" w:rsidP="00D64261">
            <w:pPr>
              <w:spacing w:line="360" w:lineRule="auto"/>
              <w:jc w:val="both"/>
              <w:rPr>
                <w:rFonts w:eastAsia="Calibri"/>
                <w:noProof/>
                <w:lang w:val="es-DO"/>
              </w:rPr>
            </w:pPr>
            <w:r w:rsidRPr="00AC7AC2">
              <w:rPr>
                <w:rFonts w:eastAsia="Calibri"/>
                <w:noProof/>
              </w:rPr>
              <w:t>2</w:t>
            </w:r>
          </w:p>
        </w:tc>
        <w:tc>
          <w:tcPr>
            <w:tcW w:w="609" w:type="dxa"/>
            <w:tcBorders>
              <w:top w:val="nil"/>
              <w:left w:val="nil"/>
              <w:bottom w:val="single" w:sz="4" w:space="0" w:color="auto"/>
              <w:right w:val="single" w:sz="4" w:space="0" w:color="auto"/>
            </w:tcBorders>
            <w:vAlign w:val="center"/>
            <w:hideMark/>
          </w:tcPr>
          <w:p w14:paraId="24EAE8ED" w14:textId="77777777" w:rsidR="00916F88" w:rsidRPr="00AC7AC2" w:rsidRDefault="00916F88" w:rsidP="00D64261">
            <w:pPr>
              <w:spacing w:line="360" w:lineRule="auto"/>
              <w:jc w:val="both"/>
              <w:rPr>
                <w:rFonts w:eastAsia="Calibri"/>
                <w:noProof/>
                <w:lang w:val="es-DO"/>
              </w:rPr>
            </w:pPr>
            <w:r w:rsidRPr="00AC7AC2">
              <w:rPr>
                <w:rFonts w:eastAsia="Calibri"/>
                <w:noProof/>
              </w:rPr>
              <w:t>3</w:t>
            </w:r>
          </w:p>
        </w:tc>
        <w:tc>
          <w:tcPr>
            <w:tcW w:w="567" w:type="dxa"/>
            <w:tcBorders>
              <w:top w:val="nil"/>
              <w:left w:val="nil"/>
              <w:bottom w:val="single" w:sz="4" w:space="0" w:color="auto"/>
              <w:right w:val="single" w:sz="4" w:space="0" w:color="auto"/>
            </w:tcBorders>
            <w:vAlign w:val="center"/>
            <w:hideMark/>
          </w:tcPr>
          <w:p w14:paraId="62F69A3F" w14:textId="77777777" w:rsidR="00916F88" w:rsidRPr="00AC7AC2" w:rsidRDefault="00916F88" w:rsidP="00D64261">
            <w:pPr>
              <w:spacing w:line="360" w:lineRule="auto"/>
              <w:jc w:val="both"/>
              <w:rPr>
                <w:rFonts w:eastAsia="Calibri"/>
                <w:noProof/>
                <w:lang w:val="es-DO"/>
              </w:rPr>
            </w:pPr>
            <w:r w:rsidRPr="00AC7AC2">
              <w:rPr>
                <w:rFonts w:eastAsia="Calibri"/>
                <w:noProof/>
              </w:rPr>
              <w:t>4</w:t>
            </w:r>
          </w:p>
        </w:tc>
        <w:tc>
          <w:tcPr>
            <w:tcW w:w="1134" w:type="dxa"/>
            <w:tcBorders>
              <w:top w:val="nil"/>
              <w:left w:val="nil"/>
              <w:bottom w:val="single" w:sz="4" w:space="0" w:color="auto"/>
              <w:right w:val="single" w:sz="4" w:space="0" w:color="auto"/>
            </w:tcBorders>
            <w:vAlign w:val="center"/>
            <w:hideMark/>
          </w:tcPr>
          <w:p w14:paraId="29884E09" w14:textId="77777777" w:rsidR="00916F88" w:rsidRPr="00AC7AC2" w:rsidRDefault="00916F88" w:rsidP="00D64261">
            <w:pPr>
              <w:spacing w:line="360" w:lineRule="auto"/>
              <w:jc w:val="both"/>
              <w:rPr>
                <w:rFonts w:eastAsia="Calibri"/>
                <w:noProof/>
                <w:lang w:val="es-DO"/>
              </w:rPr>
            </w:pPr>
            <w:r w:rsidRPr="00AC7AC2">
              <w:rPr>
                <w:rFonts w:eastAsia="Calibri"/>
                <w:noProof/>
              </w:rPr>
              <w:t>7</w:t>
            </w:r>
          </w:p>
        </w:tc>
      </w:tr>
      <w:tr w:rsidR="00916F88" w:rsidRPr="00916F88" w14:paraId="5673040C" w14:textId="77777777" w:rsidTr="00B00075">
        <w:trPr>
          <w:trHeight w:val="536"/>
          <w:jc w:val="center"/>
        </w:trPr>
        <w:tc>
          <w:tcPr>
            <w:tcW w:w="3187" w:type="dxa"/>
            <w:tcBorders>
              <w:top w:val="nil"/>
              <w:left w:val="single" w:sz="4" w:space="0" w:color="auto"/>
              <w:bottom w:val="single" w:sz="4" w:space="0" w:color="auto"/>
              <w:right w:val="single" w:sz="4" w:space="0" w:color="auto"/>
            </w:tcBorders>
            <w:vAlign w:val="bottom"/>
            <w:hideMark/>
          </w:tcPr>
          <w:p w14:paraId="78F119A7"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 xml:space="preserve">Oficina de Libre Acceso a la Información </w:t>
            </w:r>
          </w:p>
        </w:tc>
        <w:tc>
          <w:tcPr>
            <w:tcW w:w="420" w:type="dxa"/>
            <w:tcBorders>
              <w:top w:val="nil"/>
              <w:left w:val="nil"/>
              <w:bottom w:val="single" w:sz="4" w:space="0" w:color="auto"/>
              <w:right w:val="single" w:sz="4" w:space="0" w:color="auto"/>
            </w:tcBorders>
            <w:vAlign w:val="center"/>
            <w:hideMark/>
          </w:tcPr>
          <w:p w14:paraId="54721A12" w14:textId="77777777" w:rsidR="00916F88" w:rsidRPr="00AC7AC2" w:rsidRDefault="00916F88" w:rsidP="00D64261">
            <w:pPr>
              <w:spacing w:line="360" w:lineRule="auto"/>
              <w:jc w:val="both"/>
              <w:rPr>
                <w:rFonts w:eastAsia="Calibri"/>
                <w:noProof/>
                <w:lang w:val="es-DO"/>
              </w:rPr>
            </w:pPr>
            <w:r w:rsidRPr="00AC7AC2">
              <w:rPr>
                <w:rFonts w:eastAsia="Calibri"/>
                <w:noProof/>
                <w:lang w:val="es-419"/>
              </w:rPr>
              <w:t> </w:t>
            </w:r>
          </w:p>
        </w:tc>
        <w:tc>
          <w:tcPr>
            <w:tcW w:w="420" w:type="dxa"/>
            <w:tcBorders>
              <w:top w:val="nil"/>
              <w:left w:val="nil"/>
              <w:bottom w:val="single" w:sz="4" w:space="0" w:color="auto"/>
              <w:right w:val="single" w:sz="4" w:space="0" w:color="auto"/>
            </w:tcBorders>
            <w:vAlign w:val="center"/>
            <w:hideMark/>
          </w:tcPr>
          <w:p w14:paraId="385F0EDD"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440" w:type="dxa"/>
            <w:tcBorders>
              <w:top w:val="nil"/>
              <w:left w:val="nil"/>
              <w:bottom w:val="single" w:sz="4" w:space="0" w:color="auto"/>
              <w:right w:val="single" w:sz="4" w:space="0" w:color="auto"/>
            </w:tcBorders>
            <w:vAlign w:val="center"/>
            <w:hideMark/>
          </w:tcPr>
          <w:p w14:paraId="31CA0476"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34" w:type="dxa"/>
            <w:tcBorders>
              <w:top w:val="nil"/>
              <w:left w:val="nil"/>
              <w:bottom w:val="single" w:sz="4" w:space="0" w:color="auto"/>
              <w:right w:val="single" w:sz="4" w:space="0" w:color="auto"/>
            </w:tcBorders>
            <w:vAlign w:val="center"/>
            <w:hideMark/>
          </w:tcPr>
          <w:p w14:paraId="2E19E3FB" w14:textId="77777777" w:rsidR="00916F88" w:rsidRPr="00AC7AC2" w:rsidRDefault="00916F88" w:rsidP="00D64261">
            <w:pPr>
              <w:spacing w:line="360" w:lineRule="auto"/>
              <w:jc w:val="both"/>
              <w:rPr>
                <w:rFonts w:eastAsia="Calibri"/>
                <w:noProof/>
                <w:lang w:val="es-DO"/>
              </w:rPr>
            </w:pPr>
            <w:r w:rsidRPr="00AC7AC2">
              <w:rPr>
                <w:rFonts w:eastAsia="Calibri"/>
                <w:noProof/>
              </w:rPr>
              <w:t>1</w:t>
            </w:r>
          </w:p>
        </w:tc>
        <w:tc>
          <w:tcPr>
            <w:tcW w:w="334" w:type="dxa"/>
            <w:tcBorders>
              <w:top w:val="nil"/>
              <w:left w:val="nil"/>
              <w:bottom w:val="single" w:sz="4" w:space="0" w:color="auto"/>
              <w:right w:val="single" w:sz="4" w:space="0" w:color="auto"/>
            </w:tcBorders>
            <w:vAlign w:val="center"/>
            <w:hideMark/>
          </w:tcPr>
          <w:p w14:paraId="324BE81B"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20" w:type="dxa"/>
            <w:tcBorders>
              <w:top w:val="nil"/>
              <w:left w:val="nil"/>
              <w:bottom w:val="single" w:sz="4" w:space="0" w:color="auto"/>
              <w:right w:val="single" w:sz="4" w:space="0" w:color="auto"/>
            </w:tcBorders>
            <w:vAlign w:val="center"/>
            <w:hideMark/>
          </w:tcPr>
          <w:p w14:paraId="25141812"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340" w:type="dxa"/>
            <w:tcBorders>
              <w:top w:val="nil"/>
              <w:left w:val="nil"/>
              <w:bottom w:val="single" w:sz="4" w:space="0" w:color="auto"/>
              <w:right w:val="single" w:sz="4" w:space="0" w:color="auto"/>
            </w:tcBorders>
            <w:vAlign w:val="center"/>
            <w:hideMark/>
          </w:tcPr>
          <w:p w14:paraId="0EEC303A"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40" w:type="dxa"/>
            <w:tcBorders>
              <w:top w:val="nil"/>
              <w:left w:val="nil"/>
              <w:bottom w:val="single" w:sz="4" w:space="0" w:color="auto"/>
              <w:right w:val="single" w:sz="4" w:space="0" w:color="auto"/>
            </w:tcBorders>
            <w:vAlign w:val="center"/>
            <w:hideMark/>
          </w:tcPr>
          <w:p w14:paraId="1602D1B4"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434" w:type="dxa"/>
            <w:tcBorders>
              <w:top w:val="nil"/>
              <w:left w:val="nil"/>
              <w:bottom w:val="single" w:sz="4" w:space="0" w:color="auto"/>
              <w:right w:val="single" w:sz="4" w:space="0" w:color="auto"/>
            </w:tcBorders>
            <w:vAlign w:val="center"/>
            <w:hideMark/>
          </w:tcPr>
          <w:p w14:paraId="05339573"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334" w:type="dxa"/>
            <w:tcBorders>
              <w:top w:val="nil"/>
              <w:left w:val="nil"/>
              <w:bottom w:val="single" w:sz="4" w:space="0" w:color="auto"/>
              <w:right w:val="single" w:sz="4" w:space="0" w:color="auto"/>
            </w:tcBorders>
            <w:vAlign w:val="center"/>
            <w:hideMark/>
          </w:tcPr>
          <w:p w14:paraId="26F912F4" w14:textId="77777777" w:rsidR="00916F88" w:rsidRPr="00AC7AC2" w:rsidRDefault="00916F88" w:rsidP="00D64261">
            <w:pPr>
              <w:spacing w:line="360" w:lineRule="auto"/>
              <w:jc w:val="both"/>
              <w:rPr>
                <w:rFonts w:eastAsia="Calibri"/>
                <w:noProof/>
                <w:lang w:val="es-DO"/>
              </w:rPr>
            </w:pPr>
            <w:r w:rsidRPr="00AC7AC2">
              <w:rPr>
                <w:rFonts w:eastAsia="Calibri"/>
                <w:noProof/>
              </w:rPr>
              <w:t> </w:t>
            </w:r>
          </w:p>
        </w:tc>
        <w:tc>
          <w:tcPr>
            <w:tcW w:w="609" w:type="dxa"/>
            <w:tcBorders>
              <w:top w:val="nil"/>
              <w:left w:val="nil"/>
              <w:bottom w:val="single" w:sz="4" w:space="0" w:color="auto"/>
              <w:right w:val="single" w:sz="4" w:space="0" w:color="auto"/>
            </w:tcBorders>
            <w:vAlign w:val="center"/>
            <w:hideMark/>
          </w:tcPr>
          <w:p w14:paraId="3C58DAA1" w14:textId="77777777" w:rsidR="00916F88" w:rsidRPr="00AC7AC2" w:rsidRDefault="00916F88" w:rsidP="00D64261">
            <w:pPr>
              <w:spacing w:line="360" w:lineRule="auto"/>
              <w:jc w:val="both"/>
              <w:rPr>
                <w:rFonts w:eastAsia="Calibri"/>
                <w:noProof/>
                <w:lang w:val="es-DO"/>
              </w:rPr>
            </w:pPr>
            <w:r w:rsidRPr="00AC7AC2">
              <w:rPr>
                <w:rFonts w:eastAsia="Calibri"/>
                <w:noProof/>
              </w:rPr>
              <w:t>2</w:t>
            </w:r>
          </w:p>
        </w:tc>
        <w:tc>
          <w:tcPr>
            <w:tcW w:w="567" w:type="dxa"/>
            <w:tcBorders>
              <w:top w:val="nil"/>
              <w:left w:val="nil"/>
              <w:bottom w:val="single" w:sz="4" w:space="0" w:color="auto"/>
              <w:right w:val="single" w:sz="4" w:space="0" w:color="auto"/>
            </w:tcBorders>
            <w:vAlign w:val="center"/>
            <w:hideMark/>
          </w:tcPr>
          <w:p w14:paraId="37C830F9" w14:textId="77777777" w:rsidR="00916F88" w:rsidRPr="00AC7AC2" w:rsidRDefault="00916F88" w:rsidP="00D64261">
            <w:pPr>
              <w:spacing w:line="360" w:lineRule="auto"/>
              <w:jc w:val="both"/>
              <w:rPr>
                <w:rFonts w:eastAsia="Calibri"/>
                <w:noProof/>
                <w:lang w:val="es-DO"/>
              </w:rPr>
            </w:pPr>
            <w:r w:rsidRPr="00AC7AC2">
              <w:rPr>
                <w:rFonts w:eastAsia="Calibri"/>
                <w:noProof/>
              </w:rPr>
              <w:t>0</w:t>
            </w:r>
          </w:p>
        </w:tc>
        <w:tc>
          <w:tcPr>
            <w:tcW w:w="1134" w:type="dxa"/>
            <w:tcBorders>
              <w:top w:val="nil"/>
              <w:left w:val="nil"/>
              <w:bottom w:val="single" w:sz="4" w:space="0" w:color="auto"/>
              <w:right w:val="single" w:sz="4" w:space="0" w:color="auto"/>
            </w:tcBorders>
            <w:vAlign w:val="center"/>
            <w:hideMark/>
          </w:tcPr>
          <w:p w14:paraId="160B9C2C" w14:textId="77777777" w:rsidR="00916F88" w:rsidRPr="00AC7AC2" w:rsidRDefault="00916F88" w:rsidP="00D64261">
            <w:pPr>
              <w:spacing w:line="360" w:lineRule="auto"/>
              <w:jc w:val="both"/>
              <w:rPr>
                <w:rFonts w:eastAsia="Calibri"/>
                <w:noProof/>
                <w:lang w:val="es-DO"/>
              </w:rPr>
            </w:pPr>
            <w:r w:rsidRPr="00AC7AC2">
              <w:rPr>
                <w:rFonts w:eastAsia="Calibri"/>
                <w:noProof/>
              </w:rPr>
              <w:t>2</w:t>
            </w:r>
          </w:p>
        </w:tc>
      </w:tr>
    </w:tbl>
    <w:p w14:paraId="090E2607" w14:textId="77777777" w:rsidR="00916F88" w:rsidRPr="00AC7AC2" w:rsidRDefault="00916F88" w:rsidP="00D64261">
      <w:pPr>
        <w:spacing w:line="360" w:lineRule="auto"/>
        <w:jc w:val="both"/>
        <w:rPr>
          <w:rFonts w:eastAsia="Calibri"/>
          <w:i/>
          <w:iCs/>
          <w:noProof/>
          <w:sz w:val="18"/>
          <w:szCs w:val="18"/>
          <w:lang w:val="es-DO"/>
        </w:rPr>
      </w:pPr>
      <w:r w:rsidRPr="00AC7AC2">
        <w:rPr>
          <w:rFonts w:eastAsia="Calibri"/>
          <w:i/>
          <w:iCs/>
          <w:noProof/>
          <w:sz w:val="18"/>
          <w:szCs w:val="18"/>
          <w:lang w:val="es-DO"/>
        </w:rPr>
        <w:t xml:space="preserve">Fuente: Departamento de Recursos Humanos </w:t>
      </w:r>
    </w:p>
    <w:p w14:paraId="7ED59D87" w14:textId="77777777" w:rsidR="00916F88" w:rsidRPr="00AC7AC2" w:rsidRDefault="00916F88" w:rsidP="00D64261">
      <w:pPr>
        <w:spacing w:line="360" w:lineRule="auto"/>
        <w:jc w:val="both"/>
        <w:rPr>
          <w:rFonts w:eastAsia="Calibri"/>
          <w:b/>
          <w:bCs/>
          <w:noProof/>
          <w:color w:val="4C4747"/>
          <w:lang w:val="es-DO"/>
        </w:rPr>
      </w:pPr>
      <w:r w:rsidRPr="00AC7AC2">
        <w:rPr>
          <w:rFonts w:eastAsia="Calibri"/>
          <w:b/>
          <w:bCs/>
          <w:noProof/>
          <w:color w:val="4C4747"/>
          <w:lang w:val="es-DO"/>
        </w:rPr>
        <w:t>Realizó 14 acciones de capacitación dirigida a los diferentes grupos ocupacionales, las cuales sirven de apoyo tanto para el desempeño de las funciones como para aplicar en el diario vivir de los colaboradores en sus interacciones con las demás personas dentro y fuera de su ámbito laboral, mirando al colaborador como un individuo integral.</w:t>
      </w:r>
    </w:p>
    <w:p w14:paraId="7DA055F9" w14:textId="77777777" w:rsidR="005028B7" w:rsidRPr="00AC7AC2" w:rsidRDefault="005028B7" w:rsidP="00D64261">
      <w:pPr>
        <w:spacing w:line="360" w:lineRule="auto"/>
        <w:jc w:val="both"/>
        <w:rPr>
          <w:rFonts w:eastAsia="Calibri"/>
          <w:b/>
          <w:bCs/>
          <w:noProof/>
          <w:color w:val="4C4747"/>
          <w:lang w:val="es-DO"/>
        </w:rPr>
      </w:pPr>
    </w:p>
    <w:p w14:paraId="61F0C68E" w14:textId="77777777" w:rsidR="005028B7" w:rsidRPr="00AC7AC2" w:rsidRDefault="005028B7" w:rsidP="00D64261">
      <w:pPr>
        <w:spacing w:line="360" w:lineRule="auto"/>
        <w:jc w:val="both"/>
        <w:rPr>
          <w:rFonts w:eastAsia="Calibri"/>
          <w:b/>
          <w:bCs/>
          <w:noProof/>
          <w:color w:val="4C4747"/>
          <w:lang w:val="es-DO"/>
        </w:rPr>
      </w:pPr>
    </w:p>
    <w:p w14:paraId="64093A5F" w14:textId="7B33E2DF" w:rsidR="00916F88" w:rsidRPr="00AC7AC2" w:rsidRDefault="00916F88" w:rsidP="00D64261">
      <w:pPr>
        <w:spacing w:after="0" w:line="360" w:lineRule="auto"/>
        <w:jc w:val="center"/>
        <w:rPr>
          <w:rFonts w:eastAsia="Calibri"/>
          <w:b/>
          <w:bCs/>
          <w:noProof/>
          <w:color w:val="4C4747"/>
          <w:lang w:val="es-DO"/>
        </w:rPr>
      </w:pPr>
      <w:r w:rsidRPr="00AC7AC2">
        <w:rPr>
          <w:rFonts w:eastAsia="Calibri"/>
          <w:b/>
          <w:bCs/>
          <w:noProof/>
          <w:color w:val="4C4747"/>
          <w:lang w:val="es-DO"/>
        </w:rPr>
        <w:lastRenderedPageBreak/>
        <w:t xml:space="preserve">Cuadro No. </w:t>
      </w:r>
      <w:r w:rsidR="008D7279" w:rsidRPr="00AC7AC2">
        <w:rPr>
          <w:rFonts w:eastAsia="Calibri"/>
          <w:b/>
          <w:bCs/>
          <w:noProof/>
          <w:color w:val="4C4747"/>
          <w:lang w:val="es-DO"/>
        </w:rPr>
        <w:t>45</w:t>
      </w:r>
    </w:p>
    <w:p w14:paraId="51113FBA" w14:textId="77777777" w:rsidR="00916F88" w:rsidRPr="00AC7AC2" w:rsidRDefault="00916F88" w:rsidP="00D64261">
      <w:pPr>
        <w:spacing w:after="0" w:line="360" w:lineRule="auto"/>
        <w:jc w:val="center"/>
        <w:rPr>
          <w:rFonts w:eastAsia="Calibri"/>
          <w:b/>
          <w:bCs/>
          <w:noProof/>
          <w:color w:val="4C4747"/>
          <w:lang w:val="es-DO"/>
        </w:rPr>
      </w:pPr>
      <w:r w:rsidRPr="00AC7AC2">
        <w:rPr>
          <w:rFonts w:eastAsia="Calibri"/>
          <w:b/>
          <w:bCs/>
          <w:noProof/>
          <w:color w:val="4C4747"/>
          <w:lang w:val="es-DO"/>
        </w:rPr>
        <w:t>Tesorería Nacional</w:t>
      </w:r>
    </w:p>
    <w:p w14:paraId="1DC6AE05" w14:textId="0068A3E3" w:rsidR="00916F88" w:rsidRPr="00AC7AC2" w:rsidRDefault="00916F88" w:rsidP="00D64261">
      <w:pPr>
        <w:spacing w:after="0" w:line="360" w:lineRule="auto"/>
        <w:jc w:val="center"/>
        <w:rPr>
          <w:rFonts w:eastAsia="Calibri"/>
          <w:b/>
          <w:bCs/>
          <w:noProof/>
          <w:color w:val="4C4747"/>
          <w:lang w:val="es-DO"/>
        </w:rPr>
      </w:pPr>
      <w:r w:rsidRPr="00AC7AC2">
        <w:rPr>
          <w:rFonts w:eastAsia="Calibri"/>
          <w:b/>
          <w:bCs/>
          <w:noProof/>
          <w:color w:val="4C4747"/>
          <w:lang w:val="es-DO"/>
        </w:rPr>
        <w:t xml:space="preserve">Capacitaciones Impartidas </w:t>
      </w:r>
      <w:r w:rsidR="008F7F36" w:rsidRPr="00AC7AC2">
        <w:rPr>
          <w:rFonts w:eastAsia="Calibri"/>
          <w:b/>
          <w:bCs/>
          <w:noProof/>
          <w:color w:val="4C4747"/>
          <w:lang w:val="es-DO"/>
        </w:rPr>
        <w:t>E</w:t>
      </w:r>
      <w:r w:rsidRPr="00AC7AC2">
        <w:rPr>
          <w:rFonts w:eastAsia="Calibri"/>
          <w:b/>
          <w:bCs/>
          <w:noProof/>
          <w:color w:val="4C4747"/>
          <w:lang w:val="es-DO"/>
        </w:rPr>
        <w:t>nero-</w:t>
      </w:r>
      <w:r w:rsidR="008F7F36" w:rsidRPr="00AC7AC2">
        <w:rPr>
          <w:rFonts w:eastAsia="Calibri"/>
          <w:b/>
          <w:bCs/>
          <w:noProof/>
          <w:color w:val="4C4747"/>
          <w:lang w:val="es-DO"/>
        </w:rPr>
        <w:t>Diciembre</w:t>
      </w:r>
      <w:r w:rsidRPr="00AC7AC2">
        <w:rPr>
          <w:rFonts w:eastAsia="Calibri"/>
          <w:b/>
          <w:bCs/>
          <w:noProof/>
          <w:color w:val="4C4747"/>
          <w:lang w:val="es-DO"/>
        </w:rPr>
        <w:t xml:space="preserve"> 2025</w:t>
      </w:r>
    </w:p>
    <w:tbl>
      <w:tblPr>
        <w:tblW w:w="88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88"/>
        <w:gridCol w:w="6653"/>
      </w:tblGrid>
      <w:tr w:rsidR="00916F88" w:rsidRPr="00916F88" w14:paraId="72D8F14C" w14:textId="77777777" w:rsidTr="006F7E31">
        <w:trPr>
          <w:trHeight w:val="345"/>
          <w:jc w:val="center"/>
        </w:trPr>
        <w:tc>
          <w:tcPr>
            <w:tcW w:w="2188" w:type="dxa"/>
            <w:tcBorders>
              <w:right w:val="single" w:sz="8" w:space="0" w:color="FFFFFF"/>
            </w:tcBorders>
            <w:shd w:val="clear" w:color="auto" w:fill="011C50"/>
            <w:vAlign w:val="center"/>
          </w:tcPr>
          <w:p w14:paraId="6A0EBB6C" w14:textId="77777777" w:rsidR="00916F88" w:rsidRPr="00916F88" w:rsidRDefault="00916F88" w:rsidP="00D64261">
            <w:pPr>
              <w:spacing w:line="360" w:lineRule="auto"/>
              <w:jc w:val="both"/>
              <w:rPr>
                <w:rFonts w:eastAsia="Calibri"/>
                <w:noProof/>
                <w:color w:val="FFFFFF" w:themeColor="background1"/>
                <w:lang w:val="es-DO"/>
              </w:rPr>
            </w:pPr>
            <w:bookmarkStart w:id="37" w:name="_Hlk215650637"/>
            <w:r w:rsidRPr="00916F88">
              <w:rPr>
                <w:rFonts w:eastAsia="Calibri"/>
                <w:b/>
                <w:noProof/>
                <w:color w:val="FFFFFF" w:themeColor="background1"/>
                <w:lang w:val="es-DO"/>
              </w:rPr>
              <w:t>Mes</w:t>
            </w:r>
          </w:p>
        </w:tc>
        <w:tc>
          <w:tcPr>
            <w:tcW w:w="6653" w:type="dxa"/>
            <w:tcBorders>
              <w:left w:val="single" w:sz="8" w:space="0" w:color="FFFFFF"/>
            </w:tcBorders>
            <w:shd w:val="clear" w:color="auto" w:fill="011C50"/>
            <w:vAlign w:val="center"/>
          </w:tcPr>
          <w:p w14:paraId="5239149F" w14:textId="77777777" w:rsidR="00916F88" w:rsidRPr="00916F88" w:rsidRDefault="00916F88" w:rsidP="00D64261">
            <w:pPr>
              <w:spacing w:line="360" w:lineRule="auto"/>
              <w:jc w:val="both"/>
              <w:rPr>
                <w:rFonts w:eastAsia="Calibri"/>
                <w:noProof/>
                <w:color w:val="FFFFFF" w:themeColor="background1"/>
                <w:lang w:val="es-DO"/>
              </w:rPr>
            </w:pPr>
            <w:r w:rsidRPr="00916F88">
              <w:rPr>
                <w:rFonts w:eastAsia="Calibri"/>
                <w:b/>
                <w:noProof/>
                <w:color w:val="FFFFFF" w:themeColor="background1"/>
                <w:lang w:val="es-DO"/>
              </w:rPr>
              <w:t>Nombre de la capacitación</w:t>
            </w:r>
          </w:p>
        </w:tc>
      </w:tr>
      <w:tr w:rsidR="00AC7AC2" w:rsidRPr="00AC7AC2" w14:paraId="5DECC289" w14:textId="77777777" w:rsidTr="006F7E31">
        <w:trPr>
          <w:trHeight w:val="236"/>
          <w:jc w:val="center"/>
        </w:trPr>
        <w:tc>
          <w:tcPr>
            <w:tcW w:w="2188" w:type="dxa"/>
            <w:vAlign w:val="center"/>
          </w:tcPr>
          <w:p w14:paraId="07ADF323" w14:textId="77777777" w:rsidR="00916F88" w:rsidRPr="00AC7AC2" w:rsidRDefault="00916F88" w:rsidP="00D64261">
            <w:pPr>
              <w:spacing w:line="360" w:lineRule="auto"/>
              <w:jc w:val="both"/>
              <w:rPr>
                <w:rFonts w:eastAsia="Calibri"/>
                <w:noProof/>
                <w:lang w:val="es-DO"/>
              </w:rPr>
            </w:pPr>
            <w:r w:rsidRPr="00AC7AC2">
              <w:rPr>
                <w:rFonts w:eastAsia="Calibri"/>
                <w:b/>
                <w:noProof/>
                <w:lang w:val="es-DO"/>
              </w:rPr>
              <w:t>Enero</w:t>
            </w:r>
          </w:p>
        </w:tc>
        <w:tc>
          <w:tcPr>
            <w:tcW w:w="6653" w:type="dxa"/>
            <w:vAlign w:val="center"/>
          </w:tcPr>
          <w:p w14:paraId="37554960" w14:textId="77777777" w:rsidR="00916F88" w:rsidRPr="00AC7AC2" w:rsidRDefault="00916F88" w:rsidP="00D64261">
            <w:pPr>
              <w:spacing w:line="360" w:lineRule="auto"/>
              <w:jc w:val="both"/>
              <w:rPr>
                <w:rFonts w:eastAsia="Calibri"/>
                <w:noProof/>
              </w:rPr>
            </w:pPr>
            <w:r w:rsidRPr="00AC7AC2">
              <w:rPr>
                <w:rFonts w:eastAsia="Calibri"/>
                <w:noProof/>
              </w:rPr>
              <w:t>Microsoft Power BI Data Analyst</w:t>
            </w:r>
          </w:p>
        </w:tc>
      </w:tr>
      <w:tr w:rsidR="00AC7AC2" w:rsidRPr="00B47076" w14:paraId="6D948F64" w14:textId="77777777" w:rsidTr="006F7E31">
        <w:trPr>
          <w:trHeight w:val="446"/>
          <w:jc w:val="center"/>
        </w:trPr>
        <w:tc>
          <w:tcPr>
            <w:tcW w:w="2188" w:type="dxa"/>
            <w:vAlign w:val="center"/>
          </w:tcPr>
          <w:p w14:paraId="5EEFF9BA" w14:textId="77777777" w:rsidR="00916F88" w:rsidRPr="00AC7AC2" w:rsidRDefault="00916F88" w:rsidP="00D64261">
            <w:pPr>
              <w:spacing w:line="360" w:lineRule="auto"/>
              <w:jc w:val="both"/>
              <w:rPr>
                <w:rFonts w:eastAsia="Calibri"/>
                <w:noProof/>
                <w:lang w:val="es-DO"/>
              </w:rPr>
            </w:pPr>
            <w:r w:rsidRPr="00AC7AC2">
              <w:rPr>
                <w:rFonts w:eastAsia="Calibri"/>
                <w:b/>
                <w:noProof/>
                <w:lang w:val="es-DO"/>
              </w:rPr>
              <w:t>Febrero</w:t>
            </w:r>
          </w:p>
        </w:tc>
        <w:tc>
          <w:tcPr>
            <w:tcW w:w="6653" w:type="dxa"/>
            <w:vAlign w:val="center"/>
          </w:tcPr>
          <w:p w14:paraId="374C4D5B"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 xml:space="preserve">Comunicación Efectiva </w:t>
            </w:r>
          </w:p>
          <w:p w14:paraId="05406E69"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Microsoft Excel Básico</w:t>
            </w:r>
          </w:p>
          <w:p w14:paraId="13D8572A"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Excel Avanzado-Experto</w:t>
            </w:r>
          </w:p>
        </w:tc>
      </w:tr>
      <w:tr w:rsidR="00AC7AC2" w:rsidRPr="00B47076" w14:paraId="50FFE05D" w14:textId="77777777" w:rsidTr="006F7E31">
        <w:trPr>
          <w:trHeight w:val="345"/>
          <w:jc w:val="center"/>
        </w:trPr>
        <w:tc>
          <w:tcPr>
            <w:tcW w:w="2188" w:type="dxa"/>
            <w:vAlign w:val="center"/>
          </w:tcPr>
          <w:p w14:paraId="774DE4D0" w14:textId="77777777" w:rsidR="00916F88" w:rsidRPr="00AC7AC2" w:rsidRDefault="00916F88" w:rsidP="00D64261">
            <w:pPr>
              <w:spacing w:line="360" w:lineRule="auto"/>
              <w:jc w:val="both"/>
              <w:rPr>
                <w:rFonts w:eastAsia="Calibri"/>
                <w:noProof/>
                <w:lang w:val="es-DO"/>
              </w:rPr>
            </w:pPr>
            <w:r w:rsidRPr="00AC7AC2">
              <w:rPr>
                <w:rFonts w:eastAsia="Calibri"/>
                <w:b/>
                <w:noProof/>
                <w:lang w:val="es-DO"/>
              </w:rPr>
              <w:t>Marzo</w:t>
            </w:r>
          </w:p>
        </w:tc>
        <w:tc>
          <w:tcPr>
            <w:tcW w:w="6653" w:type="dxa"/>
            <w:vAlign w:val="center"/>
          </w:tcPr>
          <w:p w14:paraId="024FF893"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Taller sobre Mujer Renovada, Lista para alcanzar tus sueños</w:t>
            </w:r>
          </w:p>
        </w:tc>
      </w:tr>
      <w:tr w:rsidR="00AC7AC2" w:rsidRPr="00B47076" w14:paraId="06F7AEAF" w14:textId="77777777" w:rsidTr="006F7E31">
        <w:trPr>
          <w:trHeight w:val="345"/>
          <w:jc w:val="center"/>
        </w:trPr>
        <w:tc>
          <w:tcPr>
            <w:tcW w:w="2188" w:type="dxa"/>
            <w:vAlign w:val="center"/>
          </w:tcPr>
          <w:p w14:paraId="034F3C23" w14:textId="77777777" w:rsidR="00916F88" w:rsidRPr="00AC7AC2" w:rsidRDefault="00916F88" w:rsidP="00D64261">
            <w:pPr>
              <w:spacing w:line="360" w:lineRule="auto"/>
              <w:jc w:val="both"/>
              <w:rPr>
                <w:rFonts w:eastAsia="Calibri"/>
                <w:noProof/>
                <w:lang w:val="es-DO"/>
              </w:rPr>
            </w:pPr>
            <w:r w:rsidRPr="00AC7AC2">
              <w:rPr>
                <w:rFonts w:eastAsia="Calibri"/>
                <w:b/>
                <w:noProof/>
                <w:lang w:val="es-DO"/>
              </w:rPr>
              <w:t>Mayo</w:t>
            </w:r>
          </w:p>
        </w:tc>
        <w:tc>
          <w:tcPr>
            <w:tcW w:w="6653" w:type="dxa"/>
            <w:vAlign w:val="center"/>
          </w:tcPr>
          <w:p w14:paraId="11C2C7DC"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Taller sobre la Reforestación</w:t>
            </w:r>
          </w:p>
          <w:p w14:paraId="7879FECA"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Taller Reciclaje con Fibras de Banano “Del Banano al Arte”</w:t>
            </w:r>
          </w:p>
          <w:p w14:paraId="7B30813E"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Taller sobre Precaución y Evaluación Sismológica</w:t>
            </w:r>
          </w:p>
          <w:p w14:paraId="0EDB1D17"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Prevención de incendios, manejo y uso de extintores</w:t>
            </w:r>
          </w:p>
        </w:tc>
      </w:tr>
      <w:tr w:rsidR="00AC7AC2" w:rsidRPr="00B47076" w14:paraId="27C00EDB" w14:textId="77777777" w:rsidTr="006F7E31">
        <w:trPr>
          <w:trHeight w:val="745"/>
          <w:jc w:val="center"/>
        </w:trPr>
        <w:tc>
          <w:tcPr>
            <w:tcW w:w="2188" w:type="dxa"/>
            <w:vAlign w:val="center"/>
          </w:tcPr>
          <w:p w14:paraId="66F5334F" w14:textId="77777777" w:rsidR="00916F88" w:rsidRPr="00AC7AC2" w:rsidRDefault="00916F88" w:rsidP="00D64261">
            <w:pPr>
              <w:spacing w:line="360" w:lineRule="auto"/>
              <w:jc w:val="both"/>
              <w:rPr>
                <w:rFonts w:eastAsia="Calibri"/>
                <w:noProof/>
                <w:lang w:val="es-DO"/>
              </w:rPr>
            </w:pPr>
            <w:r w:rsidRPr="00AC7AC2">
              <w:rPr>
                <w:rFonts w:eastAsia="Calibri"/>
                <w:b/>
                <w:noProof/>
                <w:lang w:val="es-DO"/>
              </w:rPr>
              <w:t>Junio</w:t>
            </w:r>
          </w:p>
        </w:tc>
        <w:tc>
          <w:tcPr>
            <w:tcW w:w="6653" w:type="dxa"/>
            <w:vAlign w:val="center"/>
          </w:tcPr>
          <w:p w14:paraId="67BE3F54" w14:textId="77777777" w:rsidR="00916F88" w:rsidRPr="00AC7AC2" w:rsidRDefault="00916F88" w:rsidP="00D64261">
            <w:pPr>
              <w:spacing w:line="360" w:lineRule="auto"/>
              <w:jc w:val="both"/>
              <w:rPr>
                <w:rFonts w:eastAsia="Calibri"/>
                <w:noProof/>
              </w:rPr>
            </w:pPr>
            <w:r w:rsidRPr="00AC7AC2">
              <w:rPr>
                <w:rFonts w:eastAsia="Calibri"/>
                <w:noProof/>
              </w:rPr>
              <w:t>Power BI-Business Intelligence an Analytics</w:t>
            </w:r>
          </w:p>
          <w:p w14:paraId="08906D5C"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Charla Ley Numero 41-08 de Función Pública</w:t>
            </w:r>
          </w:p>
        </w:tc>
      </w:tr>
      <w:tr w:rsidR="00AC7AC2" w:rsidRPr="00AC7AC2" w14:paraId="2DA6A4C9" w14:textId="77777777" w:rsidTr="006F7E31">
        <w:trPr>
          <w:trHeight w:val="745"/>
          <w:jc w:val="center"/>
        </w:trPr>
        <w:tc>
          <w:tcPr>
            <w:tcW w:w="2188" w:type="dxa"/>
            <w:vAlign w:val="center"/>
          </w:tcPr>
          <w:p w14:paraId="0E06B663" w14:textId="77777777" w:rsidR="00916F88" w:rsidRPr="00AC7AC2" w:rsidRDefault="00916F88" w:rsidP="00D64261">
            <w:pPr>
              <w:spacing w:line="360" w:lineRule="auto"/>
              <w:jc w:val="both"/>
              <w:rPr>
                <w:rFonts w:eastAsia="Calibri"/>
                <w:b/>
                <w:noProof/>
                <w:lang w:val="es-DO"/>
              </w:rPr>
            </w:pPr>
            <w:r w:rsidRPr="00AC7AC2">
              <w:rPr>
                <w:rFonts w:eastAsia="Calibri"/>
                <w:b/>
                <w:noProof/>
                <w:lang w:val="es-DO"/>
              </w:rPr>
              <w:t xml:space="preserve">Octubre </w:t>
            </w:r>
          </w:p>
        </w:tc>
        <w:tc>
          <w:tcPr>
            <w:tcW w:w="6653" w:type="dxa"/>
            <w:vAlign w:val="center"/>
          </w:tcPr>
          <w:p w14:paraId="328FAABD"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Excel Avanzado</w:t>
            </w:r>
          </w:p>
          <w:p w14:paraId="4C95E608"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Excel Experto</w:t>
            </w:r>
          </w:p>
        </w:tc>
      </w:tr>
      <w:tr w:rsidR="00AC7AC2" w:rsidRPr="00B47076" w14:paraId="71C4E40A" w14:textId="77777777" w:rsidTr="006F7E31">
        <w:trPr>
          <w:trHeight w:val="745"/>
          <w:jc w:val="center"/>
        </w:trPr>
        <w:tc>
          <w:tcPr>
            <w:tcW w:w="2188" w:type="dxa"/>
            <w:vAlign w:val="center"/>
          </w:tcPr>
          <w:p w14:paraId="769A355C" w14:textId="176B8325" w:rsidR="00CD032F" w:rsidRPr="00AC7AC2" w:rsidRDefault="00CD032F" w:rsidP="00D64261">
            <w:pPr>
              <w:spacing w:line="360" w:lineRule="auto"/>
              <w:jc w:val="both"/>
              <w:rPr>
                <w:rFonts w:eastAsia="Calibri"/>
                <w:b/>
                <w:noProof/>
                <w:lang w:val="es-DO"/>
              </w:rPr>
            </w:pPr>
            <w:r w:rsidRPr="00AC7AC2">
              <w:rPr>
                <w:rFonts w:eastAsia="Calibri"/>
                <w:b/>
                <w:noProof/>
                <w:lang w:val="es-DO"/>
              </w:rPr>
              <w:t>Noviembre</w:t>
            </w:r>
          </w:p>
        </w:tc>
        <w:tc>
          <w:tcPr>
            <w:tcW w:w="6653" w:type="dxa"/>
            <w:vAlign w:val="center"/>
          </w:tcPr>
          <w:p w14:paraId="14FE1052" w14:textId="36E2DC65" w:rsidR="00CD032F" w:rsidRPr="00AC7AC2" w:rsidRDefault="00CD032F" w:rsidP="00D64261">
            <w:pPr>
              <w:spacing w:line="360" w:lineRule="auto"/>
              <w:jc w:val="both"/>
              <w:rPr>
                <w:rFonts w:eastAsia="Calibri"/>
                <w:noProof/>
                <w:lang w:val="es-DO"/>
              </w:rPr>
            </w:pPr>
            <w:r w:rsidRPr="00AC7AC2">
              <w:rPr>
                <w:rFonts w:eastAsia="Calibri"/>
                <w:noProof/>
                <w:lang w:val="es-DO"/>
              </w:rPr>
              <w:t>Diplomado en Dirección de Comunicación y Gestión de Relaciones Públicas</w:t>
            </w:r>
          </w:p>
        </w:tc>
      </w:tr>
    </w:tbl>
    <w:bookmarkEnd w:id="37"/>
    <w:p w14:paraId="6D0C91BA" w14:textId="77777777" w:rsidR="00916F88" w:rsidRPr="00AC7AC2" w:rsidRDefault="00916F88" w:rsidP="00D64261">
      <w:pPr>
        <w:spacing w:line="360" w:lineRule="auto"/>
        <w:jc w:val="both"/>
        <w:rPr>
          <w:rFonts w:eastAsia="Calibri"/>
          <w:i/>
          <w:iCs/>
          <w:noProof/>
          <w:sz w:val="18"/>
          <w:szCs w:val="18"/>
          <w:lang w:val="es-DO"/>
        </w:rPr>
      </w:pPr>
      <w:r w:rsidRPr="00AC7AC2">
        <w:rPr>
          <w:rFonts w:eastAsia="Calibri"/>
          <w:i/>
          <w:iCs/>
          <w:noProof/>
          <w:sz w:val="18"/>
          <w:szCs w:val="18"/>
          <w:lang w:val="es-DO"/>
        </w:rPr>
        <w:t xml:space="preserve">Fuente: Departamento de Recursos Humanos </w:t>
      </w:r>
    </w:p>
    <w:p w14:paraId="163F7D31" w14:textId="77777777" w:rsidR="00916F88" w:rsidRPr="00AC7AC2" w:rsidRDefault="00916F88" w:rsidP="00D64261">
      <w:pPr>
        <w:spacing w:line="360" w:lineRule="auto"/>
        <w:jc w:val="both"/>
        <w:rPr>
          <w:rFonts w:eastAsia="Calibri"/>
          <w:b/>
          <w:bCs/>
          <w:noProof/>
          <w:lang w:val="es-DO"/>
        </w:rPr>
      </w:pPr>
    </w:p>
    <w:p w14:paraId="1CB27494" w14:textId="77777777" w:rsidR="00916F88" w:rsidRPr="00AC7AC2" w:rsidRDefault="00916F88" w:rsidP="00D64261">
      <w:pPr>
        <w:spacing w:line="360" w:lineRule="auto"/>
        <w:jc w:val="both"/>
        <w:rPr>
          <w:rFonts w:eastAsia="Calibri"/>
          <w:noProof/>
          <w:lang w:val="es-DO"/>
        </w:rPr>
      </w:pPr>
      <w:r w:rsidRPr="00AC7AC2">
        <w:rPr>
          <w:rFonts w:eastAsia="Calibri"/>
          <w:noProof/>
          <w:lang w:val="es-419"/>
        </w:rPr>
        <w:lastRenderedPageBreak/>
        <w:t xml:space="preserve">La Tesorería Nacional ejecutó el 100% de pago de prestaciones laborales a los empleados desvinculados que aplican para recibir el derecho, Completó el proceso de la formulación de los acuerdos de desempeño para el año 2025. </w:t>
      </w:r>
    </w:p>
    <w:p w14:paraId="052F18F4" w14:textId="77777777" w:rsidR="00916F88" w:rsidRPr="00AC7AC2" w:rsidRDefault="00916F88" w:rsidP="00D64261">
      <w:pPr>
        <w:spacing w:line="360" w:lineRule="auto"/>
        <w:jc w:val="both"/>
        <w:rPr>
          <w:rFonts w:eastAsia="Calibri"/>
          <w:b/>
          <w:bCs/>
          <w:noProof/>
          <w:lang w:val="es-DO"/>
        </w:rPr>
      </w:pPr>
      <w:r w:rsidRPr="00AC7AC2">
        <w:rPr>
          <w:rFonts w:eastAsia="Calibri"/>
          <w:b/>
          <w:bCs/>
          <w:noProof/>
          <w:lang w:val="es-DO"/>
        </w:rPr>
        <w:t>Consultorio Médico Institucional</w:t>
      </w:r>
    </w:p>
    <w:p w14:paraId="7ADCEB2E"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 xml:space="preserve">En el marco de las acciones de bienestar impulsadas por el Departamento de Recursos Humanos, el </w:t>
      </w:r>
      <w:r w:rsidRPr="00AC7AC2">
        <w:rPr>
          <w:rFonts w:eastAsia="Calibri"/>
          <w:b/>
          <w:bCs/>
          <w:noProof/>
          <w:lang w:val="es-DO"/>
        </w:rPr>
        <w:t>Consultorio Médico de la Tesorería Nacional</w:t>
      </w:r>
      <w:r w:rsidRPr="00AC7AC2">
        <w:rPr>
          <w:rFonts w:eastAsia="Calibri"/>
          <w:noProof/>
          <w:lang w:val="es-DO"/>
        </w:rPr>
        <w:t xml:space="preserve"> consolidó un espacio de atención integral para los colaboradores durante el año 2025. Su funcionamiento estuvo orientado a garantizar el acceso oportuno a servicios básicos de salud, así como al suministro de medicamentos esenciales, contribuyendo al cuidado físico y emocional del personal.</w:t>
      </w:r>
    </w:p>
    <w:p w14:paraId="083739CD" w14:textId="77777777" w:rsidR="00916F88" w:rsidRPr="00AC7AC2" w:rsidRDefault="00916F88" w:rsidP="004C2709">
      <w:pPr>
        <w:numPr>
          <w:ilvl w:val="0"/>
          <w:numId w:val="18"/>
        </w:numPr>
        <w:spacing w:line="360" w:lineRule="auto"/>
        <w:jc w:val="both"/>
        <w:rPr>
          <w:rFonts w:eastAsia="Calibri"/>
          <w:noProof/>
          <w:lang w:val="es-DO"/>
        </w:rPr>
      </w:pPr>
      <w:r w:rsidRPr="00AC7AC2">
        <w:rPr>
          <w:rFonts w:eastAsia="Calibri"/>
          <w:b/>
          <w:bCs/>
          <w:noProof/>
          <w:lang w:val="es-DO"/>
        </w:rPr>
        <w:t>Atenciones realizadas:</w:t>
      </w:r>
      <w:r w:rsidRPr="00AC7AC2">
        <w:rPr>
          <w:rFonts w:eastAsia="Calibri"/>
          <w:noProof/>
          <w:lang w:val="es-DO"/>
        </w:rPr>
        <w:t xml:space="preserve"> brindó asistencia médica a aproximadamente </w:t>
      </w:r>
      <w:r w:rsidRPr="00AC7AC2">
        <w:rPr>
          <w:rFonts w:eastAsia="Calibri"/>
          <w:b/>
          <w:bCs/>
          <w:noProof/>
          <w:lang w:val="es-DO"/>
        </w:rPr>
        <w:t>150 empleados</w:t>
      </w:r>
      <w:r w:rsidRPr="00AC7AC2">
        <w:rPr>
          <w:rFonts w:eastAsia="Calibri"/>
          <w:noProof/>
          <w:lang w:val="es-DO"/>
        </w:rPr>
        <w:t>, lo que refleja la confianza depositada en este servicio y la importancia de contar con un apoyo sanitario dentro de la institución.</w:t>
      </w:r>
    </w:p>
    <w:p w14:paraId="49B12B23" w14:textId="77777777" w:rsidR="00916F88" w:rsidRPr="00AC7AC2" w:rsidRDefault="00916F88" w:rsidP="004C2709">
      <w:pPr>
        <w:numPr>
          <w:ilvl w:val="0"/>
          <w:numId w:val="18"/>
        </w:numPr>
        <w:spacing w:line="360" w:lineRule="auto"/>
        <w:jc w:val="both"/>
        <w:rPr>
          <w:rFonts w:eastAsia="Calibri"/>
          <w:noProof/>
          <w:lang w:val="es-DO"/>
        </w:rPr>
      </w:pPr>
      <w:r w:rsidRPr="00AC7AC2">
        <w:rPr>
          <w:rFonts w:eastAsia="Calibri"/>
          <w:b/>
          <w:bCs/>
          <w:noProof/>
          <w:lang w:val="es-DO"/>
        </w:rPr>
        <w:t>Despacho de medicamentos:</w:t>
      </w:r>
      <w:r w:rsidRPr="00AC7AC2">
        <w:rPr>
          <w:rFonts w:eastAsia="Calibri"/>
          <w:noProof/>
          <w:lang w:val="es-DO"/>
        </w:rPr>
        <w:t xml:space="preserve"> El consultorio garantizó la entrega de tratamientos y medicamentos de primera necesidad, fortaleciendo la capacidad de respuesta ante situaciones de salud cotidianas y emergentes.</w:t>
      </w:r>
    </w:p>
    <w:p w14:paraId="2CD0CA5D" w14:textId="77777777" w:rsidR="00916F88" w:rsidRPr="00AC7AC2" w:rsidRDefault="00916F88" w:rsidP="004C2709">
      <w:pPr>
        <w:numPr>
          <w:ilvl w:val="0"/>
          <w:numId w:val="18"/>
        </w:numPr>
        <w:spacing w:line="360" w:lineRule="auto"/>
        <w:jc w:val="both"/>
        <w:rPr>
          <w:rFonts w:eastAsia="Calibri"/>
          <w:noProof/>
          <w:lang w:val="es-DO"/>
        </w:rPr>
      </w:pPr>
      <w:r w:rsidRPr="00AC7AC2">
        <w:rPr>
          <w:rFonts w:eastAsia="Calibri"/>
          <w:b/>
          <w:bCs/>
          <w:noProof/>
          <w:lang w:val="es-DO"/>
        </w:rPr>
        <w:t>Impacto institucional:</w:t>
      </w:r>
      <w:r w:rsidRPr="00AC7AC2">
        <w:rPr>
          <w:rFonts w:eastAsia="Calibri"/>
          <w:noProof/>
          <w:lang w:val="es-DO"/>
        </w:rPr>
        <w:t xml:space="preserve"> Este servicio complementa la gestión administrativa con un enfoque humano, promoviendo un ambiente laboral más saludable y reafirmando el compromiso de la Tesorería Nacional con el bienestar integral de sus colaboradores.</w:t>
      </w:r>
    </w:p>
    <w:p w14:paraId="17206A58" w14:textId="77777777" w:rsidR="00916F88" w:rsidRPr="00AC7AC2" w:rsidRDefault="00916F88" w:rsidP="00D64261">
      <w:pPr>
        <w:spacing w:line="360" w:lineRule="auto"/>
        <w:jc w:val="both"/>
        <w:rPr>
          <w:rFonts w:eastAsia="Calibri"/>
          <w:noProof/>
          <w:highlight w:val="yellow"/>
          <w:lang w:val="es-DO"/>
        </w:rPr>
      </w:pPr>
    </w:p>
    <w:p w14:paraId="2D328389" w14:textId="77777777" w:rsidR="00B046C6" w:rsidRPr="00AC7AC2" w:rsidRDefault="00B046C6" w:rsidP="00D64261">
      <w:pPr>
        <w:spacing w:line="360" w:lineRule="auto"/>
        <w:jc w:val="both"/>
        <w:rPr>
          <w:rFonts w:eastAsia="Calibri"/>
          <w:noProof/>
          <w:highlight w:val="yellow"/>
          <w:lang w:val="es-DO"/>
        </w:rPr>
      </w:pPr>
    </w:p>
    <w:p w14:paraId="5672F499" w14:textId="77777777" w:rsidR="00B00075" w:rsidRPr="00AC7AC2" w:rsidRDefault="00B00075" w:rsidP="00D64261">
      <w:pPr>
        <w:spacing w:line="360" w:lineRule="auto"/>
        <w:jc w:val="both"/>
        <w:rPr>
          <w:rFonts w:eastAsia="Calibri"/>
          <w:noProof/>
          <w:highlight w:val="yellow"/>
          <w:lang w:val="es-DO"/>
        </w:rPr>
      </w:pPr>
    </w:p>
    <w:p w14:paraId="00FE8E66" w14:textId="77777777" w:rsidR="008209E2" w:rsidRPr="00AC7AC2" w:rsidRDefault="008209E2" w:rsidP="00D64261">
      <w:pPr>
        <w:spacing w:line="360" w:lineRule="auto"/>
        <w:jc w:val="both"/>
        <w:rPr>
          <w:rFonts w:eastAsia="Calibri"/>
          <w:noProof/>
          <w:lang w:val="es-DO"/>
        </w:rPr>
      </w:pPr>
      <w:r w:rsidRPr="00AC7AC2">
        <w:rPr>
          <w:rFonts w:eastAsia="Calibri"/>
          <w:noProof/>
          <w:lang w:val="es-DO"/>
        </w:rPr>
        <w:lastRenderedPageBreak/>
        <w:t xml:space="preserve">4.3 Desempeño de los Procesos Jurídicos </w:t>
      </w:r>
    </w:p>
    <w:p w14:paraId="3C68E60B" w14:textId="382DD773" w:rsidR="00916F88" w:rsidRPr="00AC7AC2" w:rsidRDefault="00CD032F" w:rsidP="00D64261">
      <w:pPr>
        <w:spacing w:line="360" w:lineRule="auto"/>
        <w:jc w:val="both"/>
        <w:rPr>
          <w:rFonts w:eastAsia="Calibri"/>
          <w:noProof/>
          <w:lang w:val="es-DO"/>
        </w:rPr>
      </w:pPr>
      <w:r w:rsidRPr="00AC7AC2">
        <w:rPr>
          <w:rFonts w:eastAsia="Calibri"/>
          <w:noProof/>
          <w:lang w:val="es-DO"/>
        </w:rPr>
        <w:t>|</w:t>
      </w:r>
      <w:r w:rsidR="00916F88" w:rsidRPr="00AC7AC2">
        <w:rPr>
          <w:rFonts w:eastAsia="Calibri"/>
          <w:noProof/>
          <w:lang w:val="es-DO"/>
        </w:rPr>
        <w:t>La Tesorería Nacional en materia legal desarrolló las actividades descritas a continuación.</w:t>
      </w:r>
    </w:p>
    <w:p w14:paraId="1F4E10E9" w14:textId="77777777" w:rsidR="00916F88" w:rsidRPr="00AC7AC2" w:rsidRDefault="00916F88" w:rsidP="00D64261">
      <w:pPr>
        <w:spacing w:line="360" w:lineRule="auto"/>
        <w:jc w:val="both"/>
        <w:rPr>
          <w:rFonts w:eastAsia="Calibri"/>
          <w:b/>
          <w:bCs/>
          <w:noProof/>
          <w:lang w:val="es-DO"/>
        </w:rPr>
      </w:pPr>
      <w:r w:rsidRPr="00AC7AC2">
        <w:rPr>
          <w:rFonts w:eastAsia="Calibri"/>
          <w:b/>
          <w:bCs/>
          <w:noProof/>
          <w:lang w:val="es-DO"/>
        </w:rPr>
        <w:t xml:space="preserve">Opiniones para el Registro y Levantamiento de Embargos </w:t>
      </w:r>
    </w:p>
    <w:p w14:paraId="10EB771D" w14:textId="77777777" w:rsidR="00916F88" w:rsidRPr="00AC7AC2" w:rsidRDefault="00916F88" w:rsidP="00D64261">
      <w:pPr>
        <w:spacing w:line="360" w:lineRule="auto"/>
        <w:jc w:val="both"/>
        <w:rPr>
          <w:rFonts w:eastAsia="Calibri"/>
          <w:noProof/>
          <w:lang w:val="es-ES"/>
        </w:rPr>
      </w:pPr>
      <w:r w:rsidRPr="00AC7AC2">
        <w:rPr>
          <w:rFonts w:eastAsia="Calibri"/>
          <w:noProof/>
          <w:lang w:val="es-ES"/>
        </w:rPr>
        <w:t xml:space="preserve">Realizó estudio y opinión a un total de </w:t>
      </w:r>
      <w:r w:rsidRPr="00AC7AC2">
        <w:rPr>
          <w:rFonts w:eastAsia="Calibri"/>
          <w:b/>
          <w:bCs/>
          <w:noProof/>
          <w:lang w:val="es-ES"/>
        </w:rPr>
        <w:t xml:space="preserve">334 </w:t>
      </w:r>
      <w:r w:rsidRPr="00AC7AC2">
        <w:rPr>
          <w:rFonts w:eastAsia="Calibri"/>
          <w:noProof/>
          <w:lang w:val="es-ES"/>
        </w:rPr>
        <w:t xml:space="preserve">Registros de Embargos </w:t>
      </w:r>
      <w:r w:rsidRPr="00AC7AC2">
        <w:rPr>
          <w:rFonts w:eastAsia="Calibri"/>
          <w:b/>
          <w:bCs/>
          <w:noProof/>
          <w:lang w:val="es-ES"/>
        </w:rPr>
        <w:t>y 309</w:t>
      </w:r>
      <w:r w:rsidRPr="00AC7AC2">
        <w:rPr>
          <w:rFonts w:eastAsia="Calibri"/>
          <w:noProof/>
          <w:lang w:val="es-ES"/>
        </w:rPr>
        <w:t xml:space="preserve"> Levantamientos de Embargos, aprobados por el Tesorero Nacional, esto una vez comprobado</w:t>
      </w:r>
      <w:r w:rsidRPr="00AC7AC2">
        <w:rPr>
          <w:rFonts w:eastAsia="Calibri"/>
          <w:noProof/>
          <w:lang w:val="es-DO"/>
        </w:rPr>
        <w:t xml:space="preserve"> </w:t>
      </w:r>
      <w:r w:rsidRPr="00AC7AC2">
        <w:rPr>
          <w:rFonts w:eastAsia="Calibri"/>
          <w:noProof/>
          <w:lang w:val="es-ES"/>
        </w:rPr>
        <w:t xml:space="preserve">que los actos de alguaciles recibidos en la Tesorería Nacional para los registros y levantamientos de embargos cumplieron con lo estipulado en el artículo 557 del Código de procedimiento Civil, y según lo estipulado en la Ley 567-05, en su artículo 8 Numeral 19. Posteriormente fueron registrados en el </w:t>
      </w:r>
      <w:bookmarkStart w:id="38" w:name="_Hlk151112136"/>
      <w:r w:rsidRPr="00AC7AC2">
        <w:rPr>
          <w:rFonts w:eastAsia="Calibri"/>
          <w:noProof/>
          <w:lang w:val="es-ES"/>
        </w:rPr>
        <w:t>Sistema Integrado de Gestión Financiera (SIGEF)</w:t>
      </w:r>
      <w:bookmarkEnd w:id="38"/>
      <w:r w:rsidRPr="00AC7AC2">
        <w:rPr>
          <w:rFonts w:eastAsia="Calibri"/>
          <w:noProof/>
          <w:lang w:val="es-ES"/>
        </w:rPr>
        <w:t>.</w:t>
      </w:r>
    </w:p>
    <w:p w14:paraId="34455D6A" w14:textId="77777777" w:rsidR="00916F88" w:rsidRPr="00AC7AC2" w:rsidRDefault="00916F88" w:rsidP="00D64261">
      <w:pPr>
        <w:spacing w:line="360" w:lineRule="auto"/>
        <w:jc w:val="both"/>
        <w:rPr>
          <w:rFonts w:eastAsia="Calibri"/>
          <w:b/>
          <w:noProof/>
          <w:lang w:val="es-DO"/>
        </w:rPr>
      </w:pPr>
      <w:r w:rsidRPr="00AC7AC2">
        <w:rPr>
          <w:rFonts w:eastAsia="Calibri"/>
          <w:b/>
          <w:noProof/>
          <w:lang w:val="es-DO"/>
        </w:rPr>
        <w:t xml:space="preserve">Opiniones para el Registro y Levantamientos de Cesiones de Créditos </w:t>
      </w:r>
    </w:p>
    <w:p w14:paraId="641D8917" w14:textId="77777777" w:rsidR="00916F88" w:rsidRPr="00AC7AC2" w:rsidRDefault="00916F88" w:rsidP="00D64261">
      <w:pPr>
        <w:spacing w:line="360" w:lineRule="auto"/>
        <w:jc w:val="both"/>
        <w:rPr>
          <w:rFonts w:eastAsia="Calibri"/>
          <w:bCs/>
          <w:noProof/>
          <w:lang w:val="es-DO"/>
        </w:rPr>
      </w:pPr>
      <w:r w:rsidRPr="00AC7AC2">
        <w:rPr>
          <w:rFonts w:eastAsia="Calibri"/>
          <w:bCs/>
          <w:noProof/>
          <w:lang w:val="es-DO"/>
        </w:rPr>
        <w:t xml:space="preserve">Realizó estudio y opinión de </w:t>
      </w:r>
      <w:r w:rsidRPr="00AC7AC2">
        <w:rPr>
          <w:rFonts w:eastAsia="Calibri"/>
          <w:b/>
          <w:noProof/>
          <w:lang w:val="es-DO"/>
        </w:rPr>
        <w:t>55</w:t>
      </w:r>
      <w:r w:rsidRPr="00AC7AC2">
        <w:rPr>
          <w:rFonts w:eastAsia="Calibri"/>
          <w:bCs/>
          <w:noProof/>
          <w:lang w:val="es-DO"/>
        </w:rPr>
        <w:t xml:space="preserve"> Registros de</w:t>
      </w:r>
      <w:bookmarkStart w:id="39" w:name="_Hlk151110879"/>
      <w:r w:rsidRPr="00AC7AC2">
        <w:rPr>
          <w:rFonts w:eastAsia="Calibri"/>
          <w:bCs/>
          <w:noProof/>
          <w:lang w:val="es-DO"/>
        </w:rPr>
        <w:t xml:space="preserve"> Cesiones de Crédito </w:t>
      </w:r>
      <w:bookmarkEnd w:id="39"/>
      <w:r w:rsidRPr="00AC7AC2">
        <w:rPr>
          <w:rFonts w:eastAsia="Calibri"/>
          <w:b/>
          <w:noProof/>
          <w:lang w:val="es-DO"/>
        </w:rPr>
        <w:t>y 39</w:t>
      </w:r>
      <w:r w:rsidRPr="00AC7AC2">
        <w:rPr>
          <w:rFonts w:eastAsia="Calibri"/>
          <w:bCs/>
          <w:noProof/>
          <w:lang w:val="es-DO"/>
        </w:rPr>
        <w:t xml:space="preserve"> Levantamientos de Cesiones de Crédito, aprobadas por el Tesorero Nacional, luego de haber comprobado que los actos de alguaciles recibidos en la Tesorería Nacional para los registros y levantamientos de embargos cumplieron con los estipulados en el artículo 1689 del Código Civil Dominicano, y según lo estipulado en la Ley 567-05, en su artículo 8 Numeral 19. Las mismas fueron registradas en el Sistema Integrado de Gestión Financiera (SIGEF).</w:t>
      </w:r>
    </w:p>
    <w:p w14:paraId="5C213289" w14:textId="77777777" w:rsidR="00916F88" w:rsidRPr="00AC7AC2" w:rsidRDefault="00916F88" w:rsidP="00D64261">
      <w:pPr>
        <w:spacing w:line="360" w:lineRule="auto"/>
        <w:jc w:val="both"/>
        <w:rPr>
          <w:rFonts w:eastAsia="Calibri"/>
          <w:noProof/>
          <w:lang w:val="es-DO"/>
        </w:rPr>
      </w:pPr>
      <w:r w:rsidRPr="00AC7AC2">
        <w:rPr>
          <w:rFonts w:eastAsia="Calibri"/>
          <w:b/>
          <w:noProof/>
          <w:lang w:val="es-DO"/>
        </w:rPr>
        <w:t>Certificaciones Aduanales:</w:t>
      </w:r>
      <w:r w:rsidRPr="00AC7AC2">
        <w:rPr>
          <w:rFonts w:eastAsia="Calibri"/>
          <w:noProof/>
          <w:lang w:val="es-DO"/>
        </w:rPr>
        <w:t xml:space="preserve"> </w:t>
      </w:r>
    </w:p>
    <w:p w14:paraId="009CA34A"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 xml:space="preserve">Entregó 20 certificaciones aduanales de un total 26 recibidas, mismas que han sido solicitadas por los beneficiarios. Según establece la resolución No. 111-2018 del Ministerio de Hacienda, garantizando el cumplimiento de las obligaciones a cargo de los Agentes Aduanales y según lo estipulado en la Ley 567-05, en su artículo 8 Numeral 20.  </w:t>
      </w:r>
    </w:p>
    <w:p w14:paraId="1431087B" w14:textId="77777777" w:rsidR="00916F88" w:rsidRPr="00AC7AC2" w:rsidRDefault="00916F88" w:rsidP="00D64261">
      <w:pPr>
        <w:spacing w:line="360" w:lineRule="auto"/>
        <w:jc w:val="both"/>
        <w:rPr>
          <w:rFonts w:eastAsia="Calibri"/>
          <w:noProof/>
          <w:lang w:val="es-DO"/>
        </w:rPr>
      </w:pPr>
      <w:r w:rsidRPr="00AC7AC2">
        <w:rPr>
          <w:rFonts w:eastAsia="Calibri"/>
          <w:b/>
          <w:bCs/>
          <w:noProof/>
          <w:lang w:val="es-DO"/>
        </w:rPr>
        <w:lastRenderedPageBreak/>
        <w:t>Registro de Reimpresión de Cheques</w:t>
      </w:r>
    </w:p>
    <w:p w14:paraId="381F0BCF"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Reimprimió</w:t>
      </w:r>
      <w:r w:rsidRPr="00AC7AC2">
        <w:rPr>
          <w:rFonts w:eastAsia="Calibri"/>
          <w:b/>
          <w:bCs/>
          <w:noProof/>
          <w:lang w:val="es-DO"/>
        </w:rPr>
        <w:t xml:space="preserve"> 1003</w:t>
      </w:r>
      <w:r w:rsidRPr="00AC7AC2">
        <w:rPr>
          <w:rFonts w:eastAsia="Calibri"/>
          <w:noProof/>
          <w:lang w:val="es-DO"/>
        </w:rPr>
        <w:t xml:space="preserve"> cheques por pérdida, deterioros, caducidad de fechas, o corrección de nombre, a solicitud de las instituciones del Sector Público No Financiero, los cuales fueron registrados en el Sistema Integrado de Gestión Financiera (SIGEF). </w:t>
      </w:r>
    </w:p>
    <w:p w14:paraId="1A14E13A" w14:textId="77777777" w:rsidR="00916F88" w:rsidRPr="00AC7AC2" w:rsidRDefault="00916F88" w:rsidP="00D64261">
      <w:pPr>
        <w:spacing w:line="360" w:lineRule="auto"/>
        <w:jc w:val="both"/>
        <w:rPr>
          <w:rFonts w:eastAsia="Calibri"/>
          <w:b/>
          <w:noProof/>
          <w:lang w:val="es-DO"/>
        </w:rPr>
      </w:pPr>
      <w:r w:rsidRPr="00AC7AC2">
        <w:rPr>
          <w:rFonts w:eastAsia="Calibri"/>
          <w:b/>
          <w:noProof/>
          <w:lang w:val="es-DO"/>
        </w:rPr>
        <w:t xml:space="preserve">Contratos de Bienes y Servicios </w:t>
      </w:r>
    </w:p>
    <w:p w14:paraId="2E1121C6"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 xml:space="preserve">Elaboró 26, contratos de bienes y servicios, acorde establecido por la ley la Ley No. 340-06 sobre Compras y Contrataciones de Bienes, Servicios, Obras y Concesiones con modificaciones de Ley 449-06, los procedimientos de selección a los que se sujetarán las Contrataciones de Bienes y Servicios pueden ser por: Licitación Pública, Licitación Restringida, Comparación de Precios, Compas Menores y por excepción. </w:t>
      </w:r>
    </w:p>
    <w:p w14:paraId="62496924" w14:textId="77777777" w:rsidR="00916F88" w:rsidRPr="00AC7AC2" w:rsidRDefault="00916F88" w:rsidP="00D64261">
      <w:pPr>
        <w:spacing w:line="360" w:lineRule="auto"/>
        <w:jc w:val="both"/>
        <w:rPr>
          <w:rFonts w:eastAsia="Calibri"/>
          <w:b/>
          <w:bCs/>
          <w:noProof/>
          <w:lang w:val="es-DO"/>
        </w:rPr>
      </w:pPr>
      <w:r w:rsidRPr="00AC7AC2">
        <w:rPr>
          <w:rFonts w:eastAsia="Calibri"/>
          <w:b/>
          <w:bCs/>
          <w:noProof/>
          <w:lang w:val="es-DO"/>
        </w:rPr>
        <w:t>Convenio Interinstitucional</w:t>
      </w:r>
    </w:p>
    <w:p w14:paraId="35537D78"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Elaboró 4 convenios Interinstitucional, estableciendo los servicios que ofrece la Tesorería Nacional, y pone a disposición de las demás instituciones del Estado.</w:t>
      </w:r>
    </w:p>
    <w:p w14:paraId="5F0133F1" w14:textId="77777777" w:rsidR="00916F88" w:rsidRPr="00AC7AC2" w:rsidRDefault="00916F88" w:rsidP="00D64261">
      <w:pPr>
        <w:spacing w:line="360" w:lineRule="auto"/>
        <w:jc w:val="both"/>
        <w:rPr>
          <w:rFonts w:eastAsia="Calibri"/>
          <w:b/>
          <w:noProof/>
          <w:lang w:val="es-ES"/>
        </w:rPr>
      </w:pPr>
      <w:r w:rsidRPr="00AC7AC2">
        <w:rPr>
          <w:rFonts w:eastAsia="Calibri"/>
          <w:b/>
          <w:noProof/>
          <w:lang w:val="es-ES"/>
        </w:rPr>
        <w:t>Opiniones Jurídicas para Cambio y Registro de firmas y Apertura de Cuentas de Ayuntamientos y Cuerpo de Bomberos.</w:t>
      </w:r>
    </w:p>
    <w:p w14:paraId="4C328C1A" w14:textId="77777777" w:rsidR="00916F88" w:rsidRPr="00AC7AC2" w:rsidRDefault="00916F88" w:rsidP="00D64261">
      <w:pPr>
        <w:spacing w:line="360" w:lineRule="auto"/>
        <w:jc w:val="both"/>
        <w:rPr>
          <w:rFonts w:eastAsia="Calibri"/>
          <w:b/>
          <w:noProof/>
          <w:lang w:val="es-ES"/>
        </w:rPr>
      </w:pPr>
      <w:r w:rsidRPr="00AC7AC2">
        <w:rPr>
          <w:rFonts w:eastAsia="Calibri"/>
          <w:noProof/>
          <w:lang w:val="es-DO"/>
        </w:rPr>
        <w:t>Emitió 53, opiniones jurídicas según lo establecido el numeral 17 del Art. 8 de la Ley No. 567-05 de Tesorería Nacional, y en la Ley 176 del Distrito Nacional y los Municipios.</w:t>
      </w:r>
    </w:p>
    <w:p w14:paraId="4A359C55" w14:textId="77777777" w:rsidR="00916F88" w:rsidRPr="00AC7AC2" w:rsidRDefault="00916F88" w:rsidP="00D64261">
      <w:pPr>
        <w:spacing w:line="360" w:lineRule="auto"/>
        <w:jc w:val="both"/>
        <w:rPr>
          <w:rFonts w:eastAsia="Calibri"/>
          <w:b/>
          <w:noProof/>
          <w:lang w:val="es-DO"/>
        </w:rPr>
      </w:pPr>
      <w:r w:rsidRPr="00AC7AC2">
        <w:rPr>
          <w:rFonts w:eastAsia="Calibri"/>
          <w:b/>
          <w:noProof/>
          <w:lang w:val="es-ES"/>
        </w:rPr>
        <w:t xml:space="preserve">Representación Legal en los Tribunales de la República por parte de la Tesorería </w:t>
      </w:r>
    </w:p>
    <w:p w14:paraId="05BB4F62" w14:textId="77777777" w:rsidR="00916F88" w:rsidRPr="00AC7AC2" w:rsidRDefault="00916F88" w:rsidP="00D64261">
      <w:pPr>
        <w:spacing w:line="360" w:lineRule="auto"/>
        <w:jc w:val="both"/>
        <w:rPr>
          <w:rFonts w:eastAsia="Calibri"/>
          <w:bCs/>
          <w:noProof/>
          <w:lang w:val="es-DO"/>
        </w:rPr>
      </w:pPr>
      <w:r w:rsidRPr="00AC7AC2">
        <w:rPr>
          <w:rFonts w:eastAsia="Calibri"/>
          <w:bCs/>
          <w:noProof/>
          <w:lang w:val="es-DO"/>
        </w:rPr>
        <w:t xml:space="preserve">Notificadas hasta la fecha </w:t>
      </w:r>
      <w:r w:rsidRPr="00AC7AC2">
        <w:rPr>
          <w:rFonts w:eastAsia="Calibri"/>
          <w:b/>
          <w:noProof/>
          <w:lang w:val="es-DO"/>
        </w:rPr>
        <w:t>15</w:t>
      </w:r>
      <w:r w:rsidRPr="00AC7AC2">
        <w:rPr>
          <w:rFonts w:eastAsia="Calibri"/>
          <w:bCs/>
          <w:noProof/>
          <w:lang w:val="es-DO"/>
        </w:rPr>
        <w:t xml:space="preserve"> demandas ante los tribunales de la República, de 56 litis que están en proceso.</w:t>
      </w:r>
    </w:p>
    <w:p w14:paraId="12846EF8" w14:textId="77777777" w:rsidR="00B00075" w:rsidRPr="00AC7AC2" w:rsidRDefault="00B00075" w:rsidP="00D64261">
      <w:pPr>
        <w:spacing w:line="360" w:lineRule="auto"/>
        <w:jc w:val="both"/>
        <w:rPr>
          <w:rFonts w:eastAsia="Calibri"/>
          <w:bCs/>
          <w:noProof/>
          <w:lang w:val="es-DO"/>
        </w:rPr>
      </w:pPr>
    </w:p>
    <w:p w14:paraId="7DE128A8" w14:textId="77777777" w:rsidR="00916F88" w:rsidRPr="00AC7AC2" w:rsidRDefault="00916F88" w:rsidP="00D64261">
      <w:pPr>
        <w:spacing w:line="360" w:lineRule="auto"/>
        <w:jc w:val="both"/>
        <w:rPr>
          <w:rFonts w:eastAsia="Calibri"/>
          <w:noProof/>
          <w:lang w:val="es-DO"/>
        </w:rPr>
      </w:pPr>
      <w:r w:rsidRPr="00AC7AC2">
        <w:rPr>
          <w:rFonts w:eastAsia="Calibri"/>
          <w:b/>
          <w:bCs/>
          <w:noProof/>
          <w:lang w:val="es-DO"/>
        </w:rPr>
        <w:lastRenderedPageBreak/>
        <w:t xml:space="preserve">Respuesta Legales </w:t>
      </w:r>
    </w:p>
    <w:p w14:paraId="41E1AEDD"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Elaboró 276 respuesta legales a solicitud de las partes interesadas.</w:t>
      </w:r>
    </w:p>
    <w:p w14:paraId="09FE3B9D" w14:textId="77777777" w:rsidR="00916F88" w:rsidRPr="00AC7AC2" w:rsidRDefault="00916F88" w:rsidP="00D64261">
      <w:pPr>
        <w:spacing w:line="360" w:lineRule="auto"/>
        <w:jc w:val="both"/>
        <w:rPr>
          <w:rFonts w:eastAsia="Calibri"/>
          <w:b/>
          <w:noProof/>
          <w:lang w:val="es-DO"/>
        </w:rPr>
      </w:pPr>
      <w:r w:rsidRPr="00AC7AC2">
        <w:rPr>
          <w:rFonts w:eastAsia="Calibri"/>
          <w:b/>
          <w:noProof/>
          <w:lang w:val="es-DO"/>
        </w:rPr>
        <w:t>Acta de proceso de compras</w:t>
      </w:r>
    </w:p>
    <w:p w14:paraId="7941BC04" w14:textId="77777777" w:rsidR="00916F88" w:rsidRPr="00AC7AC2" w:rsidRDefault="00916F88" w:rsidP="00D64261">
      <w:pPr>
        <w:spacing w:line="360" w:lineRule="auto"/>
        <w:jc w:val="both"/>
        <w:rPr>
          <w:rFonts w:eastAsia="Calibri"/>
          <w:noProof/>
          <w:lang w:val="es-DO"/>
        </w:rPr>
      </w:pPr>
      <w:r w:rsidRPr="00AC7AC2">
        <w:rPr>
          <w:rFonts w:eastAsia="Calibri"/>
          <w:noProof/>
          <w:lang w:val="es-DO"/>
        </w:rPr>
        <w:t xml:space="preserve">Elaboró </w:t>
      </w:r>
      <w:r w:rsidRPr="00AC7AC2">
        <w:rPr>
          <w:rFonts w:eastAsia="Calibri"/>
          <w:b/>
          <w:bCs/>
          <w:noProof/>
          <w:lang w:val="es-DO"/>
        </w:rPr>
        <w:t>15</w:t>
      </w:r>
      <w:r w:rsidRPr="00AC7AC2">
        <w:rPr>
          <w:rFonts w:eastAsia="Calibri"/>
          <w:noProof/>
          <w:lang w:val="es-DO"/>
        </w:rPr>
        <w:t xml:space="preserve"> actas para procesos de compras, según establece la Ley No. 340-06 sobre Compras y Contrataciones de Bienes, Servicios, Obras y Concesiones con modificaciones de Ley 449-06 su reglamento de aplicación No. 416-23, los procedimientos de selección a los que se sujetarán las Contrataciones de Bienes y Servicios deben ser por: Licitación Pública.</w:t>
      </w:r>
    </w:p>
    <w:p w14:paraId="723586CC" w14:textId="77777777" w:rsidR="00916F88" w:rsidRPr="00AC7AC2" w:rsidRDefault="00916F88" w:rsidP="00D64261">
      <w:pPr>
        <w:spacing w:line="360" w:lineRule="auto"/>
        <w:jc w:val="both"/>
        <w:rPr>
          <w:rFonts w:eastAsia="Calibri"/>
          <w:noProof/>
          <w:lang w:val="es-DO"/>
        </w:rPr>
      </w:pPr>
    </w:p>
    <w:p w14:paraId="0A81251E" w14:textId="2428EA5F" w:rsidR="00916F88" w:rsidRPr="00AC7AC2" w:rsidRDefault="00916F88" w:rsidP="00D64261">
      <w:pPr>
        <w:spacing w:after="0" w:line="360" w:lineRule="auto"/>
        <w:jc w:val="center"/>
        <w:rPr>
          <w:rFonts w:eastAsia="Calibri"/>
          <w:b/>
          <w:bCs/>
          <w:noProof/>
          <w:lang w:val="es-DO"/>
        </w:rPr>
      </w:pPr>
      <w:r w:rsidRPr="00AC7AC2">
        <w:rPr>
          <w:rFonts w:eastAsia="Calibri"/>
          <w:b/>
          <w:bCs/>
          <w:noProof/>
          <w:lang w:val="es-DO"/>
        </w:rPr>
        <w:t xml:space="preserve">Cuadro No. </w:t>
      </w:r>
      <w:r w:rsidR="008D7279" w:rsidRPr="00AC7AC2">
        <w:rPr>
          <w:rFonts w:eastAsia="Calibri"/>
          <w:b/>
          <w:bCs/>
          <w:noProof/>
          <w:lang w:val="es-DO"/>
        </w:rPr>
        <w:t>46</w:t>
      </w:r>
    </w:p>
    <w:p w14:paraId="2FA2F560" w14:textId="559C4782" w:rsidR="00916F88" w:rsidRPr="00AC7AC2" w:rsidRDefault="005028B7" w:rsidP="00D64261">
      <w:pPr>
        <w:spacing w:after="0" w:line="360" w:lineRule="auto"/>
        <w:jc w:val="center"/>
        <w:rPr>
          <w:rFonts w:eastAsia="Calibri"/>
          <w:b/>
          <w:bCs/>
          <w:noProof/>
          <w:lang w:val="es-DO"/>
        </w:rPr>
      </w:pPr>
      <w:r w:rsidRPr="00AC7AC2">
        <w:rPr>
          <w:rFonts w:eastAsia="Calibri"/>
          <w:b/>
          <w:bCs/>
          <w:noProof/>
          <w:lang w:val="es-DO"/>
        </w:rPr>
        <w:t>Tesorería Nacional</w:t>
      </w:r>
    </w:p>
    <w:tbl>
      <w:tblPr>
        <w:tblW w:w="7508" w:type="dxa"/>
        <w:tblCellMar>
          <w:left w:w="70" w:type="dxa"/>
          <w:right w:w="70" w:type="dxa"/>
        </w:tblCellMar>
        <w:tblLook w:val="04A0" w:firstRow="1" w:lastRow="0" w:firstColumn="1" w:lastColumn="0" w:noHBand="0" w:noVBand="1"/>
      </w:tblPr>
      <w:tblGrid>
        <w:gridCol w:w="1696"/>
        <w:gridCol w:w="1134"/>
        <w:gridCol w:w="1418"/>
        <w:gridCol w:w="1276"/>
        <w:gridCol w:w="1134"/>
        <w:gridCol w:w="850"/>
      </w:tblGrid>
      <w:tr w:rsidR="00FB745E" w:rsidRPr="00B47076" w14:paraId="366C8E9B" w14:textId="77777777" w:rsidTr="00643486">
        <w:trPr>
          <w:trHeight w:val="290"/>
          <w:tblHeader/>
        </w:trPr>
        <w:tc>
          <w:tcPr>
            <w:tcW w:w="7508" w:type="dxa"/>
            <w:gridSpan w:val="6"/>
            <w:tcBorders>
              <w:top w:val="nil"/>
              <w:left w:val="single" w:sz="4" w:space="0" w:color="auto"/>
              <w:bottom w:val="single" w:sz="4" w:space="0" w:color="auto"/>
              <w:right w:val="nil"/>
            </w:tcBorders>
            <w:shd w:val="clear" w:color="auto" w:fill="011C50"/>
            <w:vAlign w:val="center"/>
            <w:hideMark/>
          </w:tcPr>
          <w:p w14:paraId="2C3CE010" w14:textId="74A9D909" w:rsidR="00FB745E" w:rsidRPr="009C4592" w:rsidRDefault="00FB745E" w:rsidP="00D64261">
            <w:pPr>
              <w:spacing w:after="0" w:line="360" w:lineRule="auto"/>
              <w:jc w:val="center"/>
              <w:rPr>
                <w:rFonts w:eastAsia="Times New Roman"/>
                <w:b/>
                <w:bCs/>
                <w:color w:val="FFFFFF"/>
                <w:spacing w:val="0"/>
                <w:lang w:val="es-DO" w:eastAsia="es-DO"/>
              </w:rPr>
            </w:pPr>
            <w:bookmarkStart w:id="40" w:name="_Hlk215655831"/>
            <w:r>
              <w:rPr>
                <w:rFonts w:eastAsia="Times New Roman"/>
                <w:b/>
                <w:bCs/>
                <w:color w:val="FFFFFF"/>
                <w:spacing w:val="0"/>
                <w:lang w:val="es-DO" w:eastAsia="es-DO"/>
              </w:rPr>
              <w:t>INFORME</w:t>
            </w:r>
            <w:r w:rsidRPr="009C4592">
              <w:rPr>
                <w:rFonts w:eastAsia="Times New Roman"/>
                <w:b/>
                <w:bCs/>
                <w:color w:val="FFFFFF"/>
                <w:spacing w:val="0"/>
                <w:lang w:val="es-DO" w:eastAsia="es-DO"/>
              </w:rPr>
              <w:t xml:space="preserve"> ANUAL CORRESPONDIENTE DESDE ENERO HASTA DICIEMBRE 2025 </w:t>
            </w:r>
          </w:p>
        </w:tc>
      </w:tr>
      <w:tr w:rsidR="00FB745E" w:rsidRPr="009C4592" w14:paraId="02314713" w14:textId="77777777" w:rsidTr="00643486">
        <w:trPr>
          <w:trHeight w:val="581"/>
          <w:tblHeader/>
        </w:trPr>
        <w:tc>
          <w:tcPr>
            <w:tcW w:w="1696" w:type="dxa"/>
            <w:tcBorders>
              <w:top w:val="nil"/>
              <w:left w:val="single" w:sz="4" w:space="0" w:color="auto"/>
              <w:bottom w:val="single" w:sz="4" w:space="0" w:color="auto"/>
              <w:right w:val="single" w:sz="4" w:space="0" w:color="auto"/>
            </w:tcBorders>
            <w:shd w:val="clear" w:color="auto" w:fill="D9D9D9"/>
            <w:vAlign w:val="center"/>
            <w:hideMark/>
          </w:tcPr>
          <w:p w14:paraId="7DA7A8C2" w14:textId="77777777" w:rsidR="00FB745E" w:rsidRPr="00AC7AC2" w:rsidRDefault="00FB745E" w:rsidP="00D64261">
            <w:pPr>
              <w:spacing w:after="0" w:line="360" w:lineRule="auto"/>
              <w:jc w:val="center"/>
              <w:rPr>
                <w:rFonts w:eastAsia="Times New Roman"/>
                <w:b/>
                <w:bCs/>
                <w:spacing w:val="0"/>
                <w:sz w:val="16"/>
                <w:szCs w:val="16"/>
                <w:lang w:val="es-DO" w:eastAsia="es-DO"/>
              </w:rPr>
            </w:pPr>
            <w:r w:rsidRPr="00AC7AC2">
              <w:rPr>
                <w:rFonts w:eastAsia="Times New Roman"/>
                <w:b/>
                <w:bCs/>
                <w:spacing w:val="0"/>
                <w:sz w:val="16"/>
                <w:szCs w:val="16"/>
                <w:lang w:val="es-DO" w:eastAsia="es-DO"/>
              </w:rPr>
              <w:t>INDICADORES</w:t>
            </w:r>
          </w:p>
        </w:tc>
        <w:tc>
          <w:tcPr>
            <w:tcW w:w="1134" w:type="dxa"/>
            <w:tcBorders>
              <w:top w:val="nil"/>
              <w:left w:val="nil"/>
              <w:bottom w:val="single" w:sz="4" w:space="0" w:color="auto"/>
              <w:right w:val="single" w:sz="4" w:space="0" w:color="auto"/>
            </w:tcBorders>
            <w:shd w:val="clear" w:color="auto" w:fill="D9D9D9"/>
            <w:vAlign w:val="center"/>
          </w:tcPr>
          <w:p w14:paraId="240217E9" w14:textId="77777777" w:rsidR="00FB745E" w:rsidRPr="00AC7AC2" w:rsidRDefault="00FB745E" w:rsidP="00D64261">
            <w:pPr>
              <w:spacing w:after="0" w:line="360" w:lineRule="auto"/>
              <w:jc w:val="center"/>
              <w:rPr>
                <w:rFonts w:eastAsia="Times New Roman"/>
                <w:b/>
                <w:bCs/>
                <w:spacing w:val="0"/>
                <w:sz w:val="16"/>
                <w:szCs w:val="16"/>
                <w:lang w:val="es-DO" w:eastAsia="es-DO"/>
              </w:rPr>
            </w:pPr>
            <w:r w:rsidRPr="00AC7AC2">
              <w:rPr>
                <w:rFonts w:eastAsia="Times New Roman"/>
                <w:b/>
                <w:bCs/>
                <w:spacing w:val="0"/>
                <w:sz w:val="16"/>
                <w:szCs w:val="16"/>
                <w:lang w:val="es-DO" w:eastAsia="es-DO"/>
              </w:rPr>
              <w:t>1er. Trimestre</w:t>
            </w:r>
          </w:p>
        </w:tc>
        <w:tc>
          <w:tcPr>
            <w:tcW w:w="1418" w:type="dxa"/>
            <w:tcBorders>
              <w:top w:val="nil"/>
              <w:left w:val="nil"/>
              <w:bottom w:val="single" w:sz="4" w:space="0" w:color="auto"/>
              <w:right w:val="single" w:sz="4" w:space="0" w:color="auto"/>
            </w:tcBorders>
            <w:shd w:val="clear" w:color="auto" w:fill="D9D9D9"/>
            <w:vAlign w:val="center"/>
          </w:tcPr>
          <w:p w14:paraId="7F5BFBD0" w14:textId="77777777" w:rsidR="00FB745E" w:rsidRPr="00AC7AC2" w:rsidRDefault="00FB745E" w:rsidP="00D64261">
            <w:pPr>
              <w:spacing w:after="0" w:line="360" w:lineRule="auto"/>
              <w:jc w:val="center"/>
              <w:rPr>
                <w:rFonts w:eastAsia="Times New Roman"/>
                <w:b/>
                <w:bCs/>
                <w:spacing w:val="0"/>
                <w:sz w:val="16"/>
                <w:szCs w:val="16"/>
                <w:lang w:val="es-DO" w:eastAsia="es-DO"/>
              </w:rPr>
            </w:pPr>
            <w:r w:rsidRPr="00AC7AC2">
              <w:rPr>
                <w:rFonts w:eastAsia="Times New Roman"/>
                <w:b/>
                <w:bCs/>
                <w:spacing w:val="0"/>
                <w:sz w:val="16"/>
                <w:szCs w:val="16"/>
                <w:lang w:val="es-DO" w:eastAsia="es-DO"/>
              </w:rPr>
              <w:t>2do. Trimestre</w:t>
            </w:r>
          </w:p>
        </w:tc>
        <w:tc>
          <w:tcPr>
            <w:tcW w:w="1276" w:type="dxa"/>
            <w:tcBorders>
              <w:top w:val="nil"/>
              <w:left w:val="nil"/>
              <w:bottom w:val="single" w:sz="4" w:space="0" w:color="auto"/>
              <w:right w:val="single" w:sz="4" w:space="0" w:color="auto"/>
            </w:tcBorders>
            <w:shd w:val="clear" w:color="auto" w:fill="D9D9D9"/>
            <w:vAlign w:val="center"/>
          </w:tcPr>
          <w:p w14:paraId="06D86748" w14:textId="77777777" w:rsidR="00FB745E" w:rsidRPr="00AC7AC2" w:rsidRDefault="00FB745E" w:rsidP="00D64261">
            <w:pPr>
              <w:spacing w:after="0" w:line="360" w:lineRule="auto"/>
              <w:jc w:val="center"/>
              <w:rPr>
                <w:rFonts w:eastAsia="Times New Roman"/>
                <w:b/>
                <w:bCs/>
                <w:spacing w:val="0"/>
                <w:sz w:val="16"/>
                <w:szCs w:val="16"/>
                <w:lang w:val="es-DO" w:eastAsia="es-DO"/>
              </w:rPr>
            </w:pPr>
            <w:r w:rsidRPr="00AC7AC2">
              <w:rPr>
                <w:rFonts w:eastAsia="Times New Roman"/>
                <w:b/>
                <w:bCs/>
                <w:spacing w:val="0"/>
                <w:sz w:val="16"/>
                <w:szCs w:val="16"/>
                <w:lang w:val="es-DO" w:eastAsia="es-DO"/>
              </w:rPr>
              <w:t>3er. Trimestre</w:t>
            </w:r>
          </w:p>
        </w:tc>
        <w:tc>
          <w:tcPr>
            <w:tcW w:w="1134" w:type="dxa"/>
            <w:tcBorders>
              <w:top w:val="nil"/>
              <w:left w:val="nil"/>
              <w:bottom w:val="single" w:sz="4" w:space="0" w:color="auto"/>
              <w:right w:val="single" w:sz="4" w:space="0" w:color="auto"/>
            </w:tcBorders>
            <w:shd w:val="clear" w:color="auto" w:fill="D9D9D9"/>
            <w:vAlign w:val="center"/>
          </w:tcPr>
          <w:p w14:paraId="36FEED6E" w14:textId="77777777" w:rsidR="00FB745E" w:rsidRPr="00AC7AC2" w:rsidRDefault="00FB745E" w:rsidP="00D64261">
            <w:pPr>
              <w:spacing w:after="0" w:line="360" w:lineRule="auto"/>
              <w:jc w:val="center"/>
              <w:rPr>
                <w:rFonts w:eastAsia="Times New Roman"/>
                <w:b/>
                <w:bCs/>
                <w:spacing w:val="0"/>
                <w:sz w:val="16"/>
                <w:szCs w:val="16"/>
                <w:lang w:val="es-DO" w:eastAsia="es-DO"/>
              </w:rPr>
            </w:pPr>
            <w:r w:rsidRPr="00AC7AC2">
              <w:rPr>
                <w:rFonts w:eastAsia="Times New Roman"/>
                <w:b/>
                <w:bCs/>
                <w:spacing w:val="0"/>
                <w:sz w:val="16"/>
                <w:szCs w:val="16"/>
                <w:lang w:val="es-DO" w:eastAsia="es-DO"/>
              </w:rPr>
              <w:t>4to. Trimestre</w:t>
            </w:r>
          </w:p>
        </w:tc>
        <w:tc>
          <w:tcPr>
            <w:tcW w:w="850" w:type="dxa"/>
            <w:tcBorders>
              <w:top w:val="nil"/>
              <w:left w:val="nil"/>
              <w:bottom w:val="single" w:sz="4" w:space="0" w:color="auto"/>
              <w:right w:val="single" w:sz="4" w:space="0" w:color="auto"/>
            </w:tcBorders>
            <w:shd w:val="clear" w:color="auto" w:fill="D9D9D9"/>
            <w:vAlign w:val="center"/>
            <w:hideMark/>
          </w:tcPr>
          <w:p w14:paraId="6CE7583E" w14:textId="77777777" w:rsidR="00FB745E" w:rsidRPr="00AC7AC2" w:rsidRDefault="00FB745E" w:rsidP="00D64261">
            <w:pPr>
              <w:spacing w:after="0" w:line="360" w:lineRule="auto"/>
              <w:jc w:val="center"/>
              <w:rPr>
                <w:rFonts w:eastAsia="Times New Roman"/>
                <w:b/>
                <w:bCs/>
                <w:spacing w:val="0"/>
                <w:sz w:val="16"/>
                <w:szCs w:val="16"/>
                <w:lang w:val="es-DO" w:eastAsia="es-DO"/>
              </w:rPr>
            </w:pPr>
            <w:r w:rsidRPr="00AC7AC2">
              <w:rPr>
                <w:rFonts w:eastAsia="Times New Roman"/>
                <w:b/>
                <w:bCs/>
                <w:spacing w:val="0"/>
                <w:sz w:val="16"/>
                <w:szCs w:val="16"/>
                <w:lang w:val="es-DO" w:eastAsia="es-DO"/>
              </w:rPr>
              <w:t>Total</w:t>
            </w:r>
          </w:p>
        </w:tc>
      </w:tr>
      <w:tr w:rsidR="00FB745E" w:rsidRPr="009C4592" w14:paraId="521640A4" w14:textId="77777777" w:rsidTr="006F7E31">
        <w:trPr>
          <w:trHeight w:val="429"/>
        </w:trPr>
        <w:tc>
          <w:tcPr>
            <w:tcW w:w="1696" w:type="dxa"/>
            <w:tcBorders>
              <w:top w:val="nil"/>
              <w:left w:val="single" w:sz="4" w:space="0" w:color="auto"/>
              <w:bottom w:val="single" w:sz="4" w:space="0" w:color="auto"/>
              <w:right w:val="single" w:sz="4" w:space="0" w:color="auto"/>
            </w:tcBorders>
            <w:vAlign w:val="center"/>
            <w:hideMark/>
          </w:tcPr>
          <w:p w14:paraId="378063D1" w14:textId="77777777" w:rsidR="00FB745E" w:rsidRPr="00AC7AC2" w:rsidRDefault="00FB745E" w:rsidP="00D64261">
            <w:pPr>
              <w:spacing w:after="0" w:line="360" w:lineRule="auto"/>
              <w:rPr>
                <w:rFonts w:eastAsia="Times New Roman"/>
                <w:b/>
                <w:bCs/>
                <w:spacing w:val="0"/>
                <w:sz w:val="16"/>
                <w:szCs w:val="16"/>
                <w:lang w:val="es-DO" w:eastAsia="es-DO"/>
              </w:rPr>
            </w:pPr>
            <w:r w:rsidRPr="00AC7AC2">
              <w:rPr>
                <w:rFonts w:eastAsia="Times New Roman"/>
                <w:b/>
                <w:bCs/>
                <w:spacing w:val="0"/>
                <w:sz w:val="16"/>
                <w:szCs w:val="16"/>
                <w:lang w:val="es-DO" w:eastAsia="es-DO"/>
              </w:rPr>
              <w:t>Opinión de Registro de Cesión de Crédito</w:t>
            </w:r>
          </w:p>
        </w:tc>
        <w:tc>
          <w:tcPr>
            <w:tcW w:w="1134" w:type="dxa"/>
            <w:tcBorders>
              <w:top w:val="nil"/>
              <w:left w:val="nil"/>
              <w:bottom w:val="single" w:sz="4" w:space="0" w:color="auto"/>
              <w:right w:val="single" w:sz="4" w:space="0" w:color="auto"/>
            </w:tcBorders>
            <w:noWrap/>
            <w:vAlign w:val="center"/>
          </w:tcPr>
          <w:p w14:paraId="53822072" w14:textId="77777777" w:rsidR="00FB745E" w:rsidRPr="00AC7AC2" w:rsidRDefault="00FB745E" w:rsidP="00D64261">
            <w:pPr>
              <w:spacing w:after="0" w:line="360" w:lineRule="auto"/>
              <w:jc w:val="center"/>
              <w:rPr>
                <w:rFonts w:eastAsia="Times New Roman"/>
                <w:spacing w:val="0"/>
                <w:sz w:val="16"/>
                <w:szCs w:val="16"/>
                <w:lang w:val="es-DO" w:eastAsia="es-DO"/>
              </w:rPr>
            </w:pPr>
            <w:r w:rsidRPr="00AC7AC2">
              <w:rPr>
                <w:rFonts w:eastAsia="Times New Roman"/>
                <w:spacing w:val="0"/>
                <w:sz w:val="16"/>
                <w:szCs w:val="16"/>
                <w:lang w:val="es-DO" w:eastAsia="es-DO"/>
              </w:rPr>
              <w:t>15</w:t>
            </w:r>
          </w:p>
        </w:tc>
        <w:tc>
          <w:tcPr>
            <w:tcW w:w="1418" w:type="dxa"/>
            <w:tcBorders>
              <w:top w:val="nil"/>
              <w:left w:val="nil"/>
              <w:bottom w:val="single" w:sz="4" w:space="0" w:color="auto"/>
              <w:right w:val="single" w:sz="4" w:space="0" w:color="auto"/>
            </w:tcBorders>
            <w:noWrap/>
            <w:vAlign w:val="center"/>
          </w:tcPr>
          <w:p w14:paraId="422385E3" w14:textId="77777777" w:rsidR="00FB745E" w:rsidRPr="00AC7AC2" w:rsidRDefault="00FB745E" w:rsidP="00D64261">
            <w:pPr>
              <w:spacing w:after="0" w:line="360" w:lineRule="auto"/>
              <w:jc w:val="center"/>
              <w:rPr>
                <w:rFonts w:ascii="Calibri" w:eastAsia="Times New Roman" w:hAnsi="Calibri" w:cs="Calibri"/>
                <w:b/>
                <w:bCs/>
                <w:spacing w:val="0"/>
                <w:sz w:val="16"/>
                <w:szCs w:val="16"/>
                <w:lang w:val="es-DO" w:eastAsia="es-DO"/>
              </w:rPr>
            </w:pPr>
            <w:r w:rsidRPr="00AC7AC2">
              <w:rPr>
                <w:rFonts w:ascii="Calibri" w:eastAsia="Times New Roman" w:hAnsi="Calibri" w:cs="Calibri"/>
                <w:b/>
                <w:bCs/>
                <w:spacing w:val="0"/>
                <w:sz w:val="16"/>
                <w:szCs w:val="16"/>
                <w:lang w:val="es-DO" w:eastAsia="es-DO"/>
              </w:rPr>
              <w:t>12</w:t>
            </w:r>
          </w:p>
        </w:tc>
        <w:tc>
          <w:tcPr>
            <w:tcW w:w="1276" w:type="dxa"/>
            <w:tcBorders>
              <w:top w:val="nil"/>
              <w:left w:val="nil"/>
              <w:bottom w:val="single" w:sz="4" w:space="0" w:color="auto"/>
              <w:right w:val="single" w:sz="4" w:space="0" w:color="auto"/>
            </w:tcBorders>
            <w:noWrap/>
            <w:vAlign w:val="center"/>
          </w:tcPr>
          <w:p w14:paraId="67D43273"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13</w:t>
            </w:r>
          </w:p>
        </w:tc>
        <w:tc>
          <w:tcPr>
            <w:tcW w:w="1134" w:type="dxa"/>
            <w:tcBorders>
              <w:top w:val="nil"/>
              <w:left w:val="nil"/>
              <w:bottom w:val="single" w:sz="4" w:space="0" w:color="auto"/>
              <w:right w:val="single" w:sz="4" w:space="0" w:color="auto"/>
            </w:tcBorders>
            <w:noWrap/>
            <w:vAlign w:val="center"/>
          </w:tcPr>
          <w:p w14:paraId="52A04F93"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15</w:t>
            </w:r>
          </w:p>
        </w:tc>
        <w:tc>
          <w:tcPr>
            <w:tcW w:w="850" w:type="dxa"/>
            <w:tcBorders>
              <w:top w:val="nil"/>
              <w:left w:val="nil"/>
              <w:bottom w:val="single" w:sz="4" w:space="0" w:color="auto"/>
              <w:right w:val="single" w:sz="4" w:space="0" w:color="auto"/>
            </w:tcBorders>
            <w:noWrap/>
            <w:vAlign w:val="center"/>
            <w:hideMark/>
          </w:tcPr>
          <w:p w14:paraId="6B19A686" w14:textId="77777777" w:rsidR="00FB745E" w:rsidRPr="00AC7AC2" w:rsidRDefault="00FB745E" w:rsidP="00D64261">
            <w:pPr>
              <w:spacing w:after="0" w:line="360" w:lineRule="auto"/>
              <w:jc w:val="center"/>
              <w:rPr>
                <w:rFonts w:ascii="Aptos Narrow" w:eastAsia="Times New Roman" w:hAnsi="Aptos Narrow"/>
                <w:b/>
                <w:bCs/>
                <w:spacing w:val="0"/>
                <w:sz w:val="16"/>
                <w:szCs w:val="16"/>
                <w:lang w:val="es-DO" w:eastAsia="es-DO"/>
              </w:rPr>
            </w:pPr>
            <w:r w:rsidRPr="00AC7AC2">
              <w:rPr>
                <w:rFonts w:ascii="Aptos Narrow" w:eastAsia="Times New Roman" w:hAnsi="Aptos Narrow"/>
                <w:b/>
                <w:bCs/>
                <w:spacing w:val="0"/>
                <w:sz w:val="16"/>
                <w:szCs w:val="16"/>
                <w:lang w:val="es-DO" w:eastAsia="es-DO"/>
              </w:rPr>
              <w:t>55</w:t>
            </w:r>
          </w:p>
        </w:tc>
      </w:tr>
      <w:tr w:rsidR="00FB745E" w:rsidRPr="009C4592" w14:paraId="1877D666" w14:textId="77777777" w:rsidTr="006F7E31">
        <w:trPr>
          <w:trHeight w:val="443"/>
        </w:trPr>
        <w:tc>
          <w:tcPr>
            <w:tcW w:w="1696" w:type="dxa"/>
            <w:tcBorders>
              <w:top w:val="nil"/>
              <w:left w:val="single" w:sz="4" w:space="0" w:color="auto"/>
              <w:bottom w:val="single" w:sz="4" w:space="0" w:color="auto"/>
              <w:right w:val="single" w:sz="4" w:space="0" w:color="auto"/>
            </w:tcBorders>
            <w:vAlign w:val="center"/>
            <w:hideMark/>
          </w:tcPr>
          <w:p w14:paraId="3ABAA507" w14:textId="77777777" w:rsidR="00FB745E" w:rsidRPr="00AC7AC2" w:rsidRDefault="00FB745E" w:rsidP="00D64261">
            <w:pPr>
              <w:spacing w:after="0" w:line="360" w:lineRule="auto"/>
              <w:rPr>
                <w:rFonts w:eastAsia="Times New Roman"/>
                <w:b/>
                <w:bCs/>
                <w:spacing w:val="0"/>
                <w:sz w:val="16"/>
                <w:szCs w:val="16"/>
                <w:lang w:val="es-DO" w:eastAsia="es-DO"/>
              </w:rPr>
            </w:pPr>
            <w:r w:rsidRPr="00AC7AC2">
              <w:rPr>
                <w:rFonts w:eastAsia="Times New Roman"/>
                <w:b/>
                <w:bCs/>
                <w:spacing w:val="0"/>
                <w:sz w:val="16"/>
                <w:szCs w:val="16"/>
                <w:lang w:val="es-DO" w:eastAsia="es-DO"/>
              </w:rPr>
              <w:t>Opinión de Levantamiento de Cesión de Crédito</w:t>
            </w:r>
          </w:p>
        </w:tc>
        <w:tc>
          <w:tcPr>
            <w:tcW w:w="1134" w:type="dxa"/>
            <w:tcBorders>
              <w:top w:val="nil"/>
              <w:left w:val="nil"/>
              <w:bottom w:val="single" w:sz="4" w:space="0" w:color="auto"/>
              <w:right w:val="single" w:sz="4" w:space="0" w:color="auto"/>
            </w:tcBorders>
            <w:noWrap/>
            <w:vAlign w:val="center"/>
          </w:tcPr>
          <w:p w14:paraId="2559C208" w14:textId="77777777" w:rsidR="00FB745E" w:rsidRPr="00AC7AC2" w:rsidRDefault="00FB745E" w:rsidP="00D64261">
            <w:pPr>
              <w:spacing w:after="0" w:line="360" w:lineRule="auto"/>
              <w:jc w:val="center"/>
              <w:rPr>
                <w:rFonts w:ascii="Calibri" w:eastAsia="Times New Roman" w:hAnsi="Calibri" w:cs="Calibri"/>
                <w:spacing w:val="0"/>
                <w:sz w:val="16"/>
                <w:szCs w:val="16"/>
                <w:lang w:val="es-DO" w:eastAsia="es-DO"/>
              </w:rPr>
            </w:pPr>
            <w:r w:rsidRPr="00AC7AC2">
              <w:rPr>
                <w:rFonts w:ascii="Calibri" w:eastAsia="Times New Roman" w:hAnsi="Calibri" w:cs="Calibri"/>
                <w:spacing w:val="0"/>
                <w:sz w:val="16"/>
                <w:szCs w:val="16"/>
                <w:lang w:val="es-DO" w:eastAsia="es-DO"/>
              </w:rPr>
              <w:t>9</w:t>
            </w:r>
          </w:p>
        </w:tc>
        <w:tc>
          <w:tcPr>
            <w:tcW w:w="1418" w:type="dxa"/>
            <w:tcBorders>
              <w:top w:val="nil"/>
              <w:left w:val="nil"/>
              <w:bottom w:val="single" w:sz="4" w:space="0" w:color="auto"/>
              <w:right w:val="single" w:sz="4" w:space="0" w:color="auto"/>
            </w:tcBorders>
            <w:noWrap/>
            <w:vAlign w:val="center"/>
          </w:tcPr>
          <w:p w14:paraId="7F756121" w14:textId="77777777" w:rsidR="00FB745E" w:rsidRPr="00AC7AC2" w:rsidRDefault="00FB745E" w:rsidP="00D64261">
            <w:pPr>
              <w:spacing w:after="0" w:line="360" w:lineRule="auto"/>
              <w:jc w:val="center"/>
              <w:rPr>
                <w:rFonts w:ascii="Calibri" w:eastAsia="Times New Roman" w:hAnsi="Calibri" w:cs="Calibri"/>
                <w:b/>
                <w:bCs/>
                <w:spacing w:val="0"/>
                <w:sz w:val="16"/>
                <w:szCs w:val="16"/>
                <w:lang w:val="es-DO" w:eastAsia="es-DO"/>
              </w:rPr>
            </w:pPr>
            <w:r w:rsidRPr="00AC7AC2">
              <w:rPr>
                <w:rFonts w:ascii="Calibri" w:eastAsia="Times New Roman" w:hAnsi="Calibri" w:cs="Calibri"/>
                <w:b/>
                <w:bCs/>
                <w:spacing w:val="0"/>
                <w:sz w:val="16"/>
                <w:szCs w:val="16"/>
                <w:lang w:val="es-DO" w:eastAsia="es-DO"/>
              </w:rPr>
              <w:t>8</w:t>
            </w:r>
          </w:p>
        </w:tc>
        <w:tc>
          <w:tcPr>
            <w:tcW w:w="1276" w:type="dxa"/>
            <w:tcBorders>
              <w:top w:val="nil"/>
              <w:left w:val="nil"/>
              <w:bottom w:val="single" w:sz="4" w:space="0" w:color="auto"/>
              <w:right w:val="single" w:sz="4" w:space="0" w:color="auto"/>
            </w:tcBorders>
            <w:noWrap/>
            <w:vAlign w:val="center"/>
          </w:tcPr>
          <w:p w14:paraId="551C1FFB"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6</w:t>
            </w:r>
          </w:p>
        </w:tc>
        <w:tc>
          <w:tcPr>
            <w:tcW w:w="1134" w:type="dxa"/>
            <w:tcBorders>
              <w:top w:val="nil"/>
              <w:left w:val="nil"/>
              <w:bottom w:val="single" w:sz="4" w:space="0" w:color="auto"/>
              <w:right w:val="single" w:sz="4" w:space="0" w:color="auto"/>
            </w:tcBorders>
            <w:noWrap/>
            <w:vAlign w:val="center"/>
          </w:tcPr>
          <w:p w14:paraId="3303B6BA"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16</w:t>
            </w:r>
          </w:p>
        </w:tc>
        <w:tc>
          <w:tcPr>
            <w:tcW w:w="850" w:type="dxa"/>
            <w:tcBorders>
              <w:top w:val="nil"/>
              <w:left w:val="nil"/>
              <w:bottom w:val="single" w:sz="4" w:space="0" w:color="auto"/>
              <w:right w:val="single" w:sz="4" w:space="0" w:color="auto"/>
            </w:tcBorders>
            <w:noWrap/>
            <w:vAlign w:val="center"/>
            <w:hideMark/>
          </w:tcPr>
          <w:p w14:paraId="3085CF8B" w14:textId="77777777" w:rsidR="00FB745E" w:rsidRPr="00AC7AC2" w:rsidRDefault="00FB745E" w:rsidP="00D64261">
            <w:pPr>
              <w:spacing w:after="0" w:line="360" w:lineRule="auto"/>
              <w:jc w:val="center"/>
              <w:rPr>
                <w:rFonts w:ascii="Aptos Narrow" w:eastAsia="Times New Roman" w:hAnsi="Aptos Narrow"/>
                <w:b/>
                <w:bCs/>
                <w:spacing w:val="0"/>
                <w:sz w:val="16"/>
                <w:szCs w:val="16"/>
                <w:lang w:val="es-DO" w:eastAsia="es-DO"/>
              </w:rPr>
            </w:pPr>
            <w:r w:rsidRPr="00AC7AC2">
              <w:rPr>
                <w:rFonts w:ascii="Aptos Narrow" w:eastAsia="Times New Roman" w:hAnsi="Aptos Narrow"/>
                <w:b/>
                <w:bCs/>
                <w:spacing w:val="0"/>
                <w:sz w:val="16"/>
                <w:szCs w:val="16"/>
                <w:lang w:val="es-DO" w:eastAsia="es-DO"/>
              </w:rPr>
              <w:t>39</w:t>
            </w:r>
          </w:p>
        </w:tc>
      </w:tr>
      <w:tr w:rsidR="00FB745E" w:rsidRPr="009C4592" w14:paraId="02FCF4D7" w14:textId="77777777" w:rsidTr="006F7E31">
        <w:trPr>
          <w:trHeight w:val="374"/>
        </w:trPr>
        <w:tc>
          <w:tcPr>
            <w:tcW w:w="1696" w:type="dxa"/>
            <w:tcBorders>
              <w:top w:val="nil"/>
              <w:left w:val="single" w:sz="4" w:space="0" w:color="auto"/>
              <w:bottom w:val="single" w:sz="4" w:space="0" w:color="auto"/>
              <w:right w:val="single" w:sz="4" w:space="0" w:color="auto"/>
            </w:tcBorders>
            <w:vAlign w:val="center"/>
            <w:hideMark/>
          </w:tcPr>
          <w:p w14:paraId="4868C4CC" w14:textId="77777777" w:rsidR="00FB745E" w:rsidRPr="00AC7AC2" w:rsidRDefault="00FB745E" w:rsidP="00D64261">
            <w:pPr>
              <w:spacing w:after="0" w:line="360" w:lineRule="auto"/>
              <w:rPr>
                <w:rFonts w:eastAsia="Times New Roman"/>
                <w:b/>
                <w:bCs/>
                <w:spacing w:val="0"/>
                <w:sz w:val="16"/>
                <w:szCs w:val="16"/>
                <w:lang w:val="es-DO" w:eastAsia="es-DO"/>
              </w:rPr>
            </w:pPr>
            <w:r w:rsidRPr="00AC7AC2">
              <w:rPr>
                <w:rFonts w:eastAsia="Times New Roman"/>
                <w:b/>
                <w:bCs/>
                <w:spacing w:val="0"/>
                <w:sz w:val="16"/>
                <w:szCs w:val="16"/>
                <w:lang w:val="es-DO" w:eastAsia="es-DO"/>
              </w:rPr>
              <w:t>Opinión de Registro de Embargos</w:t>
            </w:r>
          </w:p>
        </w:tc>
        <w:tc>
          <w:tcPr>
            <w:tcW w:w="1134" w:type="dxa"/>
            <w:tcBorders>
              <w:top w:val="nil"/>
              <w:left w:val="nil"/>
              <w:bottom w:val="single" w:sz="4" w:space="0" w:color="auto"/>
              <w:right w:val="single" w:sz="4" w:space="0" w:color="auto"/>
            </w:tcBorders>
            <w:noWrap/>
            <w:vAlign w:val="center"/>
          </w:tcPr>
          <w:p w14:paraId="7652935C" w14:textId="77777777" w:rsidR="00FB745E" w:rsidRPr="00AC7AC2" w:rsidRDefault="00FB745E" w:rsidP="00D64261">
            <w:pPr>
              <w:spacing w:after="0" w:line="360" w:lineRule="auto"/>
              <w:jc w:val="center"/>
              <w:rPr>
                <w:rFonts w:ascii="Calibri" w:eastAsia="Times New Roman" w:hAnsi="Calibri" w:cs="Calibri"/>
                <w:spacing w:val="0"/>
                <w:sz w:val="16"/>
                <w:szCs w:val="16"/>
                <w:lang w:val="es-DO" w:eastAsia="es-DO"/>
              </w:rPr>
            </w:pPr>
            <w:r w:rsidRPr="00AC7AC2">
              <w:rPr>
                <w:rFonts w:ascii="Calibri" w:eastAsia="Times New Roman" w:hAnsi="Calibri" w:cs="Calibri"/>
                <w:spacing w:val="0"/>
                <w:sz w:val="16"/>
                <w:szCs w:val="16"/>
                <w:lang w:val="es-DO" w:eastAsia="es-DO"/>
              </w:rPr>
              <w:t>142</w:t>
            </w:r>
          </w:p>
        </w:tc>
        <w:tc>
          <w:tcPr>
            <w:tcW w:w="1418" w:type="dxa"/>
            <w:tcBorders>
              <w:top w:val="nil"/>
              <w:left w:val="nil"/>
              <w:bottom w:val="single" w:sz="4" w:space="0" w:color="auto"/>
              <w:right w:val="single" w:sz="4" w:space="0" w:color="auto"/>
            </w:tcBorders>
            <w:noWrap/>
            <w:vAlign w:val="center"/>
          </w:tcPr>
          <w:p w14:paraId="58EC14AD" w14:textId="77777777" w:rsidR="00FB745E" w:rsidRPr="00AC7AC2" w:rsidRDefault="00FB745E" w:rsidP="00D64261">
            <w:pPr>
              <w:spacing w:after="0" w:line="360" w:lineRule="auto"/>
              <w:jc w:val="center"/>
              <w:rPr>
                <w:rFonts w:ascii="Calibri" w:eastAsia="Times New Roman" w:hAnsi="Calibri" w:cs="Calibri"/>
                <w:b/>
                <w:bCs/>
                <w:spacing w:val="0"/>
                <w:sz w:val="16"/>
                <w:szCs w:val="16"/>
                <w:lang w:val="es-DO" w:eastAsia="es-DO"/>
              </w:rPr>
            </w:pPr>
            <w:r w:rsidRPr="00AC7AC2">
              <w:rPr>
                <w:rFonts w:ascii="Calibri" w:eastAsia="Times New Roman" w:hAnsi="Calibri" w:cs="Calibri"/>
                <w:b/>
                <w:bCs/>
                <w:spacing w:val="0"/>
                <w:sz w:val="16"/>
                <w:szCs w:val="16"/>
                <w:lang w:val="es-DO" w:eastAsia="es-DO"/>
              </w:rPr>
              <w:t>39</w:t>
            </w:r>
          </w:p>
        </w:tc>
        <w:tc>
          <w:tcPr>
            <w:tcW w:w="1276" w:type="dxa"/>
            <w:tcBorders>
              <w:top w:val="nil"/>
              <w:left w:val="nil"/>
              <w:bottom w:val="single" w:sz="4" w:space="0" w:color="auto"/>
              <w:right w:val="single" w:sz="4" w:space="0" w:color="auto"/>
            </w:tcBorders>
            <w:noWrap/>
            <w:vAlign w:val="center"/>
          </w:tcPr>
          <w:p w14:paraId="73E20C2F"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143</w:t>
            </w:r>
          </w:p>
        </w:tc>
        <w:tc>
          <w:tcPr>
            <w:tcW w:w="1134" w:type="dxa"/>
            <w:tcBorders>
              <w:top w:val="nil"/>
              <w:left w:val="nil"/>
              <w:bottom w:val="single" w:sz="4" w:space="0" w:color="auto"/>
              <w:right w:val="single" w:sz="4" w:space="0" w:color="auto"/>
            </w:tcBorders>
            <w:noWrap/>
            <w:vAlign w:val="center"/>
          </w:tcPr>
          <w:p w14:paraId="41FA5106"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10</w:t>
            </w:r>
          </w:p>
        </w:tc>
        <w:tc>
          <w:tcPr>
            <w:tcW w:w="850" w:type="dxa"/>
            <w:tcBorders>
              <w:top w:val="nil"/>
              <w:left w:val="nil"/>
              <w:bottom w:val="single" w:sz="4" w:space="0" w:color="auto"/>
              <w:right w:val="single" w:sz="4" w:space="0" w:color="auto"/>
            </w:tcBorders>
            <w:noWrap/>
            <w:vAlign w:val="center"/>
            <w:hideMark/>
          </w:tcPr>
          <w:p w14:paraId="3B032706" w14:textId="77777777" w:rsidR="00FB745E" w:rsidRPr="00AC7AC2" w:rsidRDefault="00FB745E" w:rsidP="00D64261">
            <w:pPr>
              <w:spacing w:after="0" w:line="360" w:lineRule="auto"/>
              <w:jc w:val="center"/>
              <w:rPr>
                <w:rFonts w:ascii="Aptos Narrow" w:eastAsia="Times New Roman" w:hAnsi="Aptos Narrow"/>
                <w:b/>
                <w:bCs/>
                <w:spacing w:val="0"/>
                <w:sz w:val="16"/>
                <w:szCs w:val="16"/>
                <w:lang w:val="es-DO" w:eastAsia="es-DO"/>
              </w:rPr>
            </w:pPr>
            <w:r w:rsidRPr="00AC7AC2">
              <w:rPr>
                <w:rFonts w:ascii="Aptos Narrow" w:eastAsia="Times New Roman" w:hAnsi="Aptos Narrow"/>
                <w:b/>
                <w:bCs/>
                <w:spacing w:val="0"/>
                <w:sz w:val="16"/>
                <w:szCs w:val="16"/>
                <w:lang w:val="es-DO" w:eastAsia="es-DO"/>
              </w:rPr>
              <w:t>334</w:t>
            </w:r>
          </w:p>
        </w:tc>
      </w:tr>
      <w:tr w:rsidR="00FB745E" w:rsidRPr="009C4592" w14:paraId="509DC306" w14:textId="77777777" w:rsidTr="006F7E31">
        <w:trPr>
          <w:trHeight w:val="346"/>
        </w:trPr>
        <w:tc>
          <w:tcPr>
            <w:tcW w:w="1696" w:type="dxa"/>
            <w:tcBorders>
              <w:top w:val="nil"/>
              <w:left w:val="single" w:sz="4" w:space="0" w:color="auto"/>
              <w:bottom w:val="single" w:sz="4" w:space="0" w:color="auto"/>
              <w:right w:val="single" w:sz="4" w:space="0" w:color="auto"/>
            </w:tcBorders>
            <w:vAlign w:val="center"/>
            <w:hideMark/>
          </w:tcPr>
          <w:p w14:paraId="3D497F8C" w14:textId="77777777" w:rsidR="00FB745E" w:rsidRPr="00AC7AC2" w:rsidRDefault="00FB745E" w:rsidP="00D64261">
            <w:pPr>
              <w:spacing w:after="0" w:line="360" w:lineRule="auto"/>
              <w:rPr>
                <w:rFonts w:eastAsia="Times New Roman"/>
                <w:b/>
                <w:bCs/>
                <w:spacing w:val="0"/>
                <w:sz w:val="16"/>
                <w:szCs w:val="16"/>
                <w:lang w:val="es-DO" w:eastAsia="es-DO"/>
              </w:rPr>
            </w:pPr>
            <w:r w:rsidRPr="00AC7AC2">
              <w:rPr>
                <w:rFonts w:eastAsia="Times New Roman"/>
                <w:b/>
                <w:bCs/>
                <w:spacing w:val="0"/>
                <w:sz w:val="16"/>
                <w:szCs w:val="16"/>
                <w:lang w:val="es-DO" w:eastAsia="es-DO"/>
              </w:rPr>
              <w:t>Opinión de Levantamiento de Embargos</w:t>
            </w:r>
          </w:p>
        </w:tc>
        <w:tc>
          <w:tcPr>
            <w:tcW w:w="1134" w:type="dxa"/>
            <w:tcBorders>
              <w:top w:val="nil"/>
              <w:left w:val="nil"/>
              <w:bottom w:val="single" w:sz="4" w:space="0" w:color="auto"/>
              <w:right w:val="single" w:sz="4" w:space="0" w:color="auto"/>
            </w:tcBorders>
            <w:noWrap/>
            <w:vAlign w:val="center"/>
          </w:tcPr>
          <w:p w14:paraId="47AEF47B" w14:textId="77777777" w:rsidR="00FB745E" w:rsidRPr="00AC7AC2" w:rsidRDefault="00FB745E" w:rsidP="00D64261">
            <w:pPr>
              <w:spacing w:after="0" w:line="360" w:lineRule="auto"/>
              <w:jc w:val="center"/>
              <w:rPr>
                <w:rFonts w:ascii="Calibri" w:eastAsia="Times New Roman" w:hAnsi="Calibri" w:cs="Calibri"/>
                <w:spacing w:val="0"/>
                <w:sz w:val="16"/>
                <w:szCs w:val="16"/>
                <w:lang w:val="es-DO" w:eastAsia="es-DO"/>
              </w:rPr>
            </w:pPr>
            <w:r w:rsidRPr="00AC7AC2">
              <w:rPr>
                <w:rFonts w:ascii="Calibri" w:eastAsia="Times New Roman" w:hAnsi="Calibri" w:cs="Calibri"/>
                <w:spacing w:val="0"/>
                <w:sz w:val="16"/>
                <w:szCs w:val="16"/>
                <w:lang w:val="es-DO" w:eastAsia="es-DO"/>
              </w:rPr>
              <w:t>9</w:t>
            </w:r>
          </w:p>
        </w:tc>
        <w:tc>
          <w:tcPr>
            <w:tcW w:w="1418" w:type="dxa"/>
            <w:tcBorders>
              <w:top w:val="nil"/>
              <w:left w:val="nil"/>
              <w:bottom w:val="single" w:sz="4" w:space="0" w:color="auto"/>
              <w:right w:val="single" w:sz="4" w:space="0" w:color="auto"/>
            </w:tcBorders>
            <w:noWrap/>
            <w:vAlign w:val="center"/>
          </w:tcPr>
          <w:p w14:paraId="1DE5DC44" w14:textId="77777777" w:rsidR="00FB745E" w:rsidRPr="00AC7AC2" w:rsidRDefault="00FB745E" w:rsidP="00D64261">
            <w:pPr>
              <w:spacing w:after="0" w:line="360" w:lineRule="auto"/>
              <w:jc w:val="center"/>
              <w:rPr>
                <w:rFonts w:ascii="Calibri" w:eastAsia="Times New Roman" w:hAnsi="Calibri" w:cs="Calibri"/>
                <w:b/>
                <w:bCs/>
                <w:spacing w:val="0"/>
                <w:sz w:val="16"/>
                <w:szCs w:val="16"/>
                <w:lang w:val="es-DO" w:eastAsia="es-DO"/>
              </w:rPr>
            </w:pPr>
            <w:r w:rsidRPr="00AC7AC2">
              <w:rPr>
                <w:rFonts w:ascii="Calibri" w:eastAsia="Times New Roman" w:hAnsi="Calibri" w:cs="Calibri"/>
                <w:b/>
                <w:bCs/>
                <w:spacing w:val="0"/>
                <w:sz w:val="16"/>
                <w:szCs w:val="16"/>
                <w:lang w:val="es-DO" w:eastAsia="es-DO"/>
              </w:rPr>
              <w:t>70</w:t>
            </w:r>
          </w:p>
        </w:tc>
        <w:tc>
          <w:tcPr>
            <w:tcW w:w="1276" w:type="dxa"/>
            <w:tcBorders>
              <w:top w:val="nil"/>
              <w:left w:val="nil"/>
              <w:bottom w:val="single" w:sz="4" w:space="0" w:color="auto"/>
              <w:right w:val="single" w:sz="4" w:space="0" w:color="auto"/>
            </w:tcBorders>
            <w:noWrap/>
            <w:vAlign w:val="center"/>
          </w:tcPr>
          <w:p w14:paraId="163FDE6B"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49</w:t>
            </w:r>
          </w:p>
        </w:tc>
        <w:tc>
          <w:tcPr>
            <w:tcW w:w="1134" w:type="dxa"/>
            <w:tcBorders>
              <w:top w:val="nil"/>
              <w:left w:val="nil"/>
              <w:bottom w:val="single" w:sz="4" w:space="0" w:color="auto"/>
              <w:right w:val="single" w:sz="4" w:space="0" w:color="auto"/>
            </w:tcBorders>
            <w:noWrap/>
            <w:vAlign w:val="center"/>
          </w:tcPr>
          <w:p w14:paraId="2B446DD0"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181</w:t>
            </w:r>
          </w:p>
        </w:tc>
        <w:tc>
          <w:tcPr>
            <w:tcW w:w="850" w:type="dxa"/>
            <w:tcBorders>
              <w:top w:val="nil"/>
              <w:left w:val="nil"/>
              <w:bottom w:val="single" w:sz="4" w:space="0" w:color="auto"/>
              <w:right w:val="single" w:sz="4" w:space="0" w:color="auto"/>
            </w:tcBorders>
            <w:noWrap/>
            <w:vAlign w:val="center"/>
            <w:hideMark/>
          </w:tcPr>
          <w:p w14:paraId="7B358E37" w14:textId="77777777" w:rsidR="00FB745E" w:rsidRPr="00AC7AC2" w:rsidRDefault="00FB745E" w:rsidP="00D64261">
            <w:pPr>
              <w:spacing w:after="0" w:line="360" w:lineRule="auto"/>
              <w:jc w:val="center"/>
              <w:rPr>
                <w:rFonts w:ascii="Aptos Narrow" w:eastAsia="Times New Roman" w:hAnsi="Aptos Narrow"/>
                <w:b/>
                <w:bCs/>
                <w:spacing w:val="0"/>
                <w:sz w:val="16"/>
                <w:szCs w:val="16"/>
                <w:lang w:val="es-DO" w:eastAsia="es-DO"/>
              </w:rPr>
            </w:pPr>
            <w:r w:rsidRPr="00AC7AC2">
              <w:rPr>
                <w:rFonts w:ascii="Aptos Narrow" w:eastAsia="Times New Roman" w:hAnsi="Aptos Narrow"/>
                <w:b/>
                <w:bCs/>
                <w:spacing w:val="0"/>
                <w:sz w:val="16"/>
                <w:szCs w:val="16"/>
                <w:lang w:val="es-DO" w:eastAsia="es-DO"/>
              </w:rPr>
              <w:t>309</w:t>
            </w:r>
          </w:p>
        </w:tc>
      </w:tr>
      <w:tr w:rsidR="00FB745E" w:rsidRPr="009C4592" w14:paraId="1B00E72F" w14:textId="77777777" w:rsidTr="006F7E31">
        <w:trPr>
          <w:trHeight w:val="374"/>
        </w:trPr>
        <w:tc>
          <w:tcPr>
            <w:tcW w:w="1696" w:type="dxa"/>
            <w:tcBorders>
              <w:top w:val="nil"/>
              <w:left w:val="single" w:sz="4" w:space="0" w:color="auto"/>
              <w:bottom w:val="single" w:sz="4" w:space="0" w:color="auto"/>
              <w:right w:val="single" w:sz="4" w:space="0" w:color="auto"/>
            </w:tcBorders>
            <w:vAlign w:val="center"/>
            <w:hideMark/>
          </w:tcPr>
          <w:p w14:paraId="4F4F9E83" w14:textId="77777777" w:rsidR="00FB745E" w:rsidRPr="00AC7AC2" w:rsidRDefault="00FB745E" w:rsidP="00D64261">
            <w:pPr>
              <w:spacing w:after="0" w:line="360" w:lineRule="auto"/>
              <w:rPr>
                <w:rFonts w:eastAsia="Times New Roman"/>
                <w:b/>
                <w:bCs/>
                <w:spacing w:val="0"/>
                <w:sz w:val="16"/>
                <w:szCs w:val="16"/>
                <w:lang w:val="es-DO" w:eastAsia="es-DO"/>
              </w:rPr>
            </w:pPr>
            <w:r w:rsidRPr="00AC7AC2">
              <w:rPr>
                <w:rFonts w:eastAsia="Times New Roman"/>
                <w:b/>
                <w:bCs/>
                <w:spacing w:val="0"/>
                <w:sz w:val="16"/>
                <w:szCs w:val="16"/>
                <w:lang w:val="es-DO" w:eastAsia="es-DO"/>
              </w:rPr>
              <w:t>Fianzas Aduanales recibidas y custodiadas</w:t>
            </w:r>
          </w:p>
        </w:tc>
        <w:tc>
          <w:tcPr>
            <w:tcW w:w="1134" w:type="dxa"/>
            <w:tcBorders>
              <w:top w:val="nil"/>
              <w:left w:val="nil"/>
              <w:bottom w:val="single" w:sz="4" w:space="0" w:color="auto"/>
              <w:right w:val="single" w:sz="4" w:space="0" w:color="auto"/>
            </w:tcBorders>
            <w:noWrap/>
            <w:vAlign w:val="center"/>
          </w:tcPr>
          <w:p w14:paraId="3C80DF8E" w14:textId="77777777" w:rsidR="00FB745E" w:rsidRPr="00AC7AC2" w:rsidRDefault="00FB745E" w:rsidP="00D64261">
            <w:pPr>
              <w:spacing w:after="0" w:line="360" w:lineRule="auto"/>
              <w:jc w:val="center"/>
              <w:rPr>
                <w:rFonts w:ascii="Calibri" w:eastAsia="Times New Roman" w:hAnsi="Calibri" w:cs="Calibri"/>
                <w:spacing w:val="0"/>
                <w:sz w:val="16"/>
                <w:szCs w:val="16"/>
                <w:lang w:val="es-DO" w:eastAsia="es-DO"/>
              </w:rPr>
            </w:pPr>
            <w:r w:rsidRPr="00AC7AC2">
              <w:rPr>
                <w:rFonts w:ascii="Calibri" w:eastAsia="Times New Roman" w:hAnsi="Calibri" w:cs="Calibri"/>
                <w:spacing w:val="0"/>
                <w:sz w:val="16"/>
                <w:szCs w:val="16"/>
                <w:lang w:val="es-DO" w:eastAsia="es-DO"/>
              </w:rPr>
              <w:t>13</w:t>
            </w:r>
          </w:p>
        </w:tc>
        <w:tc>
          <w:tcPr>
            <w:tcW w:w="1418" w:type="dxa"/>
            <w:tcBorders>
              <w:top w:val="nil"/>
              <w:left w:val="nil"/>
              <w:bottom w:val="single" w:sz="4" w:space="0" w:color="auto"/>
              <w:right w:val="single" w:sz="4" w:space="0" w:color="auto"/>
            </w:tcBorders>
            <w:noWrap/>
            <w:vAlign w:val="center"/>
          </w:tcPr>
          <w:p w14:paraId="370D2DDE" w14:textId="77777777" w:rsidR="00FB745E" w:rsidRPr="00AC7AC2" w:rsidRDefault="00FB745E" w:rsidP="00D64261">
            <w:pPr>
              <w:spacing w:after="0" w:line="360" w:lineRule="auto"/>
              <w:jc w:val="center"/>
              <w:rPr>
                <w:rFonts w:ascii="Calibri" w:eastAsia="Times New Roman" w:hAnsi="Calibri" w:cs="Calibri"/>
                <w:b/>
                <w:bCs/>
                <w:spacing w:val="0"/>
                <w:sz w:val="16"/>
                <w:szCs w:val="16"/>
                <w:lang w:val="es-DO" w:eastAsia="es-DO"/>
              </w:rPr>
            </w:pPr>
            <w:r w:rsidRPr="00AC7AC2">
              <w:rPr>
                <w:rFonts w:ascii="Calibri" w:eastAsia="Times New Roman" w:hAnsi="Calibri" w:cs="Calibri"/>
                <w:b/>
                <w:bCs/>
                <w:spacing w:val="0"/>
                <w:sz w:val="16"/>
                <w:szCs w:val="16"/>
                <w:lang w:val="es-DO" w:eastAsia="es-DO"/>
              </w:rPr>
              <w:t>2</w:t>
            </w:r>
          </w:p>
        </w:tc>
        <w:tc>
          <w:tcPr>
            <w:tcW w:w="1276" w:type="dxa"/>
            <w:tcBorders>
              <w:top w:val="nil"/>
              <w:left w:val="nil"/>
              <w:bottom w:val="single" w:sz="4" w:space="0" w:color="auto"/>
              <w:right w:val="single" w:sz="4" w:space="0" w:color="auto"/>
            </w:tcBorders>
            <w:noWrap/>
            <w:vAlign w:val="center"/>
          </w:tcPr>
          <w:p w14:paraId="0FA56AFA"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3</w:t>
            </w:r>
          </w:p>
        </w:tc>
        <w:tc>
          <w:tcPr>
            <w:tcW w:w="1134" w:type="dxa"/>
            <w:tcBorders>
              <w:top w:val="nil"/>
              <w:left w:val="nil"/>
              <w:bottom w:val="single" w:sz="4" w:space="0" w:color="auto"/>
              <w:right w:val="single" w:sz="4" w:space="0" w:color="auto"/>
            </w:tcBorders>
            <w:noWrap/>
            <w:vAlign w:val="center"/>
          </w:tcPr>
          <w:p w14:paraId="5805BDAE"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8</w:t>
            </w:r>
          </w:p>
        </w:tc>
        <w:tc>
          <w:tcPr>
            <w:tcW w:w="850" w:type="dxa"/>
            <w:tcBorders>
              <w:top w:val="nil"/>
              <w:left w:val="nil"/>
              <w:bottom w:val="single" w:sz="4" w:space="0" w:color="auto"/>
              <w:right w:val="single" w:sz="4" w:space="0" w:color="auto"/>
            </w:tcBorders>
            <w:noWrap/>
            <w:vAlign w:val="center"/>
            <w:hideMark/>
          </w:tcPr>
          <w:p w14:paraId="6F4A9346" w14:textId="77777777" w:rsidR="00FB745E" w:rsidRPr="00AC7AC2" w:rsidRDefault="00FB745E" w:rsidP="00D64261">
            <w:pPr>
              <w:spacing w:after="0" w:line="360" w:lineRule="auto"/>
              <w:jc w:val="center"/>
              <w:rPr>
                <w:rFonts w:ascii="Aptos Narrow" w:eastAsia="Times New Roman" w:hAnsi="Aptos Narrow"/>
                <w:b/>
                <w:bCs/>
                <w:spacing w:val="0"/>
                <w:sz w:val="16"/>
                <w:szCs w:val="16"/>
                <w:lang w:val="es-DO" w:eastAsia="es-DO"/>
              </w:rPr>
            </w:pPr>
            <w:r w:rsidRPr="00AC7AC2">
              <w:rPr>
                <w:rFonts w:ascii="Aptos Narrow" w:eastAsia="Times New Roman" w:hAnsi="Aptos Narrow"/>
                <w:b/>
                <w:bCs/>
                <w:spacing w:val="0"/>
                <w:sz w:val="16"/>
                <w:szCs w:val="16"/>
                <w:lang w:val="es-DO" w:eastAsia="es-DO"/>
              </w:rPr>
              <w:t>26</w:t>
            </w:r>
          </w:p>
        </w:tc>
      </w:tr>
      <w:tr w:rsidR="00FB745E" w:rsidRPr="009C4592" w14:paraId="6A478F04" w14:textId="77777777" w:rsidTr="006F7E31">
        <w:trPr>
          <w:trHeight w:val="623"/>
        </w:trPr>
        <w:tc>
          <w:tcPr>
            <w:tcW w:w="1696" w:type="dxa"/>
            <w:tcBorders>
              <w:top w:val="nil"/>
              <w:left w:val="single" w:sz="4" w:space="0" w:color="auto"/>
              <w:bottom w:val="single" w:sz="4" w:space="0" w:color="auto"/>
              <w:right w:val="single" w:sz="4" w:space="0" w:color="auto"/>
            </w:tcBorders>
            <w:vAlign w:val="center"/>
            <w:hideMark/>
          </w:tcPr>
          <w:p w14:paraId="0CB1A834" w14:textId="77777777" w:rsidR="00FB745E" w:rsidRPr="00AC7AC2" w:rsidRDefault="00FB745E" w:rsidP="00D64261">
            <w:pPr>
              <w:spacing w:after="0" w:line="360" w:lineRule="auto"/>
              <w:rPr>
                <w:rFonts w:eastAsia="Times New Roman"/>
                <w:b/>
                <w:bCs/>
                <w:spacing w:val="0"/>
                <w:sz w:val="16"/>
                <w:szCs w:val="16"/>
                <w:lang w:val="es-DO" w:eastAsia="es-DO"/>
              </w:rPr>
            </w:pPr>
            <w:r w:rsidRPr="00AC7AC2">
              <w:rPr>
                <w:rFonts w:eastAsia="Times New Roman"/>
                <w:b/>
                <w:bCs/>
                <w:spacing w:val="0"/>
                <w:sz w:val="16"/>
                <w:szCs w:val="16"/>
                <w:lang w:val="es-DO" w:eastAsia="es-DO"/>
              </w:rPr>
              <w:t>Solicitud de certificación de Fianza Aduanales recibida y entregada</w:t>
            </w:r>
          </w:p>
        </w:tc>
        <w:tc>
          <w:tcPr>
            <w:tcW w:w="1134" w:type="dxa"/>
            <w:tcBorders>
              <w:top w:val="nil"/>
              <w:left w:val="nil"/>
              <w:bottom w:val="single" w:sz="4" w:space="0" w:color="auto"/>
              <w:right w:val="single" w:sz="4" w:space="0" w:color="auto"/>
            </w:tcBorders>
            <w:noWrap/>
            <w:vAlign w:val="center"/>
          </w:tcPr>
          <w:p w14:paraId="168E9A3A" w14:textId="77777777" w:rsidR="00FB745E" w:rsidRPr="00AC7AC2" w:rsidRDefault="00FB745E" w:rsidP="00D64261">
            <w:pPr>
              <w:spacing w:after="0" w:line="360" w:lineRule="auto"/>
              <w:jc w:val="center"/>
              <w:rPr>
                <w:rFonts w:ascii="Calibri" w:eastAsia="Times New Roman" w:hAnsi="Calibri" w:cs="Calibri"/>
                <w:spacing w:val="0"/>
                <w:sz w:val="16"/>
                <w:szCs w:val="16"/>
                <w:lang w:val="es-DO" w:eastAsia="es-DO"/>
              </w:rPr>
            </w:pPr>
            <w:r w:rsidRPr="00AC7AC2">
              <w:rPr>
                <w:rFonts w:ascii="Calibri" w:eastAsia="Times New Roman" w:hAnsi="Calibri" w:cs="Calibri"/>
                <w:spacing w:val="0"/>
                <w:sz w:val="16"/>
                <w:szCs w:val="16"/>
                <w:lang w:val="es-DO" w:eastAsia="es-DO"/>
              </w:rPr>
              <w:t>4</w:t>
            </w:r>
          </w:p>
        </w:tc>
        <w:tc>
          <w:tcPr>
            <w:tcW w:w="1418" w:type="dxa"/>
            <w:tcBorders>
              <w:top w:val="nil"/>
              <w:left w:val="nil"/>
              <w:bottom w:val="single" w:sz="4" w:space="0" w:color="auto"/>
              <w:right w:val="single" w:sz="4" w:space="0" w:color="auto"/>
            </w:tcBorders>
            <w:noWrap/>
            <w:vAlign w:val="center"/>
          </w:tcPr>
          <w:p w14:paraId="77BF538C" w14:textId="77777777" w:rsidR="00FB745E" w:rsidRPr="00AC7AC2" w:rsidRDefault="00FB745E" w:rsidP="00D64261">
            <w:pPr>
              <w:spacing w:after="0" w:line="360" w:lineRule="auto"/>
              <w:jc w:val="center"/>
              <w:rPr>
                <w:rFonts w:ascii="Calibri" w:eastAsia="Times New Roman" w:hAnsi="Calibri" w:cs="Calibri"/>
                <w:b/>
                <w:bCs/>
                <w:spacing w:val="0"/>
                <w:sz w:val="16"/>
                <w:szCs w:val="16"/>
                <w:lang w:val="es-DO" w:eastAsia="es-DO"/>
              </w:rPr>
            </w:pPr>
            <w:r w:rsidRPr="00AC7AC2">
              <w:rPr>
                <w:rFonts w:ascii="Calibri" w:eastAsia="Times New Roman" w:hAnsi="Calibri" w:cs="Calibri"/>
                <w:b/>
                <w:bCs/>
                <w:spacing w:val="0"/>
                <w:sz w:val="16"/>
                <w:szCs w:val="16"/>
                <w:lang w:val="es-DO" w:eastAsia="es-DO"/>
              </w:rPr>
              <w:t>2</w:t>
            </w:r>
          </w:p>
        </w:tc>
        <w:tc>
          <w:tcPr>
            <w:tcW w:w="1276" w:type="dxa"/>
            <w:tcBorders>
              <w:top w:val="nil"/>
              <w:left w:val="nil"/>
              <w:bottom w:val="single" w:sz="4" w:space="0" w:color="auto"/>
              <w:right w:val="single" w:sz="4" w:space="0" w:color="auto"/>
            </w:tcBorders>
            <w:noWrap/>
            <w:vAlign w:val="center"/>
          </w:tcPr>
          <w:p w14:paraId="01F50FB5"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4</w:t>
            </w:r>
          </w:p>
        </w:tc>
        <w:tc>
          <w:tcPr>
            <w:tcW w:w="1134" w:type="dxa"/>
            <w:tcBorders>
              <w:top w:val="nil"/>
              <w:left w:val="nil"/>
              <w:bottom w:val="single" w:sz="4" w:space="0" w:color="auto"/>
              <w:right w:val="single" w:sz="4" w:space="0" w:color="auto"/>
            </w:tcBorders>
            <w:noWrap/>
            <w:vAlign w:val="center"/>
          </w:tcPr>
          <w:p w14:paraId="31685152"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10</w:t>
            </w:r>
          </w:p>
        </w:tc>
        <w:tc>
          <w:tcPr>
            <w:tcW w:w="850" w:type="dxa"/>
            <w:tcBorders>
              <w:top w:val="nil"/>
              <w:left w:val="nil"/>
              <w:bottom w:val="single" w:sz="4" w:space="0" w:color="auto"/>
              <w:right w:val="single" w:sz="4" w:space="0" w:color="auto"/>
            </w:tcBorders>
            <w:noWrap/>
            <w:vAlign w:val="center"/>
            <w:hideMark/>
          </w:tcPr>
          <w:p w14:paraId="0A0483F9" w14:textId="77777777" w:rsidR="00FB745E" w:rsidRPr="00AC7AC2" w:rsidRDefault="00FB745E" w:rsidP="00D64261">
            <w:pPr>
              <w:spacing w:after="0" w:line="360" w:lineRule="auto"/>
              <w:jc w:val="center"/>
              <w:rPr>
                <w:rFonts w:ascii="Aptos Narrow" w:eastAsia="Times New Roman" w:hAnsi="Aptos Narrow"/>
                <w:b/>
                <w:bCs/>
                <w:spacing w:val="0"/>
                <w:sz w:val="16"/>
                <w:szCs w:val="16"/>
                <w:lang w:val="es-DO" w:eastAsia="es-DO"/>
              </w:rPr>
            </w:pPr>
            <w:r w:rsidRPr="00AC7AC2">
              <w:rPr>
                <w:rFonts w:ascii="Aptos Narrow" w:eastAsia="Times New Roman" w:hAnsi="Aptos Narrow"/>
                <w:b/>
                <w:bCs/>
                <w:spacing w:val="0"/>
                <w:sz w:val="16"/>
                <w:szCs w:val="16"/>
                <w:lang w:val="es-DO" w:eastAsia="es-DO"/>
              </w:rPr>
              <w:t>20</w:t>
            </w:r>
          </w:p>
        </w:tc>
      </w:tr>
      <w:tr w:rsidR="00FB745E" w:rsidRPr="009C4592" w14:paraId="4DAF8D71" w14:textId="77777777" w:rsidTr="006F7E31">
        <w:trPr>
          <w:trHeight w:val="429"/>
        </w:trPr>
        <w:tc>
          <w:tcPr>
            <w:tcW w:w="1696" w:type="dxa"/>
            <w:tcBorders>
              <w:top w:val="nil"/>
              <w:left w:val="single" w:sz="4" w:space="0" w:color="auto"/>
              <w:bottom w:val="single" w:sz="4" w:space="0" w:color="auto"/>
              <w:right w:val="single" w:sz="4" w:space="0" w:color="auto"/>
            </w:tcBorders>
            <w:vAlign w:val="center"/>
            <w:hideMark/>
          </w:tcPr>
          <w:p w14:paraId="5646890F" w14:textId="77777777" w:rsidR="00FB745E" w:rsidRPr="00AC7AC2" w:rsidRDefault="00FB745E" w:rsidP="00D64261">
            <w:pPr>
              <w:spacing w:after="0" w:line="360" w:lineRule="auto"/>
              <w:rPr>
                <w:rFonts w:eastAsia="Times New Roman"/>
                <w:b/>
                <w:bCs/>
                <w:spacing w:val="0"/>
                <w:sz w:val="16"/>
                <w:szCs w:val="16"/>
                <w:lang w:val="es-DO" w:eastAsia="es-DO"/>
              </w:rPr>
            </w:pPr>
            <w:r w:rsidRPr="00AC7AC2">
              <w:rPr>
                <w:rFonts w:eastAsia="Times New Roman"/>
                <w:b/>
                <w:bCs/>
                <w:spacing w:val="0"/>
                <w:sz w:val="16"/>
                <w:szCs w:val="16"/>
                <w:lang w:val="es-DO" w:eastAsia="es-DO"/>
              </w:rPr>
              <w:t>Solicitud de Reimpresión de Cheques</w:t>
            </w:r>
          </w:p>
        </w:tc>
        <w:tc>
          <w:tcPr>
            <w:tcW w:w="1134" w:type="dxa"/>
            <w:tcBorders>
              <w:top w:val="nil"/>
              <w:left w:val="nil"/>
              <w:bottom w:val="single" w:sz="4" w:space="0" w:color="auto"/>
              <w:right w:val="single" w:sz="4" w:space="0" w:color="auto"/>
            </w:tcBorders>
            <w:noWrap/>
            <w:vAlign w:val="center"/>
          </w:tcPr>
          <w:p w14:paraId="6B04E0E9" w14:textId="77777777" w:rsidR="00FB745E" w:rsidRPr="00AC7AC2" w:rsidRDefault="00FB745E" w:rsidP="00D64261">
            <w:pPr>
              <w:spacing w:after="0" w:line="360" w:lineRule="auto"/>
              <w:jc w:val="center"/>
              <w:rPr>
                <w:rFonts w:ascii="Calibri" w:eastAsia="Times New Roman" w:hAnsi="Calibri" w:cs="Calibri"/>
                <w:spacing w:val="0"/>
                <w:sz w:val="16"/>
                <w:szCs w:val="16"/>
                <w:lang w:val="es-DO" w:eastAsia="es-DO"/>
              </w:rPr>
            </w:pPr>
            <w:r w:rsidRPr="00AC7AC2">
              <w:rPr>
                <w:rFonts w:ascii="Calibri" w:eastAsia="Times New Roman" w:hAnsi="Calibri" w:cs="Calibri"/>
                <w:spacing w:val="0"/>
                <w:sz w:val="16"/>
                <w:szCs w:val="16"/>
                <w:lang w:val="es-DO" w:eastAsia="es-DO"/>
              </w:rPr>
              <w:t>187</w:t>
            </w:r>
          </w:p>
        </w:tc>
        <w:tc>
          <w:tcPr>
            <w:tcW w:w="1418" w:type="dxa"/>
            <w:tcBorders>
              <w:top w:val="nil"/>
              <w:left w:val="nil"/>
              <w:bottom w:val="single" w:sz="4" w:space="0" w:color="auto"/>
              <w:right w:val="single" w:sz="4" w:space="0" w:color="auto"/>
            </w:tcBorders>
            <w:noWrap/>
            <w:vAlign w:val="center"/>
          </w:tcPr>
          <w:p w14:paraId="35352A07" w14:textId="77777777" w:rsidR="00FB745E" w:rsidRPr="00AC7AC2" w:rsidRDefault="00FB745E" w:rsidP="00D64261">
            <w:pPr>
              <w:spacing w:after="0" w:line="360" w:lineRule="auto"/>
              <w:jc w:val="center"/>
              <w:rPr>
                <w:rFonts w:ascii="Calibri" w:eastAsia="Times New Roman" w:hAnsi="Calibri" w:cs="Calibri"/>
                <w:b/>
                <w:bCs/>
                <w:spacing w:val="0"/>
                <w:sz w:val="16"/>
                <w:szCs w:val="16"/>
                <w:lang w:val="es-DO" w:eastAsia="es-DO"/>
              </w:rPr>
            </w:pPr>
            <w:r w:rsidRPr="00AC7AC2">
              <w:rPr>
                <w:rFonts w:ascii="Calibri" w:eastAsia="Times New Roman" w:hAnsi="Calibri" w:cs="Calibri"/>
                <w:b/>
                <w:bCs/>
                <w:spacing w:val="0"/>
                <w:sz w:val="16"/>
                <w:szCs w:val="16"/>
                <w:lang w:val="es-DO" w:eastAsia="es-DO"/>
              </w:rPr>
              <w:t>367</w:t>
            </w:r>
          </w:p>
        </w:tc>
        <w:tc>
          <w:tcPr>
            <w:tcW w:w="1276" w:type="dxa"/>
            <w:tcBorders>
              <w:top w:val="nil"/>
              <w:left w:val="nil"/>
              <w:bottom w:val="single" w:sz="4" w:space="0" w:color="auto"/>
              <w:right w:val="single" w:sz="4" w:space="0" w:color="auto"/>
            </w:tcBorders>
            <w:noWrap/>
            <w:vAlign w:val="center"/>
          </w:tcPr>
          <w:p w14:paraId="539A3139"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177</w:t>
            </w:r>
          </w:p>
        </w:tc>
        <w:tc>
          <w:tcPr>
            <w:tcW w:w="1134" w:type="dxa"/>
            <w:tcBorders>
              <w:top w:val="nil"/>
              <w:left w:val="nil"/>
              <w:bottom w:val="single" w:sz="4" w:space="0" w:color="auto"/>
              <w:right w:val="single" w:sz="4" w:space="0" w:color="auto"/>
            </w:tcBorders>
            <w:noWrap/>
            <w:vAlign w:val="center"/>
          </w:tcPr>
          <w:p w14:paraId="5D5F3A03"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272</w:t>
            </w:r>
          </w:p>
        </w:tc>
        <w:tc>
          <w:tcPr>
            <w:tcW w:w="850" w:type="dxa"/>
            <w:tcBorders>
              <w:top w:val="nil"/>
              <w:left w:val="nil"/>
              <w:bottom w:val="single" w:sz="4" w:space="0" w:color="auto"/>
              <w:right w:val="single" w:sz="4" w:space="0" w:color="auto"/>
            </w:tcBorders>
            <w:noWrap/>
            <w:vAlign w:val="center"/>
            <w:hideMark/>
          </w:tcPr>
          <w:p w14:paraId="29416AEB" w14:textId="77777777" w:rsidR="00FB745E" w:rsidRPr="00AC7AC2" w:rsidRDefault="00FB745E" w:rsidP="00D64261">
            <w:pPr>
              <w:spacing w:after="0" w:line="360" w:lineRule="auto"/>
              <w:jc w:val="center"/>
              <w:rPr>
                <w:rFonts w:ascii="Aptos Narrow" w:eastAsia="Times New Roman" w:hAnsi="Aptos Narrow"/>
                <w:b/>
                <w:bCs/>
                <w:spacing w:val="0"/>
                <w:sz w:val="16"/>
                <w:szCs w:val="16"/>
                <w:lang w:val="es-DO" w:eastAsia="es-DO"/>
              </w:rPr>
            </w:pPr>
            <w:r w:rsidRPr="00AC7AC2">
              <w:rPr>
                <w:rFonts w:ascii="Aptos Narrow" w:eastAsia="Times New Roman" w:hAnsi="Aptos Narrow"/>
                <w:b/>
                <w:bCs/>
                <w:spacing w:val="0"/>
                <w:sz w:val="16"/>
                <w:szCs w:val="16"/>
                <w:lang w:val="es-DO" w:eastAsia="es-DO"/>
              </w:rPr>
              <w:t>1003</w:t>
            </w:r>
          </w:p>
        </w:tc>
      </w:tr>
      <w:tr w:rsidR="00FB745E" w:rsidRPr="009C4592" w14:paraId="150DE7C2" w14:textId="77777777" w:rsidTr="006F7E31">
        <w:trPr>
          <w:trHeight w:val="402"/>
        </w:trPr>
        <w:tc>
          <w:tcPr>
            <w:tcW w:w="1696" w:type="dxa"/>
            <w:tcBorders>
              <w:top w:val="nil"/>
              <w:left w:val="single" w:sz="4" w:space="0" w:color="auto"/>
              <w:bottom w:val="single" w:sz="4" w:space="0" w:color="auto"/>
              <w:right w:val="single" w:sz="4" w:space="0" w:color="auto"/>
            </w:tcBorders>
            <w:vAlign w:val="center"/>
            <w:hideMark/>
          </w:tcPr>
          <w:p w14:paraId="62D1FA3F" w14:textId="77777777" w:rsidR="00FB745E" w:rsidRPr="00AC7AC2" w:rsidRDefault="00FB745E" w:rsidP="00D64261">
            <w:pPr>
              <w:spacing w:after="0" w:line="360" w:lineRule="auto"/>
              <w:rPr>
                <w:rFonts w:eastAsia="Times New Roman"/>
                <w:b/>
                <w:bCs/>
                <w:spacing w:val="0"/>
                <w:sz w:val="16"/>
                <w:szCs w:val="16"/>
                <w:lang w:val="es-DO" w:eastAsia="es-DO"/>
              </w:rPr>
            </w:pPr>
            <w:r w:rsidRPr="00AC7AC2">
              <w:rPr>
                <w:rFonts w:eastAsia="Times New Roman"/>
                <w:b/>
                <w:bCs/>
                <w:spacing w:val="0"/>
                <w:sz w:val="16"/>
                <w:szCs w:val="16"/>
                <w:lang w:val="es-DO" w:eastAsia="es-DO"/>
              </w:rPr>
              <w:lastRenderedPageBreak/>
              <w:t xml:space="preserve">Carta Compromiso de Servicios Personales </w:t>
            </w:r>
          </w:p>
        </w:tc>
        <w:tc>
          <w:tcPr>
            <w:tcW w:w="1134" w:type="dxa"/>
            <w:tcBorders>
              <w:top w:val="nil"/>
              <w:left w:val="nil"/>
              <w:bottom w:val="single" w:sz="4" w:space="0" w:color="auto"/>
              <w:right w:val="single" w:sz="4" w:space="0" w:color="auto"/>
            </w:tcBorders>
            <w:noWrap/>
            <w:vAlign w:val="center"/>
          </w:tcPr>
          <w:p w14:paraId="2C7A26B1" w14:textId="77777777" w:rsidR="00FB745E" w:rsidRPr="00AC7AC2" w:rsidRDefault="00FB745E" w:rsidP="00D64261">
            <w:pPr>
              <w:spacing w:after="0" w:line="360" w:lineRule="auto"/>
              <w:jc w:val="center"/>
              <w:rPr>
                <w:rFonts w:ascii="Calibri" w:eastAsia="Times New Roman" w:hAnsi="Calibri" w:cs="Calibri"/>
                <w:spacing w:val="0"/>
                <w:sz w:val="16"/>
                <w:szCs w:val="16"/>
                <w:lang w:val="es-DO" w:eastAsia="es-DO"/>
              </w:rPr>
            </w:pPr>
            <w:r w:rsidRPr="00AC7AC2">
              <w:rPr>
                <w:rFonts w:ascii="Calibri" w:eastAsia="Times New Roman" w:hAnsi="Calibri" w:cs="Calibri"/>
                <w:spacing w:val="0"/>
                <w:sz w:val="16"/>
                <w:szCs w:val="16"/>
                <w:lang w:val="es-DO" w:eastAsia="es-DO"/>
              </w:rPr>
              <w:t>0</w:t>
            </w:r>
          </w:p>
        </w:tc>
        <w:tc>
          <w:tcPr>
            <w:tcW w:w="1418" w:type="dxa"/>
            <w:tcBorders>
              <w:top w:val="nil"/>
              <w:left w:val="nil"/>
              <w:bottom w:val="single" w:sz="4" w:space="0" w:color="auto"/>
              <w:right w:val="single" w:sz="4" w:space="0" w:color="auto"/>
            </w:tcBorders>
            <w:noWrap/>
            <w:vAlign w:val="center"/>
          </w:tcPr>
          <w:p w14:paraId="652B2C0A" w14:textId="77777777" w:rsidR="00FB745E" w:rsidRPr="00AC7AC2" w:rsidRDefault="00FB745E" w:rsidP="00D64261">
            <w:pPr>
              <w:spacing w:after="0" w:line="360" w:lineRule="auto"/>
              <w:jc w:val="center"/>
              <w:rPr>
                <w:rFonts w:ascii="Calibri" w:eastAsia="Times New Roman" w:hAnsi="Calibri" w:cs="Calibri"/>
                <w:b/>
                <w:bCs/>
                <w:spacing w:val="0"/>
                <w:sz w:val="16"/>
                <w:szCs w:val="16"/>
                <w:lang w:val="es-DO" w:eastAsia="es-DO"/>
              </w:rPr>
            </w:pPr>
            <w:r w:rsidRPr="00AC7AC2">
              <w:rPr>
                <w:rFonts w:ascii="Calibri" w:eastAsia="Times New Roman" w:hAnsi="Calibri" w:cs="Calibri"/>
                <w:b/>
                <w:bCs/>
                <w:spacing w:val="0"/>
                <w:sz w:val="16"/>
                <w:szCs w:val="16"/>
                <w:lang w:val="es-DO" w:eastAsia="es-DO"/>
              </w:rPr>
              <w:t>0</w:t>
            </w:r>
          </w:p>
        </w:tc>
        <w:tc>
          <w:tcPr>
            <w:tcW w:w="1276" w:type="dxa"/>
            <w:tcBorders>
              <w:top w:val="nil"/>
              <w:left w:val="nil"/>
              <w:bottom w:val="single" w:sz="4" w:space="0" w:color="auto"/>
              <w:right w:val="single" w:sz="4" w:space="0" w:color="auto"/>
            </w:tcBorders>
            <w:noWrap/>
            <w:vAlign w:val="center"/>
          </w:tcPr>
          <w:p w14:paraId="4445705F"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0</w:t>
            </w:r>
          </w:p>
        </w:tc>
        <w:tc>
          <w:tcPr>
            <w:tcW w:w="1134" w:type="dxa"/>
            <w:tcBorders>
              <w:top w:val="nil"/>
              <w:left w:val="nil"/>
              <w:bottom w:val="single" w:sz="4" w:space="0" w:color="auto"/>
              <w:right w:val="single" w:sz="4" w:space="0" w:color="auto"/>
            </w:tcBorders>
            <w:noWrap/>
            <w:vAlign w:val="center"/>
          </w:tcPr>
          <w:p w14:paraId="36F4C634"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3</w:t>
            </w:r>
          </w:p>
        </w:tc>
        <w:tc>
          <w:tcPr>
            <w:tcW w:w="850" w:type="dxa"/>
            <w:tcBorders>
              <w:top w:val="nil"/>
              <w:left w:val="nil"/>
              <w:bottom w:val="single" w:sz="4" w:space="0" w:color="auto"/>
              <w:right w:val="single" w:sz="4" w:space="0" w:color="auto"/>
            </w:tcBorders>
            <w:noWrap/>
            <w:vAlign w:val="center"/>
            <w:hideMark/>
          </w:tcPr>
          <w:p w14:paraId="67647CA0" w14:textId="77777777" w:rsidR="00FB745E" w:rsidRPr="00AC7AC2" w:rsidRDefault="00FB745E" w:rsidP="00D64261">
            <w:pPr>
              <w:spacing w:after="0" w:line="360" w:lineRule="auto"/>
              <w:jc w:val="center"/>
              <w:rPr>
                <w:rFonts w:ascii="Aptos Narrow" w:eastAsia="Times New Roman" w:hAnsi="Aptos Narrow"/>
                <w:b/>
                <w:bCs/>
                <w:spacing w:val="0"/>
                <w:sz w:val="16"/>
                <w:szCs w:val="16"/>
                <w:lang w:val="es-DO" w:eastAsia="es-DO"/>
              </w:rPr>
            </w:pPr>
            <w:r w:rsidRPr="00AC7AC2">
              <w:rPr>
                <w:rFonts w:ascii="Aptos Narrow" w:eastAsia="Times New Roman" w:hAnsi="Aptos Narrow"/>
                <w:b/>
                <w:bCs/>
                <w:spacing w:val="0"/>
                <w:sz w:val="16"/>
                <w:szCs w:val="16"/>
                <w:lang w:val="es-DO" w:eastAsia="es-DO"/>
              </w:rPr>
              <w:t>3</w:t>
            </w:r>
          </w:p>
        </w:tc>
      </w:tr>
      <w:tr w:rsidR="00FB745E" w:rsidRPr="009C4592" w14:paraId="650F05AB" w14:textId="77777777" w:rsidTr="006F7E31">
        <w:trPr>
          <w:trHeight w:val="290"/>
        </w:trPr>
        <w:tc>
          <w:tcPr>
            <w:tcW w:w="1696" w:type="dxa"/>
            <w:tcBorders>
              <w:top w:val="nil"/>
              <w:left w:val="single" w:sz="4" w:space="0" w:color="auto"/>
              <w:bottom w:val="single" w:sz="4" w:space="0" w:color="auto"/>
              <w:right w:val="single" w:sz="4" w:space="0" w:color="auto"/>
            </w:tcBorders>
            <w:vAlign w:val="center"/>
            <w:hideMark/>
          </w:tcPr>
          <w:p w14:paraId="5180CAF4" w14:textId="77777777" w:rsidR="00FB745E" w:rsidRPr="00AC7AC2" w:rsidRDefault="00FB745E" w:rsidP="00D64261">
            <w:pPr>
              <w:spacing w:after="0" w:line="360" w:lineRule="auto"/>
              <w:rPr>
                <w:rFonts w:eastAsia="Times New Roman"/>
                <w:b/>
                <w:bCs/>
                <w:spacing w:val="0"/>
                <w:sz w:val="16"/>
                <w:szCs w:val="16"/>
                <w:lang w:val="es-DO" w:eastAsia="es-DO"/>
              </w:rPr>
            </w:pPr>
            <w:r w:rsidRPr="00AC7AC2">
              <w:rPr>
                <w:rFonts w:eastAsia="Times New Roman"/>
                <w:b/>
                <w:bCs/>
                <w:spacing w:val="0"/>
                <w:sz w:val="16"/>
                <w:szCs w:val="16"/>
                <w:lang w:val="es-DO" w:eastAsia="es-DO"/>
              </w:rPr>
              <w:t>Contratos de Bienes y Servicios</w:t>
            </w:r>
          </w:p>
        </w:tc>
        <w:tc>
          <w:tcPr>
            <w:tcW w:w="1134" w:type="dxa"/>
            <w:tcBorders>
              <w:top w:val="nil"/>
              <w:left w:val="nil"/>
              <w:bottom w:val="single" w:sz="4" w:space="0" w:color="auto"/>
              <w:right w:val="single" w:sz="4" w:space="0" w:color="auto"/>
            </w:tcBorders>
            <w:noWrap/>
            <w:vAlign w:val="center"/>
          </w:tcPr>
          <w:p w14:paraId="54F6C56F" w14:textId="77777777" w:rsidR="00FB745E" w:rsidRPr="00AC7AC2" w:rsidRDefault="00FB745E" w:rsidP="00D64261">
            <w:pPr>
              <w:spacing w:after="0" w:line="360" w:lineRule="auto"/>
              <w:jc w:val="center"/>
              <w:rPr>
                <w:rFonts w:ascii="Calibri" w:eastAsia="Times New Roman" w:hAnsi="Calibri" w:cs="Calibri"/>
                <w:spacing w:val="0"/>
                <w:sz w:val="16"/>
                <w:szCs w:val="16"/>
                <w:lang w:val="es-DO" w:eastAsia="es-DO"/>
              </w:rPr>
            </w:pPr>
            <w:r w:rsidRPr="00AC7AC2">
              <w:rPr>
                <w:rFonts w:ascii="Calibri" w:eastAsia="Times New Roman" w:hAnsi="Calibri" w:cs="Calibri"/>
                <w:spacing w:val="0"/>
                <w:sz w:val="16"/>
                <w:szCs w:val="16"/>
                <w:lang w:val="es-DO" w:eastAsia="es-DO"/>
              </w:rPr>
              <w:t>8</w:t>
            </w:r>
          </w:p>
        </w:tc>
        <w:tc>
          <w:tcPr>
            <w:tcW w:w="1418" w:type="dxa"/>
            <w:tcBorders>
              <w:top w:val="nil"/>
              <w:left w:val="nil"/>
              <w:bottom w:val="single" w:sz="4" w:space="0" w:color="auto"/>
              <w:right w:val="single" w:sz="4" w:space="0" w:color="auto"/>
            </w:tcBorders>
            <w:noWrap/>
            <w:vAlign w:val="center"/>
          </w:tcPr>
          <w:p w14:paraId="1A012884" w14:textId="77777777" w:rsidR="00FB745E" w:rsidRPr="00AC7AC2" w:rsidRDefault="00FB745E" w:rsidP="00D64261">
            <w:pPr>
              <w:spacing w:after="0" w:line="360" w:lineRule="auto"/>
              <w:jc w:val="center"/>
              <w:rPr>
                <w:rFonts w:ascii="Calibri" w:eastAsia="Times New Roman" w:hAnsi="Calibri" w:cs="Calibri"/>
                <w:b/>
                <w:bCs/>
                <w:spacing w:val="0"/>
                <w:sz w:val="16"/>
                <w:szCs w:val="16"/>
                <w:lang w:val="es-DO" w:eastAsia="es-DO"/>
              </w:rPr>
            </w:pPr>
            <w:r w:rsidRPr="00AC7AC2">
              <w:rPr>
                <w:rFonts w:ascii="Calibri" w:eastAsia="Times New Roman" w:hAnsi="Calibri" w:cs="Calibri"/>
                <w:b/>
                <w:bCs/>
                <w:spacing w:val="0"/>
                <w:sz w:val="16"/>
                <w:szCs w:val="16"/>
                <w:lang w:val="es-DO" w:eastAsia="es-DO"/>
              </w:rPr>
              <w:t>7</w:t>
            </w:r>
          </w:p>
        </w:tc>
        <w:tc>
          <w:tcPr>
            <w:tcW w:w="1276" w:type="dxa"/>
            <w:tcBorders>
              <w:top w:val="nil"/>
              <w:left w:val="nil"/>
              <w:bottom w:val="single" w:sz="4" w:space="0" w:color="auto"/>
              <w:right w:val="single" w:sz="4" w:space="0" w:color="auto"/>
            </w:tcBorders>
            <w:noWrap/>
            <w:vAlign w:val="center"/>
          </w:tcPr>
          <w:p w14:paraId="397C06BA"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6</w:t>
            </w:r>
          </w:p>
        </w:tc>
        <w:tc>
          <w:tcPr>
            <w:tcW w:w="1134" w:type="dxa"/>
            <w:tcBorders>
              <w:top w:val="nil"/>
              <w:left w:val="nil"/>
              <w:bottom w:val="single" w:sz="4" w:space="0" w:color="auto"/>
              <w:right w:val="single" w:sz="4" w:space="0" w:color="auto"/>
            </w:tcBorders>
            <w:noWrap/>
            <w:vAlign w:val="center"/>
          </w:tcPr>
          <w:p w14:paraId="661ADEF1"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5</w:t>
            </w:r>
          </w:p>
        </w:tc>
        <w:tc>
          <w:tcPr>
            <w:tcW w:w="850" w:type="dxa"/>
            <w:tcBorders>
              <w:top w:val="nil"/>
              <w:left w:val="nil"/>
              <w:bottom w:val="single" w:sz="4" w:space="0" w:color="auto"/>
              <w:right w:val="single" w:sz="4" w:space="0" w:color="auto"/>
            </w:tcBorders>
            <w:noWrap/>
            <w:vAlign w:val="center"/>
            <w:hideMark/>
          </w:tcPr>
          <w:p w14:paraId="2FE7A76E" w14:textId="77777777" w:rsidR="00FB745E" w:rsidRPr="00AC7AC2" w:rsidRDefault="00FB745E" w:rsidP="00D64261">
            <w:pPr>
              <w:spacing w:after="0" w:line="360" w:lineRule="auto"/>
              <w:jc w:val="center"/>
              <w:rPr>
                <w:rFonts w:ascii="Aptos Narrow" w:eastAsia="Times New Roman" w:hAnsi="Aptos Narrow"/>
                <w:b/>
                <w:bCs/>
                <w:spacing w:val="0"/>
                <w:sz w:val="16"/>
                <w:szCs w:val="16"/>
                <w:lang w:val="es-DO" w:eastAsia="es-DO"/>
              </w:rPr>
            </w:pPr>
            <w:r w:rsidRPr="00AC7AC2">
              <w:rPr>
                <w:rFonts w:ascii="Aptos Narrow" w:eastAsia="Times New Roman" w:hAnsi="Aptos Narrow"/>
                <w:b/>
                <w:bCs/>
                <w:spacing w:val="0"/>
                <w:sz w:val="16"/>
                <w:szCs w:val="16"/>
                <w:lang w:val="es-DO" w:eastAsia="es-DO"/>
              </w:rPr>
              <w:t>26</w:t>
            </w:r>
          </w:p>
        </w:tc>
      </w:tr>
      <w:tr w:rsidR="00FB745E" w:rsidRPr="009C4592" w14:paraId="0FE56961" w14:textId="77777777" w:rsidTr="006F7E31">
        <w:trPr>
          <w:trHeight w:val="290"/>
        </w:trPr>
        <w:tc>
          <w:tcPr>
            <w:tcW w:w="1696" w:type="dxa"/>
            <w:tcBorders>
              <w:top w:val="nil"/>
              <w:left w:val="single" w:sz="4" w:space="0" w:color="auto"/>
              <w:bottom w:val="single" w:sz="4" w:space="0" w:color="auto"/>
              <w:right w:val="single" w:sz="4" w:space="0" w:color="auto"/>
            </w:tcBorders>
            <w:vAlign w:val="center"/>
            <w:hideMark/>
          </w:tcPr>
          <w:p w14:paraId="0C5961BE" w14:textId="77777777" w:rsidR="00FB745E" w:rsidRPr="00AC7AC2" w:rsidRDefault="00FB745E" w:rsidP="00D64261">
            <w:pPr>
              <w:spacing w:after="0" w:line="360" w:lineRule="auto"/>
              <w:rPr>
                <w:rFonts w:eastAsia="Times New Roman"/>
                <w:b/>
                <w:bCs/>
                <w:spacing w:val="0"/>
                <w:sz w:val="16"/>
                <w:szCs w:val="16"/>
                <w:lang w:val="es-DO" w:eastAsia="es-DO"/>
              </w:rPr>
            </w:pPr>
            <w:r w:rsidRPr="00AC7AC2">
              <w:rPr>
                <w:rFonts w:eastAsia="Times New Roman"/>
                <w:b/>
                <w:bCs/>
                <w:spacing w:val="0"/>
                <w:sz w:val="16"/>
                <w:szCs w:val="16"/>
                <w:lang w:val="es-DO" w:eastAsia="es-DO"/>
              </w:rPr>
              <w:t>Acuerdo De Confidencialidad</w:t>
            </w:r>
          </w:p>
        </w:tc>
        <w:tc>
          <w:tcPr>
            <w:tcW w:w="1134" w:type="dxa"/>
            <w:tcBorders>
              <w:top w:val="nil"/>
              <w:left w:val="nil"/>
              <w:bottom w:val="single" w:sz="4" w:space="0" w:color="auto"/>
              <w:right w:val="single" w:sz="4" w:space="0" w:color="auto"/>
            </w:tcBorders>
            <w:noWrap/>
            <w:vAlign w:val="center"/>
          </w:tcPr>
          <w:p w14:paraId="5C0769B9" w14:textId="77777777" w:rsidR="00FB745E" w:rsidRPr="00AC7AC2" w:rsidRDefault="00FB745E" w:rsidP="00D64261">
            <w:pPr>
              <w:spacing w:after="0" w:line="360" w:lineRule="auto"/>
              <w:jc w:val="center"/>
              <w:rPr>
                <w:rFonts w:ascii="Calibri" w:eastAsia="Times New Roman" w:hAnsi="Calibri" w:cs="Calibri"/>
                <w:spacing w:val="0"/>
                <w:sz w:val="16"/>
                <w:szCs w:val="16"/>
                <w:lang w:val="es-DO" w:eastAsia="es-DO"/>
              </w:rPr>
            </w:pPr>
            <w:r w:rsidRPr="00AC7AC2">
              <w:rPr>
                <w:rFonts w:ascii="Calibri" w:eastAsia="Times New Roman" w:hAnsi="Calibri" w:cs="Calibri"/>
                <w:spacing w:val="0"/>
                <w:sz w:val="16"/>
                <w:szCs w:val="16"/>
                <w:lang w:val="es-DO" w:eastAsia="es-DO"/>
              </w:rPr>
              <w:t>0</w:t>
            </w:r>
          </w:p>
        </w:tc>
        <w:tc>
          <w:tcPr>
            <w:tcW w:w="1418" w:type="dxa"/>
            <w:tcBorders>
              <w:top w:val="nil"/>
              <w:left w:val="nil"/>
              <w:bottom w:val="single" w:sz="4" w:space="0" w:color="auto"/>
              <w:right w:val="single" w:sz="4" w:space="0" w:color="auto"/>
            </w:tcBorders>
            <w:noWrap/>
            <w:vAlign w:val="center"/>
          </w:tcPr>
          <w:p w14:paraId="236FC4C9" w14:textId="77777777" w:rsidR="00FB745E" w:rsidRPr="00AC7AC2" w:rsidRDefault="00FB745E" w:rsidP="00D64261">
            <w:pPr>
              <w:spacing w:after="0" w:line="360" w:lineRule="auto"/>
              <w:jc w:val="center"/>
              <w:rPr>
                <w:rFonts w:ascii="Calibri" w:eastAsia="Times New Roman" w:hAnsi="Calibri" w:cs="Calibri"/>
                <w:b/>
                <w:bCs/>
                <w:spacing w:val="0"/>
                <w:sz w:val="16"/>
                <w:szCs w:val="16"/>
                <w:lang w:val="es-DO" w:eastAsia="es-DO"/>
              </w:rPr>
            </w:pPr>
            <w:r w:rsidRPr="00AC7AC2">
              <w:rPr>
                <w:rFonts w:ascii="Calibri" w:eastAsia="Times New Roman" w:hAnsi="Calibri" w:cs="Calibri"/>
                <w:b/>
                <w:bCs/>
                <w:spacing w:val="0"/>
                <w:sz w:val="16"/>
                <w:szCs w:val="16"/>
                <w:lang w:val="es-DO" w:eastAsia="es-DO"/>
              </w:rPr>
              <w:t>0</w:t>
            </w:r>
          </w:p>
        </w:tc>
        <w:tc>
          <w:tcPr>
            <w:tcW w:w="1276" w:type="dxa"/>
            <w:tcBorders>
              <w:top w:val="nil"/>
              <w:left w:val="nil"/>
              <w:bottom w:val="single" w:sz="4" w:space="0" w:color="auto"/>
              <w:right w:val="single" w:sz="4" w:space="0" w:color="auto"/>
            </w:tcBorders>
            <w:noWrap/>
            <w:vAlign w:val="center"/>
          </w:tcPr>
          <w:p w14:paraId="11DD200D"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0</w:t>
            </w:r>
          </w:p>
        </w:tc>
        <w:tc>
          <w:tcPr>
            <w:tcW w:w="1134" w:type="dxa"/>
            <w:tcBorders>
              <w:top w:val="nil"/>
              <w:left w:val="nil"/>
              <w:bottom w:val="single" w:sz="4" w:space="0" w:color="auto"/>
              <w:right w:val="single" w:sz="4" w:space="0" w:color="auto"/>
            </w:tcBorders>
            <w:noWrap/>
            <w:vAlign w:val="center"/>
          </w:tcPr>
          <w:p w14:paraId="6B233BB5"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0</w:t>
            </w:r>
          </w:p>
        </w:tc>
        <w:tc>
          <w:tcPr>
            <w:tcW w:w="850" w:type="dxa"/>
            <w:tcBorders>
              <w:top w:val="nil"/>
              <w:left w:val="nil"/>
              <w:bottom w:val="single" w:sz="4" w:space="0" w:color="auto"/>
              <w:right w:val="single" w:sz="4" w:space="0" w:color="auto"/>
            </w:tcBorders>
            <w:noWrap/>
            <w:vAlign w:val="center"/>
            <w:hideMark/>
          </w:tcPr>
          <w:p w14:paraId="41B6764E" w14:textId="77777777" w:rsidR="00FB745E" w:rsidRPr="00AC7AC2" w:rsidRDefault="00FB745E" w:rsidP="00D64261">
            <w:pPr>
              <w:spacing w:after="0" w:line="360" w:lineRule="auto"/>
              <w:jc w:val="center"/>
              <w:rPr>
                <w:rFonts w:ascii="Aptos Narrow" w:eastAsia="Times New Roman" w:hAnsi="Aptos Narrow"/>
                <w:b/>
                <w:bCs/>
                <w:spacing w:val="0"/>
                <w:sz w:val="16"/>
                <w:szCs w:val="16"/>
                <w:lang w:val="es-DO" w:eastAsia="es-DO"/>
              </w:rPr>
            </w:pPr>
            <w:r w:rsidRPr="00AC7AC2">
              <w:rPr>
                <w:rFonts w:ascii="Aptos Narrow" w:eastAsia="Times New Roman" w:hAnsi="Aptos Narrow"/>
                <w:b/>
                <w:bCs/>
                <w:spacing w:val="0"/>
                <w:sz w:val="16"/>
                <w:szCs w:val="16"/>
                <w:lang w:val="es-DO" w:eastAsia="es-DO"/>
              </w:rPr>
              <w:t>0</w:t>
            </w:r>
          </w:p>
        </w:tc>
      </w:tr>
      <w:tr w:rsidR="00FB745E" w:rsidRPr="009C4592" w14:paraId="7603423C" w14:textId="77777777" w:rsidTr="006F7E31">
        <w:trPr>
          <w:trHeight w:val="332"/>
        </w:trPr>
        <w:tc>
          <w:tcPr>
            <w:tcW w:w="1696" w:type="dxa"/>
            <w:tcBorders>
              <w:top w:val="nil"/>
              <w:left w:val="single" w:sz="4" w:space="0" w:color="auto"/>
              <w:bottom w:val="single" w:sz="4" w:space="0" w:color="auto"/>
              <w:right w:val="single" w:sz="4" w:space="0" w:color="auto"/>
            </w:tcBorders>
            <w:vAlign w:val="center"/>
            <w:hideMark/>
          </w:tcPr>
          <w:p w14:paraId="6F0855F3" w14:textId="77777777" w:rsidR="00FB745E" w:rsidRPr="00AC7AC2" w:rsidRDefault="00FB745E" w:rsidP="00D64261">
            <w:pPr>
              <w:spacing w:after="0" w:line="360" w:lineRule="auto"/>
              <w:rPr>
                <w:rFonts w:eastAsia="Times New Roman"/>
                <w:b/>
                <w:bCs/>
                <w:spacing w:val="0"/>
                <w:sz w:val="16"/>
                <w:szCs w:val="16"/>
                <w:lang w:val="es-DO" w:eastAsia="es-DO"/>
              </w:rPr>
            </w:pPr>
            <w:r w:rsidRPr="00AC7AC2">
              <w:rPr>
                <w:rFonts w:eastAsia="Times New Roman"/>
                <w:b/>
                <w:bCs/>
                <w:spacing w:val="0"/>
                <w:sz w:val="16"/>
                <w:szCs w:val="16"/>
                <w:lang w:val="es-DO" w:eastAsia="es-DO"/>
              </w:rPr>
              <w:t>Convenio Interinstitucional</w:t>
            </w:r>
          </w:p>
        </w:tc>
        <w:tc>
          <w:tcPr>
            <w:tcW w:w="1134" w:type="dxa"/>
            <w:tcBorders>
              <w:top w:val="nil"/>
              <w:left w:val="nil"/>
              <w:bottom w:val="single" w:sz="4" w:space="0" w:color="auto"/>
              <w:right w:val="single" w:sz="4" w:space="0" w:color="auto"/>
            </w:tcBorders>
            <w:noWrap/>
            <w:vAlign w:val="center"/>
          </w:tcPr>
          <w:p w14:paraId="2DD62F75" w14:textId="77777777" w:rsidR="00FB745E" w:rsidRPr="00AC7AC2" w:rsidRDefault="00FB745E" w:rsidP="00D64261">
            <w:pPr>
              <w:spacing w:after="0" w:line="360" w:lineRule="auto"/>
              <w:jc w:val="center"/>
              <w:rPr>
                <w:rFonts w:ascii="Calibri" w:eastAsia="Times New Roman" w:hAnsi="Calibri" w:cs="Calibri"/>
                <w:spacing w:val="0"/>
                <w:sz w:val="16"/>
                <w:szCs w:val="16"/>
                <w:lang w:val="es-DO" w:eastAsia="es-DO"/>
              </w:rPr>
            </w:pPr>
            <w:r w:rsidRPr="00AC7AC2">
              <w:rPr>
                <w:rFonts w:ascii="Calibri" w:eastAsia="Times New Roman" w:hAnsi="Calibri" w:cs="Calibri"/>
                <w:spacing w:val="0"/>
                <w:sz w:val="16"/>
                <w:szCs w:val="16"/>
                <w:lang w:val="es-DO" w:eastAsia="es-DO"/>
              </w:rPr>
              <w:t>0</w:t>
            </w:r>
          </w:p>
        </w:tc>
        <w:tc>
          <w:tcPr>
            <w:tcW w:w="1418" w:type="dxa"/>
            <w:tcBorders>
              <w:top w:val="nil"/>
              <w:left w:val="nil"/>
              <w:bottom w:val="single" w:sz="4" w:space="0" w:color="auto"/>
              <w:right w:val="single" w:sz="4" w:space="0" w:color="auto"/>
            </w:tcBorders>
            <w:noWrap/>
            <w:vAlign w:val="center"/>
          </w:tcPr>
          <w:p w14:paraId="0CE76FCD" w14:textId="77777777" w:rsidR="00FB745E" w:rsidRPr="00AC7AC2" w:rsidRDefault="00FB745E" w:rsidP="00D64261">
            <w:pPr>
              <w:spacing w:after="0" w:line="360" w:lineRule="auto"/>
              <w:jc w:val="center"/>
              <w:rPr>
                <w:rFonts w:ascii="Calibri" w:eastAsia="Times New Roman" w:hAnsi="Calibri" w:cs="Calibri"/>
                <w:b/>
                <w:bCs/>
                <w:spacing w:val="0"/>
                <w:sz w:val="16"/>
                <w:szCs w:val="16"/>
                <w:lang w:val="es-DO" w:eastAsia="es-DO"/>
              </w:rPr>
            </w:pPr>
            <w:r w:rsidRPr="00AC7AC2">
              <w:rPr>
                <w:rFonts w:ascii="Calibri" w:eastAsia="Times New Roman" w:hAnsi="Calibri" w:cs="Calibri"/>
                <w:b/>
                <w:bCs/>
                <w:spacing w:val="0"/>
                <w:sz w:val="16"/>
                <w:szCs w:val="16"/>
                <w:lang w:val="es-DO" w:eastAsia="es-DO"/>
              </w:rPr>
              <w:t>0</w:t>
            </w:r>
          </w:p>
        </w:tc>
        <w:tc>
          <w:tcPr>
            <w:tcW w:w="1276" w:type="dxa"/>
            <w:tcBorders>
              <w:top w:val="nil"/>
              <w:left w:val="nil"/>
              <w:bottom w:val="single" w:sz="4" w:space="0" w:color="auto"/>
              <w:right w:val="single" w:sz="4" w:space="0" w:color="auto"/>
            </w:tcBorders>
            <w:noWrap/>
            <w:vAlign w:val="center"/>
          </w:tcPr>
          <w:p w14:paraId="25B8CC36"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1</w:t>
            </w:r>
          </w:p>
        </w:tc>
        <w:tc>
          <w:tcPr>
            <w:tcW w:w="1134" w:type="dxa"/>
            <w:tcBorders>
              <w:top w:val="nil"/>
              <w:left w:val="nil"/>
              <w:bottom w:val="single" w:sz="4" w:space="0" w:color="auto"/>
              <w:right w:val="single" w:sz="4" w:space="0" w:color="auto"/>
            </w:tcBorders>
            <w:noWrap/>
            <w:vAlign w:val="center"/>
          </w:tcPr>
          <w:p w14:paraId="3D7F0B0F"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3</w:t>
            </w:r>
          </w:p>
        </w:tc>
        <w:tc>
          <w:tcPr>
            <w:tcW w:w="850" w:type="dxa"/>
            <w:tcBorders>
              <w:top w:val="nil"/>
              <w:left w:val="nil"/>
              <w:bottom w:val="single" w:sz="4" w:space="0" w:color="auto"/>
              <w:right w:val="single" w:sz="4" w:space="0" w:color="auto"/>
            </w:tcBorders>
            <w:noWrap/>
            <w:vAlign w:val="center"/>
            <w:hideMark/>
          </w:tcPr>
          <w:p w14:paraId="4DD81750" w14:textId="77777777" w:rsidR="00FB745E" w:rsidRPr="00AC7AC2" w:rsidRDefault="00FB745E" w:rsidP="00D64261">
            <w:pPr>
              <w:spacing w:after="0" w:line="360" w:lineRule="auto"/>
              <w:jc w:val="center"/>
              <w:rPr>
                <w:rFonts w:ascii="Aptos Narrow" w:eastAsia="Times New Roman" w:hAnsi="Aptos Narrow"/>
                <w:b/>
                <w:bCs/>
                <w:spacing w:val="0"/>
                <w:sz w:val="16"/>
                <w:szCs w:val="16"/>
                <w:lang w:val="es-DO" w:eastAsia="es-DO"/>
              </w:rPr>
            </w:pPr>
            <w:r w:rsidRPr="00AC7AC2">
              <w:rPr>
                <w:rFonts w:ascii="Aptos Narrow" w:eastAsia="Times New Roman" w:hAnsi="Aptos Narrow"/>
                <w:b/>
                <w:bCs/>
                <w:spacing w:val="0"/>
                <w:sz w:val="16"/>
                <w:szCs w:val="16"/>
                <w:lang w:val="es-DO" w:eastAsia="es-DO"/>
              </w:rPr>
              <w:t>4</w:t>
            </w:r>
          </w:p>
        </w:tc>
      </w:tr>
      <w:tr w:rsidR="00FB745E" w:rsidRPr="009C4592" w14:paraId="5128F03B" w14:textId="77777777" w:rsidTr="006F7E31">
        <w:trPr>
          <w:trHeight w:val="817"/>
        </w:trPr>
        <w:tc>
          <w:tcPr>
            <w:tcW w:w="1696" w:type="dxa"/>
            <w:tcBorders>
              <w:top w:val="nil"/>
              <w:left w:val="single" w:sz="4" w:space="0" w:color="auto"/>
              <w:bottom w:val="single" w:sz="4" w:space="0" w:color="auto"/>
              <w:right w:val="single" w:sz="4" w:space="0" w:color="auto"/>
            </w:tcBorders>
            <w:vAlign w:val="center"/>
            <w:hideMark/>
          </w:tcPr>
          <w:p w14:paraId="7610E065" w14:textId="77777777" w:rsidR="00FB745E" w:rsidRPr="00AC7AC2" w:rsidRDefault="00FB745E" w:rsidP="00D64261">
            <w:pPr>
              <w:spacing w:after="0" w:line="360" w:lineRule="auto"/>
              <w:rPr>
                <w:rFonts w:eastAsia="Times New Roman"/>
                <w:b/>
                <w:bCs/>
                <w:spacing w:val="0"/>
                <w:sz w:val="16"/>
                <w:szCs w:val="16"/>
                <w:lang w:val="es-DO" w:eastAsia="es-DO"/>
              </w:rPr>
            </w:pPr>
            <w:r w:rsidRPr="00AC7AC2">
              <w:rPr>
                <w:rFonts w:eastAsia="Times New Roman"/>
                <w:b/>
                <w:bCs/>
                <w:spacing w:val="0"/>
                <w:sz w:val="16"/>
                <w:szCs w:val="16"/>
                <w:lang w:val="es-DO" w:eastAsia="es-DO"/>
              </w:rPr>
              <w:t>Opinión para Cambio y Registro de Firmas y Aperturas de Cuentas de los Ayuntamientos y Bomberos</w:t>
            </w:r>
          </w:p>
        </w:tc>
        <w:tc>
          <w:tcPr>
            <w:tcW w:w="1134" w:type="dxa"/>
            <w:tcBorders>
              <w:top w:val="nil"/>
              <w:left w:val="nil"/>
              <w:bottom w:val="single" w:sz="4" w:space="0" w:color="auto"/>
              <w:right w:val="single" w:sz="4" w:space="0" w:color="auto"/>
            </w:tcBorders>
            <w:noWrap/>
            <w:vAlign w:val="center"/>
          </w:tcPr>
          <w:p w14:paraId="007D726A" w14:textId="77777777" w:rsidR="00FB745E" w:rsidRPr="00AC7AC2" w:rsidRDefault="00FB745E" w:rsidP="00D64261">
            <w:pPr>
              <w:spacing w:after="0" w:line="360" w:lineRule="auto"/>
              <w:jc w:val="center"/>
              <w:rPr>
                <w:rFonts w:ascii="Calibri" w:eastAsia="Times New Roman" w:hAnsi="Calibri" w:cs="Calibri"/>
                <w:spacing w:val="0"/>
                <w:sz w:val="16"/>
                <w:szCs w:val="16"/>
                <w:lang w:val="es-DO" w:eastAsia="es-DO"/>
              </w:rPr>
            </w:pPr>
            <w:r w:rsidRPr="00AC7AC2">
              <w:rPr>
                <w:rFonts w:ascii="Calibri" w:eastAsia="Times New Roman" w:hAnsi="Calibri" w:cs="Calibri"/>
                <w:spacing w:val="0"/>
                <w:sz w:val="16"/>
                <w:szCs w:val="16"/>
                <w:lang w:val="es-DO" w:eastAsia="es-DO"/>
              </w:rPr>
              <w:t>6</w:t>
            </w:r>
          </w:p>
        </w:tc>
        <w:tc>
          <w:tcPr>
            <w:tcW w:w="1418" w:type="dxa"/>
            <w:tcBorders>
              <w:top w:val="nil"/>
              <w:left w:val="nil"/>
              <w:bottom w:val="single" w:sz="4" w:space="0" w:color="auto"/>
              <w:right w:val="single" w:sz="4" w:space="0" w:color="auto"/>
            </w:tcBorders>
            <w:noWrap/>
            <w:vAlign w:val="center"/>
          </w:tcPr>
          <w:p w14:paraId="679AF963" w14:textId="77777777" w:rsidR="00FB745E" w:rsidRPr="00AC7AC2" w:rsidRDefault="00FB745E" w:rsidP="00D64261">
            <w:pPr>
              <w:spacing w:after="0" w:line="360" w:lineRule="auto"/>
              <w:jc w:val="center"/>
              <w:rPr>
                <w:rFonts w:ascii="Calibri" w:eastAsia="Times New Roman" w:hAnsi="Calibri" w:cs="Calibri"/>
                <w:b/>
                <w:bCs/>
                <w:spacing w:val="0"/>
                <w:sz w:val="16"/>
                <w:szCs w:val="16"/>
                <w:lang w:val="es-DO" w:eastAsia="es-DO"/>
              </w:rPr>
            </w:pPr>
            <w:r w:rsidRPr="00AC7AC2">
              <w:rPr>
                <w:rFonts w:ascii="Calibri" w:eastAsia="Times New Roman" w:hAnsi="Calibri" w:cs="Calibri"/>
                <w:b/>
                <w:bCs/>
                <w:spacing w:val="0"/>
                <w:sz w:val="16"/>
                <w:szCs w:val="16"/>
                <w:lang w:val="es-DO" w:eastAsia="es-DO"/>
              </w:rPr>
              <w:t>18</w:t>
            </w:r>
          </w:p>
        </w:tc>
        <w:tc>
          <w:tcPr>
            <w:tcW w:w="1276" w:type="dxa"/>
            <w:tcBorders>
              <w:top w:val="nil"/>
              <w:left w:val="nil"/>
              <w:bottom w:val="single" w:sz="4" w:space="0" w:color="auto"/>
              <w:right w:val="single" w:sz="4" w:space="0" w:color="auto"/>
            </w:tcBorders>
            <w:noWrap/>
            <w:vAlign w:val="center"/>
          </w:tcPr>
          <w:p w14:paraId="3F5E439A"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14</w:t>
            </w:r>
          </w:p>
        </w:tc>
        <w:tc>
          <w:tcPr>
            <w:tcW w:w="1134" w:type="dxa"/>
            <w:tcBorders>
              <w:top w:val="nil"/>
              <w:left w:val="nil"/>
              <w:bottom w:val="single" w:sz="4" w:space="0" w:color="auto"/>
              <w:right w:val="single" w:sz="4" w:space="0" w:color="auto"/>
            </w:tcBorders>
            <w:noWrap/>
            <w:vAlign w:val="center"/>
          </w:tcPr>
          <w:p w14:paraId="1E543AD2"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15</w:t>
            </w:r>
          </w:p>
        </w:tc>
        <w:tc>
          <w:tcPr>
            <w:tcW w:w="850" w:type="dxa"/>
            <w:tcBorders>
              <w:top w:val="nil"/>
              <w:left w:val="nil"/>
              <w:bottom w:val="single" w:sz="4" w:space="0" w:color="auto"/>
              <w:right w:val="single" w:sz="4" w:space="0" w:color="auto"/>
            </w:tcBorders>
            <w:noWrap/>
            <w:vAlign w:val="center"/>
            <w:hideMark/>
          </w:tcPr>
          <w:p w14:paraId="206155E5" w14:textId="77777777" w:rsidR="00FB745E" w:rsidRPr="00AC7AC2" w:rsidRDefault="00FB745E" w:rsidP="00D64261">
            <w:pPr>
              <w:spacing w:after="0" w:line="360" w:lineRule="auto"/>
              <w:jc w:val="center"/>
              <w:rPr>
                <w:rFonts w:ascii="Aptos Narrow" w:eastAsia="Times New Roman" w:hAnsi="Aptos Narrow"/>
                <w:b/>
                <w:bCs/>
                <w:spacing w:val="0"/>
                <w:sz w:val="16"/>
                <w:szCs w:val="16"/>
                <w:lang w:val="es-DO" w:eastAsia="es-DO"/>
              </w:rPr>
            </w:pPr>
            <w:r w:rsidRPr="00AC7AC2">
              <w:rPr>
                <w:rFonts w:ascii="Aptos Narrow" w:eastAsia="Times New Roman" w:hAnsi="Aptos Narrow"/>
                <w:b/>
                <w:bCs/>
                <w:spacing w:val="0"/>
                <w:sz w:val="16"/>
                <w:szCs w:val="16"/>
                <w:lang w:val="es-DO" w:eastAsia="es-DO"/>
              </w:rPr>
              <w:t>53</w:t>
            </w:r>
          </w:p>
        </w:tc>
      </w:tr>
      <w:tr w:rsidR="00FB745E" w:rsidRPr="009C4592" w14:paraId="337436E3" w14:textId="77777777" w:rsidTr="006F7E31">
        <w:trPr>
          <w:trHeight w:val="276"/>
        </w:trPr>
        <w:tc>
          <w:tcPr>
            <w:tcW w:w="1696" w:type="dxa"/>
            <w:tcBorders>
              <w:top w:val="nil"/>
              <w:left w:val="single" w:sz="4" w:space="0" w:color="auto"/>
              <w:bottom w:val="single" w:sz="4" w:space="0" w:color="auto"/>
              <w:right w:val="single" w:sz="4" w:space="0" w:color="auto"/>
            </w:tcBorders>
            <w:noWrap/>
            <w:vAlign w:val="center"/>
            <w:hideMark/>
          </w:tcPr>
          <w:p w14:paraId="2A94F08F" w14:textId="77777777" w:rsidR="00FB745E" w:rsidRPr="00AC7AC2" w:rsidRDefault="00FB745E" w:rsidP="00D64261">
            <w:pPr>
              <w:spacing w:after="0" w:line="360" w:lineRule="auto"/>
              <w:rPr>
                <w:rFonts w:eastAsia="Times New Roman"/>
                <w:b/>
                <w:bCs/>
                <w:spacing w:val="0"/>
                <w:sz w:val="16"/>
                <w:szCs w:val="16"/>
                <w:lang w:val="es-DO" w:eastAsia="es-DO"/>
              </w:rPr>
            </w:pPr>
            <w:r w:rsidRPr="00AC7AC2">
              <w:rPr>
                <w:rFonts w:eastAsia="Times New Roman"/>
                <w:b/>
                <w:bCs/>
                <w:spacing w:val="0"/>
                <w:sz w:val="16"/>
                <w:szCs w:val="16"/>
                <w:lang w:val="es-DO" w:eastAsia="es-DO"/>
              </w:rPr>
              <w:t xml:space="preserve">Litis Judiciales (presentación a audiencia) </w:t>
            </w:r>
          </w:p>
        </w:tc>
        <w:tc>
          <w:tcPr>
            <w:tcW w:w="1134" w:type="dxa"/>
            <w:tcBorders>
              <w:top w:val="nil"/>
              <w:left w:val="nil"/>
              <w:bottom w:val="single" w:sz="4" w:space="0" w:color="auto"/>
              <w:right w:val="single" w:sz="4" w:space="0" w:color="auto"/>
            </w:tcBorders>
            <w:noWrap/>
            <w:vAlign w:val="center"/>
          </w:tcPr>
          <w:p w14:paraId="2EDD71B8" w14:textId="77777777" w:rsidR="00FB745E" w:rsidRPr="00AC7AC2" w:rsidRDefault="00FB745E" w:rsidP="00D64261">
            <w:pPr>
              <w:spacing w:after="0" w:line="360" w:lineRule="auto"/>
              <w:jc w:val="center"/>
              <w:rPr>
                <w:rFonts w:ascii="Calibri" w:eastAsia="Times New Roman" w:hAnsi="Calibri" w:cs="Calibri"/>
                <w:spacing w:val="0"/>
                <w:sz w:val="16"/>
                <w:szCs w:val="16"/>
                <w:lang w:val="es-DO" w:eastAsia="es-DO"/>
              </w:rPr>
            </w:pPr>
            <w:r w:rsidRPr="00AC7AC2">
              <w:rPr>
                <w:rFonts w:ascii="Calibri" w:eastAsia="Times New Roman" w:hAnsi="Calibri" w:cs="Calibri"/>
                <w:spacing w:val="0"/>
                <w:sz w:val="16"/>
                <w:szCs w:val="16"/>
                <w:lang w:val="es-DO" w:eastAsia="es-DO"/>
              </w:rPr>
              <w:t>1</w:t>
            </w:r>
          </w:p>
        </w:tc>
        <w:tc>
          <w:tcPr>
            <w:tcW w:w="1418" w:type="dxa"/>
            <w:tcBorders>
              <w:top w:val="nil"/>
              <w:left w:val="nil"/>
              <w:bottom w:val="single" w:sz="4" w:space="0" w:color="auto"/>
              <w:right w:val="single" w:sz="4" w:space="0" w:color="auto"/>
            </w:tcBorders>
            <w:noWrap/>
            <w:vAlign w:val="center"/>
          </w:tcPr>
          <w:p w14:paraId="00607C89" w14:textId="77777777" w:rsidR="00FB745E" w:rsidRPr="00AC7AC2" w:rsidRDefault="00FB745E" w:rsidP="00D64261">
            <w:pPr>
              <w:spacing w:after="0" w:line="360" w:lineRule="auto"/>
              <w:jc w:val="center"/>
              <w:rPr>
                <w:rFonts w:ascii="Calibri" w:eastAsia="Times New Roman" w:hAnsi="Calibri" w:cs="Calibri"/>
                <w:b/>
                <w:bCs/>
                <w:spacing w:val="0"/>
                <w:sz w:val="16"/>
                <w:szCs w:val="16"/>
                <w:lang w:val="es-DO" w:eastAsia="es-DO"/>
              </w:rPr>
            </w:pPr>
            <w:r w:rsidRPr="00AC7AC2">
              <w:rPr>
                <w:rFonts w:ascii="Calibri" w:eastAsia="Times New Roman" w:hAnsi="Calibri" w:cs="Calibri"/>
                <w:b/>
                <w:bCs/>
                <w:spacing w:val="0"/>
                <w:sz w:val="16"/>
                <w:szCs w:val="16"/>
                <w:lang w:val="es-DO" w:eastAsia="es-DO"/>
              </w:rPr>
              <w:t>2</w:t>
            </w:r>
          </w:p>
        </w:tc>
        <w:tc>
          <w:tcPr>
            <w:tcW w:w="1276" w:type="dxa"/>
            <w:tcBorders>
              <w:top w:val="nil"/>
              <w:left w:val="nil"/>
              <w:bottom w:val="single" w:sz="4" w:space="0" w:color="auto"/>
              <w:right w:val="single" w:sz="4" w:space="0" w:color="auto"/>
            </w:tcBorders>
            <w:noWrap/>
            <w:vAlign w:val="center"/>
          </w:tcPr>
          <w:p w14:paraId="10963B56"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5</w:t>
            </w:r>
          </w:p>
        </w:tc>
        <w:tc>
          <w:tcPr>
            <w:tcW w:w="1134" w:type="dxa"/>
            <w:tcBorders>
              <w:top w:val="nil"/>
              <w:left w:val="nil"/>
              <w:bottom w:val="single" w:sz="4" w:space="0" w:color="auto"/>
              <w:right w:val="single" w:sz="4" w:space="0" w:color="auto"/>
            </w:tcBorders>
            <w:noWrap/>
            <w:vAlign w:val="center"/>
          </w:tcPr>
          <w:p w14:paraId="6E6F021F"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7</w:t>
            </w:r>
          </w:p>
        </w:tc>
        <w:tc>
          <w:tcPr>
            <w:tcW w:w="850" w:type="dxa"/>
            <w:tcBorders>
              <w:top w:val="nil"/>
              <w:left w:val="nil"/>
              <w:bottom w:val="single" w:sz="4" w:space="0" w:color="auto"/>
              <w:right w:val="single" w:sz="4" w:space="0" w:color="auto"/>
            </w:tcBorders>
            <w:noWrap/>
            <w:vAlign w:val="center"/>
            <w:hideMark/>
          </w:tcPr>
          <w:p w14:paraId="33B14A18" w14:textId="77777777" w:rsidR="00FB745E" w:rsidRPr="00AC7AC2" w:rsidRDefault="00FB745E" w:rsidP="00D64261">
            <w:pPr>
              <w:spacing w:after="0" w:line="360" w:lineRule="auto"/>
              <w:jc w:val="center"/>
              <w:rPr>
                <w:rFonts w:ascii="Aptos Narrow" w:eastAsia="Times New Roman" w:hAnsi="Aptos Narrow"/>
                <w:b/>
                <w:bCs/>
                <w:spacing w:val="0"/>
                <w:sz w:val="16"/>
                <w:szCs w:val="16"/>
                <w:lang w:val="es-DO" w:eastAsia="es-DO"/>
              </w:rPr>
            </w:pPr>
            <w:r w:rsidRPr="00AC7AC2">
              <w:rPr>
                <w:rFonts w:ascii="Aptos Narrow" w:eastAsia="Times New Roman" w:hAnsi="Aptos Narrow"/>
                <w:b/>
                <w:bCs/>
                <w:spacing w:val="0"/>
                <w:sz w:val="16"/>
                <w:szCs w:val="16"/>
                <w:lang w:val="es-DO" w:eastAsia="es-DO"/>
              </w:rPr>
              <w:t>15</w:t>
            </w:r>
          </w:p>
        </w:tc>
      </w:tr>
      <w:tr w:rsidR="00FB745E" w:rsidRPr="009C4592" w14:paraId="0AD98055" w14:textId="77777777" w:rsidTr="006F7E31">
        <w:trPr>
          <w:trHeight w:val="276"/>
        </w:trPr>
        <w:tc>
          <w:tcPr>
            <w:tcW w:w="1696" w:type="dxa"/>
            <w:tcBorders>
              <w:top w:val="nil"/>
              <w:left w:val="single" w:sz="4" w:space="0" w:color="auto"/>
              <w:bottom w:val="single" w:sz="4" w:space="0" w:color="auto"/>
              <w:right w:val="single" w:sz="4" w:space="0" w:color="auto"/>
            </w:tcBorders>
            <w:noWrap/>
            <w:vAlign w:val="center"/>
            <w:hideMark/>
          </w:tcPr>
          <w:p w14:paraId="0C6A76D6" w14:textId="77777777" w:rsidR="00FB745E" w:rsidRPr="00AC7AC2" w:rsidRDefault="00FB745E" w:rsidP="00D64261">
            <w:pPr>
              <w:spacing w:after="0" w:line="360" w:lineRule="auto"/>
              <w:rPr>
                <w:rFonts w:eastAsia="Times New Roman"/>
                <w:b/>
                <w:bCs/>
                <w:spacing w:val="0"/>
                <w:sz w:val="16"/>
                <w:szCs w:val="16"/>
                <w:lang w:val="es-DO" w:eastAsia="es-DO"/>
              </w:rPr>
            </w:pPr>
            <w:r w:rsidRPr="00AC7AC2">
              <w:rPr>
                <w:rFonts w:eastAsia="Times New Roman"/>
                <w:b/>
                <w:bCs/>
                <w:spacing w:val="0"/>
                <w:sz w:val="16"/>
                <w:szCs w:val="16"/>
                <w:lang w:val="es-DO" w:eastAsia="es-DO"/>
              </w:rPr>
              <w:t>Acta de Proceso de compras</w:t>
            </w:r>
          </w:p>
        </w:tc>
        <w:tc>
          <w:tcPr>
            <w:tcW w:w="1134" w:type="dxa"/>
            <w:tcBorders>
              <w:top w:val="nil"/>
              <w:left w:val="nil"/>
              <w:bottom w:val="single" w:sz="4" w:space="0" w:color="auto"/>
              <w:right w:val="single" w:sz="4" w:space="0" w:color="auto"/>
            </w:tcBorders>
            <w:noWrap/>
            <w:vAlign w:val="center"/>
          </w:tcPr>
          <w:p w14:paraId="6B5DB772" w14:textId="77777777" w:rsidR="00FB745E" w:rsidRPr="00AC7AC2" w:rsidRDefault="00FB745E" w:rsidP="00D64261">
            <w:pPr>
              <w:spacing w:after="0" w:line="360" w:lineRule="auto"/>
              <w:jc w:val="center"/>
              <w:rPr>
                <w:rFonts w:ascii="Calibri" w:eastAsia="Times New Roman" w:hAnsi="Calibri" w:cs="Calibri"/>
                <w:spacing w:val="0"/>
                <w:sz w:val="16"/>
                <w:szCs w:val="16"/>
                <w:lang w:val="es-DO" w:eastAsia="es-DO"/>
              </w:rPr>
            </w:pPr>
            <w:r w:rsidRPr="00AC7AC2">
              <w:rPr>
                <w:rFonts w:ascii="Calibri" w:eastAsia="Times New Roman" w:hAnsi="Calibri" w:cs="Calibri"/>
                <w:spacing w:val="0"/>
                <w:sz w:val="16"/>
                <w:szCs w:val="16"/>
                <w:lang w:val="es-DO" w:eastAsia="es-DO"/>
              </w:rPr>
              <w:t>4</w:t>
            </w:r>
          </w:p>
        </w:tc>
        <w:tc>
          <w:tcPr>
            <w:tcW w:w="1418" w:type="dxa"/>
            <w:tcBorders>
              <w:top w:val="nil"/>
              <w:left w:val="nil"/>
              <w:bottom w:val="single" w:sz="4" w:space="0" w:color="auto"/>
              <w:right w:val="single" w:sz="4" w:space="0" w:color="auto"/>
            </w:tcBorders>
            <w:noWrap/>
            <w:vAlign w:val="center"/>
          </w:tcPr>
          <w:p w14:paraId="05538A1A" w14:textId="77777777" w:rsidR="00FB745E" w:rsidRPr="00AC7AC2" w:rsidRDefault="00FB745E" w:rsidP="00D64261">
            <w:pPr>
              <w:spacing w:after="0" w:line="360" w:lineRule="auto"/>
              <w:jc w:val="center"/>
              <w:rPr>
                <w:rFonts w:ascii="Calibri" w:eastAsia="Times New Roman" w:hAnsi="Calibri" w:cs="Calibri"/>
                <w:b/>
                <w:bCs/>
                <w:spacing w:val="0"/>
                <w:sz w:val="16"/>
                <w:szCs w:val="16"/>
                <w:lang w:val="es-DO" w:eastAsia="es-DO"/>
              </w:rPr>
            </w:pPr>
            <w:r w:rsidRPr="00AC7AC2">
              <w:rPr>
                <w:rFonts w:ascii="Calibri" w:eastAsia="Times New Roman" w:hAnsi="Calibri" w:cs="Calibri"/>
                <w:b/>
                <w:bCs/>
                <w:spacing w:val="0"/>
                <w:sz w:val="16"/>
                <w:szCs w:val="16"/>
                <w:lang w:val="es-DO" w:eastAsia="es-DO"/>
              </w:rPr>
              <w:t>4</w:t>
            </w:r>
          </w:p>
        </w:tc>
        <w:tc>
          <w:tcPr>
            <w:tcW w:w="1276" w:type="dxa"/>
            <w:tcBorders>
              <w:top w:val="nil"/>
              <w:left w:val="nil"/>
              <w:bottom w:val="single" w:sz="4" w:space="0" w:color="auto"/>
              <w:right w:val="single" w:sz="4" w:space="0" w:color="auto"/>
            </w:tcBorders>
            <w:noWrap/>
            <w:vAlign w:val="center"/>
          </w:tcPr>
          <w:p w14:paraId="70E5BA52"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2</w:t>
            </w:r>
          </w:p>
        </w:tc>
        <w:tc>
          <w:tcPr>
            <w:tcW w:w="1134" w:type="dxa"/>
            <w:tcBorders>
              <w:top w:val="nil"/>
              <w:left w:val="nil"/>
              <w:bottom w:val="single" w:sz="4" w:space="0" w:color="auto"/>
              <w:right w:val="single" w:sz="4" w:space="0" w:color="auto"/>
            </w:tcBorders>
            <w:noWrap/>
            <w:vAlign w:val="center"/>
          </w:tcPr>
          <w:p w14:paraId="3829C271"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5</w:t>
            </w:r>
          </w:p>
        </w:tc>
        <w:tc>
          <w:tcPr>
            <w:tcW w:w="850" w:type="dxa"/>
            <w:tcBorders>
              <w:top w:val="nil"/>
              <w:left w:val="nil"/>
              <w:bottom w:val="single" w:sz="4" w:space="0" w:color="auto"/>
              <w:right w:val="single" w:sz="4" w:space="0" w:color="auto"/>
            </w:tcBorders>
            <w:noWrap/>
            <w:vAlign w:val="center"/>
            <w:hideMark/>
          </w:tcPr>
          <w:p w14:paraId="35153D32" w14:textId="77777777" w:rsidR="00FB745E" w:rsidRPr="00AC7AC2" w:rsidRDefault="00FB745E" w:rsidP="00D64261">
            <w:pPr>
              <w:spacing w:after="0" w:line="360" w:lineRule="auto"/>
              <w:jc w:val="center"/>
              <w:rPr>
                <w:rFonts w:ascii="Aptos Narrow" w:eastAsia="Times New Roman" w:hAnsi="Aptos Narrow"/>
                <w:b/>
                <w:bCs/>
                <w:spacing w:val="0"/>
                <w:sz w:val="16"/>
                <w:szCs w:val="16"/>
                <w:lang w:val="es-DO" w:eastAsia="es-DO"/>
              </w:rPr>
            </w:pPr>
            <w:r w:rsidRPr="00AC7AC2">
              <w:rPr>
                <w:rFonts w:ascii="Aptos Narrow" w:eastAsia="Times New Roman" w:hAnsi="Aptos Narrow"/>
                <w:b/>
                <w:bCs/>
                <w:spacing w:val="0"/>
                <w:sz w:val="16"/>
                <w:szCs w:val="16"/>
                <w:lang w:val="es-DO" w:eastAsia="es-DO"/>
              </w:rPr>
              <w:t>15</w:t>
            </w:r>
          </w:p>
        </w:tc>
      </w:tr>
      <w:tr w:rsidR="00FB745E" w:rsidRPr="009C4592" w14:paraId="628CDD0C" w14:textId="77777777" w:rsidTr="006F7E31">
        <w:trPr>
          <w:trHeight w:val="276"/>
        </w:trPr>
        <w:tc>
          <w:tcPr>
            <w:tcW w:w="1696" w:type="dxa"/>
            <w:tcBorders>
              <w:top w:val="nil"/>
              <w:left w:val="single" w:sz="4" w:space="0" w:color="auto"/>
              <w:bottom w:val="single" w:sz="4" w:space="0" w:color="auto"/>
              <w:right w:val="single" w:sz="4" w:space="0" w:color="auto"/>
            </w:tcBorders>
            <w:noWrap/>
            <w:vAlign w:val="center"/>
            <w:hideMark/>
          </w:tcPr>
          <w:p w14:paraId="551CF633" w14:textId="77777777" w:rsidR="00FB745E" w:rsidRPr="00AC7AC2" w:rsidRDefault="00FB745E" w:rsidP="00D64261">
            <w:pPr>
              <w:spacing w:after="0" w:line="360" w:lineRule="auto"/>
              <w:rPr>
                <w:rFonts w:eastAsia="Times New Roman"/>
                <w:b/>
                <w:bCs/>
                <w:spacing w:val="0"/>
                <w:sz w:val="16"/>
                <w:szCs w:val="16"/>
                <w:lang w:val="es-DO" w:eastAsia="es-DO"/>
              </w:rPr>
            </w:pPr>
            <w:r w:rsidRPr="00AC7AC2">
              <w:rPr>
                <w:rFonts w:eastAsia="Times New Roman"/>
                <w:b/>
                <w:bCs/>
                <w:spacing w:val="0"/>
                <w:sz w:val="16"/>
                <w:szCs w:val="16"/>
                <w:lang w:val="es-DO" w:eastAsia="es-DO"/>
              </w:rPr>
              <w:t>Repuestas Legales</w:t>
            </w:r>
          </w:p>
        </w:tc>
        <w:tc>
          <w:tcPr>
            <w:tcW w:w="1134" w:type="dxa"/>
            <w:tcBorders>
              <w:top w:val="nil"/>
              <w:left w:val="nil"/>
              <w:bottom w:val="single" w:sz="4" w:space="0" w:color="auto"/>
              <w:right w:val="single" w:sz="4" w:space="0" w:color="auto"/>
            </w:tcBorders>
            <w:noWrap/>
            <w:vAlign w:val="center"/>
          </w:tcPr>
          <w:p w14:paraId="531DDAA4" w14:textId="77777777" w:rsidR="00FB745E" w:rsidRPr="00AC7AC2" w:rsidRDefault="00FB745E" w:rsidP="00D64261">
            <w:pPr>
              <w:spacing w:after="0" w:line="360" w:lineRule="auto"/>
              <w:jc w:val="center"/>
              <w:rPr>
                <w:rFonts w:ascii="Calibri" w:eastAsia="Times New Roman" w:hAnsi="Calibri" w:cs="Calibri"/>
                <w:spacing w:val="0"/>
                <w:sz w:val="16"/>
                <w:szCs w:val="16"/>
                <w:lang w:val="es-DO" w:eastAsia="es-DO"/>
              </w:rPr>
            </w:pPr>
            <w:r w:rsidRPr="00AC7AC2">
              <w:rPr>
                <w:rFonts w:ascii="Calibri" w:eastAsia="Times New Roman" w:hAnsi="Calibri" w:cs="Calibri"/>
                <w:spacing w:val="0"/>
                <w:sz w:val="16"/>
                <w:szCs w:val="16"/>
                <w:lang w:val="es-DO" w:eastAsia="es-DO"/>
              </w:rPr>
              <w:t>46</w:t>
            </w:r>
          </w:p>
        </w:tc>
        <w:tc>
          <w:tcPr>
            <w:tcW w:w="1418" w:type="dxa"/>
            <w:tcBorders>
              <w:top w:val="nil"/>
              <w:left w:val="nil"/>
              <w:bottom w:val="single" w:sz="4" w:space="0" w:color="auto"/>
              <w:right w:val="single" w:sz="4" w:space="0" w:color="auto"/>
            </w:tcBorders>
            <w:noWrap/>
            <w:vAlign w:val="center"/>
          </w:tcPr>
          <w:p w14:paraId="3B59B6CC" w14:textId="77777777" w:rsidR="00FB745E" w:rsidRPr="00AC7AC2" w:rsidRDefault="00FB745E" w:rsidP="00D64261">
            <w:pPr>
              <w:spacing w:after="0" w:line="360" w:lineRule="auto"/>
              <w:jc w:val="center"/>
              <w:rPr>
                <w:rFonts w:ascii="Calibri" w:eastAsia="Times New Roman" w:hAnsi="Calibri" w:cs="Calibri"/>
                <w:b/>
                <w:bCs/>
                <w:spacing w:val="0"/>
                <w:sz w:val="16"/>
                <w:szCs w:val="16"/>
                <w:lang w:val="es-DO" w:eastAsia="es-DO"/>
              </w:rPr>
            </w:pPr>
            <w:r w:rsidRPr="00AC7AC2">
              <w:rPr>
                <w:rFonts w:ascii="Calibri" w:eastAsia="Times New Roman" w:hAnsi="Calibri" w:cs="Calibri"/>
                <w:b/>
                <w:bCs/>
                <w:spacing w:val="0"/>
                <w:sz w:val="16"/>
                <w:szCs w:val="16"/>
                <w:lang w:val="es-DO" w:eastAsia="es-DO"/>
              </w:rPr>
              <w:t>1119</w:t>
            </w:r>
          </w:p>
        </w:tc>
        <w:tc>
          <w:tcPr>
            <w:tcW w:w="1276" w:type="dxa"/>
            <w:tcBorders>
              <w:top w:val="nil"/>
              <w:left w:val="nil"/>
              <w:bottom w:val="single" w:sz="4" w:space="0" w:color="auto"/>
              <w:right w:val="single" w:sz="4" w:space="0" w:color="auto"/>
            </w:tcBorders>
            <w:noWrap/>
            <w:vAlign w:val="center"/>
          </w:tcPr>
          <w:p w14:paraId="7BC67531"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66</w:t>
            </w:r>
          </w:p>
        </w:tc>
        <w:tc>
          <w:tcPr>
            <w:tcW w:w="1134" w:type="dxa"/>
            <w:tcBorders>
              <w:top w:val="nil"/>
              <w:left w:val="nil"/>
              <w:bottom w:val="single" w:sz="4" w:space="0" w:color="auto"/>
              <w:right w:val="single" w:sz="4" w:space="0" w:color="auto"/>
            </w:tcBorders>
            <w:noWrap/>
            <w:vAlign w:val="center"/>
          </w:tcPr>
          <w:p w14:paraId="078AC4C7" w14:textId="77777777" w:rsidR="00FB745E" w:rsidRPr="00AC7AC2" w:rsidRDefault="00FB745E" w:rsidP="00D64261">
            <w:pPr>
              <w:spacing w:after="0" w:line="360" w:lineRule="auto"/>
              <w:jc w:val="center"/>
              <w:rPr>
                <w:rFonts w:ascii="Aptos Narrow" w:eastAsia="Times New Roman" w:hAnsi="Aptos Narrow"/>
                <w:spacing w:val="0"/>
                <w:sz w:val="16"/>
                <w:szCs w:val="16"/>
                <w:lang w:val="es-DO" w:eastAsia="es-DO"/>
              </w:rPr>
            </w:pPr>
            <w:r w:rsidRPr="00AC7AC2">
              <w:rPr>
                <w:rFonts w:ascii="Aptos Narrow" w:eastAsia="Times New Roman" w:hAnsi="Aptos Narrow"/>
                <w:spacing w:val="0"/>
                <w:sz w:val="16"/>
                <w:szCs w:val="16"/>
                <w:lang w:val="es-DO" w:eastAsia="es-DO"/>
              </w:rPr>
              <w:t>45</w:t>
            </w:r>
          </w:p>
        </w:tc>
        <w:tc>
          <w:tcPr>
            <w:tcW w:w="850" w:type="dxa"/>
            <w:tcBorders>
              <w:top w:val="nil"/>
              <w:left w:val="nil"/>
              <w:bottom w:val="single" w:sz="4" w:space="0" w:color="auto"/>
              <w:right w:val="single" w:sz="4" w:space="0" w:color="auto"/>
            </w:tcBorders>
            <w:noWrap/>
            <w:vAlign w:val="center"/>
            <w:hideMark/>
          </w:tcPr>
          <w:p w14:paraId="71ABB006" w14:textId="77777777" w:rsidR="00FB745E" w:rsidRPr="00AC7AC2" w:rsidRDefault="00FB745E" w:rsidP="00D64261">
            <w:pPr>
              <w:spacing w:after="0" w:line="360" w:lineRule="auto"/>
              <w:jc w:val="center"/>
              <w:rPr>
                <w:rFonts w:ascii="Aptos Narrow" w:eastAsia="Times New Roman" w:hAnsi="Aptos Narrow"/>
                <w:b/>
                <w:bCs/>
                <w:spacing w:val="0"/>
                <w:sz w:val="16"/>
                <w:szCs w:val="16"/>
                <w:lang w:val="es-DO" w:eastAsia="es-DO"/>
              </w:rPr>
            </w:pPr>
            <w:r w:rsidRPr="00AC7AC2">
              <w:rPr>
                <w:rFonts w:ascii="Aptos Narrow" w:eastAsia="Times New Roman" w:hAnsi="Aptos Narrow"/>
                <w:b/>
                <w:bCs/>
                <w:spacing w:val="0"/>
                <w:sz w:val="16"/>
                <w:szCs w:val="16"/>
                <w:lang w:val="es-DO" w:eastAsia="es-DO"/>
              </w:rPr>
              <w:t>276</w:t>
            </w:r>
          </w:p>
        </w:tc>
      </w:tr>
      <w:tr w:rsidR="00FB745E" w:rsidRPr="00B47076" w14:paraId="64480A16" w14:textId="77777777" w:rsidTr="006F7E31">
        <w:trPr>
          <w:trHeight w:val="485"/>
        </w:trPr>
        <w:tc>
          <w:tcPr>
            <w:tcW w:w="7508" w:type="dxa"/>
            <w:gridSpan w:val="6"/>
            <w:tcBorders>
              <w:top w:val="single" w:sz="4" w:space="0" w:color="auto"/>
              <w:left w:val="single" w:sz="4" w:space="0" w:color="auto"/>
              <w:bottom w:val="single" w:sz="4" w:space="0" w:color="auto"/>
              <w:right w:val="single" w:sz="4" w:space="0" w:color="000000"/>
            </w:tcBorders>
            <w:vAlign w:val="bottom"/>
            <w:hideMark/>
          </w:tcPr>
          <w:p w14:paraId="510913C3" w14:textId="77777777" w:rsidR="00FB745E" w:rsidRPr="00AC7AC2" w:rsidRDefault="00FB745E" w:rsidP="00B00075">
            <w:pPr>
              <w:spacing w:after="0" w:line="360" w:lineRule="auto"/>
              <w:rPr>
                <w:rFonts w:eastAsia="Times New Roman"/>
                <w:b/>
                <w:bCs/>
                <w:i/>
                <w:iCs/>
                <w:spacing w:val="0"/>
                <w:sz w:val="16"/>
                <w:szCs w:val="16"/>
                <w:lang w:val="es-DO" w:eastAsia="es-DO"/>
              </w:rPr>
            </w:pPr>
            <w:r w:rsidRPr="00AC7AC2">
              <w:rPr>
                <w:rFonts w:eastAsia="Times New Roman"/>
                <w:b/>
                <w:bCs/>
                <w:i/>
                <w:iCs/>
                <w:spacing w:val="0"/>
                <w:sz w:val="18"/>
                <w:szCs w:val="18"/>
                <w:lang w:val="es-DO" w:eastAsia="es-DO"/>
              </w:rPr>
              <w:t>observación: Las litis son notificada a la TN y posteriormente las audiencias son reenviadas varias veces hasta esperar el fallo a favor o en contra.</w:t>
            </w:r>
          </w:p>
        </w:tc>
      </w:tr>
    </w:tbl>
    <w:bookmarkEnd w:id="40"/>
    <w:p w14:paraId="2896797E" w14:textId="58C04AB8" w:rsidR="00916F88" w:rsidRPr="00AC7AC2" w:rsidRDefault="00916F88" w:rsidP="00D64261">
      <w:pPr>
        <w:spacing w:line="360" w:lineRule="auto"/>
        <w:jc w:val="both"/>
        <w:rPr>
          <w:rFonts w:eastAsia="Calibri"/>
          <w:i/>
          <w:iCs/>
          <w:noProof/>
          <w:sz w:val="18"/>
          <w:szCs w:val="18"/>
          <w:lang w:val="es-DO"/>
        </w:rPr>
      </w:pPr>
      <w:r w:rsidRPr="00AC7AC2">
        <w:rPr>
          <w:rFonts w:eastAsia="Calibri"/>
          <w:i/>
          <w:iCs/>
          <w:noProof/>
          <w:sz w:val="18"/>
          <w:szCs w:val="18"/>
          <w:lang w:val="es-DO"/>
        </w:rPr>
        <w:t>Fuente: Departamento Jurídico</w:t>
      </w:r>
    </w:p>
    <w:p w14:paraId="79A0A282" w14:textId="77777777" w:rsidR="005028B7" w:rsidRDefault="005028B7" w:rsidP="00D64261">
      <w:pPr>
        <w:spacing w:line="360" w:lineRule="auto"/>
        <w:jc w:val="both"/>
        <w:rPr>
          <w:rFonts w:eastAsia="Calibri"/>
          <w:b/>
          <w:bCs/>
          <w:noProof/>
          <w:color w:val="4C4747"/>
          <w:lang w:val="es-DO"/>
        </w:rPr>
      </w:pPr>
    </w:p>
    <w:p w14:paraId="7B48794A" w14:textId="77777777" w:rsidR="00643486" w:rsidRDefault="00643486" w:rsidP="00D64261">
      <w:pPr>
        <w:spacing w:line="360" w:lineRule="auto"/>
        <w:jc w:val="both"/>
        <w:rPr>
          <w:rFonts w:eastAsia="Calibri"/>
          <w:b/>
          <w:bCs/>
          <w:noProof/>
          <w:color w:val="4C4747"/>
          <w:lang w:val="es-DO"/>
        </w:rPr>
      </w:pPr>
    </w:p>
    <w:p w14:paraId="191D8943" w14:textId="77777777" w:rsidR="00643486" w:rsidRDefault="00643486" w:rsidP="00D64261">
      <w:pPr>
        <w:spacing w:line="360" w:lineRule="auto"/>
        <w:jc w:val="both"/>
        <w:rPr>
          <w:rFonts w:eastAsia="Calibri"/>
          <w:b/>
          <w:bCs/>
          <w:noProof/>
          <w:color w:val="4C4747"/>
          <w:lang w:val="es-DO"/>
        </w:rPr>
      </w:pPr>
    </w:p>
    <w:p w14:paraId="102B7997" w14:textId="77777777" w:rsidR="00643486" w:rsidRDefault="00643486" w:rsidP="00D64261">
      <w:pPr>
        <w:spacing w:line="360" w:lineRule="auto"/>
        <w:jc w:val="both"/>
        <w:rPr>
          <w:rFonts w:eastAsia="Calibri"/>
          <w:b/>
          <w:bCs/>
          <w:noProof/>
          <w:color w:val="4C4747"/>
          <w:lang w:val="es-DO"/>
        </w:rPr>
      </w:pPr>
    </w:p>
    <w:p w14:paraId="4AA6C7F8" w14:textId="77777777" w:rsidR="00643486" w:rsidRDefault="00643486" w:rsidP="00D64261">
      <w:pPr>
        <w:spacing w:line="360" w:lineRule="auto"/>
        <w:jc w:val="both"/>
        <w:rPr>
          <w:rFonts w:eastAsia="Calibri"/>
          <w:b/>
          <w:bCs/>
          <w:noProof/>
          <w:color w:val="4C4747"/>
          <w:lang w:val="es-DO"/>
        </w:rPr>
      </w:pPr>
    </w:p>
    <w:p w14:paraId="1E748677" w14:textId="77777777" w:rsidR="00643486" w:rsidRDefault="00643486" w:rsidP="00D64261">
      <w:pPr>
        <w:spacing w:line="360" w:lineRule="auto"/>
        <w:jc w:val="both"/>
        <w:rPr>
          <w:rFonts w:eastAsia="Calibri"/>
          <w:b/>
          <w:bCs/>
          <w:noProof/>
          <w:color w:val="4C4747"/>
          <w:lang w:val="es-DO"/>
        </w:rPr>
      </w:pPr>
    </w:p>
    <w:p w14:paraId="6B44681C" w14:textId="77777777" w:rsidR="00643486" w:rsidRDefault="00643486" w:rsidP="00D64261">
      <w:pPr>
        <w:spacing w:line="360" w:lineRule="auto"/>
        <w:jc w:val="both"/>
        <w:rPr>
          <w:rFonts w:eastAsia="Calibri"/>
          <w:b/>
          <w:bCs/>
          <w:noProof/>
          <w:color w:val="4C4747"/>
          <w:lang w:val="es-DO"/>
        </w:rPr>
      </w:pPr>
    </w:p>
    <w:p w14:paraId="4B72B298" w14:textId="77777777" w:rsidR="00643486" w:rsidRDefault="00643486" w:rsidP="00D64261">
      <w:pPr>
        <w:spacing w:line="360" w:lineRule="auto"/>
        <w:jc w:val="both"/>
        <w:rPr>
          <w:rFonts w:eastAsia="Calibri"/>
          <w:b/>
          <w:bCs/>
          <w:noProof/>
          <w:color w:val="4C4747"/>
          <w:lang w:val="es-DO"/>
        </w:rPr>
      </w:pPr>
    </w:p>
    <w:p w14:paraId="779B046C" w14:textId="77777777" w:rsidR="00643486" w:rsidRPr="00916F88" w:rsidRDefault="00643486" w:rsidP="00D64261">
      <w:pPr>
        <w:spacing w:line="360" w:lineRule="auto"/>
        <w:jc w:val="both"/>
        <w:rPr>
          <w:rFonts w:eastAsia="Calibri"/>
          <w:b/>
          <w:bCs/>
          <w:noProof/>
          <w:color w:val="4C4747"/>
          <w:lang w:val="es-DO"/>
        </w:rPr>
      </w:pPr>
    </w:p>
    <w:p w14:paraId="63EDB67D" w14:textId="25F15DBC" w:rsidR="00916F88" w:rsidRPr="00AC7AC2" w:rsidRDefault="00916F88" w:rsidP="00D64261">
      <w:pPr>
        <w:spacing w:line="360" w:lineRule="auto"/>
        <w:jc w:val="center"/>
        <w:rPr>
          <w:rFonts w:eastAsia="Calibri"/>
          <w:b/>
          <w:bCs/>
          <w:noProof/>
          <w:lang w:val="es-DO"/>
        </w:rPr>
      </w:pPr>
      <w:r w:rsidRPr="00AC7AC2">
        <w:rPr>
          <w:rFonts w:eastAsia="Calibri"/>
          <w:b/>
          <w:bCs/>
          <w:noProof/>
          <w:lang w:val="es-DO"/>
        </w:rPr>
        <w:lastRenderedPageBreak/>
        <w:t>Gráfico No. 1</w:t>
      </w:r>
      <w:r w:rsidR="007F0A9B" w:rsidRPr="00AC7AC2">
        <w:rPr>
          <w:rFonts w:eastAsia="Calibri"/>
          <w:b/>
          <w:bCs/>
          <w:noProof/>
          <w:lang w:val="es-DO"/>
        </w:rPr>
        <w:t>5</w:t>
      </w:r>
    </w:p>
    <w:p w14:paraId="317EB3DA" w14:textId="77777777" w:rsidR="00916F88" w:rsidRPr="00AC7AC2" w:rsidRDefault="00916F88" w:rsidP="00D64261">
      <w:pPr>
        <w:spacing w:line="360" w:lineRule="auto"/>
        <w:jc w:val="center"/>
        <w:rPr>
          <w:rFonts w:eastAsia="Calibri"/>
          <w:b/>
          <w:bCs/>
          <w:noProof/>
          <w:lang w:val="es-DO"/>
        </w:rPr>
      </w:pPr>
      <w:r w:rsidRPr="00AC7AC2">
        <w:rPr>
          <w:rFonts w:eastAsia="Calibri"/>
          <w:b/>
          <w:bCs/>
          <w:noProof/>
          <w:lang w:val="es-DO"/>
        </w:rPr>
        <w:t>Tesorería Nacional</w:t>
      </w:r>
    </w:p>
    <w:p w14:paraId="64C66EE3" w14:textId="77777777" w:rsidR="00916F88" w:rsidRPr="00AC7AC2" w:rsidRDefault="00916F88" w:rsidP="00D64261">
      <w:pPr>
        <w:spacing w:line="360" w:lineRule="auto"/>
        <w:jc w:val="center"/>
        <w:rPr>
          <w:rFonts w:eastAsia="Calibri"/>
          <w:b/>
          <w:bCs/>
          <w:noProof/>
          <w:lang w:val="es-DO"/>
        </w:rPr>
      </w:pPr>
      <w:r w:rsidRPr="00AC7AC2">
        <w:rPr>
          <w:rFonts w:eastAsia="Calibri"/>
          <w:noProof/>
        </w:rPr>
        <w:drawing>
          <wp:inline distT="0" distB="0" distL="0" distR="0" wp14:anchorId="21D33D79" wp14:editId="1EBE43F7">
            <wp:extent cx="5136542" cy="3490623"/>
            <wp:effectExtent l="0" t="0" r="6985" b="14605"/>
            <wp:docPr id="191802745" name="Gráfico 1">
              <a:extLst xmlns:a="http://schemas.openxmlformats.org/drawingml/2006/main">
                <a:ext uri="{FF2B5EF4-FFF2-40B4-BE49-F238E27FC236}">
                  <a16:creationId xmlns:a16="http://schemas.microsoft.com/office/drawing/2014/main" id="{D16F5011-968F-C100-A02D-83206160A2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B98D940" w14:textId="77777777" w:rsidR="00916F88" w:rsidRPr="00AC7AC2" w:rsidRDefault="00916F88" w:rsidP="00D64261">
      <w:pPr>
        <w:spacing w:line="360" w:lineRule="auto"/>
        <w:jc w:val="both"/>
        <w:rPr>
          <w:rFonts w:eastAsia="Calibri"/>
          <w:noProof/>
          <w:sz w:val="18"/>
          <w:szCs w:val="18"/>
          <w:lang w:val="es-ES"/>
        </w:rPr>
      </w:pPr>
      <w:r w:rsidRPr="00AC7AC2">
        <w:rPr>
          <w:rFonts w:eastAsia="Calibri"/>
          <w:i/>
          <w:iCs/>
          <w:noProof/>
          <w:sz w:val="18"/>
          <w:szCs w:val="18"/>
          <w:lang w:val="es-DO"/>
        </w:rPr>
        <w:t>Fuente: Departamento Jurídico</w:t>
      </w:r>
    </w:p>
    <w:p w14:paraId="69BA2E42" w14:textId="77777777" w:rsidR="00B046C6" w:rsidRPr="00AC7AC2" w:rsidRDefault="00B046C6" w:rsidP="00D64261">
      <w:pPr>
        <w:spacing w:line="360" w:lineRule="auto"/>
        <w:jc w:val="both"/>
        <w:rPr>
          <w:rFonts w:eastAsia="Calibri"/>
          <w:noProof/>
          <w:lang w:val="es-DO"/>
        </w:rPr>
      </w:pPr>
    </w:p>
    <w:p w14:paraId="44503E1D" w14:textId="77777777" w:rsidR="008209E2" w:rsidRPr="00AC7AC2" w:rsidRDefault="008209E2" w:rsidP="00D64261">
      <w:pPr>
        <w:spacing w:line="360" w:lineRule="auto"/>
        <w:jc w:val="both"/>
        <w:rPr>
          <w:rFonts w:eastAsia="Calibri"/>
          <w:noProof/>
          <w:lang w:val="es-DO"/>
        </w:rPr>
      </w:pPr>
      <w:r w:rsidRPr="00AC7AC2">
        <w:rPr>
          <w:rFonts w:eastAsia="Calibri"/>
          <w:noProof/>
          <w:lang w:val="es-DO"/>
        </w:rPr>
        <w:t xml:space="preserve">4.4 Desempeño de la Tecnología </w:t>
      </w:r>
    </w:p>
    <w:p w14:paraId="4D418701" w14:textId="77777777" w:rsidR="006E74D8" w:rsidRPr="00AC7AC2" w:rsidRDefault="006E74D8" w:rsidP="00D64261">
      <w:pPr>
        <w:spacing w:line="360" w:lineRule="auto"/>
        <w:jc w:val="both"/>
        <w:rPr>
          <w:rFonts w:eastAsia="Calibri"/>
          <w:b/>
          <w:bCs/>
          <w:noProof/>
          <w:lang w:val="es-DO"/>
        </w:rPr>
      </w:pPr>
      <w:r w:rsidRPr="00AC7AC2">
        <w:rPr>
          <w:rFonts w:eastAsia="Calibri"/>
          <w:b/>
          <w:bCs/>
          <w:noProof/>
          <w:lang w:val="es-DO"/>
        </w:rPr>
        <w:t>Infraestructura Tecnológica y Ciberseguridad</w:t>
      </w:r>
    </w:p>
    <w:p w14:paraId="65E50DF9" w14:textId="77777777" w:rsidR="006E74D8" w:rsidRPr="00AC7AC2" w:rsidRDefault="006E74D8" w:rsidP="00D64261">
      <w:pPr>
        <w:spacing w:line="360" w:lineRule="auto"/>
        <w:jc w:val="both"/>
        <w:rPr>
          <w:rFonts w:eastAsia="Calibri"/>
          <w:noProof/>
          <w:lang w:val="es-US"/>
        </w:rPr>
      </w:pPr>
      <w:r w:rsidRPr="00AC7AC2">
        <w:rPr>
          <w:rFonts w:eastAsia="Calibri"/>
          <w:noProof/>
          <w:lang w:val="es-US"/>
        </w:rPr>
        <w:t>La Tesorería Nacional fortaleció significativamente su infraestructura tecnológica y postura de ciberseguridad durante este período, pasando a estar bajo la supervisión directa del CSIRT-RD (Equipo de Respuesta a Incidentes de Seguridad Informática) que pertenece al Centro Nacional de Ciberseguridad (CNCS), lo que representa un avance sustancial en la protección de los activos digitales institucionales.</w:t>
      </w:r>
    </w:p>
    <w:p w14:paraId="1F55F6C8" w14:textId="77777777" w:rsidR="006E74D8" w:rsidRPr="00AC7AC2" w:rsidRDefault="006E74D8" w:rsidP="00D64261">
      <w:pPr>
        <w:spacing w:line="360" w:lineRule="auto"/>
        <w:jc w:val="both"/>
        <w:rPr>
          <w:rFonts w:eastAsia="Calibri"/>
          <w:noProof/>
          <w:lang w:val="es-US"/>
        </w:rPr>
      </w:pPr>
      <w:r w:rsidRPr="00AC7AC2">
        <w:rPr>
          <w:rFonts w:eastAsia="Calibri"/>
          <w:noProof/>
          <w:lang w:val="es-US"/>
        </w:rPr>
        <w:lastRenderedPageBreak/>
        <w:t>Ejecutó una migración integral de la infraestructura de red, transitando de equipamiento Cisco a soluciones Fortinet, lo que incluyó la actualización del firewall perimetral a un FortiGate 200F. Este equipo de última generación proporciona capacidades avanzadas de inspección de tráfico, prevención de intrusiones, filtrado de contenido y protección contra amenazas avanzadas persistentes (APT), elevando considerablemente el nivel de seguridad de la red institucional.</w:t>
      </w:r>
    </w:p>
    <w:p w14:paraId="3FE90AA8" w14:textId="77777777" w:rsidR="006E74D8" w:rsidRPr="00AC7AC2" w:rsidRDefault="006E74D8" w:rsidP="00D64261">
      <w:pPr>
        <w:spacing w:line="360" w:lineRule="auto"/>
        <w:jc w:val="both"/>
        <w:rPr>
          <w:rFonts w:eastAsia="Calibri"/>
          <w:noProof/>
          <w:lang w:val="es-US"/>
        </w:rPr>
      </w:pPr>
      <w:r w:rsidRPr="00AC7AC2">
        <w:rPr>
          <w:rFonts w:eastAsia="Calibri"/>
          <w:noProof/>
          <w:lang w:val="es-US"/>
        </w:rPr>
        <w:t>Como parte de esta modernización, realizó la migración de todos los Access Points (AP) de Cisco a Fortinet, unificando la gestión de la red inalámbrica bajo una única plataforma de seguridad. Esta consolidación permite una administración centralizada, políticas de seguridad consistentes y una visibilidad completa del tráfico de red, tanto cableado como inalámbrico. Implementó la autenticación de doble factor (2FA) mediante Microsoft Authenticator para todos los usuarios de la institución. Esta medida añade una capa crítica de protección que mitiga significativamente los riesgos asociados al robo de credenciales, ataques de phishing y accesos no autorizados, garantizando que solo usuarios legítimos puedan acceder a los sistemas institucionales.</w:t>
      </w:r>
    </w:p>
    <w:p w14:paraId="6A4AAB1E" w14:textId="77777777" w:rsidR="006E74D8" w:rsidRPr="00AC7AC2" w:rsidRDefault="006E74D8" w:rsidP="00D64261">
      <w:pPr>
        <w:spacing w:line="360" w:lineRule="auto"/>
        <w:jc w:val="both"/>
        <w:rPr>
          <w:rFonts w:eastAsia="Calibri"/>
          <w:noProof/>
          <w:lang w:val="es-US"/>
        </w:rPr>
      </w:pPr>
      <w:r w:rsidRPr="00AC7AC2">
        <w:rPr>
          <w:rFonts w:eastAsia="Calibri"/>
          <w:noProof/>
          <w:lang w:val="es-US"/>
        </w:rPr>
        <w:t>En materia de protección de endpoints, realizó la transición de MicroCLAUDIA a Elastic Agent, una solución más robusta que ofrece capacidades ampliadas de detección y respuesta ante amenazas (EDR), monitoreo en tiempo real, análisis de comportamiento y respuesta automatizada ante incidentes de seguridad en los equipos institucionales.</w:t>
      </w:r>
    </w:p>
    <w:p w14:paraId="4D9380CE" w14:textId="77777777" w:rsidR="006E74D8" w:rsidRPr="00AC7AC2" w:rsidRDefault="006E74D8" w:rsidP="00D64261">
      <w:pPr>
        <w:spacing w:line="360" w:lineRule="auto"/>
        <w:jc w:val="both"/>
        <w:rPr>
          <w:rFonts w:eastAsia="Calibri"/>
          <w:noProof/>
          <w:lang w:val="es-US"/>
        </w:rPr>
      </w:pPr>
      <w:r w:rsidRPr="00AC7AC2">
        <w:rPr>
          <w:rFonts w:eastAsia="Calibri"/>
          <w:noProof/>
          <w:lang w:val="es-US"/>
        </w:rPr>
        <w:t xml:space="preserve">Estableció la integración con Cisco Umbrella para la recepción continua de reportes de indicadores de compromiso (IoC), permitiendo a la institución mantener una postura proactiva ante amenazas emergentes mediante la identificación temprana de </w:t>
      </w:r>
      <w:r w:rsidRPr="00AC7AC2">
        <w:rPr>
          <w:rFonts w:eastAsia="Calibri"/>
          <w:noProof/>
          <w:lang w:val="es-US"/>
        </w:rPr>
        <w:lastRenderedPageBreak/>
        <w:t>dominios maliciosos, direcciones IP sospechosas y patrones de ataque conocidos.</w:t>
      </w:r>
    </w:p>
    <w:p w14:paraId="2EC12FAF" w14:textId="77777777" w:rsidR="006E74D8" w:rsidRPr="00AC7AC2" w:rsidRDefault="006E74D8" w:rsidP="00D64261">
      <w:pPr>
        <w:spacing w:line="360" w:lineRule="auto"/>
        <w:jc w:val="both"/>
        <w:rPr>
          <w:rFonts w:eastAsia="Calibri"/>
          <w:noProof/>
          <w:lang w:val="es-US"/>
        </w:rPr>
      </w:pPr>
      <w:r w:rsidRPr="00AC7AC2">
        <w:rPr>
          <w:rFonts w:eastAsia="Calibri"/>
          <w:noProof/>
          <w:lang w:val="es-US"/>
        </w:rPr>
        <w:t>Los portales web institucionales fueron integrados bajo la protección del WAF (Web Application Firewall) del CSIRT, resguardando las aplicaciones públicas contra ataques web comunes como inyección SQL, cross-site scripting (XSS), ataques de denegación de servicio y otras vulnerabilidades del OWASP Top 10.</w:t>
      </w:r>
    </w:p>
    <w:p w14:paraId="444F260A" w14:textId="77777777" w:rsidR="006E74D8" w:rsidRPr="00AC7AC2" w:rsidRDefault="006E74D8" w:rsidP="00D64261">
      <w:pPr>
        <w:spacing w:line="360" w:lineRule="auto"/>
        <w:jc w:val="both"/>
        <w:rPr>
          <w:rFonts w:eastAsia="Calibri"/>
          <w:noProof/>
          <w:lang w:val="es-US"/>
        </w:rPr>
      </w:pPr>
      <w:r w:rsidRPr="00AC7AC2">
        <w:rPr>
          <w:rFonts w:eastAsia="Calibri"/>
          <w:noProof/>
          <w:lang w:val="es-US"/>
        </w:rPr>
        <w:t>Actualizó el sistema de videovigilancia institucional, ejecutando el tendido de cableado estructurado con cable UTP categoría 6 en sustitución del sistema anterior basado en cable coaxial. Esta modernización mejora sustancialmente la calidad de imagen, permite la integración con sistemas de análisis de video y facilita la gestión centralizada de la seguridad física.</w:t>
      </w:r>
    </w:p>
    <w:p w14:paraId="2B7322D4" w14:textId="77777777" w:rsidR="006E74D8" w:rsidRPr="00AC7AC2" w:rsidRDefault="006E74D8" w:rsidP="00D64261">
      <w:pPr>
        <w:spacing w:line="360" w:lineRule="auto"/>
        <w:jc w:val="both"/>
        <w:rPr>
          <w:rFonts w:eastAsia="Calibri"/>
          <w:noProof/>
          <w:lang w:val="es-US"/>
        </w:rPr>
      </w:pPr>
      <w:r w:rsidRPr="00AC7AC2">
        <w:rPr>
          <w:rFonts w:eastAsia="Calibri"/>
          <w:noProof/>
          <w:lang w:val="es-US"/>
        </w:rPr>
        <w:t>Actualizó los sistemas de control de acceso en las áreas estratégicas del Tesorero Nacional, Subtesorero y Auditoría Interna, implementando tecnología más moderna y segura para el control de entrada a estas dependencias críticas.</w:t>
      </w:r>
    </w:p>
    <w:p w14:paraId="7B0BE6A5" w14:textId="77777777" w:rsidR="006E74D8" w:rsidRPr="00AC7AC2" w:rsidRDefault="006E74D8" w:rsidP="00D64261">
      <w:pPr>
        <w:spacing w:line="360" w:lineRule="auto"/>
        <w:jc w:val="both"/>
        <w:rPr>
          <w:rFonts w:eastAsia="Calibri"/>
          <w:noProof/>
          <w:lang w:val="es-US"/>
        </w:rPr>
      </w:pPr>
      <w:r w:rsidRPr="00AC7AC2">
        <w:rPr>
          <w:rFonts w:eastAsia="Calibri"/>
          <w:noProof/>
          <w:lang w:val="es-US"/>
        </w:rPr>
        <w:t>La institución mantuvo vigentes las certificaciones demostrando el compromiso continuo con los estándares de gobierno digital establecidos por la OGTIC.</w:t>
      </w:r>
    </w:p>
    <w:p w14:paraId="129C3AA9" w14:textId="77777777" w:rsidR="006E74D8" w:rsidRPr="00AC7AC2" w:rsidRDefault="006E74D8" w:rsidP="00D64261">
      <w:pPr>
        <w:spacing w:line="360" w:lineRule="auto"/>
        <w:jc w:val="both"/>
        <w:rPr>
          <w:rFonts w:eastAsia="Calibri"/>
          <w:b/>
          <w:bCs/>
          <w:noProof/>
          <w:lang w:val="es-US"/>
        </w:rPr>
      </w:pPr>
      <w:r w:rsidRPr="00AC7AC2">
        <w:rPr>
          <w:rFonts w:eastAsia="Calibri"/>
          <w:b/>
          <w:bCs/>
          <w:noProof/>
          <w:lang w:val="es-US"/>
        </w:rPr>
        <w:t>Desarrollo de Software</w:t>
      </w:r>
    </w:p>
    <w:p w14:paraId="0E831C78" w14:textId="77777777" w:rsidR="006E74D8" w:rsidRPr="00AC7AC2" w:rsidRDefault="006E74D8" w:rsidP="00D64261">
      <w:pPr>
        <w:spacing w:line="360" w:lineRule="auto"/>
        <w:jc w:val="both"/>
        <w:rPr>
          <w:rFonts w:eastAsia="Calibri"/>
          <w:noProof/>
          <w:lang w:val="es-US"/>
        </w:rPr>
      </w:pPr>
      <w:r w:rsidRPr="00AC7AC2">
        <w:rPr>
          <w:rFonts w:eastAsia="Calibri"/>
          <w:noProof/>
          <w:lang w:val="es-US"/>
        </w:rPr>
        <w:t>Digitalizó el servicio de INAVI (Instituto Nacional de la Vivienda), permitiendo que los usuarios de estos servicios puedan realizar sus trámites de manera completamente digital sin necesidad de trasladarse a las oficinas físicas. Esta implementación representa un avance significativo en la simplificación de procesos y mejora de la experiencia ciudadana, eliminando complicaciones burocráticas y reduciendo tiempos de espera.</w:t>
      </w:r>
    </w:p>
    <w:p w14:paraId="56E7EE7A" w14:textId="77777777" w:rsidR="006E74D8" w:rsidRPr="00AC7AC2" w:rsidRDefault="006E74D8" w:rsidP="00D64261">
      <w:pPr>
        <w:spacing w:line="360" w:lineRule="auto"/>
        <w:jc w:val="both"/>
        <w:rPr>
          <w:rFonts w:eastAsia="Calibri"/>
          <w:noProof/>
          <w:lang w:val="es-US"/>
        </w:rPr>
      </w:pPr>
      <w:r w:rsidRPr="00AC7AC2">
        <w:rPr>
          <w:rFonts w:eastAsia="Calibri"/>
          <w:noProof/>
          <w:lang w:val="es-US"/>
        </w:rPr>
        <w:lastRenderedPageBreak/>
        <w:t>Completó la primera fase del desarrollo del sistema para el PACC (Plan Anual de Compras y Contrataciones), herramienta fundamental para la planificación y gestión eficiente de las adquisiciones institucionales, garantizando transparencia y cumplimiento normativo en los procesos de compras públicas.</w:t>
      </w:r>
    </w:p>
    <w:p w14:paraId="1AB491B8" w14:textId="77777777" w:rsidR="006E74D8" w:rsidRPr="00AC7AC2" w:rsidRDefault="006E74D8" w:rsidP="00D64261">
      <w:pPr>
        <w:spacing w:line="360" w:lineRule="auto"/>
        <w:jc w:val="both"/>
        <w:rPr>
          <w:rFonts w:eastAsia="Calibri"/>
          <w:noProof/>
          <w:lang w:val="es-US"/>
        </w:rPr>
      </w:pPr>
      <w:r w:rsidRPr="00AC7AC2">
        <w:rPr>
          <w:rFonts w:eastAsia="Calibri"/>
          <w:noProof/>
          <w:lang w:val="es-US"/>
        </w:rPr>
        <w:t>Generó cambios importantes en el módulo de Inventarios, optimizando los procesos de control, seguimiento y gestión de los activos institucionales, mejorando la trazabilidad y facilitando la toma de decisiones basada en información actualizada y confiable.</w:t>
      </w:r>
    </w:p>
    <w:p w14:paraId="1C46F9B1" w14:textId="77777777" w:rsidR="006E74D8" w:rsidRPr="00AC7AC2" w:rsidRDefault="006E74D8" w:rsidP="00D64261">
      <w:pPr>
        <w:spacing w:line="360" w:lineRule="auto"/>
        <w:jc w:val="both"/>
        <w:rPr>
          <w:rFonts w:eastAsia="Calibri"/>
          <w:noProof/>
          <w:lang w:val="es-US"/>
        </w:rPr>
      </w:pPr>
      <w:r w:rsidRPr="00AC7AC2">
        <w:rPr>
          <w:rFonts w:eastAsia="Calibri"/>
          <w:noProof/>
          <w:lang w:val="es-US"/>
        </w:rPr>
        <w:t>Redujo significativamente los tiempos de entrega de servicios mediante la implementación de Firma Digital de tipo sello institucional para las comunicaciones y certificaciones emitidas a nombre del Tesorero Nacional, en coordinación con la OGTIC, minimizando la dependencia de documentos físicos.</w:t>
      </w:r>
    </w:p>
    <w:p w14:paraId="69E5B777" w14:textId="77777777" w:rsidR="006E74D8" w:rsidRPr="00AC7AC2" w:rsidRDefault="006E74D8" w:rsidP="00D64261">
      <w:pPr>
        <w:spacing w:line="360" w:lineRule="auto"/>
        <w:jc w:val="both"/>
        <w:rPr>
          <w:rFonts w:eastAsia="Calibri"/>
          <w:noProof/>
          <w:lang w:val="es-US"/>
        </w:rPr>
      </w:pPr>
      <w:r w:rsidRPr="00AC7AC2">
        <w:rPr>
          <w:rFonts w:eastAsia="Calibri"/>
          <w:noProof/>
          <w:lang w:val="es-US"/>
        </w:rPr>
        <w:t>Avanzó en la implementación de TRANSDOC Web, la versión web de la plataforma de Transparencia Documental, estableciendo la vinculación con otras instituciones como el Ministerio de Hacienda para gestionar las comunicaciones interinstitucionales a través de la plataforma. Esta integración, complementada con FirmaGOB, permite el intercambio seguro y legalmente válido de documentos oficiales entre entidades gubernamentales, fortaleciendo la interoperabilidad del Estado dominicano.</w:t>
      </w:r>
    </w:p>
    <w:p w14:paraId="1FB43DD3" w14:textId="77777777" w:rsidR="008F7F36" w:rsidRPr="00AC7AC2" w:rsidRDefault="008F7F36" w:rsidP="00D64261">
      <w:pPr>
        <w:spacing w:line="360" w:lineRule="auto"/>
        <w:jc w:val="both"/>
        <w:rPr>
          <w:rFonts w:eastAsia="Calibri"/>
          <w:noProof/>
          <w:lang w:val="es-US"/>
        </w:rPr>
      </w:pPr>
    </w:p>
    <w:p w14:paraId="2CBC4AF7" w14:textId="77777777" w:rsidR="006E74D8" w:rsidRPr="00AC7AC2" w:rsidRDefault="006E74D8" w:rsidP="00D64261">
      <w:pPr>
        <w:spacing w:line="360" w:lineRule="auto"/>
        <w:jc w:val="both"/>
        <w:rPr>
          <w:rFonts w:eastAsia="Calibri"/>
          <w:b/>
          <w:bCs/>
          <w:noProof/>
          <w:lang w:val="es-US"/>
        </w:rPr>
      </w:pPr>
      <w:r w:rsidRPr="00AC7AC2">
        <w:rPr>
          <w:rFonts w:eastAsia="Calibri"/>
          <w:b/>
          <w:bCs/>
          <w:noProof/>
          <w:lang w:val="es-US"/>
        </w:rPr>
        <w:t>Capacitación de Personal</w:t>
      </w:r>
    </w:p>
    <w:p w14:paraId="4E94AD70" w14:textId="77777777" w:rsidR="006E74D8" w:rsidRPr="00AC7AC2" w:rsidRDefault="006E74D8" w:rsidP="00D64261">
      <w:pPr>
        <w:spacing w:line="360" w:lineRule="auto"/>
        <w:jc w:val="both"/>
        <w:rPr>
          <w:rFonts w:eastAsia="Calibri"/>
          <w:noProof/>
          <w:lang w:val="es-US"/>
        </w:rPr>
      </w:pPr>
      <w:r w:rsidRPr="00AC7AC2">
        <w:rPr>
          <w:rFonts w:eastAsia="Calibri"/>
          <w:noProof/>
          <w:lang w:val="es-US"/>
        </w:rPr>
        <w:t xml:space="preserve">La Tesorería Nacional ejecutó un programa integral de capacitación en ciberseguridad para el personal, abarcando temas fundamentales como identificación y prevención de ataques de phishing, ingeniería social, gestión segura de contraseñas y uso adecuado de la autenticación de doble factor. Se realizaron ejercicios prácticos de </w:t>
      </w:r>
      <w:r w:rsidRPr="00AC7AC2">
        <w:rPr>
          <w:rFonts w:eastAsia="Calibri"/>
          <w:noProof/>
          <w:lang w:val="es-US"/>
        </w:rPr>
        <w:lastRenderedPageBreak/>
        <w:t>simulación de ataques para evaluar y fortalecer la capacidad de respuesta del personal ante amenazas reales.</w:t>
      </w:r>
    </w:p>
    <w:p w14:paraId="38CE7502" w14:textId="77777777" w:rsidR="006E74D8" w:rsidRPr="00AC7AC2" w:rsidRDefault="006E74D8" w:rsidP="00D64261">
      <w:pPr>
        <w:spacing w:line="360" w:lineRule="auto"/>
        <w:jc w:val="both"/>
        <w:rPr>
          <w:rFonts w:eastAsia="Calibri"/>
          <w:noProof/>
          <w:lang w:val="es-US"/>
        </w:rPr>
      </w:pPr>
      <w:r w:rsidRPr="00AC7AC2">
        <w:rPr>
          <w:rFonts w:eastAsia="Calibri"/>
          <w:noProof/>
          <w:lang w:val="es-US"/>
        </w:rPr>
        <w:t>Capacitó al equipo técnico en la administración y operación de las nuevas soluciones de seguridad implementadas, incluyendo la plataforma Fortinet (FortiGate 200F y Access Points), Elastic Agent para protección de endpoints, y las herramientas de monitoreo y respuesta ante incidentes del CSIRT.</w:t>
      </w:r>
    </w:p>
    <w:p w14:paraId="636BA6F7" w14:textId="77777777" w:rsidR="006E74D8" w:rsidRPr="00AC7AC2" w:rsidRDefault="006E74D8" w:rsidP="00D64261">
      <w:pPr>
        <w:spacing w:line="360" w:lineRule="auto"/>
        <w:jc w:val="both"/>
        <w:rPr>
          <w:rFonts w:eastAsia="Calibri"/>
          <w:noProof/>
          <w:lang w:val="es-US"/>
        </w:rPr>
      </w:pPr>
      <w:r w:rsidRPr="00AC7AC2">
        <w:rPr>
          <w:rFonts w:eastAsia="Calibri"/>
          <w:noProof/>
          <w:lang w:val="es-US"/>
        </w:rPr>
        <w:t>El personal recibió formación en buenas prácticas de seguridad de la información, clasificación y manejo de datos sensibles, protocolos de respuesta ante incidentes de seguridad y cumplimiento de las políticas institucionales de ciberseguridad, alineadas con los estándares establecidos por el Esquema Nacional de Seguridad.</w:t>
      </w:r>
    </w:p>
    <w:p w14:paraId="642DA9F4" w14:textId="77777777" w:rsidR="00916F88" w:rsidRPr="00AC7AC2" w:rsidRDefault="00916F88" w:rsidP="00D64261">
      <w:pPr>
        <w:spacing w:line="360" w:lineRule="auto"/>
        <w:jc w:val="both"/>
        <w:rPr>
          <w:rFonts w:eastAsia="Calibri"/>
          <w:noProof/>
          <w:highlight w:val="yellow"/>
          <w:lang w:val="es-DO"/>
        </w:rPr>
      </w:pPr>
    </w:p>
    <w:p w14:paraId="6508B688" w14:textId="3F9108EA" w:rsidR="00B046C6" w:rsidRPr="00AC7AC2" w:rsidRDefault="00B046C6" w:rsidP="00D64261">
      <w:pPr>
        <w:spacing w:line="360" w:lineRule="auto"/>
        <w:jc w:val="both"/>
        <w:rPr>
          <w:rFonts w:eastAsia="Calibri"/>
          <w:noProof/>
          <w:highlight w:val="yellow"/>
          <w:lang w:val="es-DO"/>
        </w:rPr>
      </w:pPr>
    </w:p>
    <w:p w14:paraId="2164A2D9" w14:textId="77777777" w:rsidR="008209E2" w:rsidRPr="00AC7AC2" w:rsidRDefault="008209E2" w:rsidP="00D64261">
      <w:pPr>
        <w:spacing w:line="360" w:lineRule="auto"/>
        <w:jc w:val="both"/>
        <w:rPr>
          <w:rFonts w:eastAsia="Calibri"/>
          <w:noProof/>
          <w:lang w:val="es-DO"/>
        </w:rPr>
      </w:pPr>
      <w:r w:rsidRPr="00AC7AC2">
        <w:rPr>
          <w:rFonts w:eastAsia="Calibri"/>
          <w:noProof/>
          <w:lang w:val="es-DO"/>
        </w:rPr>
        <w:t xml:space="preserve">4.5 Desempeño del Sistema de Planificación y Desarrollo Institucional </w:t>
      </w:r>
    </w:p>
    <w:p w14:paraId="65263E66" w14:textId="74169844" w:rsidR="00763CE1" w:rsidRPr="00AC7AC2" w:rsidRDefault="00763CE1" w:rsidP="00D64261">
      <w:pPr>
        <w:spacing w:line="360" w:lineRule="auto"/>
        <w:jc w:val="both"/>
        <w:rPr>
          <w:rFonts w:eastAsia="Calibri"/>
          <w:noProof/>
          <w:lang w:val="es-DO"/>
        </w:rPr>
      </w:pPr>
      <w:r w:rsidRPr="00AC7AC2">
        <w:rPr>
          <w:rFonts w:eastAsia="Calibri"/>
          <w:noProof/>
          <w:lang w:val="es-DO"/>
        </w:rPr>
        <w:t>La Tesorería Nacional formuló el Plan Estratégico Institucional (PEI) 2025-2028 en cumplimiento de los lineamientos del Ministerio de Economía, Planificación y Desarrollo (MEPyD), actualmente Ministerio de Hacienda y Economía. En el mismo aseguró la coherencia con la Estrategia Nacional de Desarrollo 2030, el Plan Nacional Plurianual del Sector Público y los Objetivos de Desarrollo Sostenibles. Este instrumento incorporó nuevos lineamientos, metas y políticas transversales priorizadas: género, cohesión territorial, sostenibilidad ambiental, gestión integral de riesgos, derechos humanos, participación ciudadana y tecnologías de la información y comunicación.</w:t>
      </w:r>
    </w:p>
    <w:p w14:paraId="0734C90B"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lastRenderedPageBreak/>
        <w:t>Desarrolló un proceso metodológico estructurado en cuatro fases. La primera fase incluyó el análisis del marco normativo, la revisión de la misión institucional, la identificación de problemas y la adopción de prioridades estratégicas, complementada con un análisis FODA para evaluar fortalezas, oportunidades, debilidades y amenazas que influyen en la gestión institucional. Esta etapa garantizó la integración de diversas perspectivas mediante reuniones de trabajo y consultas con actores internos y externos (mediante entrevistas, talleres participativos y revisión documental).</w:t>
      </w:r>
    </w:p>
    <w:p w14:paraId="0F115363"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 xml:space="preserve"> En la segunda fase construyó la cadena de valor, definiendo resultados estratégicos e intermedios, indicadores y metas, así como la priorización de estrategias y productos estratégicos.</w:t>
      </w:r>
    </w:p>
    <w:p w14:paraId="3E3B967A" w14:textId="77777777" w:rsidR="00B046C6" w:rsidRPr="00AC7AC2" w:rsidRDefault="00763CE1" w:rsidP="00D64261">
      <w:pPr>
        <w:spacing w:line="360" w:lineRule="auto"/>
        <w:jc w:val="both"/>
        <w:rPr>
          <w:rFonts w:eastAsia="Calibri"/>
          <w:noProof/>
          <w:lang w:val="es-DO"/>
        </w:rPr>
      </w:pPr>
      <w:r w:rsidRPr="00AC7AC2">
        <w:rPr>
          <w:rFonts w:eastAsia="Calibri"/>
          <w:noProof/>
          <w:lang w:val="es-DO"/>
        </w:rPr>
        <w:t xml:space="preserve"> La tercera fase incorporó el análisis de los enfoques de género, sostenibilidad ambiental, cohesión territorial y gestión de riesgos en cada etapa del plan. Finalmente, la cuarta fase permitió estimar los costos unitarios de los productos estratégicos y articular el PEI con el Marco de Gastos de Mediano Plazo.</w:t>
      </w:r>
    </w:p>
    <w:p w14:paraId="54EF3DF4" w14:textId="0C734C1C" w:rsidR="00763CE1" w:rsidRPr="00AC7AC2" w:rsidRDefault="00763CE1" w:rsidP="00D64261">
      <w:pPr>
        <w:spacing w:line="360" w:lineRule="auto"/>
        <w:jc w:val="both"/>
        <w:rPr>
          <w:rFonts w:eastAsia="Calibri"/>
          <w:noProof/>
          <w:lang w:val="es-DO"/>
        </w:rPr>
      </w:pPr>
      <w:r w:rsidRPr="00AC7AC2">
        <w:rPr>
          <w:rFonts w:eastAsia="Calibri"/>
          <w:noProof/>
          <w:lang w:val="es-DO"/>
        </w:rPr>
        <w:t xml:space="preserve">Este proceso se apoya en </w:t>
      </w:r>
      <w:r w:rsidRPr="00AC7AC2">
        <w:rPr>
          <w:rFonts w:eastAsia="Calibri"/>
          <w:b/>
          <w:bCs/>
          <w:noProof/>
          <w:lang w:val="es-DO"/>
        </w:rPr>
        <w:t>herramientas participativas y técnicas</w:t>
      </w:r>
      <w:r w:rsidRPr="00AC7AC2">
        <w:rPr>
          <w:rFonts w:eastAsia="Calibri"/>
          <w:noProof/>
          <w:lang w:val="es-DO"/>
        </w:rPr>
        <w:t>: entrevistas a directivos y técnicos, talleres interdepartamentales, análisis FODA, revisión documental y consultas con actores externos, lo que garantizó la integración de diversas perspectivas mediante la conformación de instancias de trabajo (alto nivel político, coordinación técnica y gestión operativa), asegurando gobernanza y legitimidad. Además, se aplicaron criterios de priorización basados en pertinencia, capacidad institucional y alineación con las políticas nacionales, conforme a la metodología oficial.</w:t>
      </w:r>
    </w:p>
    <w:p w14:paraId="79289BDE" w14:textId="77777777" w:rsidR="00763CE1" w:rsidRPr="00AC7AC2" w:rsidRDefault="00763CE1" w:rsidP="00D64261">
      <w:pPr>
        <w:spacing w:line="360" w:lineRule="auto"/>
        <w:jc w:val="both"/>
        <w:rPr>
          <w:rFonts w:eastAsia="Calibri"/>
          <w:noProof/>
          <w:lang w:val="es-DO"/>
        </w:rPr>
      </w:pPr>
      <w:bookmarkStart w:id="41" w:name="_Hlk214526715"/>
      <w:r w:rsidRPr="00AC7AC2">
        <w:rPr>
          <w:rFonts w:eastAsia="Calibri"/>
          <w:noProof/>
          <w:lang w:val="es-DO"/>
        </w:rPr>
        <w:t xml:space="preserve">El PEI 2025-2028 está orientado a fortalecer la sostenibilidad de las finanzas públicas y consolidar una Tesorería con gestión activa de caja, bajo la conducción de la máxima autoridad, directores, </w:t>
      </w:r>
      <w:r w:rsidRPr="00AC7AC2">
        <w:rPr>
          <w:rFonts w:eastAsia="Calibri"/>
          <w:noProof/>
          <w:lang w:val="es-DO"/>
        </w:rPr>
        <w:lastRenderedPageBreak/>
        <w:t>encargados, técnicos del SIAFE y actores vinculados. El resultado es un Marco Estratégico Institucional que define la misión, visión, valores y ejes estratégicos que guiarán la gestión durante el período.</w:t>
      </w:r>
    </w:p>
    <w:p w14:paraId="25F098DF" w14:textId="77777777" w:rsidR="00763CE1" w:rsidRPr="00AC7AC2" w:rsidRDefault="00763CE1" w:rsidP="00D64261">
      <w:pPr>
        <w:spacing w:line="360" w:lineRule="auto"/>
        <w:jc w:val="both"/>
        <w:rPr>
          <w:rFonts w:eastAsia="Calibri"/>
          <w:b/>
          <w:bCs/>
          <w:noProof/>
          <w:lang w:val="es-DO"/>
        </w:rPr>
      </w:pPr>
      <w:r w:rsidRPr="00AC7AC2">
        <w:rPr>
          <w:rFonts w:eastAsia="Calibri"/>
          <w:noProof/>
          <w:lang w:val="es-DO"/>
        </w:rPr>
        <w:t xml:space="preserve">El PEI 2025-2028 </w:t>
      </w:r>
      <w:bookmarkStart w:id="42" w:name="_Toc210295986"/>
      <w:r w:rsidRPr="00AC7AC2">
        <w:rPr>
          <w:rFonts w:eastAsia="Calibri"/>
          <w:noProof/>
          <w:lang w:val="es-DO"/>
        </w:rPr>
        <w:t>presenta el siguiente Marco Estratégico Institucional:</w:t>
      </w:r>
    </w:p>
    <w:p w14:paraId="1A257B5B" w14:textId="77777777" w:rsidR="00763CE1" w:rsidRPr="00AC7AC2" w:rsidRDefault="00763CE1" w:rsidP="00D64261">
      <w:pPr>
        <w:spacing w:line="360" w:lineRule="auto"/>
        <w:jc w:val="both"/>
        <w:rPr>
          <w:rFonts w:eastAsia="Calibri"/>
          <w:noProof/>
          <w:lang w:val="es-DO"/>
        </w:rPr>
      </w:pPr>
    </w:p>
    <w:p w14:paraId="2AFA0B75" w14:textId="77777777" w:rsidR="00763CE1" w:rsidRPr="00AC7AC2" w:rsidRDefault="00763CE1" w:rsidP="00D64261">
      <w:pPr>
        <w:spacing w:line="360" w:lineRule="auto"/>
        <w:jc w:val="both"/>
        <w:rPr>
          <w:rFonts w:eastAsia="Calibri"/>
          <w:b/>
          <w:bCs/>
          <w:noProof/>
          <w:lang w:val="es-DO"/>
        </w:rPr>
      </w:pPr>
      <w:r w:rsidRPr="00AC7AC2">
        <w:rPr>
          <w:rFonts w:eastAsia="Calibri"/>
          <w:b/>
          <w:bCs/>
          <w:noProof/>
          <w:lang w:val="es-DO"/>
        </w:rPr>
        <w:t>Misión</w:t>
      </w:r>
    </w:p>
    <w:p w14:paraId="55964039"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Administrar los recursos financieros públicos y ejercer la Rectoría del Sistema de Tesorería para contribuir con la sostenibilidad económica.</w:t>
      </w:r>
    </w:p>
    <w:p w14:paraId="2A7CD1CE" w14:textId="77777777" w:rsidR="00B046C6" w:rsidRPr="00AC7AC2" w:rsidRDefault="00B046C6" w:rsidP="00D64261">
      <w:pPr>
        <w:spacing w:line="360" w:lineRule="auto"/>
        <w:jc w:val="both"/>
        <w:rPr>
          <w:rFonts w:eastAsia="Calibri"/>
          <w:noProof/>
          <w:lang w:val="es-DO"/>
        </w:rPr>
      </w:pPr>
    </w:p>
    <w:p w14:paraId="01DA1F4C" w14:textId="77777777" w:rsidR="00763CE1" w:rsidRPr="00AC7AC2" w:rsidRDefault="00763CE1" w:rsidP="00D64261">
      <w:pPr>
        <w:spacing w:line="360" w:lineRule="auto"/>
        <w:jc w:val="both"/>
        <w:rPr>
          <w:rFonts w:eastAsia="Calibri"/>
          <w:b/>
          <w:bCs/>
          <w:noProof/>
          <w:lang w:val="es-DO"/>
        </w:rPr>
      </w:pPr>
      <w:r w:rsidRPr="00AC7AC2">
        <w:rPr>
          <w:rFonts w:eastAsia="Calibri"/>
          <w:b/>
          <w:bCs/>
          <w:noProof/>
          <w:lang w:val="es-DO"/>
        </w:rPr>
        <w:t>Visión</w:t>
      </w:r>
    </w:p>
    <w:p w14:paraId="27EF68B3"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Ser referente en la gestión de finanzas publicas por la excelencia operativa, innovación y buenas prácticas.</w:t>
      </w:r>
    </w:p>
    <w:p w14:paraId="269064D2" w14:textId="77777777" w:rsidR="00763CE1" w:rsidRPr="00AC7AC2" w:rsidRDefault="00763CE1" w:rsidP="00D64261">
      <w:pPr>
        <w:spacing w:line="360" w:lineRule="auto"/>
        <w:jc w:val="both"/>
        <w:rPr>
          <w:rFonts w:eastAsia="Calibri"/>
          <w:noProof/>
          <w:lang w:val="es-DO"/>
        </w:rPr>
      </w:pPr>
    </w:p>
    <w:p w14:paraId="0C78A306" w14:textId="77777777" w:rsidR="00763CE1" w:rsidRPr="00AC7AC2" w:rsidRDefault="00763CE1" w:rsidP="00D64261">
      <w:pPr>
        <w:spacing w:line="360" w:lineRule="auto"/>
        <w:jc w:val="both"/>
        <w:rPr>
          <w:rFonts w:eastAsia="Calibri"/>
          <w:b/>
          <w:bCs/>
          <w:noProof/>
          <w:lang w:val="es-DO"/>
        </w:rPr>
      </w:pPr>
      <w:r w:rsidRPr="00AC7AC2">
        <w:rPr>
          <w:rFonts w:eastAsia="Calibri"/>
          <w:b/>
          <w:bCs/>
          <w:noProof/>
          <w:lang w:val="es-DO"/>
        </w:rPr>
        <w:t>Valores</w:t>
      </w:r>
    </w:p>
    <w:p w14:paraId="0B12C708"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Excelencia: Esmero en lograr niveles óptimos de desempeño sobre la base de los estándares de calidad establecidas.</w:t>
      </w:r>
    </w:p>
    <w:p w14:paraId="6A6A2F52"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 xml:space="preserve">Transparencia:  Exhibir una conducta que tienda a reafirmar la confianza del público en la integridad institucional. </w:t>
      </w:r>
    </w:p>
    <w:p w14:paraId="06A641D5"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 xml:space="preserve">Integridad: Exhibir y promover altos estándares de conducta acorde a los valores y principios éticos. </w:t>
      </w:r>
    </w:p>
    <w:p w14:paraId="33384CDD"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Compromiso: Consecución permanente para lograr nuestros objetivos.</w:t>
      </w:r>
    </w:p>
    <w:p w14:paraId="11E994E0"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lastRenderedPageBreak/>
        <w:t>Equidad: Garantizar para todos un trato justo e imparcial, sin discriminación             alguna.</w:t>
      </w:r>
    </w:p>
    <w:bookmarkEnd w:id="41"/>
    <w:bookmarkEnd w:id="42"/>
    <w:p w14:paraId="49012001"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El Plan Estratégico Institucional presenta cuatro ejes estratégicos para orientarnos en cada objetivo, producto e indicador establecido en el PEI</w:t>
      </w:r>
      <w:bookmarkStart w:id="43" w:name="_Toc210295989"/>
      <w:r w:rsidRPr="00AC7AC2">
        <w:rPr>
          <w:rFonts w:eastAsia="Calibri"/>
          <w:noProof/>
          <w:lang w:val="es-DO"/>
        </w:rPr>
        <w:t>.</w:t>
      </w:r>
    </w:p>
    <w:p w14:paraId="4B359CE8" w14:textId="77777777" w:rsidR="00763CE1" w:rsidRPr="00AC7AC2" w:rsidRDefault="00763CE1" w:rsidP="00D64261">
      <w:pPr>
        <w:spacing w:line="360" w:lineRule="auto"/>
        <w:jc w:val="both"/>
        <w:rPr>
          <w:rFonts w:eastAsia="Calibri"/>
          <w:noProof/>
          <w:lang w:val="es-ES"/>
        </w:rPr>
      </w:pPr>
    </w:p>
    <w:p w14:paraId="62D14240"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 xml:space="preserve">Eje 1. </w:t>
      </w:r>
      <w:r w:rsidRPr="00AC7AC2">
        <w:rPr>
          <w:rFonts w:eastAsia="Calibri"/>
          <w:b/>
          <w:bCs/>
          <w:noProof/>
          <w:lang w:val="es-DO"/>
        </w:rPr>
        <w:t>Fortalecimiento de la Rectoría del Sistema de Tesorería</w:t>
      </w:r>
      <w:r w:rsidRPr="00AC7AC2">
        <w:rPr>
          <w:rFonts w:eastAsia="Calibri"/>
          <w:noProof/>
          <w:lang w:val="es-DO"/>
        </w:rPr>
        <w:tab/>
      </w:r>
    </w:p>
    <w:p w14:paraId="10E78684" w14:textId="77777777" w:rsidR="00763CE1" w:rsidRPr="00AC7AC2" w:rsidRDefault="00763CE1" w:rsidP="004C2709">
      <w:pPr>
        <w:numPr>
          <w:ilvl w:val="0"/>
          <w:numId w:val="24"/>
        </w:numPr>
        <w:spacing w:line="360" w:lineRule="auto"/>
        <w:jc w:val="both"/>
        <w:rPr>
          <w:rFonts w:eastAsia="Calibri"/>
          <w:noProof/>
          <w:lang w:val="es-DO"/>
        </w:rPr>
      </w:pPr>
      <w:r w:rsidRPr="00AC7AC2">
        <w:rPr>
          <w:rFonts w:eastAsia="Calibri"/>
          <w:noProof/>
          <w:lang w:val="es-DO"/>
        </w:rPr>
        <w:t>Consolidar la operatividad de instituciones del Sector Público no Financiero (SPNF) dentro de la Cuenta Única del Tesoro (CUT).</w:t>
      </w:r>
    </w:p>
    <w:p w14:paraId="1D2033B2" w14:textId="77777777" w:rsidR="00763CE1" w:rsidRPr="00AC7AC2" w:rsidRDefault="00763CE1" w:rsidP="004C2709">
      <w:pPr>
        <w:numPr>
          <w:ilvl w:val="0"/>
          <w:numId w:val="24"/>
        </w:numPr>
        <w:spacing w:line="360" w:lineRule="auto"/>
        <w:jc w:val="both"/>
        <w:rPr>
          <w:rFonts w:eastAsia="Calibri"/>
          <w:noProof/>
          <w:lang w:val="es-DO"/>
        </w:rPr>
      </w:pPr>
      <w:r w:rsidRPr="00AC7AC2">
        <w:rPr>
          <w:rFonts w:eastAsia="Calibri"/>
          <w:noProof/>
          <w:lang w:val="es-DO"/>
        </w:rPr>
        <w:t>Apoyar en la gestión para la centralización de recursos mediante la incorporación de proyectos que operaran con financiamiento con Recursos Externos (UEPEX).</w:t>
      </w:r>
    </w:p>
    <w:p w14:paraId="776C00E9" w14:textId="77777777" w:rsidR="00763CE1" w:rsidRPr="00AC7AC2" w:rsidRDefault="00763CE1" w:rsidP="004C2709">
      <w:pPr>
        <w:numPr>
          <w:ilvl w:val="0"/>
          <w:numId w:val="24"/>
        </w:numPr>
        <w:spacing w:line="360" w:lineRule="auto"/>
        <w:jc w:val="both"/>
        <w:rPr>
          <w:rFonts w:eastAsia="Calibri"/>
          <w:noProof/>
          <w:lang w:val="es-DO"/>
        </w:rPr>
      </w:pPr>
      <w:r w:rsidRPr="00AC7AC2">
        <w:rPr>
          <w:rFonts w:eastAsia="Calibri"/>
          <w:noProof/>
          <w:lang w:val="es-DO"/>
        </w:rPr>
        <w:t>Fortalecer la Rectoría del Tesoro mediante el cumplimiento normativo de la Tesorerías Institucionales</w:t>
      </w:r>
    </w:p>
    <w:p w14:paraId="056BF544" w14:textId="77777777" w:rsidR="00763CE1" w:rsidRPr="00AC7AC2" w:rsidRDefault="00763CE1" w:rsidP="004C2709">
      <w:pPr>
        <w:numPr>
          <w:ilvl w:val="0"/>
          <w:numId w:val="24"/>
        </w:numPr>
        <w:spacing w:line="360" w:lineRule="auto"/>
        <w:jc w:val="both"/>
        <w:rPr>
          <w:rFonts w:eastAsia="Calibri"/>
          <w:noProof/>
          <w:lang w:val="es-DO"/>
        </w:rPr>
      </w:pPr>
      <w:r w:rsidRPr="00AC7AC2">
        <w:rPr>
          <w:rFonts w:eastAsia="Calibri"/>
          <w:noProof/>
          <w:lang w:val="es-DO"/>
        </w:rPr>
        <w:t>Crear un sistema de monitoreo y evaluación del cumplimiento normativo para las Tesorerías Institucionales.</w:t>
      </w:r>
    </w:p>
    <w:p w14:paraId="19ACE6AE" w14:textId="77777777" w:rsidR="00763CE1" w:rsidRPr="00AC7AC2" w:rsidRDefault="00763CE1" w:rsidP="004C2709">
      <w:pPr>
        <w:numPr>
          <w:ilvl w:val="0"/>
          <w:numId w:val="24"/>
        </w:numPr>
        <w:spacing w:line="360" w:lineRule="auto"/>
        <w:jc w:val="both"/>
        <w:rPr>
          <w:rFonts w:eastAsia="Calibri"/>
          <w:noProof/>
          <w:lang w:val="es-DO"/>
        </w:rPr>
      </w:pPr>
      <w:r w:rsidRPr="00AC7AC2">
        <w:rPr>
          <w:rFonts w:eastAsia="Calibri"/>
          <w:noProof/>
          <w:lang w:val="es-DO"/>
        </w:rPr>
        <w:t>Administrar los Sistemas de Tesorería y Cuenta Única del Tesoro</w:t>
      </w:r>
    </w:p>
    <w:p w14:paraId="191A64CD" w14:textId="77777777" w:rsidR="00763CE1" w:rsidRPr="00AC7AC2" w:rsidRDefault="00763CE1" w:rsidP="004C2709">
      <w:pPr>
        <w:numPr>
          <w:ilvl w:val="0"/>
          <w:numId w:val="24"/>
        </w:numPr>
        <w:spacing w:line="360" w:lineRule="auto"/>
        <w:jc w:val="both"/>
        <w:rPr>
          <w:rFonts w:eastAsia="Calibri"/>
          <w:noProof/>
          <w:lang w:val="es-DO"/>
        </w:rPr>
      </w:pPr>
      <w:r w:rsidRPr="00AC7AC2">
        <w:rPr>
          <w:rFonts w:eastAsia="Calibri"/>
          <w:noProof/>
          <w:lang w:val="es-DO"/>
        </w:rPr>
        <w:t>Levantar, establecer y documentar las normativas.</w:t>
      </w:r>
    </w:p>
    <w:p w14:paraId="446BBBF6" w14:textId="77777777" w:rsidR="008F7F36" w:rsidRPr="00AC7AC2" w:rsidRDefault="008F7F36" w:rsidP="00D64261">
      <w:pPr>
        <w:spacing w:line="360" w:lineRule="auto"/>
        <w:jc w:val="both"/>
        <w:rPr>
          <w:rFonts w:eastAsia="Calibri"/>
          <w:noProof/>
          <w:lang w:val="es-DO"/>
        </w:rPr>
      </w:pPr>
    </w:p>
    <w:p w14:paraId="2499B9CE" w14:textId="37A4B2CA" w:rsidR="00763CE1" w:rsidRPr="00AC7AC2" w:rsidRDefault="00763CE1" w:rsidP="00D64261">
      <w:pPr>
        <w:spacing w:line="360" w:lineRule="auto"/>
        <w:jc w:val="both"/>
        <w:rPr>
          <w:rFonts w:eastAsia="Calibri"/>
          <w:b/>
          <w:bCs/>
          <w:noProof/>
          <w:lang w:val="es-DO"/>
        </w:rPr>
      </w:pPr>
      <w:r w:rsidRPr="00AC7AC2">
        <w:rPr>
          <w:rFonts w:eastAsia="Calibri"/>
          <w:noProof/>
          <w:lang w:val="es-DO"/>
        </w:rPr>
        <w:t xml:space="preserve">Eje 2. </w:t>
      </w:r>
      <w:r w:rsidRPr="00AC7AC2">
        <w:rPr>
          <w:rFonts w:eastAsia="Calibri"/>
          <w:b/>
          <w:bCs/>
          <w:noProof/>
          <w:lang w:val="es-DO"/>
        </w:rPr>
        <w:t>Programación y Gestión de Caja Activa</w:t>
      </w:r>
      <w:r w:rsidRPr="00AC7AC2">
        <w:rPr>
          <w:rFonts w:eastAsia="Calibri"/>
          <w:b/>
          <w:bCs/>
          <w:noProof/>
          <w:lang w:val="es-DO"/>
        </w:rPr>
        <w:tab/>
      </w:r>
    </w:p>
    <w:p w14:paraId="3879E98E" w14:textId="77777777" w:rsidR="00763CE1" w:rsidRPr="00AC7AC2" w:rsidRDefault="00763CE1" w:rsidP="004C2709">
      <w:pPr>
        <w:numPr>
          <w:ilvl w:val="0"/>
          <w:numId w:val="24"/>
        </w:numPr>
        <w:spacing w:line="360" w:lineRule="auto"/>
        <w:jc w:val="both"/>
        <w:rPr>
          <w:rFonts w:eastAsia="Calibri"/>
          <w:noProof/>
          <w:lang w:val="es-DO"/>
        </w:rPr>
      </w:pPr>
      <w:r w:rsidRPr="00AC7AC2">
        <w:rPr>
          <w:rFonts w:eastAsia="Calibri"/>
          <w:noProof/>
          <w:lang w:val="es-DO"/>
        </w:rPr>
        <w:t>Adecuar el Módulo de Programación Financiera</w:t>
      </w:r>
    </w:p>
    <w:p w14:paraId="3801BEA2" w14:textId="77777777" w:rsidR="00763CE1" w:rsidRPr="00AC7AC2" w:rsidRDefault="00763CE1" w:rsidP="004C2709">
      <w:pPr>
        <w:numPr>
          <w:ilvl w:val="0"/>
          <w:numId w:val="24"/>
        </w:numPr>
        <w:spacing w:line="360" w:lineRule="auto"/>
        <w:jc w:val="both"/>
        <w:rPr>
          <w:rFonts w:eastAsia="Calibri"/>
          <w:noProof/>
          <w:lang w:val="es-DO"/>
        </w:rPr>
      </w:pPr>
      <w:r w:rsidRPr="00AC7AC2">
        <w:rPr>
          <w:rFonts w:eastAsia="Calibri"/>
          <w:noProof/>
          <w:lang w:val="es-DO"/>
        </w:rPr>
        <w:t>Revisar y adecuar el modelo funcional del Módulo de Ingresos en SIGEF 2.0.</w:t>
      </w:r>
    </w:p>
    <w:p w14:paraId="35FB22B8" w14:textId="77777777" w:rsidR="00763CE1" w:rsidRPr="00AC7AC2" w:rsidRDefault="00763CE1" w:rsidP="004C2709">
      <w:pPr>
        <w:numPr>
          <w:ilvl w:val="0"/>
          <w:numId w:val="24"/>
        </w:numPr>
        <w:spacing w:line="360" w:lineRule="auto"/>
        <w:jc w:val="both"/>
        <w:rPr>
          <w:rFonts w:eastAsia="Calibri"/>
          <w:noProof/>
          <w:lang w:val="es-DO"/>
        </w:rPr>
      </w:pPr>
      <w:r w:rsidRPr="00AC7AC2">
        <w:rPr>
          <w:rFonts w:eastAsia="Calibri"/>
          <w:noProof/>
          <w:lang w:val="es-DO"/>
        </w:rPr>
        <w:lastRenderedPageBreak/>
        <w:t>Reducir los pagos realizados mediante cheque, aplicando novedosos mecanismos de pago.</w:t>
      </w:r>
    </w:p>
    <w:p w14:paraId="7E6FCCD3" w14:textId="77777777" w:rsidR="00763CE1" w:rsidRPr="00AC7AC2" w:rsidRDefault="00763CE1" w:rsidP="004C2709">
      <w:pPr>
        <w:numPr>
          <w:ilvl w:val="0"/>
          <w:numId w:val="24"/>
        </w:numPr>
        <w:spacing w:line="360" w:lineRule="auto"/>
        <w:jc w:val="both"/>
        <w:rPr>
          <w:rFonts w:eastAsia="Calibri"/>
          <w:noProof/>
          <w:lang w:val="es-DO"/>
        </w:rPr>
      </w:pPr>
      <w:r w:rsidRPr="00AC7AC2">
        <w:rPr>
          <w:rFonts w:eastAsia="Calibri"/>
          <w:noProof/>
          <w:lang w:val="es-DO"/>
        </w:rPr>
        <w:t>Módulo de Nómina en Moneda Extranjera implementado en el SIGEF.</w:t>
      </w:r>
    </w:p>
    <w:p w14:paraId="2211AEA5" w14:textId="77777777" w:rsidR="00763CE1" w:rsidRPr="00AC7AC2" w:rsidRDefault="00763CE1" w:rsidP="004C2709">
      <w:pPr>
        <w:numPr>
          <w:ilvl w:val="0"/>
          <w:numId w:val="24"/>
        </w:numPr>
        <w:spacing w:line="360" w:lineRule="auto"/>
        <w:jc w:val="both"/>
        <w:rPr>
          <w:rFonts w:eastAsia="Calibri"/>
          <w:noProof/>
          <w:lang w:val="es-DO"/>
        </w:rPr>
      </w:pPr>
      <w:r w:rsidRPr="00AC7AC2">
        <w:rPr>
          <w:rFonts w:eastAsia="Calibri"/>
          <w:noProof/>
          <w:lang w:val="es-DO"/>
        </w:rPr>
        <w:t>Definir plazos para las órdenes de pago en los módulos involucrados en el circuito del pago en el SIGEF.</w:t>
      </w:r>
    </w:p>
    <w:p w14:paraId="1B65AA50" w14:textId="77777777" w:rsidR="00763CE1" w:rsidRPr="00AC7AC2" w:rsidRDefault="00763CE1" w:rsidP="004C2709">
      <w:pPr>
        <w:numPr>
          <w:ilvl w:val="0"/>
          <w:numId w:val="24"/>
        </w:numPr>
        <w:spacing w:line="360" w:lineRule="auto"/>
        <w:jc w:val="both"/>
        <w:rPr>
          <w:rFonts w:eastAsia="Calibri"/>
          <w:noProof/>
          <w:lang w:val="es-DO"/>
        </w:rPr>
      </w:pPr>
      <w:r w:rsidRPr="00AC7AC2">
        <w:rPr>
          <w:rFonts w:eastAsia="Calibri"/>
          <w:noProof/>
          <w:lang w:val="es-DO"/>
        </w:rPr>
        <w:t>Ofrecer a las Instituciones una plataforma que facilite la venta de bienes y servicios y a los ciudadanos el pago de estos servicios.</w:t>
      </w:r>
      <w:r w:rsidRPr="00AC7AC2">
        <w:rPr>
          <w:rFonts w:eastAsia="Calibri"/>
          <w:noProof/>
          <w:lang w:val="es-DO"/>
        </w:rPr>
        <w:tab/>
        <w:t xml:space="preserve"> </w:t>
      </w:r>
    </w:p>
    <w:p w14:paraId="264385A6" w14:textId="77777777" w:rsidR="00763CE1" w:rsidRPr="00AC7AC2" w:rsidRDefault="00763CE1" w:rsidP="004C2709">
      <w:pPr>
        <w:numPr>
          <w:ilvl w:val="0"/>
          <w:numId w:val="24"/>
        </w:numPr>
        <w:spacing w:line="360" w:lineRule="auto"/>
        <w:jc w:val="both"/>
        <w:rPr>
          <w:rFonts w:eastAsia="Calibri"/>
          <w:noProof/>
          <w:lang w:val="es-DO"/>
        </w:rPr>
      </w:pPr>
      <w:r w:rsidRPr="00AC7AC2">
        <w:rPr>
          <w:rFonts w:eastAsia="Calibri"/>
          <w:noProof/>
          <w:lang w:val="es-DO"/>
        </w:rPr>
        <w:t xml:space="preserve"> Definir el modelo conceptual del sistema de gestión de cobranzas.</w:t>
      </w:r>
    </w:p>
    <w:p w14:paraId="076AE8D5" w14:textId="77777777" w:rsidR="00763CE1" w:rsidRPr="00AC7AC2" w:rsidRDefault="00763CE1" w:rsidP="004C2709">
      <w:pPr>
        <w:numPr>
          <w:ilvl w:val="0"/>
          <w:numId w:val="24"/>
        </w:numPr>
        <w:spacing w:line="360" w:lineRule="auto"/>
        <w:jc w:val="both"/>
        <w:rPr>
          <w:rFonts w:eastAsia="Calibri"/>
          <w:noProof/>
          <w:lang w:val="es-DO"/>
        </w:rPr>
      </w:pPr>
      <w:r w:rsidRPr="00AC7AC2">
        <w:rPr>
          <w:rFonts w:eastAsia="Calibri"/>
          <w:noProof/>
          <w:lang w:val="es-DO"/>
        </w:rPr>
        <w:t>Optimizar la liquidez de caja</w:t>
      </w:r>
      <w:r w:rsidRPr="00AC7AC2">
        <w:rPr>
          <w:rFonts w:eastAsia="Calibri"/>
          <w:noProof/>
          <w:lang w:val="es-DO"/>
        </w:rPr>
        <w:tab/>
      </w:r>
      <w:r w:rsidRPr="00AC7AC2">
        <w:rPr>
          <w:rFonts w:eastAsia="Calibri"/>
          <w:noProof/>
          <w:lang w:val="es-DO"/>
        </w:rPr>
        <w:tab/>
      </w:r>
    </w:p>
    <w:p w14:paraId="2B72D759" w14:textId="77777777" w:rsidR="00763CE1" w:rsidRPr="00AC7AC2" w:rsidRDefault="00763CE1" w:rsidP="004C2709">
      <w:pPr>
        <w:numPr>
          <w:ilvl w:val="0"/>
          <w:numId w:val="24"/>
        </w:numPr>
        <w:spacing w:line="360" w:lineRule="auto"/>
        <w:jc w:val="both"/>
        <w:rPr>
          <w:rFonts w:eastAsia="Calibri"/>
          <w:noProof/>
          <w:lang w:val="es-DO"/>
        </w:rPr>
      </w:pPr>
      <w:r w:rsidRPr="00AC7AC2">
        <w:rPr>
          <w:rFonts w:eastAsia="Calibri"/>
          <w:noProof/>
          <w:lang w:val="es-DO"/>
        </w:rPr>
        <w:t>Gestionar la interconexión entre el sistema de la DGII y el SIGEF para la recepción de la información en línea.</w:t>
      </w:r>
    </w:p>
    <w:p w14:paraId="6FBC2C00" w14:textId="77777777" w:rsidR="00763CE1" w:rsidRPr="00AC7AC2" w:rsidRDefault="00763CE1" w:rsidP="00D64261">
      <w:pPr>
        <w:spacing w:line="360" w:lineRule="auto"/>
        <w:jc w:val="both"/>
        <w:rPr>
          <w:rFonts w:eastAsia="Calibri"/>
          <w:noProof/>
          <w:lang w:val="es-DO"/>
        </w:rPr>
      </w:pPr>
    </w:p>
    <w:p w14:paraId="20F0DE75"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 xml:space="preserve">Eje 3. </w:t>
      </w:r>
      <w:r w:rsidRPr="00AC7AC2">
        <w:rPr>
          <w:rFonts w:eastAsia="Calibri"/>
          <w:b/>
          <w:bCs/>
          <w:noProof/>
          <w:lang w:val="es-DO"/>
        </w:rPr>
        <w:t>Excelencia Operativa Integral</w:t>
      </w:r>
      <w:r w:rsidRPr="00AC7AC2">
        <w:rPr>
          <w:rFonts w:eastAsia="Calibri"/>
          <w:b/>
          <w:bCs/>
          <w:noProof/>
          <w:lang w:val="es-DO"/>
        </w:rPr>
        <w:tab/>
      </w:r>
    </w:p>
    <w:p w14:paraId="5392FC0E" w14:textId="77777777" w:rsidR="00763CE1" w:rsidRPr="00AC7AC2" w:rsidRDefault="00763CE1" w:rsidP="004C2709">
      <w:pPr>
        <w:numPr>
          <w:ilvl w:val="0"/>
          <w:numId w:val="24"/>
        </w:numPr>
        <w:spacing w:line="360" w:lineRule="auto"/>
        <w:jc w:val="both"/>
        <w:rPr>
          <w:rFonts w:eastAsia="Calibri"/>
          <w:noProof/>
          <w:lang w:val="es-DO"/>
        </w:rPr>
      </w:pPr>
      <w:r w:rsidRPr="00AC7AC2">
        <w:rPr>
          <w:rFonts w:eastAsia="Calibri"/>
          <w:noProof/>
          <w:lang w:val="es-DO"/>
        </w:rPr>
        <w:t>Establecer una gestión responsable y sostenible, aplicando buenas prácticas en las operaciones de la Tesorería Nacional.</w:t>
      </w:r>
    </w:p>
    <w:p w14:paraId="48DC7EDA" w14:textId="77777777" w:rsidR="00763CE1" w:rsidRPr="00AC7AC2" w:rsidRDefault="00763CE1" w:rsidP="004C2709">
      <w:pPr>
        <w:numPr>
          <w:ilvl w:val="0"/>
          <w:numId w:val="24"/>
        </w:numPr>
        <w:spacing w:line="360" w:lineRule="auto"/>
        <w:jc w:val="both"/>
        <w:rPr>
          <w:rFonts w:eastAsia="Calibri"/>
          <w:noProof/>
          <w:lang w:val="es-DO"/>
        </w:rPr>
      </w:pPr>
      <w:r w:rsidRPr="00AC7AC2">
        <w:rPr>
          <w:rFonts w:eastAsia="Calibri"/>
          <w:noProof/>
          <w:lang w:val="es-DO"/>
        </w:rPr>
        <w:t>Integrar el análisis de riesgos climáticos en planificación y ejecución presupuestaria (PEFA Clima).</w:t>
      </w:r>
    </w:p>
    <w:p w14:paraId="64C03C65" w14:textId="77777777" w:rsidR="00B046C6" w:rsidRPr="00AC7AC2" w:rsidRDefault="00B046C6" w:rsidP="00D64261">
      <w:pPr>
        <w:spacing w:line="360" w:lineRule="auto"/>
        <w:jc w:val="both"/>
        <w:rPr>
          <w:rFonts w:eastAsia="Calibri"/>
          <w:noProof/>
          <w:lang w:val="es-DO"/>
        </w:rPr>
      </w:pPr>
    </w:p>
    <w:p w14:paraId="4DFB3BE6" w14:textId="11898BAE" w:rsidR="00763CE1" w:rsidRPr="00AC7AC2" w:rsidRDefault="00763CE1" w:rsidP="00D64261">
      <w:pPr>
        <w:spacing w:line="360" w:lineRule="auto"/>
        <w:jc w:val="both"/>
        <w:rPr>
          <w:rFonts w:eastAsia="Calibri"/>
          <w:b/>
          <w:bCs/>
          <w:noProof/>
          <w:lang w:val="es-DO"/>
        </w:rPr>
      </w:pPr>
      <w:r w:rsidRPr="00AC7AC2">
        <w:rPr>
          <w:rFonts w:eastAsia="Calibri"/>
          <w:noProof/>
          <w:lang w:val="es-DO"/>
        </w:rPr>
        <w:t xml:space="preserve">Eje 4. </w:t>
      </w:r>
      <w:r w:rsidRPr="00AC7AC2">
        <w:rPr>
          <w:rFonts w:eastAsia="Calibri"/>
          <w:b/>
          <w:bCs/>
          <w:noProof/>
          <w:lang w:val="es-DO"/>
        </w:rPr>
        <w:t>Fortalecimiento Institucional e Innovación</w:t>
      </w:r>
    </w:p>
    <w:p w14:paraId="3A35C411" w14:textId="77777777" w:rsidR="00763CE1" w:rsidRPr="00AC7AC2" w:rsidRDefault="00763CE1" w:rsidP="004C2709">
      <w:pPr>
        <w:numPr>
          <w:ilvl w:val="0"/>
          <w:numId w:val="24"/>
        </w:numPr>
        <w:spacing w:line="360" w:lineRule="auto"/>
        <w:jc w:val="both"/>
        <w:rPr>
          <w:rFonts w:eastAsia="Calibri"/>
          <w:noProof/>
          <w:lang w:val="es-DO"/>
        </w:rPr>
      </w:pPr>
      <w:r w:rsidRPr="00AC7AC2">
        <w:rPr>
          <w:rFonts w:eastAsia="Calibri"/>
          <w:noProof/>
          <w:lang w:val="es-DO"/>
        </w:rPr>
        <w:t>Estabilidad y motivación de los colaboradores, fomentando un sentido de pertenencia que impulse un mayor compromiso con la institución.</w:t>
      </w:r>
    </w:p>
    <w:p w14:paraId="3BAF8E07" w14:textId="77777777" w:rsidR="00763CE1" w:rsidRPr="00AC7AC2" w:rsidRDefault="00763CE1" w:rsidP="004C2709">
      <w:pPr>
        <w:numPr>
          <w:ilvl w:val="0"/>
          <w:numId w:val="24"/>
        </w:numPr>
        <w:spacing w:line="360" w:lineRule="auto"/>
        <w:jc w:val="both"/>
        <w:rPr>
          <w:rFonts w:eastAsia="Calibri"/>
          <w:noProof/>
          <w:lang w:val="es-DO"/>
        </w:rPr>
      </w:pPr>
      <w:r w:rsidRPr="00AC7AC2">
        <w:rPr>
          <w:rFonts w:eastAsia="Calibri"/>
          <w:noProof/>
          <w:lang w:val="es-DO"/>
        </w:rPr>
        <w:lastRenderedPageBreak/>
        <w:t>Posicionar a la Tesorería Nacional como una institución transparente, eficiente y confiable.</w:t>
      </w:r>
    </w:p>
    <w:p w14:paraId="58E871D1" w14:textId="77777777" w:rsidR="00763CE1" w:rsidRPr="00AC7AC2" w:rsidRDefault="00763CE1" w:rsidP="004C2709">
      <w:pPr>
        <w:numPr>
          <w:ilvl w:val="0"/>
          <w:numId w:val="24"/>
        </w:numPr>
        <w:spacing w:line="360" w:lineRule="auto"/>
        <w:jc w:val="both"/>
        <w:rPr>
          <w:rFonts w:eastAsia="Calibri"/>
          <w:noProof/>
          <w:lang w:val="es-DO"/>
        </w:rPr>
      </w:pPr>
      <w:r w:rsidRPr="00AC7AC2">
        <w:rPr>
          <w:rFonts w:eastAsia="Calibri"/>
          <w:noProof/>
          <w:lang w:val="es-DO"/>
        </w:rPr>
        <w:t>Automatizar los procesos internos que impactan los servicios ofrecidos a los usuarios.</w:t>
      </w:r>
    </w:p>
    <w:p w14:paraId="68633F82" w14:textId="77777777" w:rsidR="00763CE1" w:rsidRPr="00AC7AC2" w:rsidRDefault="00763CE1" w:rsidP="004C2709">
      <w:pPr>
        <w:numPr>
          <w:ilvl w:val="0"/>
          <w:numId w:val="24"/>
        </w:numPr>
        <w:spacing w:line="360" w:lineRule="auto"/>
        <w:jc w:val="both"/>
        <w:rPr>
          <w:rFonts w:eastAsia="Calibri"/>
          <w:noProof/>
          <w:lang w:val="es-DO"/>
        </w:rPr>
      </w:pPr>
      <w:r w:rsidRPr="00AC7AC2">
        <w:rPr>
          <w:rFonts w:eastAsia="Calibri"/>
          <w:noProof/>
          <w:lang w:val="es-DO"/>
        </w:rPr>
        <w:t>Implementar nuevas tecnologías para eficientizar los procesos de la Institución</w:t>
      </w:r>
    </w:p>
    <w:p w14:paraId="42883D3C" w14:textId="77777777" w:rsidR="00763CE1" w:rsidRPr="00AC7AC2" w:rsidRDefault="00763CE1" w:rsidP="004C2709">
      <w:pPr>
        <w:numPr>
          <w:ilvl w:val="0"/>
          <w:numId w:val="24"/>
        </w:numPr>
        <w:spacing w:line="360" w:lineRule="auto"/>
        <w:jc w:val="both"/>
        <w:rPr>
          <w:rFonts w:eastAsia="Calibri"/>
          <w:noProof/>
          <w:lang w:val="es-DO"/>
        </w:rPr>
      </w:pPr>
      <w:r w:rsidRPr="00AC7AC2">
        <w:rPr>
          <w:rFonts w:eastAsia="Calibri"/>
          <w:noProof/>
          <w:lang w:val="es-DO"/>
        </w:rPr>
        <w:t>Posicionar a la Tesorería Nacional mediante la automatización de procesos con inteligencia artificial y la adopción de estándares de excelencia.</w:t>
      </w:r>
    </w:p>
    <w:p w14:paraId="7FA20CEC" w14:textId="77777777" w:rsidR="00763CE1" w:rsidRPr="00AC7AC2" w:rsidRDefault="00763CE1" w:rsidP="00D64261">
      <w:pPr>
        <w:spacing w:line="360" w:lineRule="auto"/>
        <w:jc w:val="both"/>
        <w:rPr>
          <w:rFonts w:eastAsia="Calibri"/>
          <w:b/>
          <w:bCs/>
          <w:noProof/>
          <w:lang w:val="es-ES"/>
        </w:rPr>
      </w:pPr>
      <w:r w:rsidRPr="00AC7AC2">
        <w:rPr>
          <w:rFonts w:eastAsia="Calibri"/>
          <w:b/>
          <w:bCs/>
          <w:noProof/>
          <w:lang w:val="es-ES"/>
        </w:rPr>
        <w:t>Lanzamiento del Plan Estratégico Institucional (PEI)</w:t>
      </w:r>
    </w:p>
    <w:p w14:paraId="06D6A9AE"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La Tesorería Nacional celebró el lanzamiento de su Plan Estratégico</w:t>
      </w:r>
      <w:r w:rsidRPr="00AC7AC2">
        <w:rPr>
          <w:rFonts w:eastAsia="Calibri"/>
          <w:b/>
          <w:bCs/>
          <w:noProof/>
          <w:lang w:val="es-DO"/>
        </w:rPr>
        <w:t xml:space="preserve"> </w:t>
      </w:r>
      <w:r w:rsidRPr="00AC7AC2">
        <w:rPr>
          <w:rFonts w:eastAsia="Calibri"/>
          <w:noProof/>
          <w:lang w:val="es-DO"/>
        </w:rPr>
        <w:t>Institucional (PEI) 2025-2028, concebido para impulsar la modernización y el fortalecimiento de la gestión pública.</w:t>
      </w:r>
    </w:p>
    <w:p w14:paraId="74383A12"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El lanzamiento comunica la visión estratégica de la institución y el marco de acción claro para los próximos cuatro años, orientado a la innovación, la sostenibilidad y la excelencia operativa y se difundió ampliamente a través de ruedas de prensa y canales oficiales en redes sociales (Facebook, Instagram y X), consolidando la visibilidad del PEI y su importancia para el futuro de la Tesorería Nacional.</w:t>
      </w:r>
    </w:p>
    <w:p w14:paraId="2C18B7C8" w14:textId="13FD3CE3" w:rsidR="00763CE1" w:rsidRPr="00AC7AC2" w:rsidRDefault="00763CE1" w:rsidP="00D64261">
      <w:pPr>
        <w:spacing w:line="360" w:lineRule="auto"/>
        <w:jc w:val="both"/>
        <w:rPr>
          <w:rFonts w:eastAsia="Calibri"/>
          <w:b/>
          <w:bCs/>
          <w:noProof/>
          <w:lang w:val="es-ES"/>
        </w:rPr>
      </w:pPr>
    </w:p>
    <w:p w14:paraId="4B4F3538" w14:textId="77777777" w:rsidR="00763CE1" w:rsidRPr="00AC7AC2" w:rsidRDefault="00763CE1" w:rsidP="00D64261">
      <w:pPr>
        <w:spacing w:line="360" w:lineRule="auto"/>
        <w:jc w:val="both"/>
        <w:rPr>
          <w:rFonts w:eastAsia="Calibri"/>
          <w:b/>
          <w:bCs/>
          <w:noProof/>
          <w:lang w:val="es-ES"/>
        </w:rPr>
      </w:pPr>
      <w:r w:rsidRPr="00AC7AC2">
        <w:rPr>
          <w:rFonts w:eastAsia="Calibri"/>
          <w:b/>
          <w:bCs/>
          <w:noProof/>
          <w:lang w:val="es-ES"/>
        </w:rPr>
        <w:t>De los Sistemas Integrados de Gestión y partes interesadas</w:t>
      </w:r>
    </w:p>
    <w:p w14:paraId="38B97CB6"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 xml:space="preserve">La Tesorería Nacional actualizó la matriz de partes interesadas, alineada al Sistema de Gestión Integrado, para el desarrollo de estrategias de gestión con las partes interesadas, para el período 2026. </w:t>
      </w:r>
    </w:p>
    <w:p w14:paraId="3EF22404"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 xml:space="preserve">De estas actualizaciones surgió la urgencia de modificar la Matriz de Riesgos y Oportunidades, la misma tiene como finalidad proporcionar </w:t>
      </w:r>
      <w:r w:rsidRPr="00AC7AC2">
        <w:rPr>
          <w:rFonts w:eastAsia="Calibri"/>
          <w:noProof/>
          <w:lang w:val="es-DO"/>
        </w:rPr>
        <w:lastRenderedPageBreak/>
        <w:t xml:space="preserve">una herramienta más efectiva para identificar, evaluar, mitigar o asumir los riesgos potenciales que podrían afectar el excelente desempeño de los procesos, planes y proyectos de la institución.  </w:t>
      </w:r>
    </w:p>
    <w:p w14:paraId="6A5C7562"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La Tesorería Nacional, modificó la matriz de partes interesadas para identificar y analizar cómo estas pueden influir o verse afectadas por la institución, la matriz de partes interesadas incluyó individuos, grupos, organizaciones o entidades que tienen algún interés, preocupación, influencia o impacto en su relación con la institución. Esta matriz proporciona una visión clara de quiénes son las partes interesadas más importantes y cómo gestionarlas de manera efectiva para maximizar el éxito de los objetivos institucionales. Además, puede servir como base para desarrollar estrategias de gestión de relaciones con las partes interesadas y planes de comunicación.</w:t>
      </w:r>
      <w:bookmarkEnd w:id="43"/>
    </w:p>
    <w:p w14:paraId="781018D3" w14:textId="77777777" w:rsidR="00763CE1" w:rsidRPr="00AC7AC2" w:rsidRDefault="00763CE1" w:rsidP="00D64261">
      <w:pPr>
        <w:spacing w:line="360" w:lineRule="auto"/>
        <w:jc w:val="both"/>
        <w:rPr>
          <w:rFonts w:eastAsia="Calibri"/>
          <w:noProof/>
          <w:lang w:val="es-DO"/>
        </w:rPr>
      </w:pPr>
    </w:p>
    <w:p w14:paraId="264097C1" w14:textId="130B6815" w:rsidR="00763CE1" w:rsidRPr="00AC7AC2" w:rsidRDefault="00763CE1" w:rsidP="00D64261">
      <w:pPr>
        <w:spacing w:line="360" w:lineRule="auto"/>
        <w:jc w:val="both"/>
        <w:rPr>
          <w:rFonts w:eastAsia="Calibri"/>
          <w:b/>
          <w:bCs/>
          <w:noProof/>
          <w:lang w:val="es-ES"/>
        </w:rPr>
      </w:pPr>
      <w:r w:rsidRPr="00AC7AC2">
        <w:rPr>
          <w:rFonts w:eastAsia="Calibri"/>
          <w:b/>
          <w:bCs/>
          <w:noProof/>
          <w:lang w:val="es-ES"/>
        </w:rPr>
        <w:t>Sistema de Monitoreo y Medición de la Gestión Pública (SMMGP)</w:t>
      </w:r>
    </w:p>
    <w:p w14:paraId="170A9E7C"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La Tesorería Nacional, en cumplimiento con las normativas establecidas por el Sistema de Monitoreo y Medición de la Gestión Pública (SMMGP), para fortalecer la transparencia, la eficiencia y la mejora continua en la gestión pública, se apoya en esta herramienta para medir su desempeño periódico y cumplir con la excelencia operativa y la rendición de cuentas.</w:t>
      </w:r>
    </w:p>
    <w:p w14:paraId="0D6EA695"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 xml:space="preserve">Para el año 2025, la Tesorería Nacional alcanzó los siguientes puntajes en los indicadores definidos por el Sistema de Monitoreo y Medición de la Gestión Pública (SMMGP):  </w:t>
      </w:r>
    </w:p>
    <w:p w14:paraId="68F96A0F" w14:textId="77777777" w:rsidR="00763CE1" w:rsidRPr="00AC7AC2" w:rsidRDefault="00763CE1" w:rsidP="00D64261">
      <w:pPr>
        <w:spacing w:line="360" w:lineRule="auto"/>
        <w:jc w:val="both"/>
        <w:rPr>
          <w:rFonts w:eastAsia="Calibri"/>
          <w:noProof/>
          <w:lang w:val="es-DO"/>
        </w:rPr>
      </w:pPr>
    </w:p>
    <w:p w14:paraId="4366A9AD"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Normas Básicas de Control Interno (NOBACI)</w:t>
      </w:r>
    </w:p>
    <w:p w14:paraId="54881EB9"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 xml:space="preserve">La Tesorería Nacional logró una puntuación de 98.40% para el trimestre Julio-Septiembre, en el nivel de implementación de las </w:t>
      </w:r>
      <w:r w:rsidRPr="00AC7AC2">
        <w:rPr>
          <w:rFonts w:eastAsia="Calibri"/>
          <w:noProof/>
          <w:lang w:val="es-DO"/>
        </w:rPr>
        <w:lastRenderedPageBreak/>
        <w:t xml:space="preserve">Normas Básicas de Control Interno de la Contraloría General de la República (CGR), sin embargo, destacamos que, a razón de la carga de la actualización de la Política de Acciones Correctivas y Preventivas, cuyo documento abarca la elaboración de informes sobre inconsistencias y/o errores detectados en sistemas y procesos internos la puntuación promedio de este indicador es de </w:t>
      </w:r>
      <w:r w:rsidRPr="00AC7AC2">
        <w:rPr>
          <w:rFonts w:eastAsia="Calibri"/>
          <w:b/>
          <w:bCs/>
          <w:noProof/>
          <w:lang w:val="es-DO"/>
        </w:rPr>
        <w:t>96.84%</w:t>
      </w:r>
      <w:r w:rsidRPr="00AC7AC2">
        <w:rPr>
          <w:rFonts w:eastAsia="Calibri"/>
          <w:noProof/>
          <w:lang w:val="es-DO"/>
        </w:rPr>
        <w:t xml:space="preserve">. </w:t>
      </w:r>
    </w:p>
    <w:p w14:paraId="050F86FD"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Índice de Control Interno (ICI)</w:t>
      </w:r>
    </w:p>
    <w:p w14:paraId="3FBA3AFA"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 xml:space="preserve">La Tesorería Nacional logró una puntuación promedio de </w:t>
      </w:r>
      <w:r w:rsidRPr="00AC7AC2">
        <w:rPr>
          <w:rFonts w:eastAsia="Calibri"/>
          <w:b/>
          <w:bCs/>
          <w:noProof/>
          <w:lang w:val="es-DO"/>
        </w:rPr>
        <w:t xml:space="preserve">96.49% </w:t>
      </w:r>
      <w:r w:rsidRPr="00AC7AC2">
        <w:rPr>
          <w:rFonts w:eastAsia="Calibri"/>
          <w:noProof/>
          <w:lang w:val="es-DO"/>
        </w:rPr>
        <w:t>para el año 2025 a través del reporte de evidencias periódicas en los indicadores del Diseño, Documentación y Eficacia del Sistema de Control Interno.</w:t>
      </w:r>
    </w:p>
    <w:p w14:paraId="667562F5"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 xml:space="preserve">Índice de Gestión Presupuestaria (IGP) </w:t>
      </w:r>
    </w:p>
    <w:p w14:paraId="40623E8D"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 xml:space="preserve">La Tesorería Nacional alcanzó un promedio de </w:t>
      </w:r>
      <w:r w:rsidRPr="00AC7AC2">
        <w:rPr>
          <w:rFonts w:eastAsia="Calibri"/>
          <w:b/>
          <w:bCs/>
          <w:noProof/>
          <w:lang w:val="es-DO"/>
        </w:rPr>
        <w:t>84.33%</w:t>
      </w:r>
      <w:r w:rsidRPr="00AC7AC2">
        <w:rPr>
          <w:rFonts w:eastAsia="Calibri"/>
          <w:noProof/>
          <w:lang w:val="es-DO"/>
        </w:rPr>
        <w:t xml:space="preserve"> para el año 2025, en la medición periódica de la gestión presupuestaria, en cumplimiento con la aplicación de normativas vigentes y buenas prácticas presupuestarias. </w:t>
      </w:r>
    </w:p>
    <w:p w14:paraId="14067022"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Indicador de Uso del Sistema Nacional de Compras y Contrataciones (SISCOMPRAS)</w:t>
      </w:r>
    </w:p>
    <w:p w14:paraId="560871B6"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 xml:space="preserve">La Tesorería Nacional obtuvo una calificación promedio de </w:t>
      </w:r>
      <w:r w:rsidRPr="00AC7AC2">
        <w:rPr>
          <w:rFonts w:eastAsia="Calibri"/>
          <w:b/>
          <w:bCs/>
          <w:noProof/>
          <w:lang w:val="es-DO"/>
        </w:rPr>
        <w:t xml:space="preserve">95.65%, </w:t>
      </w:r>
      <w:r w:rsidRPr="00AC7AC2">
        <w:rPr>
          <w:rFonts w:eastAsia="Calibri"/>
          <w:noProof/>
          <w:lang w:val="es-DO"/>
        </w:rPr>
        <w:t>en el sistema de medición de cumplimiento de la Ley 340-06 sobre Compras y Contrataciones de Bienes, Servicios, Obras y Concesiones</w:t>
      </w:r>
      <w:r w:rsidRPr="00AC7AC2">
        <w:rPr>
          <w:rFonts w:eastAsia="Calibri"/>
          <w:b/>
          <w:bCs/>
          <w:noProof/>
          <w:lang w:val="es-DO"/>
        </w:rPr>
        <w:t>.</w:t>
      </w:r>
    </w:p>
    <w:p w14:paraId="1CFF3726"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Sistema de Monitoreo de la Administración Pública (SISMAP)</w:t>
      </w:r>
    </w:p>
    <w:p w14:paraId="05F37317" w14:textId="07A4A04E" w:rsidR="00763CE1" w:rsidRPr="00AC7AC2" w:rsidRDefault="00763CE1" w:rsidP="00D64261">
      <w:pPr>
        <w:spacing w:line="360" w:lineRule="auto"/>
        <w:jc w:val="both"/>
        <w:rPr>
          <w:rFonts w:eastAsia="Calibri"/>
          <w:noProof/>
          <w:lang w:val="es-DO"/>
        </w:rPr>
      </w:pPr>
      <w:r w:rsidRPr="00AC7AC2">
        <w:rPr>
          <w:rFonts w:eastAsia="Calibri"/>
          <w:noProof/>
          <w:lang w:val="es-DO"/>
        </w:rPr>
        <w:t xml:space="preserve">La Tesorería Nacional logró una calificación promedio de </w:t>
      </w:r>
      <w:r w:rsidR="00003793">
        <w:rPr>
          <w:rFonts w:eastAsia="Calibri"/>
          <w:b/>
          <w:bCs/>
          <w:noProof/>
          <w:lang w:val="es-DO"/>
        </w:rPr>
        <w:t>87</w:t>
      </w:r>
      <w:r w:rsidRPr="00AC7AC2">
        <w:rPr>
          <w:rFonts w:eastAsia="Calibri"/>
          <w:b/>
          <w:bCs/>
          <w:noProof/>
          <w:lang w:val="es-DO"/>
        </w:rPr>
        <w:t>.</w:t>
      </w:r>
      <w:r w:rsidR="00003793">
        <w:rPr>
          <w:rFonts w:eastAsia="Calibri"/>
          <w:b/>
          <w:bCs/>
          <w:noProof/>
          <w:lang w:val="es-DO"/>
        </w:rPr>
        <w:t>15</w:t>
      </w:r>
      <w:r w:rsidRPr="00AC7AC2">
        <w:rPr>
          <w:rFonts w:eastAsia="Calibri"/>
          <w:b/>
          <w:bCs/>
          <w:noProof/>
          <w:lang w:val="es-DO"/>
        </w:rPr>
        <w:t>%</w:t>
      </w:r>
      <w:r w:rsidRPr="00AC7AC2">
        <w:rPr>
          <w:rFonts w:eastAsia="Calibri"/>
          <w:noProof/>
          <w:lang w:val="es-DO"/>
        </w:rPr>
        <w:t xml:space="preserve"> de avance, en el sistema de monitoreo para medir los niveles de desarrollo de la gestión pública.</w:t>
      </w:r>
    </w:p>
    <w:p w14:paraId="6792FB5D"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Índice de Transparencia Gubernamental Estandarizado</w:t>
      </w:r>
    </w:p>
    <w:p w14:paraId="0CC21FF7"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lastRenderedPageBreak/>
        <w:t xml:space="preserve">La Tesorería Nacional logró un promedio de </w:t>
      </w:r>
      <w:r w:rsidRPr="00AC7AC2">
        <w:rPr>
          <w:rFonts w:eastAsia="Calibri"/>
          <w:b/>
          <w:bCs/>
          <w:noProof/>
          <w:lang w:val="es-DO"/>
        </w:rPr>
        <w:t>99.09%</w:t>
      </w:r>
      <w:r w:rsidRPr="00AC7AC2">
        <w:rPr>
          <w:rFonts w:eastAsia="Calibri"/>
          <w:noProof/>
          <w:lang w:val="es-DO"/>
        </w:rPr>
        <w:t xml:space="preserve">, en cumplimiento con la Dirección General de Ética e Integridad Gubernamental (DIGEIG) por la actualización oportuna del portal web institucional con las informaciones de la institución para el acceso a todos los ciudadanos. </w:t>
      </w:r>
    </w:p>
    <w:p w14:paraId="0E50FFE7"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Sistema de Medición Continua de Avance TIC y e-Gobierno (SISTICGE)</w:t>
      </w:r>
    </w:p>
    <w:p w14:paraId="0DBC8B21" w14:textId="3DD9D2A5" w:rsidR="008417DC" w:rsidRPr="00AC7AC2" w:rsidRDefault="00763CE1" w:rsidP="00D64261">
      <w:pPr>
        <w:spacing w:line="360" w:lineRule="auto"/>
        <w:jc w:val="both"/>
        <w:rPr>
          <w:rFonts w:eastAsia="Calibri"/>
          <w:noProof/>
          <w:lang w:val="es-DO"/>
        </w:rPr>
      </w:pPr>
      <w:r w:rsidRPr="00AC7AC2">
        <w:rPr>
          <w:rFonts w:eastAsia="Calibri"/>
          <w:noProof/>
          <w:lang w:val="es-DO"/>
        </w:rPr>
        <w:t xml:space="preserve">Durante el año 2025 la puntuación se mantuvo en un </w:t>
      </w:r>
      <w:r w:rsidRPr="00AC7AC2">
        <w:rPr>
          <w:rFonts w:eastAsia="Calibri"/>
          <w:b/>
          <w:bCs/>
          <w:noProof/>
          <w:lang w:val="es-DO"/>
        </w:rPr>
        <w:t>77.13%</w:t>
      </w:r>
      <w:r w:rsidRPr="00AC7AC2">
        <w:rPr>
          <w:rFonts w:eastAsia="Calibri"/>
          <w:noProof/>
          <w:lang w:val="es-DO"/>
        </w:rPr>
        <w:t>, donde se mide el uso de las nuevas tecnologías, el Gobierno electrónico y los servicios en línea, enfocados principalmente en los servicios ciudadanos, la eficiencia interna y la transparencia en las instituciones públicas.</w:t>
      </w:r>
    </w:p>
    <w:p w14:paraId="1B793EE6" w14:textId="77777777" w:rsidR="00B046C6" w:rsidRPr="00AC7AC2" w:rsidRDefault="00B046C6" w:rsidP="00D64261">
      <w:pPr>
        <w:spacing w:line="360" w:lineRule="auto"/>
        <w:jc w:val="both"/>
        <w:rPr>
          <w:rFonts w:eastAsia="Calibri"/>
          <w:noProof/>
          <w:lang w:val="es-DO"/>
        </w:rPr>
      </w:pPr>
    </w:p>
    <w:p w14:paraId="117F59E6" w14:textId="264DECB1" w:rsidR="008417DC" w:rsidRPr="00AC7AC2" w:rsidRDefault="008417DC" w:rsidP="00D64261">
      <w:pPr>
        <w:spacing w:after="0" w:line="360" w:lineRule="auto"/>
        <w:jc w:val="center"/>
        <w:rPr>
          <w:rFonts w:eastAsia="Calibri"/>
          <w:b/>
          <w:bCs/>
          <w:noProof/>
          <w:lang w:val="es-DO"/>
        </w:rPr>
      </w:pPr>
      <w:r w:rsidRPr="00AC7AC2">
        <w:rPr>
          <w:rFonts w:eastAsia="Calibri"/>
          <w:b/>
          <w:bCs/>
          <w:noProof/>
          <w:lang w:val="es-DO"/>
        </w:rPr>
        <w:t>Cuadro No.</w:t>
      </w:r>
      <w:r w:rsidR="008D7279" w:rsidRPr="00AC7AC2">
        <w:rPr>
          <w:rFonts w:eastAsia="Calibri"/>
          <w:b/>
          <w:bCs/>
          <w:noProof/>
          <w:lang w:val="es-DO"/>
        </w:rPr>
        <w:t xml:space="preserve"> 47</w:t>
      </w:r>
    </w:p>
    <w:p w14:paraId="003C34A4" w14:textId="72B06EA8" w:rsidR="008417DC" w:rsidRPr="00AC7AC2" w:rsidRDefault="008417DC" w:rsidP="00D64261">
      <w:pPr>
        <w:spacing w:after="0" w:line="360" w:lineRule="auto"/>
        <w:jc w:val="center"/>
        <w:rPr>
          <w:rFonts w:eastAsia="Calibri"/>
          <w:b/>
          <w:bCs/>
          <w:noProof/>
          <w:lang w:val="es-DO"/>
        </w:rPr>
      </w:pPr>
      <w:r w:rsidRPr="00AC7AC2">
        <w:rPr>
          <w:rFonts w:eastAsia="Calibri"/>
          <w:b/>
          <w:bCs/>
          <w:noProof/>
          <w:lang w:val="es-DO"/>
        </w:rPr>
        <w:t>Tesorería Nacional</w:t>
      </w:r>
    </w:p>
    <w:tbl>
      <w:tblPr>
        <w:tblW w:w="6896" w:type="dxa"/>
        <w:jc w:val="center"/>
        <w:tblLook w:val="04A0" w:firstRow="1" w:lastRow="0" w:firstColumn="1" w:lastColumn="0" w:noHBand="0" w:noVBand="1"/>
      </w:tblPr>
      <w:tblGrid>
        <w:gridCol w:w="4341"/>
        <w:gridCol w:w="2555"/>
      </w:tblGrid>
      <w:tr w:rsidR="00763CE1" w:rsidRPr="00B47076" w14:paraId="1192560C" w14:textId="77777777" w:rsidTr="0078170D">
        <w:trPr>
          <w:trHeight w:val="1023"/>
          <w:tblHeader/>
          <w:jc w:val="center"/>
        </w:trPr>
        <w:tc>
          <w:tcPr>
            <w:tcW w:w="6896" w:type="dxa"/>
            <w:gridSpan w:val="2"/>
            <w:tcBorders>
              <w:top w:val="single" w:sz="4" w:space="0" w:color="auto"/>
              <w:left w:val="single" w:sz="4" w:space="0" w:color="auto"/>
              <w:bottom w:val="single" w:sz="4" w:space="0" w:color="auto"/>
              <w:right w:val="single" w:sz="4" w:space="0" w:color="auto"/>
            </w:tcBorders>
            <w:shd w:val="clear" w:color="000000" w:fill="011C50"/>
            <w:vAlign w:val="center"/>
            <w:hideMark/>
          </w:tcPr>
          <w:p w14:paraId="4F94912D" w14:textId="77777777" w:rsidR="00763CE1" w:rsidRPr="00763CE1" w:rsidRDefault="00763CE1" w:rsidP="00D64261">
            <w:pPr>
              <w:spacing w:line="360" w:lineRule="auto"/>
              <w:jc w:val="both"/>
              <w:rPr>
                <w:rFonts w:eastAsia="Calibri"/>
                <w:b/>
                <w:bCs/>
                <w:noProof/>
                <w:color w:val="FFFFFF" w:themeColor="background1"/>
                <w:lang w:val="es-419"/>
              </w:rPr>
            </w:pPr>
            <w:r w:rsidRPr="00763CE1">
              <w:rPr>
                <w:rFonts w:eastAsia="Calibri"/>
                <w:b/>
                <w:bCs/>
                <w:noProof/>
                <w:color w:val="FFFFFF" w:themeColor="background1"/>
                <w:lang w:val="es-DO"/>
              </w:rPr>
              <w:br w:type="page"/>
            </w:r>
            <w:bookmarkStart w:id="44" w:name="_Hlk171351180"/>
            <w:r w:rsidRPr="00763CE1">
              <w:rPr>
                <w:rFonts w:eastAsia="Calibri"/>
                <w:b/>
                <w:bCs/>
                <w:noProof/>
                <w:color w:val="FFFFFF" w:themeColor="background1"/>
                <w:lang w:val="es-DO"/>
              </w:rPr>
              <w:t xml:space="preserve">Indicadores del Sistema de Monitoreo y Medición de la Gestión Pública (SMMGP) </w:t>
            </w:r>
          </w:p>
        </w:tc>
      </w:tr>
      <w:tr w:rsidR="00763CE1" w:rsidRPr="00763CE1" w14:paraId="20B8932A" w14:textId="77777777" w:rsidTr="0078170D">
        <w:trPr>
          <w:trHeight w:val="458"/>
          <w:tblHeader/>
          <w:jc w:val="center"/>
        </w:trPr>
        <w:tc>
          <w:tcPr>
            <w:tcW w:w="4341" w:type="dxa"/>
            <w:vMerge w:val="restart"/>
            <w:tcBorders>
              <w:top w:val="nil"/>
              <w:left w:val="single" w:sz="4" w:space="0" w:color="auto"/>
              <w:bottom w:val="single" w:sz="4" w:space="0" w:color="auto"/>
              <w:right w:val="single" w:sz="4" w:space="0" w:color="auto"/>
            </w:tcBorders>
            <w:shd w:val="clear" w:color="000000" w:fill="436EBE"/>
            <w:noWrap/>
            <w:vAlign w:val="center"/>
            <w:hideMark/>
          </w:tcPr>
          <w:p w14:paraId="35FBD703" w14:textId="77777777" w:rsidR="00763CE1" w:rsidRPr="00763CE1" w:rsidRDefault="00763CE1" w:rsidP="00D64261">
            <w:pPr>
              <w:spacing w:line="360" w:lineRule="auto"/>
              <w:jc w:val="both"/>
              <w:rPr>
                <w:rFonts w:eastAsia="Calibri"/>
                <w:noProof/>
                <w:color w:val="FFFFFF" w:themeColor="background1"/>
                <w:lang w:val="es-DO"/>
              </w:rPr>
            </w:pPr>
            <w:r w:rsidRPr="00763CE1">
              <w:rPr>
                <w:rFonts w:eastAsia="Calibri"/>
                <w:noProof/>
                <w:color w:val="FFFFFF" w:themeColor="background1"/>
                <w:lang w:val="es-DO"/>
              </w:rPr>
              <w:t>Indicador</w:t>
            </w:r>
          </w:p>
        </w:tc>
        <w:tc>
          <w:tcPr>
            <w:tcW w:w="2555" w:type="dxa"/>
            <w:vMerge w:val="restart"/>
            <w:tcBorders>
              <w:top w:val="nil"/>
              <w:left w:val="single" w:sz="4" w:space="0" w:color="auto"/>
              <w:bottom w:val="single" w:sz="4" w:space="0" w:color="auto"/>
              <w:right w:val="single" w:sz="4" w:space="0" w:color="auto"/>
            </w:tcBorders>
            <w:shd w:val="clear" w:color="000000" w:fill="436EBE"/>
            <w:vAlign w:val="center"/>
            <w:hideMark/>
          </w:tcPr>
          <w:p w14:paraId="197460F7" w14:textId="77777777" w:rsidR="00763CE1" w:rsidRPr="00763CE1" w:rsidRDefault="00763CE1" w:rsidP="00D64261">
            <w:pPr>
              <w:spacing w:line="360" w:lineRule="auto"/>
              <w:jc w:val="both"/>
              <w:rPr>
                <w:rFonts w:eastAsia="Calibri"/>
                <w:noProof/>
                <w:color w:val="FFFFFF" w:themeColor="background1"/>
                <w:lang w:val="es-DO"/>
              </w:rPr>
            </w:pPr>
            <w:r w:rsidRPr="00763CE1">
              <w:rPr>
                <w:rFonts w:eastAsia="Calibri"/>
                <w:noProof/>
                <w:color w:val="FFFFFF" w:themeColor="background1"/>
                <w:lang w:val="es-DO"/>
              </w:rPr>
              <w:t>Periodo de Evaluación 2025</w:t>
            </w:r>
          </w:p>
        </w:tc>
      </w:tr>
      <w:tr w:rsidR="00763CE1" w:rsidRPr="00763CE1" w14:paraId="1A7FACB0" w14:textId="77777777" w:rsidTr="006F7E31">
        <w:trPr>
          <w:trHeight w:val="458"/>
          <w:jc w:val="center"/>
        </w:trPr>
        <w:tc>
          <w:tcPr>
            <w:tcW w:w="4341" w:type="dxa"/>
            <w:vMerge/>
            <w:tcBorders>
              <w:top w:val="nil"/>
              <w:left w:val="single" w:sz="4" w:space="0" w:color="auto"/>
              <w:bottom w:val="single" w:sz="4" w:space="0" w:color="auto"/>
              <w:right w:val="single" w:sz="4" w:space="0" w:color="auto"/>
            </w:tcBorders>
            <w:vAlign w:val="center"/>
            <w:hideMark/>
          </w:tcPr>
          <w:p w14:paraId="63F264E8" w14:textId="77777777" w:rsidR="00763CE1" w:rsidRPr="00763CE1" w:rsidRDefault="00763CE1" w:rsidP="00D64261">
            <w:pPr>
              <w:spacing w:line="360" w:lineRule="auto"/>
              <w:jc w:val="both"/>
              <w:rPr>
                <w:rFonts w:eastAsia="Calibri"/>
                <w:noProof/>
                <w:color w:val="4C4747"/>
                <w:lang w:val="es-DO"/>
              </w:rPr>
            </w:pPr>
          </w:p>
        </w:tc>
        <w:tc>
          <w:tcPr>
            <w:tcW w:w="2555" w:type="dxa"/>
            <w:vMerge/>
            <w:tcBorders>
              <w:top w:val="nil"/>
              <w:left w:val="single" w:sz="4" w:space="0" w:color="auto"/>
              <w:bottom w:val="single" w:sz="4" w:space="0" w:color="auto"/>
              <w:right w:val="single" w:sz="4" w:space="0" w:color="auto"/>
            </w:tcBorders>
            <w:vAlign w:val="center"/>
            <w:hideMark/>
          </w:tcPr>
          <w:p w14:paraId="65161064" w14:textId="77777777" w:rsidR="00763CE1" w:rsidRPr="00763CE1" w:rsidRDefault="00763CE1" w:rsidP="00D64261">
            <w:pPr>
              <w:spacing w:line="360" w:lineRule="auto"/>
              <w:jc w:val="both"/>
              <w:rPr>
                <w:rFonts w:eastAsia="Calibri"/>
                <w:noProof/>
                <w:color w:val="4C4747"/>
                <w:lang w:val="es-DO"/>
              </w:rPr>
            </w:pPr>
          </w:p>
        </w:tc>
      </w:tr>
      <w:tr w:rsidR="00AC7AC2" w:rsidRPr="00AC7AC2" w14:paraId="2CDD5415" w14:textId="77777777" w:rsidTr="006F7E31">
        <w:trPr>
          <w:trHeight w:val="661"/>
          <w:jc w:val="center"/>
        </w:trPr>
        <w:tc>
          <w:tcPr>
            <w:tcW w:w="4341" w:type="dxa"/>
            <w:tcBorders>
              <w:top w:val="nil"/>
              <w:left w:val="single" w:sz="4" w:space="0" w:color="auto"/>
              <w:bottom w:val="single" w:sz="4" w:space="0" w:color="auto"/>
              <w:right w:val="single" w:sz="4" w:space="0" w:color="auto"/>
            </w:tcBorders>
            <w:vAlign w:val="center"/>
            <w:hideMark/>
          </w:tcPr>
          <w:p w14:paraId="2F10A60B" w14:textId="77777777" w:rsidR="00763CE1" w:rsidRPr="00AC7AC2" w:rsidRDefault="00763CE1" w:rsidP="00D64261">
            <w:pPr>
              <w:spacing w:line="360" w:lineRule="auto"/>
              <w:jc w:val="both"/>
              <w:rPr>
                <w:rFonts w:eastAsia="Calibri"/>
                <w:noProof/>
                <w:lang w:val="es-419"/>
              </w:rPr>
            </w:pPr>
            <w:r w:rsidRPr="00AC7AC2">
              <w:rPr>
                <w:rFonts w:eastAsia="Calibri"/>
                <w:noProof/>
                <w:lang w:val="es-DO"/>
              </w:rPr>
              <w:t>Índice de Gestión Presupuestaria (IGP)</w:t>
            </w:r>
          </w:p>
        </w:tc>
        <w:tc>
          <w:tcPr>
            <w:tcW w:w="2555" w:type="dxa"/>
            <w:tcBorders>
              <w:top w:val="nil"/>
              <w:left w:val="nil"/>
              <w:bottom w:val="single" w:sz="4" w:space="0" w:color="auto"/>
              <w:right w:val="single" w:sz="4" w:space="0" w:color="auto"/>
            </w:tcBorders>
            <w:noWrap/>
            <w:vAlign w:val="center"/>
            <w:hideMark/>
          </w:tcPr>
          <w:p w14:paraId="2CBEC020"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84.33%</w:t>
            </w:r>
          </w:p>
        </w:tc>
      </w:tr>
      <w:tr w:rsidR="00AC7AC2" w:rsidRPr="00AC7AC2" w14:paraId="65B17FE1" w14:textId="77777777" w:rsidTr="006F7E31">
        <w:trPr>
          <w:trHeight w:val="330"/>
          <w:jc w:val="center"/>
        </w:trPr>
        <w:tc>
          <w:tcPr>
            <w:tcW w:w="4341" w:type="dxa"/>
            <w:tcBorders>
              <w:top w:val="nil"/>
              <w:left w:val="single" w:sz="4" w:space="0" w:color="auto"/>
              <w:bottom w:val="single" w:sz="4" w:space="0" w:color="auto"/>
              <w:right w:val="single" w:sz="4" w:space="0" w:color="auto"/>
            </w:tcBorders>
            <w:noWrap/>
            <w:vAlign w:val="bottom"/>
            <w:hideMark/>
          </w:tcPr>
          <w:p w14:paraId="41EF75E8"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Sistema Nacional de Contrataciones Públicas (SISCOMPRAS)</w:t>
            </w:r>
          </w:p>
        </w:tc>
        <w:tc>
          <w:tcPr>
            <w:tcW w:w="2555" w:type="dxa"/>
            <w:tcBorders>
              <w:top w:val="nil"/>
              <w:left w:val="nil"/>
              <w:bottom w:val="single" w:sz="4" w:space="0" w:color="auto"/>
              <w:right w:val="single" w:sz="4" w:space="0" w:color="auto"/>
            </w:tcBorders>
            <w:noWrap/>
            <w:vAlign w:val="center"/>
            <w:hideMark/>
          </w:tcPr>
          <w:p w14:paraId="1A8B1BAD"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95.65%</w:t>
            </w:r>
          </w:p>
        </w:tc>
      </w:tr>
      <w:tr w:rsidR="00AC7AC2" w:rsidRPr="00AC7AC2" w14:paraId="6FE77D08" w14:textId="77777777" w:rsidTr="006F7E31">
        <w:trPr>
          <w:trHeight w:val="330"/>
          <w:jc w:val="center"/>
        </w:trPr>
        <w:tc>
          <w:tcPr>
            <w:tcW w:w="4341" w:type="dxa"/>
            <w:tcBorders>
              <w:top w:val="nil"/>
              <w:left w:val="single" w:sz="4" w:space="0" w:color="auto"/>
              <w:bottom w:val="single" w:sz="4" w:space="0" w:color="auto"/>
              <w:right w:val="single" w:sz="4" w:space="0" w:color="auto"/>
            </w:tcBorders>
            <w:noWrap/>
            <w:vAlign w:val="bottom"/>
            <w:hideMark/>
          </w:tcPr>
          <w:p w14:paraId="6583D83E"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Sistema de Monitoreo de la Administración Pública (SISMAP)</w:t>
            </w:r>
          </w:p>
        </w:tc>
        <w:tc>
          <w:tcPr>
            <w:tcW w:w="2555" w:type="dxa"/>
            <w:tcBorders>
              <w:top w:val="nil"/>
              <w:left w:val="nil"/>
              <w:bottom w:val="single" w:sz="4" w:space="0" w:color="auto"/>
              <w:right w:val="single" w:sz="4" w:space="0" w:color="auto"/>
            </w:tcBorders>
            <w:noWrap/>
            <w:vAlign w:val="center"/>
            <w:hideMark/>
          </w:tcPr>
          <w:p w14:paraId="0E0BA5E2" w14:textId="597183EE" w:rsidR="00763CE1" w:rsidRPr="00AC7AC2" w:rsidRDefault="00003793" w:rsidP="00D64261">
            <w:pPr>
              <w:spacing w:line="360" w:lineRule="auto"/>
              <w:jc w:val="both"/>
              <w:rPr>
                <w:rFonts w:eastAsia="Calibri"/>
                <w:noProof/>
                <w:lang w:val="es-DO"/>
              </w:rPr>
            </w:pPr>
            <w:r>
              <w:rPr>
                <w:rFonts w:eastAsia="Calibri"/>
                <w:noProof/>
                <w:lang w:val="es-DO"/>
              </w:rPr>
              <w:t>87</w:t>
            </w:r>
            <w:r w:rsidR="00763CE1" w:rsidRPr="00AC7AC2">
              <w:rPr>
                <w:rFonts w:eastAsia="Calibri"/>
                <w:noProof/>
                <w:lang w:val="es-DO"/>
              </w:rPr>
              <w:t>.</w:t>
            </w:r>
            <w:r>
              <w:rPr>
                <w:rFonts w:eastAsia="Calibri"/>
                <w:noProof/>
                <w:lang w:val="es-DO"/>
              </w:rPr>
              <w:t>15</w:t>
            </w:r>
            <w:r w:rsidR="00763CE1" w:rsidRPr="00AC7AC2">
              <w:rPr>
                <w:rFonts w:eastAsia="Calibri"/>
                <w:noProof/>
                <w:lang w:val="es-DO"/>
              </w:rPr>
              <w:t>%</w:t>
            </w:r>
          </w:p>
        </w:tc>
      </w:tr>
      <w:tr w:rsidR="00AC7AC2" w:rsidRPr="00AC7AC2" w14:paraId="7FA3397C" w14:textId="77777777" w:rsidTr="006F7E31">
        <w:trPr>
          <w:trHeight w:val="276"/>
          <w:jc w:val="center"/>
        </w:trPr>
        <w:tc>
          <w:tcPr>
            <w:tcW w:w="4341" w:type="dxa"/>
            <w:tcBorders>
              <w:top w:val="nil"/>
              <w:left w:val="single" w:sz="4" w:space="0" w:color="auto"/>
              <w:bottom w:val="single" w:sz="4" w:space="0" w:color="auto"/>
              <w:right w:val="single" w:sz="4" w:space="0" w:color="auto"/>
            </w:tcBorders>
            <w:vAlign w:val="bottom"/>
            <w:hideMark/>
          </w:tcPr>
          <w:p w14:paraId="1EB48303"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Transparencia Gubernamental</w:t>
            </w:r>
          </w:p>
        </w:tc>
        <w:tc>
          <w:tcPr>
            <w:tcW w:w="2555" w:type="dxa"/>
            <w:tcBorders>
              <w:top w:val="nil"/>
              <w:left w:val="nil"/>
              <w:bottom w:val="single" w:sz="4" w:space="0" w:color="auto"/>
              <w:right w:val="single" w:sz="4" w:space="0" w:color="auto"/>
            </w:tcBorders>
            <w:noWrap/>
            <w:vAlign w:val="center"/>
            <w:hideMark/>
          </w:tcPr>
          <w:p w14:paraId="0E12BB2C"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99.09%</w:t>
            </w:r>
          </w:p>
        </w:tc>
      </w:tr>
      <w:tr w:rsidR="00AC7AC2" w:rsidRPr="00AC7AC2" w14:paraId="666E5D23" w14:textId="77777777" w:rsidTr="006F7E31">
        <w:trPr>
          <w:trHeight w:val="330"/>
          <w:jc w:val="center"/>
        </w:trPr>
        <w:tc>
          <w:tcPr>
            <w:tcW w:w="4341" w:type="dxa"/>
            <w:tcBorders>
              <w:top w:val="nil"/>
              <w:left w:val="single" w:sz="4" w:space="0" w:color="auto"/>
              <w:bottom w:val="single" w:sz="4" w:space="0" w:color="auto"/>
              <w:right w:val="single" w:sz="4" w:space="0" w:color="auto"/>
            </w:tcBorders>
            <w:noWrap/>
            <w:vAlign w:val="bottom"/>
            <w:hideMark/>
          </w:tcPr>
          <w:p w14:paraId="33E13439"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lastRenderedPageBreak/>
              <w:t>Normas Básicas de Control Interno (NOBACI)</w:t>
            </w:r>
          </w:p>
        </w:tc>
        <w:tc>
          <w:tcPr>
            <w:tcW w:w="2555" w:type="dxa"/>
            <w:tcBorders>
              <w:top w:val="nil"/>
              <w:left w:val="nil"/>
              <w:bottom w:val="single" w:sz="4" w:space="0" w:color="auto"/>
              <w:right w:val="single" w:sz="4" w:space="0" w:color="auto"/>
            </w:tcBorders>
            <w:noWrap/>
            <w:vAlign w:val="center"/>
            <w:hideMark/>
          </w:tcPr>
          <w:p w14:paraId="619D3104"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96.84%</w:t>
            </w:r>
          </w:p>
        </w:tc>
      </w:tr>
      <w:tr w:rsidR="00AC7AC2" w:rsidRPr="00AC7AC2" w14:paraId="7024B321" w14:textId="77777777" w:rsidTr="006F7E31">
        <w:trPr>
          <w:trHeight w:val="330"/>
          <w:jc w:val="center"/>
        </w:trPr>
        <w:tc>
          <w:tcPr>
            <w:tcW w:w="4341" w:type="dxa"/>
            <w:tcBorders>
              <w:top w:val="nil"/>
              <w:left w:val="single" w:sz="4" w:space="0" w:color="auto"/>
              <w:bottom w:val="single" w:sz="4" w:space="0" w:color="auto"/>
              <w:right w:val="single" w:sz="4" w:space="0" w:color="auto"/>
            </w:tcBorders>
            <w:noWrap/>
            <w:vAlign w:val="bottom"/>
          </w:tcPr>
          <w:p w14:paraId="32F7FD21"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Índice de Control Interno (ICI)</w:t>
            </w:r>
          </w:p>
        </w:tc>
        <w:tc>
          <w:tcPr>
            <w:tcW w:w="2555" w:type="dxa"/>
            <w:tcBorders>
              <w:top w:val="nil"/>
              <w:left w:val="nil"/>
              <w:bottom w:val="single" w:sz="4" w:space="0" w:color="auto"/>
              <w:right w:val="single" w:sz="4" w:space="0" w:color="auto"/>
            </w:tcBorders>
            <w:noWrap/>
            <w:vAlign w:val="center"/>
          </w:tcPr>
          <w:p w14:paraId="6EB6A6AA"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96.49%</w:t>
            </w:r>
          </w:p>
        </w:tc>
      </w:tr>
      <w:tr w:rsidR="00763CE1" w:rsidRPr="00AC7AC2" w14:paraId="744984CB" w14:textId="77777777" w:rsidTr="006F7E31">
        <w:trPr>
          <w:trHeight w:val="330"/>
          <w:jc w:val="center"/>
        </w:trPr>
        <w:tc>
          <w:tcPr>
            <w:tcW w:w="4341" w:type="dxa"/>
            <w:tcBorders>
              <w:top w:val="nil"/>
              <w:left w:val="single" w:sz="4" w:space="0" w:color="auto"/>
              <w:bottom w:val="single" w:sz="4" w:space="0" w:color="auto"/>
              <w:right w:val="single" w:sz="4" w:space="0" w:color="auto"/>
            </w:tcBorders>
            <w:noWrap/>
            <w:vAlign w:val="bottom"/>
            <w:hideMark/>
          </w:tcPr>
          <w:p w14:paraId="4AF8DE11"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Índice de Uso de las TIC e Implementación de Gobierno Electrónico (ITICGE)</w:t>
            </w:r>
          </w:p>
        </w:tc>
        <w:tc>
          <w:tcPr>
            <w:tcW w:w="2555" w:type="dxa"/>
            <w:tcBorders>
              <w:top w:val="nil"/>
              <w:left w:val="nil"/>
              <w:bottom w:val="single" w:sz="4" w:space="0" w:color="auto"/>
              <w:right w:val="single" w:sz="4" w:space="0" w:color="auto"/>
            </w:tcBorders>
            <w:noWrap/>
            <w:vAlign w:val="center"/>
            <w:hideMark/>
          </w:tcPr>
          <w:p w14:paraId="486C0D5D"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77.13%</w:t>
            </w:r>
          </w:p>
        </w:tc>
      </w:tr>
      <w:bookmarkEnd w:id="44"/>
    </w:tbl>
    <w:p w14:paraId="4378620C" w14:textId="77777777" w:rsidR="00763CE1" w:rsidRPr="00AC7AC2" w:rsidRDefault="00763CE1" w:rsidP="00D64261">
      <w:pPr>
        <w:spacing w:line="360" w:lineRule="auto"/>
        <w:jc w:val="both"/>
        <w:rPr>
          <w:rFonts w:eastAsia="Calibri"/>
          <w:b/>
          <w:bCs/>
          <w:noProof/>
          <w:lang w:val="es-ES"/>
        </w:rPr>
      </w:pPr>
    </w:p>
    <w:p w14:paraId="7C563B66" w14:textId="77777777" w:rsidR="00763CE1" w:rsidRPr="00AC7AC2" w:rsidRDefault="00763CE1" w:rsidP="00D64261">
      <w:pPr>
        <w:spacing w:line="360" w:lineRule="auto"/>
        <w:jc w:val="both"/>
        <w:rPr>
          <w:rFonts w:eastAsia="Calibri"/>
          <w:b/>
          <w:bCs/>
          <w:noProof/>
          <w:lang w:val="es-ES"/>
        </w:rPr>
      </w:pPr>
    </w:p>
    <w:p w14:paraId="1331BE7B" w14:textId="77777777" w:rsidR="00763CE1" w:rsidRPr="00AC7AC2" w:rsidRDefault="00763CE1" w:rsidP="00D64261">
      <w:pPr>
        <w:spacing w:line="360" w:lineRule="auto"/>
        <w:jc w:val="both"/>
        <w:rPr>
          <w:rFonts w:eastAsia="Calibri"/>
          <w:b/>
          <w:bCs/>
          <w:noProof/>
          <w:lang w:val="es-ES"/>
        </w:rPr>
      </w:pPr>
      <w:r w:rsidRPr="00AC7AC2">
        <w:rPr>
          <w:rFonts w:eastAsia="Calibri"/>
          <w:b/>
          <w:bCs/>
          <w:noProof/>
          <w:lang w:val="es-ES"/>
        </w:rPr>
        <w:t>Presupuesto Físico-Financiero</w:t>
      </w:r>
    </w:p>
    <w:p w14:paraId="76652310"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La Tesorería Nacional implementó mejoras significativas en el proceso de formulación y ejecución presupuestaria, con el objetivo de optimizar la gestión pública. Estas acciones han permitido simplificar la planificación y seguimiento de la producción física y financiera correspondiente a los siguientes cuatro (4) productos:</w:t>
      </w:r>
    </w:p>
    <w:p w14:paraId="20FF075D" w14:textId="77777777" w:rsidR="00763CE1" w:rsidRPr="00AC7AC2" w:rsidRDefault="00763CE1" w:rsidP="00D64261">
      <w:pPr>
        <w:spacing w:line="360" w:lineRule="auto"/>
        <w:jc w:val="both"/>
        <w:rPr>
          <w:rFonts w:eastAsia="Calibri"/>
          <w:noProof/>
          <w:lang w:val="es-DO"/>
        </w:rPr>
      </w:pPr>
    </w:p>
    <w:p w14:paraId="72CA39A6" w14:textId="77777777" w:rsidR="00763CE1" w:rsidRPr="00AC7AC2" w:rsidRDefault="00763CE1" w:rsidP="00D64261">
      <w:pPr>
        <w:spacing w:line="360" w:lineRule="auto"/>
        <w:jc w:val="both"/>
        <w:rPr>
          <w:rFonts w:eastAsia="Calibri"/>
          <w:noProof/>
          <w:lang w:val="es-DO"/>
        </w:rPr>
      </w:pPr>
      <w:r w:rsidRPr="00AC7AC2">
        <w:rPr>
          <w:rFonts w:eastAsia="Calibri"/>
          <w:b/>
          <w:bCs/>
          <w:noProof/>
          <w:lang w:val="es-DO"/>
        </w:rPr>
        <w:t>Producto 6137</w:t>
      </w:r>
      <w:r w:rsidRPr="00AC7AC2">
        <w:rPr>
          <w:rFonts w:eastAsia="Calibri"/>
          <w:noProof/>
          <w:lang w:val="es-DO"/>
        </w:rPr>
        <w:t>: Instituciones del sector público no financiero (SPNF) con recursos centralizados en la cuenta única del tesoro.</w:t>
      </w:r>
    </w:p>
    <w:p w14:paraId="07863604" w14:textId="0662AFA4" w:rsidR="00763CE1" w:rsidRPr="00AC7AC2" w:rsidRDefault="00763CE1" w:rsidP="00D64261">
      <w:pPr>
        <w:spacing w:line="360" w:lineRule="auto"/>
        <w:jc w:val="both"/>
        <w:rPr>
          <w:rFonts w:eastAsia="Calibri"/>
          <w:noProof/>
          <w:lang w:val="es-DO"/>
        </w:rPr>
      </w:pPr>
      <w:r w:rsidRPr="00AC7AC2">
        <w:rPr>
          <w:rFonts w:eastAsia="Calibri"/>
          <w:noProof/>
          <w:lang w:val="es-DO"/>
        </w:rPr>
        <w:t>Con el objetivo de Centralizar los recursos del sector público no financiero mediante la CUT para garantizar una gestión eficiente de la liquidez. Alcanzó el 100% de la meta física programada, incorporando las instituciones y proyectos externos según el Plan Operativo Anual.</w:t>
      </w:r>
    </w:p>
    <w:p w14:paraId="42D2D979" w14:textId="77777777" w:rsidR="00763CE1" w:rsidRPr="00AC7AC2" w:rsidRDefault="00763CE1" w:rsidP="00D64261">
      <w:pPr>
        <w:spacing w:line="360" w:lineRule="auto"/>
        <w:jc w:val="both"/>
        <w:rPr>
          <w:rFonts w:eastAsia="Calibri"/>
          <w:noProof/>
          <w:lang w:val="es-DO"/>
        </w:rPr>
      </w:pPr>
      <w:r w:rsidRPr="00AC7AC2">
        <w:rPr>
          <w:rFonts w:eastAsia="Calibri"/>
          <w:b/>
          <w:bCs/>
          <w:noProof/>
          <w:lang w:val="es-DO"/>
        </w:rPr>
        <w:lastRenderedPageBreak/>
        <w:t>Producto 6138:</w:t>
      </w:r>
      <w:r w:rsidRPr="00AC7AC2">
        <w:rPr>
          <w:rFonts w:eastAsia="Calibri"/>
          <w:noProof/>
          <w:lang w:val="es-DO"/>
        </w:rPr>
        <w:t xml:space="preserve">   Instituciones del sector público no financiero con cuota de pago asignada. </w:t>
      </w:r>
    </w:p>
    <w:p w14:paraId="2DEDBC44" w14:textId="77777777" w:rsidR="00763CE1" w:rsidRPr="00AC7AC2" w:rsidRDefault="00763CE1" w:rsidP="00D64261">
      <w:pPr>
        <w:spacing w:line="360" w:lineRule="auto"/>
        <w:jc w:val="both"/>
        <w:rPr>
          <w:rFonts w:eastAsia="Calibri"/>
          <w:noProof/>
          <w:lang w:val="es-ES"/>
        </w:rPr>
      </w:pPr>
      <w:r w:rsidRPr="00AC7AC2">
        <w:rPr>
          <w:rFonts w:eastAsia="Calibri"/>
          <w:noProof/>
          <w:lang w:val="es-ES"/>
        </w:rPr>
        <w:t>La Tesorería Nacional logró el 94% de la meta física programada y asignó cuota de pago al 100% de las instituciones solicitantes. Con el objetivo de asignar cuota de pago mensual y diaria a las instituciones del SPNF a partir de la programación del devengado y la fecha de vencimiento.</w:t>
      </w:r>
    </w:p>
    <w:p w14:paraId="145C5738" w14:textId="77777777" w:rsidR="00763CE1" w:rsidRPr="00AC7AC2" w:rsidRDefault="00763CE1" w:rsidP="00D64261">
      <w:pPr>
        <w:spacing w:line="360" w:lineRule="auto"/>
        <w:jc w:val="both"/>
        <w:rPr>
          <w:rFonts w:eastAsia="Calibri"/>
          <w:b/>
          <w:bCs/>
          <w:noProof/>
          <w:lang w:val="es-DO"/>
        </w:rPr>
      </w:pPr>
    </w:p>
    <w:p w14:paraId="358AC301" w14:textId="77777777" w:rsidR="00763CE1" w:rsidRPr="00AC7AC2" w:rsidRDefault="00763CE1" w:rsidP="00D64261">
      <w:pPr>
        <w:spacing w:line="360" w:lineRule="auto"/>
        <w:jc w:val="both"/>
        <w:rPr>
          <w:rFonts w:eastAsia="Calibri"/>
          <w:noProof/>
          <w:lang w:val="es-DO"/>
        </w:rPr>
      </w:pPr>
      <w:r w:rsidRPr="00AC7AC2">
        <w:rPr>
          <w:rFonts w:eastAsia="Calibri"/>
          <w:b/>
          <w:bCs/>
          <w:noProof/>
          <w:lang w:val="es-DO"/>
        </w:rPr>
        <w:t xml:space="preserve">Producto 6140: </w:t>
      </w:r>
      <w:r w:rsidRPr="00AC7AC2">
        <w:rPr>
          <w:rFonts w:eastAsia="Calibri"/>
          <w:noProof/>
          <w:lang w:val="es-DO"/>
        </w:rPr>
        <w:t xml:space="preserve">Instituciones públicas con pagos oportunos de acuerdo con las políticas de pago. </w:t>
      </w:r>
    </w:p>
    <w:p w14:paraId="2767D807"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La Tesorería Nacional en cuanto a la Ejecución de Pagos del Estado, elaboró e implementó el procedimiento para la aplicación de la modalidad de Crédito a Cuenta como parte del proceso de implementación del Pago Electrónico de Nómina en Monedas Extranjeras. Para este producto, en el año 2025, se programó gestionar el 100% de las solicitudes que cumplan con los procedimientos internos, para atender las obligaciones del Estado.</w:t>
      </w:r>
    </w:p>
    <w:p w14:paraId="55D75624" w14:textId="77777777" w:rsidR="00763CE1" w:rsidRPr="00AC7AC2" w:rsidRDefault="00763CE1" w:rsidP="00D64261">
      <w:pPr>
        <w:spacing w:line="360" w:lineRule="auto"/>
        <w:jc w:val="both"/>
        <w:rPr>
          <w:rFonts w:eastAsia="Calibri"/>
          <w:b/>
          <w:bCs/>
          <w:noProof/>
          <w:lang w:val="es-DO"/>
        </w:rPr>
      </w:pPr>
    </w:p>
    <w:p w14:paraId="41107580" w14:textId="77777777" w:rsidR="00763CE1" w:rsidRPr="00AC7AC2" w:rsidRDefault="00763CE1" w:rsidP="00D64261">
      <w:pPr>
        <w:spacing w:line="360" w:lineRule="auto"/>
        <w:jc w:val="both"/>
        <w:rPr>
          <w:rFonts w:eastAsia="Calibri"/>
          <w:b/>
          <w:bCs/>
          <w:noProof/>
          <w:lang w:val="es-ES"/>
        </w:rPr>
      </w:pPr>
      <w:r w:rsidRPr="00AC7AC2">
        <w:rPr>
          <w:rFonts w:eastAsia="Calibri"/>
          <w:b/>
          <w:bCs/>
          <w:noProof/>
          <w:lang w:val="es-ES"/>
        </w:rPr>
        <w:t>Implementación del Sistema de Transparencia Documental (TRANSDOC)</w:t>
      </w:r>
    </w:p>
    <w:p w14:paraId="2F7881D9" w14:textId="77777777" w:rsidR="00763CE1" w:rsidRPr="00AC7AC2" w:rsidRDefault="00763CE1" w:rsidP="00D64261">
      <w:pPr>
        <w:spacing w:line="360" w:lineRule="auto"/>
        <w:jc w:val="both"/>
        <w:rPr>
          <w:rFonts w:eastAsia="Calibri"/>
          <w:noProof/>
          <w:lang w:val="es-DO"/>
        </w:rPr>
      </w:pPr>
    </w:p>
    <w:p w14:paraId="3D1A2D36"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La Tesorería Nacional implementó el Sistema de Transparencia Documental (TRANSDOC), juntamente con el Programa de las Naciones Unidas para el Desarrollo (PNUD), en cumplimiento con el acuerdo para la prestación de servicios de desarrollo solicitado por el Ministerio de Hacienda y Economía (MHyE), firmado en Julio del 2024.</w:t>
      </w:r>
    </w:p>
    <w:p w14:paraId="3045401E"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lastRenderedPageBreak/>
        <w:t>La herramienta, que consiste en un “</w:t>
      </w:r>
      <w:r w:rsidRPr="00AC7AC2">
        <w:rPr>
          <w:rFonts w:eastAsia="Calibri"/>
          <w:i/>
          <w:iCs/>
          <w:noProof/>
          <w:lang w:val="es-DO"/>
        </w:rPr>
        <w:t>módulo de trabajo que permite la recepción, seguimiento y administración de grandes flujos de la correspondencia externa, la elaboración y manejo de la correspondencia interna, además de la búsqueda y recuperación de la información en los archivos oficiales, incorporando rutinas de trabajo y herramientas informáticas, orientadas a una mayor eficiencia y seguridad en la gestión documental</w:t>
      </w:r>
      <w:r w:rsidRPr="00AC7AC2">
        <w:rPr>
          <w:rFonts w:eastAsia="Calibri"/>
          <w:noProof/>
          <w:lang w:val="es-DO"/>
        </w:rPr>
        <w:t xml:space="preserve">”, requirió de un equipo coordinador del sistema, por parte de la Tesorería Nacional, integrado por el Departamento de Tecnologías de la Información y Comunicación (DTIC), el Departamento de Planificación y Desarrollo (DPyD), así como el Departamento Administrativo y Financiero (DAF) y la Sección de Correspondencia (SC). </w:t>
      </w:r>
    </w:p>
    <w:p w14:paraId="6BB98E05" w14:textId="77777777" w:rsidR="00763CE1" w:rsidRPr="00AC7AC2" w:rsidRDefault="00763CE1" w:rsidP="00D64261">
      <w:pPr>
        <w:spacing w:line="360" w:lineRule="auto"/>
        <w:jc w:val="both"/>
        <w:rPr>
          <w:rFonts w:eastAsia="Calibri"/>
          <w:noProof/>
          <w:lang w:val="es-DO"/>
        </w:rPr>
      </w:pPr>
    </w:p>
    <w:p w14:paraId="7CFEDBFA" w14:textId="156EB1A2" w:rsidR="00763CE1" w:rsidRPr="00AC7AC2" w:rsidRDefault="00763CE1" w:rsidP="00D64261">
      <w:pPr>
        <w:spacing w:line="360" w:lineRule="auto"/>
        <w:jc w:val="both"/>
        <w:rPr>
          <w:rFonts w:eastAsia="Calibri"/>
          <w:noProof/>
          <w:lang w:val="es-DO"/>
        </w:rPr>
      </w:pPr>
      <w:r w:rsidRPr="00AC7AC2">
        <w:rPr>
          <w:rFonts w:eastAsia="Calibri"/>
          <w:noProof/>
          <w:lang w:val="es-DO"/>
        </w:rPr>
        <w:t xml:space="preserve">Las actividades de desarrollo de esta implementación se clasificaron en cuatro fases: </w:t>
      </w:r>
    </w:p>
    <w:p w14:paraId="5849F22A" w14:textId="77777777" w:rsidR="00763CE1" w:rsidRPr="00AC7AC2" w:rsidRDefault="00763CE1" w:rsidP="00D64261">
      <w:pPr>
        <w:spacing w:line="360" w:lineRule="auto"/>
        <w:jc w:val="both"/>
        <w:rPr>
          <w:rFonts w:eastAsia="Calibri"/>
          <w:b/>
          <w:bCs/>
          <w:noProof/>
          <w:lang w:val="es-DO"/>
        </w:rPr>
      </w:pPr>
      <w:r w:rsidRPr="00AC7AC2">
        <w:rPr>
          <w:rFonts w:eastAsia="Calibri"/>
          <w:b/>
          <w:bCs/>
          <w:noProof/>
          <w:lang w:val="es-DO"/>
        </w:rPr>
        <w:t>1ra Fase: Estructuración</w:t>
      </w:r>
    </w:p>
    <w:p w14:paraId="27DC2846" w14:textId="77777777" w:rsidR="00763CE1" w:rsidRPr="00AC7AC2" w:rsidRDefault="00763CE1" w:rsidP="004C2709">
      <w:pPr>
        <w:numPr>
          <w:ilvl w:val="0"/>
          <w:numId w:val="21"/>
        </w:numPr>
        <w:spacing w:line="360" w:lineRule="auto"/>
        <w:jc w:val="both"/>
        <w:rPr>
          <w:rFonts w:eastAsia="Calibri"/>
          <w:noProof/>
          <w:lang w:val="es-DO"/>
        </w:rPr>
      </w:pPr>
      <w:r w:rsidRPr="00AC7AC2">
        <w:rPr>
          <w:rFonts w:eastAsia="Calibri"/>
          <w:noProof/>
          <w:lang w:val="es-DO"/>
        </w:rPr>
        <w:t>Encuentros con el equipo del PNUD y el MHyE para conocer las bondades del sistema;</w:t>
      </w:r>
    </w:p>
    <w:p w14:paraId="4401D84D" w14:textId="77777777" w:rsidR="00763CE1" w:rsidRPr="00AC7AC2" w:rsidRDefault="00763CE1" w:rsidP="004C2709">
      <w:pPr>
        <w:numPr>
          <w:ilvl w:val="0"/>
          <w:numId w:val="21"/>
        </w:numPr>
        <w:spacing w:line="360" w:lineRule="auto"/>
        <w:jc w:val="both"/>
        <w:rPr>
          <w:rFonts w:eastAsia="Calibri"/>
          <w:noProof/>
          <w:lang w:val="es-DO"/>
        </w:rPr>
      </w:pPr>
      <w:r w:rsidRPr="00AC7AC2">
        <w:rPr>
          <w:rFonts w:eastAsia="Calibri"/>
          <w:noProof/>
          <w:lang w:val="es-DO"/>
        </w:rPr>
        <w:t>Conformación del equipo coordinador (TN);</w:t>
      </w:r>
    </w:p>
    <w:p w14:paraId="15D3D7C5" w14:textId="77777777" w:rsidR="00763CE1" w:rsidRPr="00AC7AC2" w:rsidRDefault="00763CE1" w:rsidP="004C2709">
      <w:pPr>
        <w:numPr>
          <w:ilvl w:val="0"/>
          <w:numId w:val="21"/>
        </w:numPr>
        <w:spacing w:line="360" w:lineRule="auto"/>
        <w:jc w:val="both"/>
        <w:rPr>
          <w:rFonts w:eastAsia="Calibri"/>
          <w:noProof/>
          <w:lang w:val="es-DO"/>
        </w:rPr>
      </w:pPr>
      <w:r w:rsidRPr="00AC7AC2">
        <w:rPr>
          <w:rFonts w:eastAsia="Calibri"/>
          <w:noProof/>
          <w:lang w:val="es-DO"/>
        </w:rPr>
        <w:t>Programación de la implementación y sus fases, responsables, fechas y entregables;</w:t>
      </w:r>
    </w:p>
    <w:p w14:paraId="7B095337" w14:textId="77777777" w:rsidR="00763CE1" w:rsidRPr="00AC7AC2" w:rsidRDefault="00763CE1" w:rsidP="004C2709">
      <w:pPr>
        <w:numPr>
          <w:ilvl w:val="0"/>
          <w:numId w:val="21"/>
        </w:numPr>
        <w:spacing w:line="360" w:lineRule="auto"/>
        <w:jc w:val="both"/>
        <w:rPr>
          <w:rFonts w:eastAsia="Calibri"/>
          <w:noProof/>
          <w:lang w:val="es-DO"/>
        </w:rPr>
      </w:pPr>
      <w:r w:rsidRPr="00AC7AC2">
        <w:rPr>
          <w:rFonts w:eastAsia="Calibri"/>
          <w:noProof/>
          <w:lang w:val="es-DO"/>
        </w:rPr>
        <w:t xml:space="preserve">Recepción de matrices de línea base para levantamiento de información del proceso de Gestión Documental; </w:t>
      </w:r>
    </w:p>
    <w:p w14:paraId="2FCA5D18" w14:textId="77777777" w:rsidR="00763CE1" w:rsidRPr="00AC7AC2" w:rsidRDefault="00763CE1" w:rsidP="004C2709">
      <w:pPr>
        <w:numPr>
          <w:ilvl w:val="0"/>
          <w:numId w:val="21"/>
        </w:numPr>
        <w:spacing w:line="360" w:lineRule="auto"/>
        <w:jc w:val="both"/>
        <w:rPr>
          <w:rFonts w:eastAsia="Calibri"/>
          <w:noProof/>
          <w:lang w:val="es-DO"/>
        </w:rPr>
      </w:pPr>
      <w:r w:rsidRPr="00AC7AC2">
        <w:rPr>
          <w:rFonts w:eastAsia="Calibri"/>
          <w:noProof/>
          <w:lang w:val="es-DO"/>
        </w:rPr>
        <w:t>Recolección y validación de datos para la parametrización general del sistema.</w:t>
      </w:r>
    </w:p>
    <w:p w14:paraId="71112E66" w14:textId="77777777" w:rsidR="0078170D" w:rsidRPr="00AC7AC2" w:rsidRDefault="0078170D" w:rsidP="00D64261">
      <w:pPr>
        <w:spacing w:line="360" w:lineRule="auto"/>
        <w:jc w:val="both"/>
        <w:rPr>
          <w:rFonts w:eastAsia="Calibri"/>
          <w:b/>
          <w:bCs/>
          <w:noProof/>
          <w:lang w:val="es-DO"/>
        </w:rPr>
      </w:pPr>
    </w:p>
    <w:p w14:paraId="01621BCB" w14:textId="12F8E260" w:rsidR="00763CE1" w:rsidRPr="00AC7AC2" w:rsidRDefault="00763CE1" w:rsidP="00D64261">
      <w:pPr>
        <w:spacing w:line="360" w:lineRule="auto"/>
        <w:jc w:val="both"/>
        <w:rPr>
          <w:rFonts w:eastAsia="Calibri"/>
          <w:b/>
          <w:bCs/>
          <w:noProof/>
          <w:lang w:val="es-DO"/>
        </w:rPr>
      </w:pPr>
      <w:r w:rsidRPr="00AC7AC2">
        <w:rPr>
          <w:rFonts w:eastAsia="Calibri"/>
          <w:b/>
          <w:bCs/>
          <w:noProof/>
          <w:lang w:val="es-DO"/>
        </w:rPr>
        <w:t xml:space="preserve">2da Fase: Aplicación del Sistema </w:t>
      </w:r>
    </w:p>
    <w:p w14:paraId="2BD0E575" w14:textId="77777777" w:rsidR="00763CE1" w:rsidRPr="00AC7AC2" w:rsidRDefault="00763CE1" w:rsidP="004C2709">
      <w:pPr>
        <w:numPr>
          <w:ilvl w:val="0"/>
          <w:numId w:val="22"/>
        </w:numPr>
        <w:spacing w:line="360" w:lineRule="auto"/>
        <w:jc w:val="both"/>
        <w:rPr>
          <w:rFonts w:eastAsia="Calibri"/>
          <w:noProof/>
          <w:lang w:val="es-DO"/>
        </w:rPr>
      </w:pPr>
      <w:r w:rsidRPr="00AC7AC2">
        <w:rPr>
          <w:rFonts w:eastAsia="Calibri"/>
          <w:noProof/>
          <w:lang w:val="es-DO"/>
        </w:rPr>
        <w:lastRenderedPageBreak/>
        <w:t xml:space="preserve">Descarga de aplicativos del sistema (versiones escritorio y web); </w:t>
      </w:r>
    </w:p>
    <w:p w14:paraId="07FF8184" w14:textId="77777777" w:rsidR="00763CE1" w:rsidRPr="00AC7AC2" w:rsidRDefault="00763CE1" w:rsidP="004C2709">
      <w:pPr>
        <w:numPr>
          <w:ilvl w:val="0"/>
          <w:numId w:val="22"/>
        </w:numPr>
        <w:spacing w:line="360" w:lineRule="auto"/>
        <w:jc w:val="both"/>
        <w:rPr>
          <w:rFonts w:eastAsia="Calibri"/>
          <w:noProof/>
          <w:lang w:val="es-DO"/>
        </w:rPr>
      </w:pPr>
      <w:r w:rsidRPr="00AC7AC2">
        <w:rPr>
          <w:rFonts w:eastAsia="Calibri"/>
          <w:noProof/>
          <w:lang w:val="es-DO"/>
        </w:rPr>
        <w:t>Configuración de los ambientes de prueba y producción;</w:t>
      </w:r>
    </w:p>
    <w:p w14:paraId="701852EB" w14:textId="77777777" w:rsidR="00763CE1" w:rsidRPr="00AC7AC2" w:rsidRDefault="00763CE1" w:rsidP="004C2709">
      <w:pPr>
        <w:numPr>
          <w:ilvl w:val="0"/>
          <w:numId w:val="22"/>
        </w:numPr>
        <w:spacing w:line="360" w:lineRule="auto"/>
        <w:jc w:val="both"/>
        <w:rPr>
          <w:rFonts w:eastAsia="Calibri"/>
          <w:noProof/>
          <w:lang w:val="es-DO"/>
        </w:rPr>
      </w:pPr>
      <w:r w:rsidRPr="00AC7AC2">
        <w:rPr>
          <w:rFonts w:eastAsia="Calibri"/>
          <w:noProof/>
          <w:lang w:val="es-DO"/>
        </w:rPr>
        <w:t xml:space="preserve">Configuración de usuarios, perfiles y accesos en el sistema, en el ambiente de prueba; </w:t>
      </w:r>
    </w:p>
    <w:p w14:paraId="7031FF23" w14:textId="77777777" w:rsidR="00763CE1" w:rsidRPr="00AC7AC2" w:rsidRDefault="00763CE1" w:rsidP="004C2709">
      <w:pPr>
        <w:numPr>
          <w:ilvl w:val="0"/>
          <w:numId w:val="22"/>
        </w:numPr>
        <w:spacing w:line="360" w:lineRule="auto"/>
        <w:jc w:val="both"/>
        <w:rPr>
          <w:rFonts w:eastAsia="Calibri"/>
          <w:noProof/>
          <w:lang w:val="es-DO"/>
        </w:rPr>
      </w:pPr>
      <w:r w:rsidRPr="00AC7AC2">
        <w:rPr>
          <w:rFonts w:eastAsia="Calibri"/>
          <w:noProof/>
          <w:lang w:val="es-DO"/>
        </w:rPr>
        <w:t>Configuración de los parámetros del sistema en el ambiente de prueba y backup para puesta en producción.</w:t>
      </w:r>
    </w:p>
    <w:p w14:paraId="4915CA64" w14:textId="77777777" w:rsidR="00763CE1" w:rsidRPr="00AC7AC2" w:rsidRDefault="00763CE1" w:rsidP="00D64261">
      <w:pPr>
        <w:spacing w:line="360" w:lineRule="auto"/>
        <w:jc w:val="both"/>
        <w:rPr>
          <w:rFonts w:eastAsia="Calibri"/>
          <w:b/>
          <w:bCs/>
          <w:noProof/>
          <w:lang w:val="es-DO"/>
        </w:rPr>
      </w:pPr>
      <w:r w:rsidRPr="00AC7AC2">
        <w:rPr>
          <w:rFonts w:eastAsia="Calibri"/>
          <w:b/>
          <w:bCs/>
          <w:noProof/>
          <w:lang w:val="es-DO"/>
        </w:rPr>
        <w:t>3ra Fase: Implementación del Sistema.</w:t>
      </w:r>
    </w:p>
    <w:p w14:paraId="64022EB9" w14:textId="77777777" w:rsidR="00763CE1" w:rsidRPr="00AC7AC2" w:rsidRDefault="00763CE1" w:rsidP="004C2709">
      <w:pPr>
        <w:numPr>
          <w:ilvl w:val="0"/>
          <w:numId w:val="22"/>
        </w:numPr>
        <w:spacing w:line="360" w:lineRule="auto"/>
        <w:jc w:val="both"/>
        <w:rPr>
          <w:rFonts w:eastAsia="Calibri"/>
          <w:noProof/>
          <w:lang w:val="es-DO"/>
        </w:rPr>
      </w:pPr>
      <w:r w:rsidRPr="00AC7AC2">
        <w:rPr>
          <w:rFonts w:eastAsia="Calibri"/>
          <w:noProof/>
          <w:lang w:val="es-DO"/>
        </w:rPr>
        <w:t>Habilitación de la herramienta en los equipos de los usuarios.</w:t>
      </w:r>
    </w:p>
    <w:p w14:paraId="42C76B97" w14:textId="77777777" w:rsidR="00763CE1" w:rsidRPr="00AC7AC2" w:rsidRDefault="00763CE1" w:rsidP="004C2709">
      <w:pPr>
        <w:numPr>
          <w:ilvl w:val="0"/>
          <w:numId w:val="22"/>
        </w:numPr>
        <w:spacing w:line="360" w:lineRule="auto"/>
        <w:jc w:val="both"/>
        <w:rPr>
          <w:rFonts w:eastAsia="Calibri"/>
          <w:noProof/>
          <w:lang w:val="es-DO"/>
        </w:rPr>
      </w:pPr>
      <w:r w:rsidRPr="00AC7AC2">
        <w:rPr>
          <w:rFonts w:eastAsia="Calibri"/>
          <w:noProof/>
          <w:lang w:val="es-DO"/>
        </w:rPr>
        <w:t>Capacitación a los usuarios en el uso del sistema, por grupo:</w:t>
      </w:r>
    </w:p>
    <w:p w14:paraId="77774769" w14:textId="77777777" w:rsidR="00763CE1" w:rsidRPr="00AC7AC2" w:rsidRDefault="00763CE1" w:rsidP="004C2709">
      <w:pPr>
        <w:numPr>
          <w:ilvl w:val="1"/>
          <w:numId w:val="22"/>
        </w:numPr>
        <w:spacing w:line="360" w:lineRule="auto"/>
        <w:jc w:val="both"/>
        <w:rPr>
          <w:rFonts w:eastAsia="Calibri"/>
          <w:noProof/>
          <w:lang w:val="es-DO"/>
        </w:rPr>
      </w:pPr>
      <w:r w:rsidRPr="00AC7AC2">
        <w:rPr>
          <w:rFonts w:eastAsia="Calibri"/>
          <w:noProof/>
          <w:lang w:val="es-DO"/>
        </w:rPr>
        <w:t>Administrador del sistema</w:t>
      </w:r>
    </w:p>
    <w:p w14:paraId="35FB72E4" w14:textId="77777777" w:rsidR="00763CE1" w:rsidRPr="00AC7AC2" w:rsidRDefault="00763CE1" w:rsidP="004C2709">
      <w:pPr>
        <w:numPr>
          <w:ilvl w:val="1"/>
          <w:numId w:val="22"/>
        </w:numPr>
        <w:spacing w:line="360" w:lineRule="auto"/>
        <w:jc w:val="both"/>
        <w:rPr>
          <w:rFonts w:eastAsia="Calibri"/>
          <w:noProof/>
          <w:lang w:val="es-DO"/>
        </w:rPr>
      </w:pPr>
      <w:r w:rsidRPr="00AC7AC2">
        <w:rPr>
          <w:rFonts w:eastAsia="Calibri"/>
          <w:noProof/>
          <w:lang w:val="es-DO"/>
        </w:rPr>
        <w:t>Mesa de entrada</w:t>
      </w:r>
    </w:p>
    <w:p w14:paraId="0A737677" w14:textId="77777777" w:rsidR="00763CE1" w:rsidRPr="00AC7AC2" w:rsidRDefault="00763CE1" w:rsidP="004C2709">
      <w:pPr>
        <w:numPr>
          <w:ilvl w:val="1"/>
          <w:numId w:val="22"/>
        </w:numPr>
        <w:spacing w:line="360" w:lineRule="auto"/>
        <w:jc w:val="both"/>
        <w:rPr>
          <w:rFonts w:eastAsia="Calibri"/>
          <w:noProof/>
          <w:lang w:val="es-DO"/>
        </w:rPr>
      </w:pPr>
      <w:r w:rsidRPr="00AC7AC2">
        <w:rPr>
          <w:rFonts w:eastAsia="Calibri"/>
          <w:noProof/>
          <w:lang w:val="es-DO"/>
        </w:rPr>
        <w:t xml:space="preserve">Enlace con mesa de entrada </w:t>
      </w:r>
    </w:p>
    <w:p w14:paraId="0A945A59" w14:textId="77777777" w:rsidR="00763CE1" w:rsidRPr="00AC7AC2" w:rsidRDefault="00763CE1" w:rsidP="004C2709">
      <w:pPr>
        <w:numPr>
          <w:ilvl w:val="1"/>
          <w:numId w:val="22"/>
        </w:numPr>
        <w:spacing w:line="360" w:lineRule="auto"/>
        <w:jc w:val="both"/>
        <w:rPr>
          <w:rFonts w:eastAsia="Calibri"/>
          <w:noProof/>
          <w:lang w:val="es-DO"/>
        </w:rPr>
      </w:pPr>
      <w:r w:rsidRPr="00AC7AC2">
        <w:rPr>
          <w:rFonts w:eastAsia="Calibri"/>
          <w:noProof/>
          <w:lang w:val="es-DO"/>
        </w:rPr>
        <w:t>Firmantes</w:t>
      </w:r>
    </w:p>
    <w:p w14:paraId="785AB4C3" w14:textId="77777777" w:rsidR="00763CE1" w:rsidRPr="00AC7AC2" w:rsidRDefault="00763CE1" w:rsidP="004C2709">
      <w:pPr>
        <w:numPr>
          <w:ilvl w:val="1"/>
          <w:numId w:val="22"/>
        </w:numPr>
        <w:spacing w:line="360" w:lineRule="auto"/>
        <w:jc w:val="both"/>
        <w:rPr>
          <w:rFonts w:eastAsia="Calibri"/>
          <w:noProof/>
          <w:lang w:val="es-DO"/>
        </w:rPr>
      </w:pPr>
      <w:r w:rsidRPr="00AC7AC2">
        <w:rPr>
          <w:rFonts w:eastAsia="Calibri"/>
          <w:noProof/>
          <w:lang w:val="es-DO"/>
        </w:rPr>
        <w:t>Colaborador</w:t>
      </w:r>
    </w:p>
    <w:p w14:paraId="4AD59207" w14:textId="77777777" w:rsidR="00763CE1" w:rsidRPr="00AC7AC2" w:rsidRDefault="00763CE1" w:rsidP="004C2709">
      <w:pPr>
        <w:numPr>
          <w:ilvl w:val="1"/>
          <w:numId w:val="22"/>
        </w:numPr>
        <w:spacing w:line="360" w:lineRule="auto"/>
        <w:jc w:val="both"/>
        <w:rPr>
          <w:rFonts w:eastAsia="Calibri"/>
          <w:noProof/>
          <w:lang w:val="es-DO"/>
        </w:rPr>
      </w:pPr>
      <w:r w:rsidRPr="00AC7AC2">
        <w:rPr>
          <w:rFonts w:eastAsia="Calibri"/>
          <w:noProof/>
          <w:lang w:val="es-DO"/>
        </w:rPr>
        <w:t>Replicador</w:t>
      </w:r>
    </w:p>
    <w:p w14:paraId="7E4FF3AD" w14:textId="77777777" w:rsidR="00763CE1" w:rsidRPr="00AC7AC2" w:rsidRDefault="00763CE1" w:rsidP="004C2709">
      <w:pPr>
        <w:numPr>
          <w:ilvl w:val="0"/>
          <w:numId w:val="22"/>
        </w:numPr>
        <w:spacing w:line="360" w:lineRule="auto"/>
        <w:jc w:val="both"/>
        <w:rPr>
          <w:rFonts w:eastAsia="Calibri"/>
          <w:noProof/>
          <w:lang w:val="es-DO"/>
        </w:rPr>
      </w:pPr>
      <w:r w:rsidRPr="00AC7AC2">
        <w:rPr>
          <w:rFonts w:eastAsia="Calibri"/>
          <w:noProof/>
          <w:lang w:val="es-DO"/>
        </w:rPr>
        <w:t>Uso del sistema en el ambiente de prueba y asistencia técnica a los usuarios.</w:t>
      </w:r>
    </w:p>
    <w:p w14:paraId="5C442B95" w14:textId="77777777" w:rsidR="00763CE1" w:rsidRPr="00AC7AC2" w:rsidRDefault="00763CE1" w:rsidP="00D64261">
      <w:pPr>
        <w:spacing w:line="360" w:lineRule="auto"/>
        <w:jc w:val="both"/>
        <w:rPr>
          <w:rFonts w:eastAsia="Calibri"/>
          <w:b/>
          <w:bCs/>
          <w:noProof/>
          <w:lang w:val="es-DO"/>
        </w:rPr>
      </w:pPr>
      <w:r w:rsidRPr="00AC7AC2">
        <w:rPr>
          <w:rFonts w:eastAsia="Calibri"/>
          <w:b/>
          <w:bCs/>
          <w:noProof/>
          <w:lang w:val="es-DO"/>
        </w:rPr>
        <w:t>4ta Fase: Acompañamiento y revisión de la práctica.</w:t>
      </w:r>
    </w:p>
    <w:p w14:paraId="3E48D729" w14:textId="77777777" w:rsidR="00763CE1" w:rsidRPr="00AC7AC2" w:rsidRDefault="00763CE1" w:rsidP="004C2709">
      <w:pPr>
        <w:numPr>
          <w:ilvl w:val="0"/>
          <w:numId w:val="22"/>
        </w:numPr>
        <w:spacing w:line="360" w:lineRule="auto"/>
        <w:jc w:val="both"/>
        <w:rPr>
          <w:rFonts w:eastAsia="Calibri"/>
          <w:noProof/>
          <w:lang w:val="es-DO"/>
        </w:rPr>
      </w:pPr>
      <w:r w:rsidRPr="00AC7AC2">
        <w:rPr>
          <w:rFonts w:eastAsia="Calibri"/>
          <w:noProof/>
          <w:lang w:val="es-DO"/>
        </w:rPr>
        <w:t>Uso y aplicación del sistema en el ambiente de producción;</w:t>
      </w:r>
    </w:p>
    <w:p w14:paraId="0B73062E" w14:textId="77777777" w:rsidR="00763CE1" w:rsidRPr="00AC7AC2" w:rsidRDefault="00763CE1" w:rsidP="004C2709">
      <w:pPr>
        <w:numPr>
          <w:ilvl w:val="0"/>
          <w:numId w:val="22"/>
        </w:numPr>
        <w:spacing w:line="360" w:lineRule="auto"/>
        <w:jc w:val="both"/>
        <w:rPr>
          <w:rFonts w:eastAsia="Calibri"/>
          <w:noProof/>
          <w:lang w:val="es-DO"/>
        </w:rPr>
      </w:pPr>
      <w:r w:rsidRPr="00AC7AC2">
        <w:rPr>
          <w:rFonts w:eastAsia="Calibri"/>
          <w:noProof/>
          <w:lang w:val="es-DO"/>
        </w:rPr>
        <w:lastRenderedPageBreak/>
        <w:t>Asistencia técnica por área para el flujo real de la gestión documental con el uso del sistema en el ambiente de producción;</w:t>
      </w:r>
    </w:p>
    <w:p w14:paraId="56C0D4B9" w14:textId="77777777" w:rsidR="00763CE1" w:rsidRPr="00AC7AC2" w:rsidRDefault="00763CE1" w:rsidP="004C2709">
      <w:pPr>
        <w:numPr>
          <w:ilvl w:val="0"/>
          <w:numId w:val="22"/>
        </w:numPr>
        <w:spacing w:line="360" w:lineRule="auto"/>
        <w:jc w:val="both"/>
        <w:rPr>
          <w:rFonts w:eastAsia="Calibri"/>
          <w:noProof/>
          <w:lang w:val="es-DO"/>
        </w:rPr>
      </w:pPr>
      <w:r w:rsidRPr="00AC7AC2">
        <w:rPr>
          <w:rFonts w:eastAsia="Calibri"/>
          <w:noProof/>
          <w:lang w:val="es-DO"/>
        </w:rPr>
        <w:t>Modificación en la configuración del sistema, según la necesidad del área;</w:t>
      </w:r>
    </w:p>
    <w:p w14:paraId="3EAD9805" w14:textId="77777777" w:rsidR="00763CE1" w:rsidRPr="00AC7AC2" w:rsidRDefault="00763CE1" w:rsidP="004C2709">
      <w:pPr>
        <w:numPr>
          <w:ilvl w:val="0"/>
          <w:numId w:val="22"/>
        </w:numPr>
        <w:spacing w:line="360" w:lineRule="auto"/>
        <w:jc w:val="both"/>
        <w:rPr>
          <w:rFonts w:eastAsia="Calibri"/>
          <w:noProof/>
          <w:lang w:val="es-DO"/>
        </w:rPr>
      </w:pPr>
      <w:r w:rsidRPr="00AC7AC2">
        <w:rPr>
          <w:rFonts w:eastAsia="Calibri"/>
          <w:noProof/>
          <w:lang w:val="es-DO"/>
        </w:rPr>
        <w:t>Modificación de las plantillas de comunicaciones;</w:t>
      </w:r>
    </w:p>
    <w:p w14:paraId="24ADD75A" w14:textId="77777777" w:rsidR="00763CE1" w:rsidRPr="00AC7AC2" w:rsidRDefault="00763CE1" w:rsidP="004C2709">
      <w:pPr>
        <w:numPr>
          <w:ilvl w:val="0"/>
          <w:numId w:val="22"/>
        </w:numPr>
        <w:spacing w:line="360" w:lineRule="auto"/>
        <w:jc w:val="both"/>
        <w:rPr>
          <w:rFonts w:eastAsia="Calibri"/>
          <w:noProof/>
          <w:lang w:val="es-DO"/>
        </w:rPr>
      </w:pPr>
      <w:r w:rsidRPr="00AC7AC2">
        <w:rPr>
          <w:rFonts w:eastAsia="Calibri"/>
          <w:noProof/>
          <w:lang w:val="es-DO"/>
        </w:rPr>
        <w:t>Configuración de la versión web del sistema para la recepción digital de comunicaciones externas;</w:t>
      </w:r>
    </w:p>
    <w:p w14:paraId="3C2B61E0" w14:textId="77777777" w:rsidR="00763CE1" w:rsidRPr="00AC7AC2" w:rsidRDefault="00763CE1" w:rsidP="004C2709">
      <w:pPr>
        <w:numPr>
          <w:ilvl w:val="0"/>
          <w:numId w:val="22"/>
        </w:numPr>
        <w:spacing w:line="360" w:lineRule="auto"/>
        <w:jc w:val="both"/>
        <w:rPr>
          <w:rFonts w:eastAsia="Calibri"/>
          <w:noProof/>
          <w:lang w:val="es-DO"/>
        </w:rPr>
      </w:pPr>
      <w:r w:rsidRPr="00AC7AC2">
        <w:rPr>
          <w:rFonts w:eastAsia="Calibri"/>
          <w:noProof/>
          <w:lang w:val="es-DO"/>
        </w:rPr>
        <w:t>Configuración de las mesas de entrada/salida entre el MHyE y la TN para la interoperabilidad entre ambas entidades, en el ambiente de prueba.</w:t>
      </w:r>
    </w:p>
    <w:p w14:paraId="119BC349" w14:textId="77777777" w:rsidR="00B046C6" w:rsidRPr="00AC7AC2" w:rsidRDefault="00B046C6" w:rsidP="00D64261">
      <w:pPr>
        <w:spacing w:line="360" w:lineRule="auto"/>
        <w:jc w:val="both"/>
        <w:rPr>
          <w:rFonts w:eastAsia="Calibri"/>
          <w:noProof/>
          <w:lang w:val="es-DO"/>
        </w:rPr>
      </w:pPr>
    </w:p>
    <w:p w14:paraId="42F3C92E" w14:textId="77777777" w:rsidR="00B046C6" w:rsidRPr="00AC7AC2" w:rsidRDefault="00B046C6" w:rsidP="00D64261">
      <w:pPr>
        <w:spacing w:line="360" w:lineRule="auto"/>
        <w:jc w:val="both"/>
        <w:rPr>
          <w:rFonts w:eastAsia="Calibri"/>
          <w:noProof/>
          <w:lang w:val="es-DO"/>
        </w:rPr>
      </w:pPr>
    </w:p>
    <w:p w14:paraId="6756A178" w14:textId="77777777" w:rsidR="00763CE1" w:rsidRPr="00AC7AC2" w:rsidRDefault="00763CE1" w:rsidP="00D64261">
      <w:pPr>
        <w:spacing w:line="360" w:lineRule="auto"/>
        <w:jc w:val="both"/>
        <w:rPr>
          <w:rFonts w:eastAsia="Calibri"/>
          <w:b/>
          <w:bCs/>
          <w:noProof/>
          <w:lang w:val="es-ES"/>
        </w:rPr>
      </w:pPr>
      <w:r w:rsidRPr="00AC7AC2">
        <w:rPr>
          <w:rFonts w:eastAsia="Calibri"/>
          <w:b/>
          <w:bCs/>
          <w:noProof/>
          <w:lang w:val="es-ES"/>
        </w:rPr>
        <w:t>Impacto de la implementación del sistema de transparencia documental</w:t>
      </w:r>
    </w:p>
    <w:p w14:paraId="017D634C"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Al momento de la implementación, se parametrizaron 165 despachos (usuarios), tomando como referencia el levantamiento realizado, así como la intervención de estos en el flujo de gestión documental. A continuación, se detallan los usuarios capacitados por grupo:</w:t>
      </w:r>
    </w:p>
    <w:p w14:paraId="425700E6" w14:textId="77777777" w:rsidR="00763CE1" w:rsidRPr="00AC7AC2" w:rsidRDefault="00763CE1" w:rsidP="00D64261">
      <w:pPr>
        <w:spacing w:line="360" w:lineRule="auto"/>
        <w:jc w:val="both"/>
        <w:rPr>
          <w:rFonts w:eastAsia="Calibri"/>
          <w:noProof/>
          <w:lang w:val="es-DO"/>
        </w:rPr>
      </w:pPr>
    </w:p>
    <w:p w14:paraId="1ECA4A6E" w14:textId="77777777" w:rsidR="00763CE1" w:rsidRPr="00AC7AC2" w:rsidRDefault="00763CE1" w:rsidP="004C2709">
      <w:pPr>
        <w:numPr>
          <w:ilvl w:val="0"/>
          <w:numId w:val="23"/>
        </w:numPr>
        <w:spacing w:line="360" w:lineRule="auto"/>
        <w:jc w:val="both"/>
        <w:rPr>
          <w:rFonts w:eastAsia="Calibri"/>
          <w:noProof/>
          <w:lang w:val="es-DO"/>
        </w:rPr>
      </w:pPr>
      <w:r w:rsidRPr="00AC7AC2">
        <w:rPr>
          <w:rFonts w:eastAsia="Calibri"/>
          <w:b/>
          <w:bCs/>
          <w:noProof/>
          <w:lang w:val="es-DO"/>
        </w:rPr>
        <w:t>05 usuarios</w:t>
      </w:r>
      <w:r w:rsidRPr="00AC7AC2">
        <w:rPr>
          <w:rFonts w:eastAsia="Calibri"/>
          <w:noProof/>
          <w:lang w:val="es-DO"/>
        </w:rPr>
        <w:t xml:space="preserve"> capacitados como </w:t>
      </w:r>
      <w:r w:rsidRPr="00AC7AC2">
        <w:rPr>
          <w:rFonts w:eastAsia="Calibri"/>
          <w:b/>
          <w:bCs/>
          <w:noProof/>
          <w:lang w:val="es-DO"/>
        </w:rPr>
        <w:t xml:space="preserve">Administradores </w:t>
      </w:r>
      <w:r w:rsidRPr="00AC7AC2">
        <w:rPr>
          <w:rFonts w:eastAsia="Calibri"/>
          <w:noProof/>
          <w:lang w:val="es-DO"/>
        </w:rPr>
        <w:t xml:space="preserve">del sistema para velar por su adecuado funcionamiento, mediante la creación de nuevos usuarios, modificación de perfiles (en caso de que sea necesario), así como cualquier otra configuración en los módulos de Despacho y Correspondencia.  </w:t>
      </w:r>
    </w:p>
    <w:p w14:paraId="519618DB" w14:textId="77777777" w:rsidR="00763CE1" w:rsidRPr="00AC7AC2" w:rsidRDefault="00763CE1" w:rsidP="00D64261">
      <w:pPr>
        <w:spacing w:line="360" w:lineRule="auto"/>
        <w:jc w:val="both"/>
        <w:rPr>
          <w:rFonts w:eastAsia="Calibri"/>
          <w:noProof/>
          <w:lang w:val="es-DO"/>
        </w:rPr>
      </w:pPr>
    </w:p>
    <w:p w14:paraId="06445A8F" w14:textId="77777777" w:rsidR="00763CE1" w:rsidRPr="00AC7AC2" w:rsidRDefault="00763CE1" w:rsidP="004C2709">
      <w:pPr>
        <w:numPr>
          <w:ilvl w:val="0"/>
          <w:numId w:val="23"/>
        </w:numPr>
        <w:spacing w:line="360" w:lineRule="auto"/>
        <w:jc w:val="both"/>
        <w:rPr>
          <w:rFonts w:eastAsia="Calibri"/>
          <w:noProof/>
          <w:lang w:val="es-DO"/>
        </w:rPr>
      </w:pPr>
      <w:r w:rsidRPr="00AC7AC2">
        <w:rPr>
          <w:rFonts w:eastAsia="Calibri"/>
          <w:b/>
          <w:bCs/>
          <w:noProof/>
          <w:lang w:val="es-DO"/>
        </w:rPr>
        <w:lastRenderedPageBreak/>
        <w:t>06 usuarios</w:t>
      </w:r>
      <w:r w:rsidRPr="00AC7AC2">
        <w:rPr>
          <w:rFonts w:eastAsia="Calibri"/>
          <w:noProof/>
          <w:lang w:val="es-DO"/>
        </w:rPr>
        <w:t xml:space="preserve"> capacitados en el perfil de </w:t>
      </w:r>
      <w:r w:rsidRPr="00AC7AC2">
        <w:rPr>
          <w:rFonts w:eastAsia="Calibri"/>
          <w:b/>
          <w:bCs/>
          <w:noProof/>
          <w:lang w:val="es-DO"/>
        </w:rPr>
        <w:t>Mesa de Entrada/Salida</w:t>
      </w:r>
      <w:r w:rsidRPr="00AC7AC2">
        <w:rPr>
          <w:rFonts w:eastAsia="Calibri"/>
          <w:noProof/>
          <w:lang w:val="es-DO"/>
        </w:rPr>
        <w:t>, responsables de validar, recibir, sistematizar y entregar la correspondencia externa institucional, además de realizar las gestiones de remisión de los documentos internos con destino hacia fuera de la institución.</w:t>
      </w:r>
    </w:p>
    <w:p w14:paraId="0752E0FE" w14:textId="77777777" w:rsidR="00763CE1" w:rsidRPr="00AC7AC2" w:rsidRDefault="00763CE1" w:rsidP="00D64261">
      <w:pPr>
        <w:spacing w:line="360" w:lineRule="auto"/>
        <w:jc w:val="both"/>
        <w:rPr>
          <w:rFonts w:eastAsia="Calibri"/>
          <w:noProof/>
          <w:lang w:val="es-DO"/>
        </w:rPr>
      </w:pPr>
    </w:p>
    <w:p w14:paraId="118E16DD" w14:textId="77777777" w:rsidR="00763CE1" w:rsidRPr="00AC7AC2" w:rsidRDefault="00763CE1" w:rsidP="004C2709">
      <w:pPr>
        <w:numPr>
          <w:ilvl w:val="0"/>
          <w:numId w:val="23"/>
        </w:numPr>
        <w:spacing w:line="360" w:lineRule="auto"/>
        <w:jc w:val="both"/>
        <w:rPr>
          <w:rFonts w:eastAsia="Calibri"/>
          <w:noProof/>
          <w:lang w:val="es-DO"/>
        </w:rPr>
      </w:pPr>
      <w:r w:rsidRPr="00AC7AC2">
        <w:rPr>
          <w:rFonts w:eastAsia="Calibri"/>
          <w:b/>
          <w:bCs/>
          <w:noProof/>
          <w:lang w:val="es-DO"/>
        </w:rPr>
        <w:t>16 usuarios</w:t>
      </w:r>
      <w:r w:rsidRPr="00AC7AC2">
        <w:rPr>
          <w:rFonts w:eastAsia="Calibri"/>
          <w:noProof/>
          <w:lang w:val="es-DO"/>
        </w:rPr>
        <w:t xml:space="preserve"> como </w:t>
      </w:r>
      <w:r w:rsidRPr="00AC7AC2">
        <w:rPr>
          <w:rFonts w:eastAsia="Calibri"/>
          <w:b/>
          <w:bCs/>
          <w:noProof/>
          <w:lang w:val="es-DO"/>
        </w:rPr>
        <w:t>Enlace con Mesa de Entrada</w:t>
      </w:r>
      <w:r w:rsidRPr="00AC7AC2">
        <w:rPr>
          <w:rFonts w:eastAsia="Calibri"/>
          <w:noProof/>
          <w:lang w:val="es-DO"/>
        </w:rPr>
        <w:t xml:space="preserve"> para recibir las correspondencias externas, tomar conocimiento y, en función de la solicitud o requerimiento, distribuir a los colaboradores para su gestión e informar al responsable de área (en caso de ser necesario). Este perfil cuenta, además, con accesos adicionales, tales como: elaborar documentos y revisar las comunicaciones internas a la firma del responsable de área.</w:t>
      </w:r>
    </w:p>
    <w:p w14:paraId="130FE4AB" w14:textId="77777777" w:rsidR="00763CE1" w:rsidRPr="00AC7AC2" w:rsidRDefault="00763CE1" w:rsidP="00D64261">
      <w:pPr>
        <w:spacing w:line="360" w:lineRule="auto"/>
        <w:jc w:val="both"/>
        <w:rPr>
          <w:rFonts w:eastAsia="Calibri"/>
          <w:noProof/>
          <w:lang w:val="es-DO"/>
        </w:rPr>
      </w:pPr>
    </w:p>
    <w:p w14:paraId="63C4396E" w14:textId="77777777" w:rsidR="00763CE1" w:rsidRPr="00AC7AC2" w:rsidRDefault="00763CE1" w:rsidP="004C2709">
      <w:pPr>
        <w:numPr>
          <w:ilvl w:val="0"/>
          <w:numId w:val="23"/>
        </w:numPr>
        <w:spacing w:line="360" w:lineRule="auto"/>
        <w:jc w:val="both"/>
        <w:rPr>
          <w:rFonts w:eastAsia="Calibri"/>
          <w:noProof/>
          <w:lang w:val="es-DO"/>
        </w:rPr>
      </w:pPr>
      <w:r w:rsidRPr="00AC7AC2">
        <w:rPr>
          <w:rFonts w:eastAsia="Calibri"/>
          <w:b/>
          <w:bCs/>
          <w:noProof/>
          <w:lang w:val="es-DO"/>
        </w:rPr>
        <w:t>14 usuarios</w:t>
      </w:r>
      <w:r w:rsidRPr="00AC7AC2">
        <w:rPr>
          <w:rFonts w:eastAsia="Calibri"/>
          <w:noProof/>
          <w:lang w:val="es-DO"/>
        </w:rPr>
        <w:t xml:space="preserve"> como </w:t>
      </w:r>
      <w:r w:rsidRPr="00AC7AC2">
        <w:rPr>
          <w:rFonts w:eastAsia="Calibri"/>
          <w:b/>
          <w:bCs/>
          <w:noProof/>
          <w:lang w:val="es-DO"/>
        </w:rPr>
        <w:t>Replicadores</w:t>
      </w:r>
      <w:r w:rsidRPr="00AC7AC2">
        <w:rPr>
          <w:rFonts w:eastAsia="Calibri"/>
          <w:noProof/>
          <w:lang w:val="es-DO"/>
        </w:rPr>
        <w:t xml:space="preserve"> del sistema, representantes de cada área designados para dar asistencia técnica en el uso y aplicabilidad de la herramienta a cualquier colaborador dentro de su área.   </w:t>
      </w:r>
    </w:p>
    <w:p w14:paraId="79DC0B79" w14:textId="77777777" w:rsidR="00763CE1" w:rsidRPr="00AC7AC2" w:rsidRDefault="00763CE1" w:rsidP="00D64261">
      <w:pPr>
        <w:spacing w:line="360" w:lineRule="auto"/>
        <w:jc w:val="both"/>
        <w:rPr>
          <w:rFonts w:eastAsia="Calibri"/>
          <w:noProof/>
          <w:lang w:val="es-DO"/>
        </w:rPr>
      </w:pPr>
    </w:p>
    <w:p w14:paraId="09B10AFC" w14:textId="77777777" w:rsidR="00763CE1" w:rsidRPr="00AC7AC2" w:rsidRDefault="00763CE1" w:rsidP="004C2709">
      <w:pPr>
        <w:numPr>
          <w:ilvl w:val="0"/>
          <w:numId w:val="23"/>
        </w:numPr>
        <w:spacing w:line="360" w:lineRule="auto"/>
        <w:jc w:val="both"/>
        <w:rPr>
          <w:rFonts w:eastAsia="Calibri"/>
          <w:noProof/>
          <w:lang w:val="es-DO"/>
        </w:rPr>
      </w:pPr>
      <w:r w:rsidRPr="00AC7AC2">
        <w:rPr>
          <w:rFonts w:eastAsia="Calibri"/>
          <w:noProof/>
          <w:lang w:val="es-DO"/>
        </w:rPr>
        <w:t xml:space="preserve">Directores, Encargados de Áreas y Encargados de División, capacitados en el sistema de transparencia documental como </w:t>
      </w:r>
      <w:r w:rsidRPr="00AC7AC2">
        <w:rPr>
          <w:rFonts w:eastAsia="Calibri"/>
          <w:b/>
          <w:bCs/>
          <w:noProof/>
          <w:lang w:val="es-DO"/>
        </w:rPr>
        <w:t>Firmantes</w:t>
      </w:r>
      <w:r w:rsidRPr="00AC7AC2">
        <w:rPr>
          <w:rFonts w:eastAsia="Calibri"/>
          <w:noProof/>
          <w:lang w:val="es-DO"/>
        </w:rPr>
        <w:t>, para tramitar y firmar documentos.</w:t>
      </w:r>
    </w:p>
    <w:p w14:paraId="67FF19EB" w14:textId="77777777" w:rsidR="00763CE1" w:rsidRPr="00AC7AC2" w:rsidRDefault="00763CE1" w:rsidP="00D64261">
      <w:pPr>
        <w:spacing w:line="360" w:lineRule="auto"/>
        <w:jc w:val="both"/>
        <w:rPr>
          <w:rFonts w:eastAsia="Calibri"/>
          <w:noProof/>
          <w:lang w:val="es-DO"/>
        </w:rPr>
      </w:pPr>
    </w:p>
    <w:p w14:paraId="40924B4D" w14:textId="77777777" w:rsidR="00763CE1" w:rsidRPr="00AC7AC2" w:rsidRDefault="00763CE1" w:rsidP="004C2709">
      <w:pPr>
        <w:numPr>
          <w:ilvl w:val="0"/>
          <w:numId w:val="23"/>
        </w:numPr>
        <w:spacing w:line="360" w:lineRule="auto"/>
        <w:jc w:val="both"/>
        <w:rPr>
          <w:rFonts w:eastAsia="Calibri"/>
          <w:noProof/>
          <w:lang w:val="es-DO"/>
        </w:rPr>
      </w:pPr>
      <w:r w:rsidRPr="00AC7AC2">
        <w:rPr>
          <w:rFonts w:eastAsia="Calibri"/>
          <w:noProof/>
          <w:lang w:val="es-DO"/>
        </w:rPr>
        <w:t xml:space="preserve">Representantes de distintas áreas para el perfil de </w:t>
      </w:r>
      <w:r w:rsidRPr="00AC7AC2">
        <w:rPr>
          <w:rFonts w:eastAsia="Calibri"/>
          <w:b/>
          <w:bCs/>
          <w:noProof/>
          <w:lang w:val="es-DO"/>
        </w:rPr>
        <w:t>Colaborador</w:t>
      </w:r>
      <w:r w:rsidRPr="00AC7AC2">
        <w:rPr>
          <w:rFonts w:eastAsia="Calibri"/>
          <w:noProof/>
          <w:lang w:val="es-DO"/>
        </w:rPr>
        <w:t xml:space="preserve">, cuya responsabilidad en el sistema es recibir comunicaciones, tomar conocimiento y gestionar en función de la instrucción del responsable de área o superior inmediato. </w:t>
      </w:r>
    </w:p>
    <w:p w14:paraId="475F9746"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lastRenderedPageBreak/>
        <w:t>Esta herramienta favoreció la Gestión Documental, pues cuenta con un proceso más transparente, con mayor seguridad y/o respaldo de la información, así como el registro automático de la trazabilidad de cada documento, tanto externo como interno.</w:t>
      </w:r>
    </w:p>
    <w:p w14:paraId="393B2B27" w14:textId="77777777" w:rsidR="00763CE1" w:rsidRPr="00AC7AC2" w:rsidRDefault="00763CE1" w:rsidP="00D64261">
      <w:pPr>
        <w:spacing w:line="360" w:lineRule="auto"/>
        <w:jc w:val="both"/>
        <w:rPr>
          <w:rFonts w:eastAsia="Calibri"/>
          <w:noProof/>
          <w:lang w:val="es-DO"/>
        </w:rPr>
      </w:pPr>
    </w:p>
    <w:p w14:paraId="2DF33F07"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 xml:space="preserve">Tablero de visualización de datos </w:t>
      </w:r>
    </w:p>
    <w:p w14:paraId="67C5AA6F" w14:textId="088EE264" w:rsidR="00763CE1" w:rsidRPr="00AC7AC2" w:rsidRDefault="00763CE1" w:rsidP="00D64261">
      <w:pPr>
        <w:spacing w:line="360" w:lineRule="auto"/>
        <w:jc w:val="both"/>
        <w:rPr>
          <w:rFonts w:eastAsia="Calibri"/>
          <w:noProof/>
          <w:lang w:val="es-DO"/>
        </w:rPr>
      </w:pPr>
      <w:r w:rsidRPr="00AC7AC2">
        <w:rPr>
          <w:rFonts w:eastAsia="Calibri"/>
          <w:noProof/>
          <w:lang w:val="es-DO"/>
        </w:rPr>
        <w:t>La Tesorería Nacional realizó un levantamiento de información para el desarrollo de Dashboards, con la finalidad de determinar los datos de entrada requeridos, los indicadores clave y visualizaciones adecuados para su presentación</w:t>
      </w:r>
      <w:r w:rsidR="005028B7" w:rsidRPr="00AC7AC2">
        <w:rPr>
          <w:rFonts w:eastAsia="Calibri"/>
          <w:noProof/>
          <w:lang w:val="es-DO"/>
        </w:rPr>
        <w:t>.</w:t>
      </w:r>
    </w:p>
    <w:p w14:paraId="25285BB0" w14:textId="77777777" w:rsidR="00763CE1" w:rsidRPr="00AC7AC2" w:rsidRDefault="00763CE1" w:rsidP="00D64261">
      <w:pPr>
        <w:spacing w:line="360" w:lineRule="auto"/>
        <w:jc w:val="both"/>
        <w:rPr>
          <w:rFonts w:eastAsia="Calibri"/>
          <w:noProof/>
          <w:lang w:val="es-DO"/>
        </w:rPr>
      </w:pPr>
    </w:p>
    <w:p w14:paraId="18522FFA"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Módulo de recepción y tramitación de solicitudes al Instituto de Auxilios y Viviendas (INAVI)</w:t>
      </w:r>
    </w:p>
    <w:p w14:paraId="240756C6"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La Tesorería Nacional desarrolló el módulo de Certificaciones al Instituto de Auxilios y Viviendas (INAVI) en el Sistema de la Tesorería Nacional (SITNA), con la finalidad de recibir, de manera digital, las solicitudes dirigidas a dicha entidad, que son:</w:t>
      </w:r>
    </w:p>
    <w:p w14:paraId="4898B24F" w14:textId="77777777" w:rsidR="00763CE1" w:rsidRPr="00AC7AC2" w:rsidRDefault="00763CE1" w:rsidP="00D64261">
      <w:pPr>
        <w:spacing w:line="360" w:lineRule="auto"/>
        <w:jc w:val="both"/>
        <w:rPr>
          <w:rFonts w:eastAsia="Calibri"/>
          <w:noProof/>
          <w:lang w:val="es-DO"/>
        </w:rPr>
      </w:pPr>
    </w:p>
    <w:p w14:paraId="24FD6C60"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w:t>
      </w:r>
      <w:r w:rsidRPr="00AC7AC2">
        <w:rPr>
          <w:rFonts w:eastAsia="Calibri"/>
          <w:noProof/>
          <w:lang w:val="es-DO"/>
        </w:rPr>
        <w:tab/>
        <w:t>Solicitud de Cesantía</w:t>
      </w:r>
    </w:p>
    <w:p w14:paraId="29335307"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w:t>
      </w:r>
      <w:r w:rsidRPr="00AC7AC2">
        <w:rPr>
          <w:rFonts w:eastAsia="Calibri"/>
          <w:noProof/>
          <w:lang w:val="es-DO"/>
        </w:rPr>
        <w:tab/>
        <w:t>Solicitud de Invalidez</w:t>
      </w:r>
    </w:p>
    <w:p w14:paraId="3104F734"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w:t>
      </w:r>
      <w:r w:rsidRPr="00AC7AC2">
        <w:rPr>
          <w:rFonts w:eastAsia="Calibri"/>
          <w:noProof/>
          <w:lang w:val="es-DO"/>
        </w:rPr>
        <w:tab/>
        <w:t>Solicitud de Seguro de Vida</w:t>
      </w:r>
    </w:p>
    <w:p w14:paraId="268C608E"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Esta sistematización favorece a los usuarios, quienes, por esta moderna facilidad, no tienen que desplazarse a esta Tesorería Nacional.</w:t>
      </w:r>
    </w:p>
    <w:p w14:paraId="111DA47C" w14:textId="77777777" w:rsidR="00763CE1" w:rsidRPr="00AC7AC2" w:rsidRDefault="00763CE1" w:rsidP="00D64261">
      <w:pPr>
        <w:spacing w:line="360" w:lineRule="auto"/>
        <w:jc w:val="both"/>
        <w:rPr>
          <w:rFonts w:eastAsia="Calibri"/>
          <w:noProof/>
          <w:lang w:val="es-DO"/>
        </w:rPr>
      </w:pPr>
    </w:p>
    <w:p w14:paraId="370C6E78" w14:textId="77777777" w:rsidR="007B3FD1" w:rsidRPr="00AC7AC2" w:rsidRDefault="007B3FD1" w:rsidP="00D64261">
      <w:pPr>
        <w:spacing w:line="360" w:lineRule="auto"/>
        <w:jc w:val="both"/>
        <w:rPr>
          <w:rFonts w:eastAsia="Calibri"/>
          <w:noProof/>
          <w:lang w:val="es-DO"/>
        </w:rPr>
      </w:pPr>
    </w:p>
    <w:p w14:paraId="393BF46D" w14:textId="77777777" w:rsidR="00763CE1" w:rsidRPr="00AC7AC2" w:rsidRDefault="00763CE1" w:rsidP="00D64261">
      <w:pPr>
        <w:spacing w:line="360" w:lineRule="auto"/>
        <w:jc w:val="both"/>
        <w:rPr>
          <w:rFonts w:eastAsia="Calibri"/>
          <w:b/>
          <w:bCs/>
          <w:noProof/>
          <w:lang w:val="es-DO"/>
        </w:rPr>
      </w:pPr>
      <w:r w:rsidRPr="00AC7AC2">
        <w:rPr>
          <w:rFonts w:eastAsia="Calibri"/>
          <w:b/>
          <w:bCs/>
          <w:noProof/>
          <w:lang w:val="es-DO"/>
        </w:rPr>
        <w:lastRenderedPageBreak/>
        <w:t xml:space="preserve">Autoevaluación CAF </w:t>
      </w:r>
    </w:p>
    <w:p w14:paraId="4C1CC919"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La Tesorería Nacional Identificó fortalezas y debilidades institucionales en el marco de la Autoevaluación CAF (Common Assessment Framework), para mantener la transparencia, eficiencia y la satisfacción de los usuarios/ciudadanos que reciben los servicios, con la finalidad de evaluar objetivamente y mejorar la gestión de los servicios.</w:t>
      </w:r>
    </w:p>
    <w:p w14:paraId="075B9336"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Implementó de manera satisfactoria el plan de mejora basado en evidencia y datos reales arrojados en la autoevaluación 2024, por medio de la cual alcanzó el 90% de la ejecución.</w:t>
      </w:r>
    </w:p>
    <w:p w14:paraId="5F2B2AE6" w14:textId="77777777" w:rsidR="00763CE1" w:rsidRPr="00AC7AC2" w:rsidRDefault="00763CE1" w:rsidP="00D64261">
      <w:pPr>
        <w:spacing w:line="360" w:lineRule="auto"/>
        <w:jc w:val="both"/>
        <w:rPr>
          <w:rFonts w:eastAsia="Calibri"/>
          <w:noProof/>
          <w:lang w:val="es-DO"/>
        </w:rPr>
      </w:pPr>
    </w:p>
    <w:p w14:paraId="1619A0CF" w14:textId="77777777" w:rsidR="00763CE1" w:rsidRPr="00AC7AC2" w:rsidRDefault="00763CE1" w:rsidP="00D64261">
      <w:pPr>
        <w:spacing w:line="360" w:lineRule="auto"/>
        <w:jc w:val="both"/>
        <w:rPr>
          <w:rFonts w:eastAsia="Calibri"/>
          <w:b/>
          <w:bCs/>
          <w:noProof/>
          <w:lang w:val="es-DO"/>
        </w:rPr>
      </w:pPr>
      <w:r w:rsidRPr="00AC7AC2">
        <w:rPr>
          <w:rFonts w:eastAsia="Calibri"/>
          <w:b/>
          <w:bCs/>
          <w:noProof/>
          <w:lang w:val="es-DO"/>
        </w:rPr>
        <w:t>Estandarización de procesos</w:t>
      </w:r>
    </w:p>
    <w:p w14:paraId="703AE436"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La Tesorería Nacional actualizó el Mapa de Macroprocesos Institucional y el marco estratégico, luego de ser aprobado el Plan Estratégico 2025-2028, con la finalidad de mantener una cultura de mejora continua.</w:t>
      </w:r>
    </w:p>
    <w:p w14:paraId="6546D343" w14:textId="77777777" w:rsidR="00B046C6" w:rsidRPr="00AC7AC2" w:rsidRDefault="00B046C6" w:rsidP="00D64261">
      <w:pPr>
        <w:spacing w:line="360" w:lineRule="auto"/>
        <w:jc w:val="both"/>
        <w:rPr>
          <w:rFonts w:eastAsia="Calibri"/>
          <w:noProof/>
          <w:lang w:val="es-DO"/>
        </w:rPr>
      </w:pPr>
    </w:p>
    <w:p w14:paraId="1E51E29B" w14:textId="77777777" w:rsidR="00763CE1" w:rsidRPr="00AC7AC2" w:rsidRDefault="00763CE1" w:rsidP="00D64261">
      <w:pPr>
        <w:spacing w:line="360" w:lineRule="auto"/>
        <w:jc w:val="both"/>
        <w:rPr>
          <w:rFonts w:eastAsia="Calibri"/>
          <w:b/>
          <w:bCs/>
          <w:noProof/>
          <w:lang w:val="es-DO"/>
        </w:rPr>
      </w:pPr>
      <w:r w:rsidRPr="00AC7AC2">
        <w:rPr>
          <w:rFonts w:eastAsia="Calibri"/>
          <w:b/>
          <w:bCs/>
          <w:noProof/>
          <w:lang w:val="es-DO"/>
        </w:rPr>
        <w:t xml:space="preserve">Mediciones de Servicios </w:t>
      </w:r>
    </w:p>
    <w:p w14:paraId="466F18DE"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En el marco del Sistema de Monitoreo de la Administración Pública (SISMAP), la Tesorería Nacional obtuvo una valoración global de 89.49%, posicionándose entre las instituciones con mayor avance en la implementación de políticas de fortalecimiento institucional y calidad en la gestión pública. Este resultado evidencia el compromiso institucional con los estándares de eficiencia y rendición de cuentas establecidos por el Ministerio de Administración Pública.</w:t>
      </w:r>
    </w:p>
    <w:p w14:paraId="2F19DE35"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 xml:space="preserve">La Tesorería Nacional realizó la medición de los servicios comprometidos en la Carta Compromiso al Ciudadano de la </w:t>
      </w:r>
      <w:r w:rsidRPr="00AC7AC2">
        <w:rPr>
          <w:rFonts w:eastAsia="Calibri"/>
          <w:noProof/>
          <w:lang w:val="es-DO"/>
        </w:rPr>
        <w:lastRenderedPageBreak/>
        <w:t>institución, la cual fue aprobada por medio de la Resolución 373-2023, por el Ministerio de Administración Pública (MAP).</w:t>
      </w:r>
    </w:p>
    <w:p w14:paraId="0E6E5DC4"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La misma abarca el periodo Enero-Diciembre 2025, evidenció resultados sobresalientes en la experiencia del usuario y la medición de los servicios comprometidos en la Carta Compromiso al Ciudadano:</w:t>
      </w:r>
    </w:p>
    <w:p w14:paraId="3B0FD8C2"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w:t>
      </w:r>
      <w:r w:rsidRPr="00AC7AC2">
        <w:rPr>
          <w:rFonts w:eastAsia="Calibri"/>
          <w:noProof/>
          <w:lang w:val="es-DO"/>
        </w:rPr>
        <w:tab/>
        <w:t>Consulta de Pagos y Libramientos 98.53%</w:t>
      </w:r>
    </w:p>
    <w:p w14:paraId="69FB58ED"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w:t>
      </w:r>
      <w:r w:rsidRPr="00AC7AC2">
        <w:rPr>
          <w:rFonts w:eastAsia="Calibri"/>
          <w:noProof/>
          <w:lang w:val="es-DO"/>
        </w:rPr>
        <w:tab/>
        <w:t>Asistencia Técnica a las Tesorerías Institucionales 98.85%</w:t>
      </w:r>
    </w:p>
    <w:p w14:paraId="6A8F5CC1"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w:t>
      </w:r>
      <w:r w:rsidRPr="00AC7AC2">
        <w:rPr>
          <w:rFonts w:eastAsia="Calibri"/>
          <w:noProof/>
          <w:lang w:val="es-DO"/>
        </w:rPr>
        <w:tab/>
        <w:t>Reimpresión de Cheques 99.27%</w:t>
      </w:r>
    </w:p>
    <w:p w14:paraId="25CFB654" w14:textId="69239272" w:rsidR="005028B7" w:rsidRPr="00AC7AC2" w:rsidRDefault="00763CE1" w:rsidP="00D64261">
      <w:pPr>
        <w:spacing w:line="360" w:lineRule="auto"/>
        <w:jc w:val="both"/>
        <w:rPr>
          <w:rFonts w:eastAsia="Calibri"/>
          <w:noProof/>
          <w:lang w:val="es-DO"/>
        </w:rPr>
      </w:pPr>
      <w:r w:rsidRPr="00AC7AC2">
        <w:rPr>
          <w:rFonts w:eastAsia="Calibri"/>
          <w:noProof/>
          <w:lang w:val="es-DO"/>
        </w:rPr>
        <w:t>La Tesorería Nacional alcanzó el 100% en la evaluación correspondiente al indicador 01.4 Carta Compromiso al Ciudadano, del Sistema de Medición de la Administración Pública (SISMAP), realizado por el Ministerio de Administración Pública (MAP), el estándar es de 85%, en cada uno de los servicios, sin embargo, con esta calificación se evidencia el compromiso institucional de cara al ciudadano.</w:t>
      </w:r>
    </w:p>
    <w:p w14:paraId="53E8DA5C" w14:textId="6465EFDE" w:rsidR="00763CE1" w:rsidRPr="00AC7AC2" w:rsidRDefault="00763CE1" w:rsidP="00D64261">
      <w:pPr>
        <w:spacing w:after="0" w:line="360" w:lineRule="auto"/>
        <w:jc w:val="center"/>
        <w:rPr>
          <w:rFonts w:eastAsia="Calibri"/>
          <w:b/>
          <w:bCs/>
          <w:noProof/>
          <w:lang w:val="es-DO"/>
        </w:rPr>
      </w:pPr>
      <w:r w:rsidRPr="00AC7AC2">
        <w:rPr>
          <w:rFonts w:eastAsia="Calibri"/>
          <w:b/>
          <w:bCs/>
          <w:noProof/>
          <w:lang w:val="es-DO"/>
        </w:rPr>
        <w:t xml:space="preserve">Cuadro No. </w:t>
      </w:r>
      <w:r w:rsidR="008D7279" w:rsidRPr="00AC7AC2">
        <w:rPr>
          <w:rFonts w:eastAsia="Calibri"/>
          <w:b/>
          <w:bCs/>
          <w:noProof/>
          <w:lang w:val="es-DO"/>
        </w:rPr>
        <w:t>48</w:t>
      </w:r>
    </w:p>
    <w:p w14:paraId="270DEBBE" w14:textId="77777777" w:rsidR="00763CE1" w:rsidRPr="00AC7AC2" w:rsidRDefault="00763CE1" w:rsidP="00D64261">
      <w:pPr>
        <w:spacing w:after="0" w:line="360" w:lineRule="auto"/>
        <w:jc w:val="center"/>
        <w:rPr>
          <w:rFonts w:eastAsia="Calibri"/>
          <w:b/>
          <w:bCs/>
          <w:noProof/>
          <w:lang w:val="es-DO"/>
        </w:rPr>
      </w:pPr>
      <w:r w:rsidRPr="00AC7AC2">
        <w:rPr>
          <w:rFonts w:eastAsia="Calibri"/>
          <w:b/>
          <w:bCs/>
          <w:noProof/>
          <w:lang w:val="es-DO"/>
        </w:rPr>
        <w:t>Tesorería Nacional</w:t>
      </w:r>
    </w:p>
    <w:tbl>
      <w:tblPr>
        <w:tblW w:w="8075" w:type="dxa"/>
        <w:tblCellMar>
          <w:left w:w="70" w:type="dxa"/>
          <w:right w:w="70" w:type="dxa"/>
        </w:tblCellMar>
        <w:tblLook w:val="04A0" w:firstRow="1" w:lastRow="0" w:firstColumn="1" w:lastColumn="0" w:noHBand="0" w:noVBand="1"/>
      </w:tblPr>
      <w:tblGrid>
        <w:gridCol w:w="2951"/>
        <w:gridCol w:w="1521"/>
        <w:gridCol w:w="1192"/>
        <w:gridCol w:w="1314"/>
        <w:gridCol w:w="1167"/>
      </w:tblGrid>
      <w:tr w:rsidR="00A60E1B" w:rsidRPr="00B47076" w14:paraId="4EF028F2" w14:textId="77777777" w:rsidTr="00A60E1B">
        <w:trPr>
          <w:trHeight w:val="294"/>
          <w:tblHeader/>
        </w:trPr>
        <w:tc>
          <w:tcPr>
            <w:tcW w:w="8075" w:type="dxa"/>
            <w:gridSpan w:val="5"/>
            <w:tcBorders>
              <w:top w:val="single" w:sz="8" w:space="0" w:color="auto"/>
              <w:left w:val="single" w:sz="8" w:space="0" w:color="auto"/>
              <w:bottom w:val="single" w:sz="4" w:space="0" w:color="auto"/>
              <w:right w:val="single" w:sz="8" w:space="0" w:color="000000"/>
            </w:tcBorders>
            <w:shd w:val="clear" w:color="000000" w:fill="002060"/>
            <w:noWrap/>
            <w:vAlign w:val="bottom"/>
            <w:hideMark/>
          </w:tcPr>
          <w:p w14:paraId="5014F462" w14:textId="77777777" w:rsidR="00A60E1B" w:rsidRPr="003C6672" w:rsidRDefault="00A60E1B" w:rsidP="00D64261">
            <w:pPr>
              <w:spacing w:after="0" w:line="360" w:lineRule="auto"/>
              <w:jc w:val="center"/>
              <w:rPr>
                <w:rFonts w:eastAsia="Times New Roman"/>
                <w:b/>
                <w:bCs/>
                <w:color w:val="FFFFFF"/>
                <w:spacing w:val="0"/>
                <w:sz w:val="22"/>
                <w:szCs w:val="22"/>
                <w:lang w:val="es-DO" w:eastAsia="es-DO"/>
              </w:rPr>
            </w:pPr>
            <w:bookmarkStart w:id="45" w:name="_Hlk215067404"/>
            <w:r w:rsidRPr="003C6672">
              <w:rPr>
                <w:rFonts w:eastAsia="Times New Roman"/>
                <w:b/>
                <w:bCs/>
                <w:color w:val="FFFFFF"/>
                <w:spacing w:val="0"/>
                <w:sz w:val="22"/>
                <w:szCs w:val="22"/>
                <w:lang w:val="es-DO" w:eastAsia="es-DO"/>
              </w:rPr>
              <w:t>Medición de Compromisos de Calidad de los Servicios Tesorería Nacional</w:t>
            </w:r>
          </w:p>
        </w:tc>
      </w:tr>
      <w:tr w:rsidR="00A60E1B" w:rsidRPr="00437C40" w14:paraId="65C2D628" w14:textId="77777777" w:rsidTr="00A60E1B">
        <w:trPr>
          <w:trHeight w:val="294"/>
          <w:tblHeader/>
        </w:trPr>
        <w:tc>
          <w:tcPr>
            <w:tcW w:w="8075" w:type="dxa"/>
            <w:gridSpan w:val="5"/>
            <w:tcBorders>
              <w:top w:val="single" w:sz="4" w:space="0" w:color="auto"/>
              <w:left w:val="single" w:sz="8" w:space="0" w:color="auto"/>
              <w:bottom w:val="single" w:sz="4" w:space="0" w:color="auto"/>
              <w:right w:val="single" w:sz="8" w:space="0" w:color="000000"/>
            </w:tcBorders>
            <w:shd w:val="clear" w:color="000000" w:fill="002060"/>
            <w:noWrap/>
            <w:vAlign w:val="bottom"/>
            <w:hideMark/>
          </w:tcPr>
          <w:p w14:paraId="6E5FA17B" w14:textId="77777777" w:rsidR="00A60E1B" w:rsidRPr="003C6672" w:rsidRDefault="00A60E1B" w:rsidP="00D64261">
            <w:pPr>
              <w:spacing w:after="0" w:line="360" w:lineRule="auto"/>
              <w:jc w:val="center"/>
              <w:rPr>
                <w:rFonts w:eastAsia="Times New Roman"/>
                <w:b/>
                <w:bCs/>
                <w:color w:val="FFFFFF"/>
                <w:spacing w:val="0"/>
                <w:sz w:val="22"/>
                <w:szCs w:val="22"/>
                <w:lang w:val="es-DO" w:eastAsia="es-DO"/>
              </w:rPr>
            </w:pPr>
            <w:r w:rsidRPr="003C6672">
              <w:rPr>
                <w:rFonts w:eastAsia="Times New Roman"/>
                <w:b/>
                <w:bCs/>
                <w:color w:val="FFFFFF"/>
                <w:spacing w:val="0"/>
                <w:sz w:val="22"/>
                <w:szCs w:val="22"/>
                <w:lang w:val="es-DO" w:eastAsia="es-DO"/>
              </w:rPr>
              <w:t>Período: 2025</w:t>
            </w:r>
          </w:p>
        </w:tc>
      </w:tr>
      <w:tr w:rsidR="00AC7AC2" w:rsidRPr="00AC7AC2" w14:paraId="47581787" w14:textId="77777777" w:rsidTr="00A60E1B">
        <w:trPr>
          <w:trHeight w:val="294"/>
          <w:tblHeader/>
        </w:trPr>
        <w:tc>
          <w:tcPr>
            <w:tcW w:w="2951" w:type="dxa"/>
            <w:tcBorders>
              <w:top w:val="nil"/>
              <w:left w:val="single" w:sz="8" w:space="0" w:color="auto"/>
              <w:bottom w:val="single" w:sz="4" w:space="0" w:color="auto"/>
              <w:right w:val="single" w:sz="4" w:space="0" w:color="auto"/>
            </w:tcBorders>
            <w:shd w:val="clear" w:color="000000" w:fill="B4C6E7"/>
            <w:noWrap/>
            <w:vAlign w:val="center"/>
            <w:hideMark/>
          </w:tcPr>
          <w:p w14:paraId="7E9E9AB6" w14:textId="77777777" w:rsidR="00A60E1B" w:rsidRPr="00AC7AC2" w:rsidRDefault="00A60E1B" w:rsidP="00D64261">
            <w:pPr>
              <w:spacing w:after="0" w:line="360" w:lineRule="auto"/>
              <w:jc w:val="center"/>
              <w:rPr>
                <w:rFonts w:eastAsia="Times New Roman"/>
                <w:b/>
                <w:bCs/>
                <w:spacing w:val="0"/>
                <w:sz w:val="22"/>
                <w:szCs w:val="22"/>
                <w:lang w:val="es-DO" w:eastAsia="es-DO"/>
              </w:rPr>
            </w:pPr>
            <w:r w:rsidRPr="00AC7AC2">
              <w:rPr>
                <w:rFonts w:eastAsia="Times New Roman"/>
                <w:b/>
                <w:bCs/>
                <w:spacing w:val="0"/>
                <w:sz w:val="22"/>
                <w:szCs w:val="22"/>
                <w:lang w:val="es-DO" w:eastAsia="es-DO"/>
              </w:rPr>
              <w:t>Servicios</w:t>
            </w:r>
          </w:p>
        </w:tc>
        <w:tc>
          <w:tcPr>
            <w:tcW w:w="1493" w:type="dxa"/>
            <w:tcBorders>
              <w:top w:val="nil"/>
              <w:left w:val="nil"/>
              <w:bottom w:val="single" w:sz="4" w:space="0" w:color="auto"/>
              <w:right w:val="single" w:sz="4" w:space="0" w:color="auto"/>
            </w:tcBorders>
            <w:shd w:val="clear" w:color="000000" w:fill="B4C6E7"/>
            <w:noWrap/>
            <w:vAlign w:val="bottom"/>
            <w:hideMark/>
          </w:tcPr>
          <w:p w14:paraId="25A244AF" w14:textId="77777777" w:rsidR="00A60E1B" w:rsidRPr="00AC7AC2" w:rsidRDefault="00A60E1B" w:rsidP="00D64261">
            <w:pPr>
              <w:spacing w:after="0" w:line="360" w:lineRule="auto"/>
              <w:jc w:val="center"/>
              <w:rPr>
                <w:rFonts w:eastAsia="Times New Roman"/>
                <w:b/>
                <w:bCs/>
                <w:spacing w:val="0"/>
                <w:sz w:val="22"/>
                <w:szCs w:val="22"/>
                <w:lang w:val="es-DO" w:eastAsia="es-DO"/>
              </w:rPr>
            </w:pPr>
            <w:r w:rsidRPr="00AC7AC2">
              <w:rPr>
                <w:rFonts w:eastAsia="Times New Roman"/>
                <w:b/>
                <w:bCs/>
                <w:spacing w:val="0"/>
                <w:sz w:val="22"/>
                <w:szCs w:val="22"/>
                <w:lang w:val="es-DO" w:eastAsia="es-DO"/>
              </w:rPr>
              <w:t>Atributos</w:t>
            </w:r>
          </w:p>
        </w:tc>
        <w:tc>
          <w:tcPr>
            <w:tcW w:w="1170" w:type="dxa"/>
            <w:tcBorders>
              <w:top w:val="nil"/>
              <w:left w:val="nil"/>
              <w:bottom w:val="single" w:sz="4" w:space="0" w:color="auto"/>
              <w:right w:val="single" w:sz="4" w:space="0" w:color="auto"/>
            </w:tcBorders>
            <w:shd w:val="clear" w:color="000000" w:fill="B4C6E7"/>
            <w:noWrap/>
            <w:vAlign w:val="bottom"/>
            <w:hideMark/>
          </w:tcPr>
          <w:p w14:paraId="5D31BE1F" w14:textId="77777777" w:rsidR="00A60E1B" w:rsidRPr="00AC7AC2" w:rsidRDefault="00A60E1B" w:rsidP="00D64261">
            <w:pPr>
              <w:spacing w:after="0" w:line="360" w:lineRule="auto"/>
              <w:jc w:val="center"/>
              <w:rPr>
                <w:rFonts w:eastAsia="Times New Roman"/>
                <w:b/>
                <w:bCs/>
                <w:spacing w:val="0"/>
                <w:sz w:val="22"/>
                <w:szCs w:val="22"/>
                <w:lang w:val="es-DO" w:eastAsia="es-DO"/>
              </w:rPr>
            </w:pPr>
            <w:r w:rsidRPr="00AC7AC2">
              <w:rPr>
                <w:rFonts w:eastAsia="Times New Roman"/>
                <w:b/>
                <w:bCs/>
                <w:spacing w:val="0"/>
                <w:sz w:val="22"/>
                <w:szCs w:val="22"/>
                <w:lang w:val="es-DO" w:eastAsia="es-DO"/>
              </w:rPr>
              <w:t xml:space="preserve">Estándares </w:t>
            </w:r>
          </w:p>
        </w:tc>
        <w:tc>
          <w:tcPr>
            <w:tcW w:w="1314" w:type="dxa"/>
            <w:tcBorders>
              <w:top w:val="nil"/>
              <w:left w:val="nil"/>
              <w:bottom w:val="single" w:sz="4" w:space="0" w:color="auto"/>
              <w:right w:val="single" w:sz="4" w:space="0" w:color="auto"/>
            </w:tcBorders>
            <w:shd w:val="clear" w:color="000000" w:fill="B4C6E7"/>
            <w:noWrap/>
            <w:vAlign w:val="bottom"/>
            <w:hideMark/>
          </w:tcPr>
          <w:p w14:paraId="58578F37" w14:textId="77777777" w:rsidR="00A60E1B" w:rsidRPr="00AC7AC2" w:rsidRDefault="00A60E1B" w:rsidP="00D64261">
            <w:pPr>
              <w:spacing w:after="0" w:line="360" w:lineRule="auto"/>
              <w:jc w:val="center"/>
              <w:rPr>
                <w:rFonts w:eastAsia="Times New Roman"/>
                <w:b/>
                <w:bCs/>
                <w:spacing w:val="0"/>
                <w:sz w:val="22"/>
                <w:szCs w:val="22"/>
                <w:lang w:val="es-DO" w:eastAsia="es-DO"/>
              </w:rPr>
            </w:pPr>
            <w:r w:rsidRPr="00AC7AC2">
              <w:rPr>
                <w:rFonts w:eastAsia="Times New Roman"/>
                <w:b/>
                <w:bCs/>
                <w:spacing w:val="0"/>
                <w:sz w:val="22"/>
                <w:szCs w:val="22"/>
                <w:lang w:val="es-DO" w:eastAsia="es-DO"/>
              </w:rPr>
              <w:t>Indicadores</w:t>
            </w:r>
          </w:p>
        </w:tc>
        <w:tc>
          <w:tcPr>
            <w:tcW w:w="1145" w:type="dxa"/>
            <w:tcBorders>
              <w:top w:val="nil"/>
              <w:left w:val="nil"/>
              <w:bottom w:val="single" w:sz="4" w:space="0" w:color="auto"/>
              <w:right w:val="single" w:sz="8" w:space="0" w:color="auto"/>
            </w:tcBorders>
            <w:shd w:val="clear" w:color="000000" w:fill="B4C6E7"/>
            <w:noWrap/>
            <w:vAlign w:val="bottom"/>
            <w:hideMark/>
          </w:tcPr>
          <w:p w14:paraId="321E16A9" w14:textId="77777777" w:rsidR="00A60E1B" w:rsidRPr="00AC7AC2" w:rsidRDefault="00A60E1B" w:rsidP="00D64261">
            <w:pPr>
              <w:spacing w:after="0" w:line="360" w:lineRule="auto"/>
              <w:jc w:val="center"/>
              <w:rPr>
                <w:rFonts w:eastAsia="Times New Roman"/>
                <w:b/>
                <w:bCs/>
                <w:spacing w:val="0"/>
                <w:sz w:val="22"/>
                <w:szCs w:val="22"/>
                <w:lang w:val="es-DO" w:eastAsia="es-DO"/>
              </w:rPr>
            </w:pPr>
            <w:r w:rsidRPr="00AC7AC2">
              <w:rPr>
                <w:rFonts w:eastAsia="Times New Roman"/>
                <w:b/>
                <w:bCs/>
                <w:spacing w:val="0"/>
                <w:sz w:val="22"/>
                <w:szCs w:val="22"/>
                <w:lang w:val="es-DO" w:eastAsia="es-DO"/>
              </w:rPr>
              <w:t>Resultados</w:t>
            </w:r>
          </w:p>
        </w:tc>
      </w:tr>
      <w:tr w:rsidR="00AC7AC2" w:rsidRPr="00AC7AC2" w14:paraId="1A6A987C" w14:textId="77777777" w:rsidTr="00A60E1B">
        <w:trPr>
          <w:trHeight w:val="885"/>
        </w:trPr>
        <w:tc>
          <w:tcPr>
            <w:tcW w:w="2951" w:type="dxa"/>
            <w:tcBorders>
              <w:top w:val="nil"/>
              <w:left w:val="single" w:sz="8" w:space="0" w:color="auto"/>
              <w:bottom w:val="single" w:sz="4" w:space="0" w:color="auto"/>
              <w:right w:val="single" w:sz="4" w:space="0" w:color="auto"/>
            </w:tcBorders>
            <w:noWrap/>
            <w:vAlign w:val="center"/>
            <w:hideMark/>
          </w:tcPr>
          <w:p w14:paraId="198B707C" w14:textId="77777777" w:rsidR="00A60E1B" w:rsidRPr="00AC7AC2" w:rsidRDefault="00A60E1B" w:rsidP="00D64261">
            <w:pPr>
              <w:spacing w:after="0" w:line="360" w:lineRule="auto"/>
              <w:jc w:val="center"/>
              <w:rPr>
                <w:rFonts w:eastAsia="Times New Roman"/>
                <w:spacing w:val="0"/>
                <w:sz w:val="22"/>
                <w:szCs w:val="22"/>
                <w:lang w:val="es-DO" w:eastAsia="es-DO"/>
              </w:rPr>
            </w:pPr>
            <w:r w:rsidRPr="00AC7AC2">
              <w:rPr>
                <w:rFonts w:eastAsia="Times New Roman"/>
                <w:spacing w:val="0"/>
                <w:sz w:val="22"/>
                <w:szCs w:val="22"/>
                <w:lang w:val="es-DO" w:eastAsia="es-DO"/>
              </w:rPr>
              <w:t>Consultas de Pagos y Libramientos</w:t>
            </w:r>
          </w:p>
        </w:tc>
        <w:tc>
          <w:tcPr>
            <w:tcW w:w="1493" w:type="dxa"/>
            <w:tcBorders>
              <w:top w:val="nil"/>
              <w:left w:val="nil"/>
              <w:bottom w:val="single" w:sz="4" w:space="0" w:color="auto"/>
              <w:right w:val="single" w:sz="4" w:space="0" w:color="auto"/>
            </w:tcBorders>
            <w:noWrap/>
            <w:vAlign w:val="center"/>
            <w:hideMark/>
          </w:tcPr>
          <w:p w14:paraId="156701BE" w14:textId="77777777" w:rsidR="00A60E1B" w:rsidRPr="00AC7AC2" w:rsidRDefault="00A60E1B" w:rsidP="00D64261">
            <w:pPr>
              <w:spacing w:after="0" w:line="360" w:lineRule="auto"/>
              <w:jc w:val="center"/>
              <w:rPr>
                <w:rFonts w:eastAsia="Times New Roman"/>
                <w:spacing w:val="0"/>
                <w:sz w:val="22"/>
                <w:szCs w:val="22"/>
                <w:lang w:val="es-DO" w:eastAsia="es-DO"/>
              </w:rPr>
            </w:pPr>
            <w:r w:rsidRPr="00AC7AC2">
              <w:rPr>
                <w:rFonts w:eastAsia="Times New Roman"/>
                <w:spacing w:val="0"/>
                <w:sz w:val="22"/>
                <w:szCs w:val="22"/>
                <w:lang w:val="es-DO" w:eastAsia="es-DO"/>
              </w:rPr>
              <w:t>Fiabilidad</w:t>
            </w:r>
          </w:p>
        </w:tc>
        <w:tc>
          <w:tcPr>
            <w:tcW w:w="1170" w:type="dxa"/>
            <w:tcBorders>
              <w:top w:val="nil"/>
              <w:left w:val="nil"/>
              <w:bottom w:val="single" w:sz="4" w:space="0" w:color="auto"/>
              <w:right w:val="single" w:sz="4" w:space="0" w:color="auto"/>
            </w:tcBorders>
            <w:noWrap/>
            <w:vAlign w:val="center"/>
            <w:hideMark/>
          </w:tcPr>
          <w:p w14:paraId="2BBA8E72" w14:textId="77777777" w:rsidR="00A60E1B" w:rsidRPr="00AC7AC2" w:rsidRDefault="00A60E1B" w:rsidP="00D64261">
            <w:pPr>
              <w:spacing w:after="0" w:line="360" w:lineRule="auto"/>
              <w:jc w:val="center"/>
              <w:rPr>
                <w:rFonts w:eastAsia="Times New Roman"/>
                <w:spacing w:val="0"/>
                <w:sz w:val="22"/>
                <w:szCs w:val="22"/>
                <w:lang w:val="es-DO" w:eastAsia="es-DO"/>
              </w:rPr>
            </w:pPr>
            <w:r w:rsidRPr="00AC7AC2">
              <w:rPr>
                <w:rFonts w:eastAsia="Times New Roman"/>
                <w:spacing w:val="0"/>
                <w:sz w:val="22"/>
                <w:szCs w:val="22"/>
                <w:lang w:val="es-DO" w:eastAsia="es-DO"/>
              </w:rPr>
              <w:t>85%</w:t>
            </w:r>
          </w:p>
        </w:tc>
        <w:tc>
          <w:tcPr>
            <w:tcW w:w="1314" w:type="dxa"/>
            <w:tcBorders>
              <w:top w:val="nil"/>
              <w:left w:val="nil"/>
              <w:bottom w:val="single" w:sz="4" w:space="0" w:color="auto"/>
              <w:right w:val="single" w:sz="4" w:space="0" w:color="auto"/>
            </w:tcBorders>
            <w:vAlign w:val="center"/>
            <w:hideMark/>
          </w:tcPr>
          <w:p w14:paraId="2EF77CA3" w14:textId="77777777" w:rsidR="00A60E1B" w:rsidRPr="00AC7AC2" w:rsidRDefault="00A60E1B" w:rsidP="00D64261">
            <w:pPr>
              <w:spacing w:after="0" w:line="360" w:lineRule="auto"/>
              <w:jc w:val="center"/>
              <w:rPr>
                <w:rFonts w:eastAsia="Times New Roman"/>
                <w:spacing w:val="0"/>
                <w:sz w:val="22"/>
                <w:szCs w:val="22"/>
                <w:lang w:val="es-DO" w:eastAsia="es-DO"/>
              </w:rPr>
            </w:pPr>
            <w:r w:rsidRPr="00AC7AC2">
              <w:rPr>
                <w:rFonts w:eastAsia="Times New Roman"/>
                <w:spacing w:val="0"/>
                <w:sz w:val="22"/>
                <w:szCs w:val="22"/>
                <w:lang w:val="es-DO" w:eastAsia="es-DO"/>
              </w:rPr>
              <w:t>% satisfacción en cuenta trimestral a los ciudadanos</w:t>
            </w:r>
          </w:p>
        </w:tc>
        <w:tc>
          <w:tcPr>
            <w:tcW w:w="1145" w:type="dxa"/>
            <w:tcBorders>
              <w:top w:val="nil"/>
              <w:left w:val="nil"/>
              <w:bottom w:val="single" w:sz="4" w:space="0" w:color="auto"/>
              <w:right w:val="single" w:sz="8" w:space="0" w:color="auto"/>
            </w:tcBorders>
            <w:noWrap/>
            <w:vAlign w:val="center"/>
            <w:hideMark/>
          </w:tcPr>
          <w:p w14:paraId="67754F28" w14:textId="77777777" w:rsidR="00A60E1B" w:rsidRPr="00AC7AC2" w:rsidRDefault="00A60E1B" w:rsidP="00D64261">
            <w:pPr>
              <w:spacing w:after="0" w:line="360" w:lineRule="auto"/>
              <w:jc w:val="center"/>
              <w:rPr>
                <w:rFonts w:eastAsia="Times New Roman"/>
                <w:spacing w:val="0"/>
                <w:sz w:val="22"/>
                <w:szCs w:val="22"/>
                <w:lang w:val="es-DO" w:eastAsia="es-DO"/>
              </w:rPr>
            </w:pPr>
            <w:r w:rsidRPr="00AC7AC2">
              <w:rPr>
                <w:rFonts w:eastAsia="Times New Roman"/>
                <w:spacing w:val="0"/>
                <w:sz w:val="22"/>
                <w:szCs w:val="22"/>
                <w:lang w:val="es-DO" w:eastAsia="es-DO"/>
              </w:rPr>
              <w:t>98.53%</w:t>
            </w:r>
          </w:p>
        </w:tc>
      </w:tr>
      <w:tr w:rsidR="00AC7AC2" w:rsidRPr="00AC7AC2" w14:paraId="7F489971" w14:textId="77777777" w:rsidTr="00A60E1B">
        <w:trPr>
          <w:trHeight w:val="885"/>
        </w:trPr>
        <w:tc>
          <w:tcPr>
            <w:tcW w:w="2951" w:type="dxa"/>
            <w:tcBorders>
              <w:top w:val="nil"/>
              <w:left w:val="single" w:sz="8" w:space="0" w:color="auto"/>
              <w:bottom w:val="single" w:sz="4" w:space="0" w:color="auto"/>
              <w:right w:val="single" w:sz="4" w:space="0" w:color="auto"/>
            </w:tcBorders>
            <w:vAlign w:val="center"/>
            <w:hideMark/>
          </w:tcPr>
          <w:p w14:paraId="0668968E" w14:textId="77777777" w:rsidR="00A60E1B" w:rsidRPr="00AC7AC2" w:rsidRDefault="00A60E1B" w:rsidP="00D64261">
            <w:pPr>
              <w:spacing w:after="0" w:line="360" w:lineRule="auto"/>
              <w:jc w:val="center"/>
              <w:rPr>
                <w:rFonts w:eastAsia="Times New Roman"/>
                <w:spacing w:val="0"/>
                <w:sz w:val="22"/>
                <w:szCs w:val="22"/>
                <w:lang w:val="es-DO" w:eastAsia="es-DO"/>
              </w:rPr>
            </w:pPr>
            <w:r w:rsidRPr="00AC7AC2">
              <w:rPr>
                <w:rFonts w:eastAsia="Times New Roman"/>
                <w:spacing w:val="0"/>
                <w:sz w:val="22"/>
                <w:szCs w:val="22"/>
                <w:lang w:val="es-DO" w:eastAsia="es-DO"/>
              </w:rPr>
              <w:t xml:space="preserve">Asistencia Técnica a las Tesorerías Institucionales </w:t>
            </w:r>
          </w:p>
        </w:tc>
        <w:tc>
          <w:tcPr>
            <w:tcW w:w="1493" w:type="dxa"/>
            <w:tcBorders>
              <w:top w:val="nil"/>
              <w:left w:val="nil"/>
              <w:bottom w:val="single" w:sz="4" w:space="0" w:color="auto"/>
              <w:right w:val="single" w:sz="4" w:space="0" w:color="auto"/>
            </w:tcBorders>
            <w:vAlign w:val="center"/>
            <w:hideMark/>
          </w:tcPr>
          <w:p w14:paraId="75648054" w14:textId="77777777" w:rsidR="00A60E1B" w:rsidRPr="00AC7AC2" w:rsidRDefault="00A60E1B" w:rsidP="00D64261">
            <w:pPr>
              <w:spacing w:after="0" w:line="360" w:lineRule="auto"/>
              <w:jc w:val="center"/>
              <w:rPr>
                <w:rFonts w:eastAsia="Times New Roman"/>
                <w:spacing w:val="0"/>
                <w:sz w:val="22"/>
                <w:szCs w:val="22"/>
                <w:lang w:val="es-DO" w:eastAsia="es-DO"/>
              </w:rPr>
            </w:pPr>
            <w:r w:rsidRPr="00AC7AC2">
              <w:rPr>
                <w:rFonts w:eastAsia="Times New Roman"/>
                <w:spacing w:val="0"/>
                <w:sz w:val="22"/>
                <w:szCs w:val="22"/>
                <w:lang w:val="es-DO" w:eastAsia="es-DO"/>
              </w:rPr>
              <w:t xml:space="preserve">Fiabilidad y </w:t>
            </w:r>
            <w:r w:rsidRPr="00AC7AC2">
              <w:rPr>
                <w:rFonts w:eastAsia="Times New Roman"/>
                <w:spacing w:val="0"/>
                <w:sz w:val="22"/>
                <w:szCs w:val="22"/>
                <w:lang w:val="es-DO" w:eastAsia="es-DO"/>
              </w:rPr>
              <w:br/>
              <w:t>Profesionalidad</w:t>
            </w:r>
          </w:p>
        </w:tc>
        <w:tc>
          <w:tcPr>
            <w:tcW w:w="1170" w:type="dxa"/>
            <w:tcBorders>
              <w:top w:val="nil"/>
              <w:left w:val="nil"/>
              <w:bottom w:val="single" w:sz="4" w:space="0" w:color="auto"/>
              <w:right w:val="single" w:sz="4" w:space="0" w:color="auto"/>
            </w:tcBorders>
            <w:noWrap/>
            <w:vAlign w:val="center"/>
            <w:hideMark/>
          </w:tcPr>
          <w:p w14:paraId="2B9BFFF1" w14:textId="77777777" w:rsidR="00A60E1B" w:rsidRPr="00AC7AC2" w:rsidRDefault="00A60E1B" w:rsidP="00D64261">
            <w:pPr>
              <w:spacing w:after="0" w:line="360" w:lineRule="auto"/>
              <w:jc w:val="center"/>
              <w:rPr>
                <w:rFonts w:eastAsia="Times New Roman"/>
                <w:spacing w:val="0"/>
                <w:sz w:val="22"/>
                <w:szCs w:val="22"/>
                <w:lang w:val="es-DO" w:eastAsia="es-DO"/>
              </w:rPr>
            </w:pPr>
            <w:r w:rsidRPr="00AC7AC2">
              <w:rPr>
                <w:rFonts w:eastAsia="Times New Roman"/>
                <w:spacing w:val="0"/>
                <w:sz w:val="22"/>
                <w:szCs w:val="22"/>
                <w:lang w:val="es-DO" w:eastAsia="es-DO"/>
              </w:rPr>
              <w:t>85%</w:t>
            </w:r>
          </w:p>
        </w:tc>
        <w:tc>
          <w:tcPr>
            <w:tcW w:w="1314" w:type="dxa"/>
            <w:tcBorders>
              <w:top w:val="nil"/>
              <w:left w:val="nil"/>
              <w:bottom w:val="single" w:sz="4" w:space="0" w:color="auto"/>
              <w:right w:val="single" w:sz="4" w:space="0" w:color="auto"/>
            </w:tcBorders>
            <w:vAlign w:val="center"/>
            <w:hideMark/>
          </w:tcPr>
          <w:p w14:paraId="1AB689E8" w14:textId="77777777" w:rsidR="00A60E1B" w:rsidRPr="00AC7AC2" w:rsidRDefault="00A60E1B" w:rsidP="00D64261">
            <w:pPr>
              <w:spacing w:after="0" w:line="360" w:lineRule="auto"/>
              <w:jc w:val="center"/>
              <w:rPr>
                <w:rFonts w:eastAsia="Times New Roman"/>
                <w:spacing w:val="0"/>
                <w:sz w:val="22"/>
                <w:szCs w:val="22"/>
                <w:lang w:val="es-DO" w:eastAsia="es-DO"/>
              </w:rPr>
            </w:pPr>
            <w:r w:rsidRPr="00AC7AC2">
              <w:rPr>
                <w:rFonts w:eastAsia="Times New Roman"/>
                <w:spacing w:val="0"/>
                <w:sz w:val="22"/>
                <w:szCs w:val="22"/>
                <w:lang w:val="es-DO" w:eastAsia="es-DO"/>
              </w:rPr>
              <w:t xml:space="preserve">% satisfacción </w:t>
            </w:r>
            <w:r w:rsidRPr="00AC7AC2">
              <w:rPr>
                <w:rFonts w:eastAsia="Times New Roman"/>
                <w:spacing w:val="0"/>
                <w:sz w:val="22"/>
                <w:szCs w:val="22"/>
                <w:lang w:val="es-DO" w:eastAsia="es-DO"/>
              </w:rPr>
              <w:lastRenderedPageBreak/>
              <w:t>en cuenta trimestral a los ciudadanos</w:t>
            </w:r>
          </w:p>
        </w:tc>
        <w:tc>
          <w:tcPr>
            <w:tcW w:w="1145" w:type="dxa"/>
            <w:tcBorders>
              <w:top w:val="nil"/>
              <w:left w:val="nil"/>
              <w:bottom w:val="single" w:sz="4" w:space="0" w:color="auto"/>
              <w:right w:val="single" w:sz="8" w:space="0" w:color="auto"/>
            </w:tcBorders>
            <w:noWrap/>
            <w:vAlign w:val="center"/>
            <w:hideMark/>
          </w:tcPr>
          <w:p w14:paraId="67D55C73" w14:textId="77777777" w:rsidR="00A60E1B" w:rsidRPr="00AC7AC2" w:rsidRDefault="00A60E1B" w:rsidP="00D64261">
            <w:pPr>
              <w:spacing w:after="0" w:line="360" w:lineRule="auto"/>
              <w:jc w:val="center"/>
              <w:rPr>
                <w:rFonts w:eastAsia="Times New Roman"/>
                <w:spacing w:val="0"/>
                <w:sz w:val="22"/>
                <w:szCs w:val="22"/>
                <w:lang w:val="es-DO" w:eastAsia="es-DO"/>
              </w:rPr>
            </w:pPr>
            <w:r w:rsidRPr="00AC7AC2">
              <w:rPr>
                <w:rFonts w:eastAsia="Times New Roman"/>
                <w:spacing w:val="0"/>
                <w:sz w:val="22"/>
                <w:szCs w:val="22"/>
                <w:lang w:val="es-DO" w:eastAsia="es-DO"/>
              </w:rPr>
              <w:lastRenderedPageBreak/>
              <w:t>98.85%</w:t>
            </w:r>
          </w:p>
        </w:tc>
      </w:tr>
      <w:tr w:rsidR="00A60E1B" w:rsidRPr="00AC7AC2" w14:paraId="2614C1CB" w14:textId="77777777" w:rsidTr="00A60E1B">
        <w:trPr>
          <w:trHeight w:val="900"/>
        </w:trPr>
        <w:tc>
          <w:tcPr>
            <w:tcW w:w="2951" w:type="dxa"/>
            <w:tcBorders>
              <w:top w:val="nil"/>
              <w:left w:val="single" w:sz="8" w:space="0" w:color="auto"/>
              <w:bottom w:val="single" w:sz="8" w:space="0" w:color="auto"/>
              <w:right w:val="single" w:sz="4" w:space="0" w:color="auto"/>
            </w:tcBorders>
            <w:noWrap/>
            <w:vAlign w:val="center"/>
            <w:hideMark/>
          </w:tcPr>
          <w:p w14:paraId="1F3372F2" w14:textId="77777777" w:rsidR="00A60E1B" w:rsidRPr="00AC7AC2" w:rsidRDefault="00A60E1B" w:rsidP="00D64261">
            <w:pPr>
              <w:spacing w:after="0" w:line="360" w:lineRule="auto"/>
              <w:jc w:val="center"/>
              <w:rPr>
                <w:rFonts w:eastAsia="Times New Roman"/>
                <w:spacing w:val="0"/>
                <w:sz w:val="22"/>
                <w:szCs w:val="22"/>
                <w:lang w:val="es-DO" w:eastAsia="es-DO"/>
              </w:rPr>
            </w:pPr>
            <w:r w:rsidRPr="00AC7AC2">
              <w:rPr>
                <w:rFonts w:eastAsia="Times New Roman"/>
                <w:spacing w:val="0"/>
                <w:sz w:val="22"/>
                <w:szCs w:val="22"/>
                <w:lang w:val="es-DO" w:eastAsia="es-DO"/>
              </w:rPr>
              <w:t>Reimpresión de Cheques</w:t>
            </w:r>
          </w:p>
        </w:tc>
        <w:tc>
          <w:tcPr>
            <w:tcW w:w="1493" w:type="dxa"/>
            <w:tcBorders>
              <w:top w:val="nil"/>
              <w:left w:val="nil"/>
              <w:bottom w:val="single" w:sz="8" w:space="0" w:color="auto"/>
              <w:right w:val="single" w:sz="4" w:space="0" w:color="auto"/>
            </w:tcBorders>
            <w:noWrap/>
            <w:vAlign w:val="center"/>
            <w:hideMark/>
          </w:tcPr>
          <w:p w14:paraId="13CD812A" w14:textId="77777777" w:rsidR="00A60E1B" w:rsidRPr="00AC7AC2" w:rsidRDefault="00A60E1B" w:rsidP="00D64261">
            <w:pPr>
              <w:spacing w:after="0" w:line="360" w:lineRule="auto"/>
              <w:jc w:val="center"/>
              <w:rPr>
                <w:rFonts w:eastAsia="Times New Roman"/>
                <w:spacing w:val="0"/>
                <w:sz w:val="22"/>
                <w:szCs w:val="22"/>
                <w:lang w:val="es-DO" w:eastAsia="es-DO"/>
              </w:rPr>
            </w:pPr>
            <w:r w:rsidRPr="00AC7AC2">
              <w:rPr>
                <w:rFonts w:eastAsia="Times New Roman"/>
                <w:spacing w:val="0"/>
                <w:sz w:val="22"/>
                <w:szCs w:val="22"/>
                <w:lang w:val="es-DO" w:eastAsia="es-DO"/>
              </w:rPr>
              <w:t>Amabilidad</w:t>
            </w:r>
          </w:p>
        </w:tc>
        <w:tc>
          <w:tcPr>
            <w:tcW w:w="1170" w:type="dxa"/>
            <w:tcBorders>
              <w:top w:val="nil"/>
              <w:left w:val="nil"/>
              <w:bottom w:val="single" w:sz="8" w:space="0" w:color="auto"/>
              <w:right w:val="single" w:sz="4" w:space="0" w:color="auto"/>
            </w:tcBorders>
            <w:noWrap/>
            <w:vAlign w:val="center"/>
            <w:hideMark/>
          </w:tcPr>
          <w:p w14:paraId="4DE0D42A" w14:textId="77777777" w:rsidR="00A60E1B" w:rsidRPr="00AC7AC2" w:rsidRDefault="00A60E1B" w:rsidP="00D64261">
            <w:pPr>
              <w:spacing w:after="0" w:line="360" w:lineRule="auto"/>
              <w:jc w:val="center"/>
              <w:rPr>
                <w:rFonts w:eastAsia="Times New Roman"/>
                <w:spacing w:val="0"/>
                <w:sz w:val="22"/>
                <w:szCs w:val="22"/>
                <w:lang w:val="es-DO" w:eastAsia="es-DO"/>
              </w:rPr>
            </w:pPr>
            <w:r w:rsidRPr="00AC7AC2">
              <w:rPr>
                <w:rFonts w:eastAsia="Times New Roman"/>
                <w:spacing w:val="0"/>
                <w:sz w:val="22"/>
                <w:szCs w:val="22"/>
                <w:lang w:val="es-DO" w:eastAsia="es-DO"/>
              </w:rPr>
              <w:t>85%</w:t>
            </w:r>
          </w:p>
        </w:tc>
        <w:tc>
          <w:tcPr>
            <w:tcW w:w="1314" w:type="dxa"/>
            <w:tcBorders>
              <w:top w:val="nil"/>
              <w:left w:val="nil"/>
              <w:bottom w:val="single" w:sz="8" w:space="0" w:color="auto"/>
              <w:right w:val="single" w:sz="4" w:space="0" w:color="auto"/>
            </w:tcBorders>
            <w:vAlign w:val="center"/>
            <w:hideMark/>
          </w:tcPr>
          <w:p w14:paraId="45383A08" w14:textId="77777777" w:rsidR="00A60E1B" w:rsidRPr="00AC7AC2" w:rsidRDefault="00A60E1B" w:rsidP="00D64261">
            <w:pPr>
              <w:spacing w:after="0" w:line="360" w:lineRule="auto"/>
              <w:jc w:val="center"/>
              <w:rPr>
                <w:rFonts w:eastAsia="Times New Roman"/>
                <w:spacing w:val="0"/>
                <w:sz w:val="22"/>
                <w:szCs w:val="22"/>
                <w:lang w:val="es-DO" w:eastAsia="es-DO"/>
              </w:rPr>
            </w:pPr>
            <w:r w:rsidRPr="00AC7AC2">
              <w:rPr>
                <w:rFonts w:eastAsia="Times New Roman"/>
                <w:spacing w:val="0"/>
                <w:sz w:val="22"/>
                <w:szCs w:val="22"/>
                <w:lang w:val="es-DO" w:eastAsia="es-DO"/>
              </w:rPr>
              <w:t>% satisfacción en cuenta trimestral a los ciudadanos</w:t>
            </w:r>
          </w:p>
        </w:tc>
        <w:tc>
          <w:tcPr>
            <w:tcW w:w="1145" w:type="dxa"/>
            <w:tcBorders>
              <w:top w:val="nil"/>
              <w:left w:val="nil"/>
              <w:bottom w:val="single" w:sz="8" w:space="0" w:color="auto"/>
              <w:right w:val="single" w:sz="8" w:space="0" w:color="auto"/>
            </w:tcBorders>
            <w:noWrap/>
            <w:vAlign w:val="center"/>
            <w:hideMark/>
          </w:tcPr>
          <w:p w14:paraId="19171887" w14:textId="77777777" w:rsidR="00A60E1B" w:rsidRPr="00AC7AC2" w:rsidRDefault="00A60E1B" w:rsidP="00D64261">
            <w:pPr>
              <w:spacing w:after="0" w:line="360" w:lineRule="auto"/>
              <w:jc w:val="center"/>
              <w:rPr>
                <w:rFonts w:eastAsia="Times New Roman"/>
                <w:spacing w:val="0"/>
                <w:sz w:val="22"/>
                <w:szCs w:val="22"/>
                <w:lang w:val="es-DO" w:eastAsia="es-DO"/>
              </w:rPr>
            </w:pPr>
            <w:r w:rsidRPr="00AC7AC2">
              <w:rPr>
                <w:rFonts w:eastAsia="Times New Roman"/>
                <w:spacing w:val="0"/>
                <w:sz w:val="22"/>
                <w:szCs w:val="22"/>
                <w:lang w:val="es-DO" w:eastAsia="es-DO"/>
              </w:rPr>
              <w:t>99.27%</w:t>
            </w:r>
          </w:p>
        </w:tc>
      </w:tr>
      <w:bookmarkEnd w:id="45"/>
    </w:tbl>
    <w:p w14:paraId="5F82971D" w14:textId="77777777" w:rsidR="00A60E1B" w:rsidRPr="00AC7AC2" w:rsidRDefault="00A60E1B" w:rsidP="00D64261">
      <w:pPr>
        <w:spacing w:after="0" w:line="360" w:lineRule="auto"/>
        <w:jc w:val="center"/>
        <w:rPr>
          <w:rFonts w:eastAsia="Calibri"/>
          <w:b/>
          <w:bCs/>
          <w:noProof/>
          <w:lang w:val="es-DO"/>
        </w:rPr>
      </w:pPr>
    </w:p>
    <w:p w14:paraId="1D6E5AC2" w14:textId="77777777" w:rsidR="00763CE1" w:rsidRPr="00AC7AC2" w:rsidRDefault="00763CE1" w:rsidP="00D64261">
      <w:pPr>
        <w:spacing w:line="360" w:lineRule="auto"/>
        <w:jc w:val="both"/>
        <w:rPr>
          <w:rFonts w:eastAsia="Calibri"/>
          <w:i/>
          <w:iCs/>
          <w:noProof/>
          <w:sz w:val="18"/>
          <w:szCs w:val="18"/>
          <w:lang w:val="es-419"/>
        </w:rPr>
      </w:pPr>
      <w:r w:rsidRPr="00AC7AC2">
        <w:rPr>
          <w:rFonts w:eastAsia="Calibri"/>
          <w:i/>
          <w:iCs/>
          <w:noProof/>
          <w:sz w:val="18"/>
          <w:szCs w:val="18"/>
          <w:lang w:val="es-419"/>
        </w:rPr>
        <w:t>Fuente: Departamento de Planificación y Desarrollo de la Tesorería Nacional</w:t>
      </w:r>
    </w:p>
    <w:p w14:paraId="267DE963" w14:textId="77777777" w:rsidR="00B046C6" w:rsidRPr="00AC7AC2" w:rsidRDefault="00B046C6" w:rsidP="00D64261">
      <w:pPr>
        <w:spacing w:line="360" w:lineRule="auto"/>
        <w:jc w:val="both"/>
        <w:rPr>
          <w:rFonts w:eastAsia="Calibri"/>
          <w:b/>
          <w:bCs/>
          <w:noProof/>
          <w:lang w:val="es-DO"/>
        </w:rPr>
      </w:pPr>
    </w:p>
    <w:p w14:paraId="2D9C94F3" w14:textId="14B608D7" w:rsidR="00763CE1" w:rsidRPr="00AC7AC2" w:rsidRDefault="00763CE1" w:rsidP="00D64261">
      <w:pPr>
        <w:spacing w:line="360" w:lineRule="auto"/>
        <w:jc w:val="both"/>
        <w:rPr>
          <w:rFonts w:eastAsia="Calibri"/>
          <w:b/>
          <w:bCs/>
          <w:noProof/>
          <w:lang w:val="es-DO"/>
        </w:rPr>
      </w:pPr>
      <w:r w:rsidRPr="00AC7AC2">
        <w:rPr>
          <w:rFonts w:eastAsia="Calibri"/>
          <w:b/>
          <w:bCs/>
          <w:noProof/>
          <w:lang w:val="es-DO"/>
        </w:rPr>
        <w:t>Resultados de la Encuesta de Satisfacción 2025</w:t>
      </w:r>
    </w:p>
    <w:p w14:paraId="6B0B0B43" w14:textId="77777777" w:rsidR="00763CE1" w:rsidRDefault="00763CE1" w:rsidP="00D64261">
      <w:pPr>
        <w:spacing w:line="360" w:lineRule="auto"/>
        <w:jc w:val="both"/>
        <w:rPr>
          <w:rFonts w:eastAsia="Calibri"/>
          <w:noProof/>
          <w:lang w:val="es-DO"/>
        </w:rPr>
      </w:pPr>
      <w:r w:rsidRPr="00AC7AC2">
        <w:rPr>
          <w:rFonts w:eastAsia="Calibri"/>
          <w:noProof/>
          <w:lang w:val="es-DO"/>
        </w:rPr>
        <w:t>En el año 2025, la Tesorería Nacional alcanzó niveles sobresalientes en la percepción ciudadana sobre la calidad de sus servicios, según el informe del Observatorio Nacional de la Calidad de los Servicios Públicos. La encuesta reflejó un índice global de satisfacción de 95.87%, con una calificación de 98.34% en servicios presenciales y 94.84% en servicios en línea, lo que evidencia la confianza y aceptación de los usuarios en la gestión institucional. Estos resultados confirman el impacto positivo de las acciones orientadas a la mejora continua, la estandarización de procesos y la atención personalizada, consolidando a la Tesorería Nacional como referente en eficiencia y transparencia en la administración pública.</w:t>
      </w:r>
    </w:p>
    <w:p w14:paraId="430D73D6" w14:textId="77777777" w:rsidR="00184374" w:rsidRPr="00AC7AC2" w:rsidRDefault="00184374" w:rsidP="00D64261">
      <w:pPr>
        <w:spacing w:line="360" w:lineRule="auto"/>
        <w:jc w:val="both"/>
        <w:rPr>
          <w:rFonts w:eastAsia="Calibri"/>
          <w:noProof/>
          <w:lang w:val="es-DO"/>
        </w:rPr>
      </w:pPr>
    </w:p>
    <w:p w14:paraId="01236DD0" w14:textId="77777777" w:rsidR="00763CE1" w:rsidRPr="00AC7AC2" w:rsidRDefault="00763CE1" w:rsidP="00D64261">
      <w:pPr>
        <w:spacing w:line="360" w:lineRule="auto"/>
        <w:jc w:val="both"/>
        <w:rPr>
          <w:rFonts w:eastAsia="Calibri"/>
          <w:noProof/>
          <w:lang w:val="es-DO"/>
        </w:rPr>
      </w:pPr>
    </w:p>
    <w:p w14:paraId="7BBC7FA6" w14:textId="77777777" w:rsidR="009B649B" w:rsidRPr="00CA5D56" w:rsidRDefault="009B649B" w:rsidP="009B649B">
      <w:pPr>
        <w:spacing w:line="360" w:lineRule="auto"/>
        <w:jc w:val="both"/>
        <w:rPr>
          <w:rFonts w:eastAsia="Calibri"/>
          <w:b/>
          <w:bCs/>
          <w:noProof/>
          <w:lang w:val="es-DO"/>
        </w:rPr>
      </w:pPr>
      <w:r w:rsidRPr="00CA5D56">
        <w:rPr>
          <w:rFonts w:eastAsia="Calibri"/>
          <w:b/>
          <w:bCs/>
          <w:noProof/>
          <w:lang w:val="es-DO"/>
        </w:rPr>
        <w:lastRenderedPageBreak/>
        <w:t>Gestión de Sostenibilidad y Responsabilidad Social Institucional</w:t>
      </w:r>
    </w:p>
    <w:p w14:paraId="275E7590"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La Tesorería Nacional reafirma su compromiso con un desarrollo económico sostenible para la República Dominicana, reconociendo la importancia de generar riqueza que impacte positivamente la calidad de vida de todos los dominicanos a lo largo y ancho del territorio nacional. Este compromiso incluye la promoción del bienestar social, el impulso al desarrollo humano y la gestión responsable de los recursos naturales, garantizando la protección del medio ambiente para asegurar un desarrollo sostenible en el tiempo.</w:t>
      </w:r>
    </w:p>
    <w:p w14:paraId="022EAB75"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En esta línea, la Tesorería Nacional continúa enfocada en su proceso de modernización institucional, la simplificación de sus operaciones y la excelencia en la gestión pública. Todo esto se sustenta en un proceso de innovación tecnológica y la aplicación de buenas prácticas de responsabilidad social, alineadas a la Estrategia Nacional de Desarrollo 2030 (END) y a los Objetivos de Desarrollo Sostenible (ODS).</w:t>
      </w:r>
    </w:p>
    <w:p w14:paraId="3290D853"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Durante los últimos tres años, la institución ha fortalecido su modelo de sostenibilidad y responsabilidad social institucional mediante la implementación de iniciativas orientadas a reducir el impacto ambiental de sus operaciones y promover una cultura organizacional responsable. En el período más reciente, la Tesorería Nacional ha redoblado sus esfuerzos para alinear sus acciones con los Objetivos de Desarrollo Sostenible, aportando a la mitigación del cambio climático.</w:t>
      </w:r>
    </w:p>
    <w:p w14:paraId="7C87402E"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Estas acciones no solo contribuyen a la meta país de reducir en un 27% las emisiones de Gases de Efecto Invernadero (GEI) para el año 2030, sino que también generan valor social y económico, impulsando un modelo de gestión pública más eficiente, transparente y sostenible para beneficio de toda la ciudadanía.</w:t>
      </w:r>
    </w:p>
    <w:p w14:paraId="6BB6157A" w14:textId="77777777" w:rsidR="009B649B" w:rsidRPr="009B649B" w:rsidRDefault="009B649B" w:rsidP="009B649B">
      <w:pPr>
        <w:spacing w:line="360" w:lineRule="auto"/>
        <w:jc w:val="both"/>
        <w:rPr>
          <w:rFonts w:eastAsia="Calibri"/>
          <w:noProof/>
          <w:lang w:val="es-DO"/>
        </w:rPr>
      </w:pPr>
    </w:p>
    <w:p w14:paraId="4362D165" w14:textId="77777777" w:rsidR="009B649B" w:rsidRPr="00510050" w:rsidRDefault="009B649B" w:rsidP="009B649B">
      <w:pPr>
        <w:spacing w:line="360" w:lineRule="auto"/>
        <w:jc w:val="both"/>
        <w:rPr>
          <w:rFonts w:eastAsia="Calibri"/>
          <w:b/>
          <w:bCs/>
          <w:noProof/>
          <w:lang w:val="es-DO"/>
        </w:rPr>
      </w:pPr>
      <w:r w:rsidRPr="00510050">
        <w:rPr>
          <w:rFonts w:eastAsia="Calibri"/>
          <w:b/>
          <w:bCs/>
          <w:noProof/>
          <w:lang w:val="es-DO"/>
        </w:rPr>
        <w:t>Gestión Ambiental</w:t>
      </w:r>
    </w:p>
    <w:p w14:paraId="774803D0" w14:textId="334515A8" w:rsidR="009B649B" w:rsidRPr="00510050" w:rsidRDefault="009B649B" w:rsidP="009B649B">
      <w:pPr>
        <w:spacing w:line="360" w:lineRule="auto"/>
        <w:jc w:val="both"/>
        <w:rPr>
          <w:rFonts w:eastAsia="Calibri"/>
          <w:b/>
          <w:bCs/>
          <w:noProof/>
          <w:lang w:val="es-DO"/>
        </w:rPr>
      </w:pPr>
      <w:r w:rsidRPr="00510050">
        <w:rPr>
          <w:rFonts w:eastAsia="Calibri"/>
          <w:b/>
          <w:bCs/>
          <w:noProof/>
          <w:lang w:val="es-DO"/>
        </w:rPr>
        <w:t xml:space="preserve">Eficiencia energética </w:t>
      </w:r>
    </w:p>
    <w:p w14:paraId="20C74A7C" w14:textId="2E354560" w:rsidR="009B649B" w:rsidRPr="009B649B" w:rsidRDefault="00510050" w:rsidP="009B649B">
      <w:pPr>
        <w:spacing w:line="360" w:lineRule="auto"/>
        <w:jc w:val="both"/>
        <w:rPr>
          <w:rFonts w:eastAsia="Calibri"/>
          <w:noProof/>
          <w:lang w:val="es-DO"/>
        </w:rPr>
      </w:pPr>
      <w:r w:rsidRPr="002525E9">
        <w:rPr>
          <w:noProof/>
        </w:rPr>
        <w:drawing>
          <wp:anchor distT="0" distB="0" distL="114300" distR="114300" simplePos="0" relativeHeight="251730944" behindDoc="0" locked="0" layoutInCell="1" allowOverlap="1" wp14:anchorId="6A1F9703" wp14:editId="744C6ED7">
            <wp:simplePos x="0" y="0"/>
            <wp:positionH relativeFrom="margin">
              <wp:posOffset>10160</wp:posOffset>
            </wp:positionH>
            <wp:positionV relativeFrom="paragraph">
              <wp:posOffset>27940</wp:posOffset>
            </wp:positionV>
            <wp:extent cx="737235" cy="737235"/>
            <wp:effectExtent l="0" t="0" r="5715" b="5715"/>
            <wp:wrapSquare wrapText="bothSides"/>
            <wp:docPr id="28395179" name="Imagen 2" descr="Energía - Desarrollo Soste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ergía - Desarrollo Sostenibl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37235" cy="737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25E9">
        <w:rPr>
          <w:noProof/>
        </w:rPr>
        <w:drawing>
          <wp:anchor distT="0" distB="0" distL="114300" distR="114300" simplePos="0" relativeHeight="251731968" behindDoc="0" locked="0" layoutInCell="1" allowOverlap="1" wp14:anchorId="3A89799C" wp14:editId="5E516995">
            <wp:simplePos x="0" y="0"/>
            <wp:positionH relativeFrom="column">
              <wp:posOffset>10795</wp:posOffset>
            </wp:positionH>
            <wp:positionV relativeFrom="paragraph">
              <wp:posOffset>808355</wp:posOffset>
            </wp:positionV>
            <wp:extent cx="747395" cy="747395"/>
            <wp:effectExtent l="0" t="0" r="0" b="0"/>
            <wp:wrapThrough wrapText="bothSides">
              <wp:wrapPolygon edited="0">
                <wp:start x="0" y="0"/>
                <wp:lineTo x="0" y="20921"/>
                <wp:lineTo x="20921" y="20921"/>
                <wp:lineTo x="20921" y="0"/>
                <wp:lineTo x="0" y="0"/>
              </wp:wrapPolygon>
            </wp:wrapThrough>
            <wp:docPr id="654300298" name="Imagen 654300298" descr="Cambio climático - Desarrollo Soste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mbio climático - Desarrollo Sostenibl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47395" cy="747395"/>
                    </a:xfrm>
                    <a:prstGeom prst="rect">
                      <a:avLst/>
                    </a:prstGeom>
                    <a:noFill/>
                    <a:ln>
                      <a:noFill/>
                    </a:ln>
                  </pic:spPr>
                </pic:pic>
              </a:graphicData>
            </a:graphic>
          </wp:anchor>
        </w:drawing>
      </w:r>
      <w:r w:rsidR="009B649B" w:rsidRPr="009B649B">
        <w:rPr>
          <w:rFonts w:eastAsia="Calibri"/>
          <w:noProof/>
          <w:lang w:val="es-DO"/>
        </w:rPr>
        <w:t xml:space="preserve">En el presente período, la Tesorería Nacional continuó con la implementación de buenas prácticas para asegurar el ahorro y la eficiencia energética conforme al Decreto 158-23 y el ODS 7, manteniendo un horario escalonado para el encendido de equipos de climatización y fijando la temperatura a 22 grados Celsius y controlándola a través de termostatos digitales conectados a la red WiFi, gestionados directamente por el gestor energético. </w:t>
      </w:r>
    </w:p>
    <w:p w14:paraId="63010476" w14:textId="77777777" w:rsidR="00600744" w:rsidRDefault="009B649B" w:rsidP="009B649B">
      <w:pPr>
        <w:spacing w:line="360" w:lineRule="auto"/>
        <w:jc w:val="both"/>
        <w:rPr>
          <w:rFonts w:eastAsia="Calibri"/>
          <w:noProof/>
          <w:lang w:val="es-DO"/>
        </w:rPr>
      </w:pPr>
      <w:r w:rsidRPr="009B649B">
        <w:rPr>
          <w:rFonts w:eastAsia="Calibri"/>
          <w:noProof/>
          <w:lang w:val="es-DO"/>
        </w:rPr>
        <w:t xml:space="preserve"> </w:t>
      </w:r>
    </w:p>
    <w:p w14:paraId="788816E2" w14:textId="5EF2CBBD" w:rsidR="00600744" w:rsidRPr="00600744" w:rsidRDefault="00600744" w:rsidP="00600744">
      <w:pPr>
        <w:spacing w:line="360" w:lineRule="auto"/>
        <w:jc w:val="center"/>
        <w:rPr>
          <w:rFonts w:eastAsia="Calibri"/>
          <w:b/>
          <w:bCs/>
          <w:noProof/>
          <w:lang w:val="es-DO"/>
        </w:rPr>
      </w:pPr>
      <w:r w:rsidRPr="00600744">
        <w:rPr>
          <w:rFonts w:eastAsia="Calibri"/>
          <w:b/>
          <w:bCs/>
          <w:noProof/>
          <w:lang w:val="es-DO"/>
        </w:rPr>
        <w:t>Gr</w:t>
      </w:r>
      <w:r w:rsidR="00D82521">
        <w:rPr>
          <w:rFonts w:eastAsia="Calibri"/>
          <w:b/>
          <w:bCs/>
          <w:noProof/>
          <w:lang w:val="es-DO"/>
        </w:rPr>
        <w:t>á</w:t>
      </w:r>
      <w:r w:rsidRPr="00600744">
        <w:rPr>
          <w:rFonts w:eastAsia="Calibri"/>
          <w:b/>
          <w:bCs/>
          <w:noProof/>
          <w:lang w:val="es-DO"/>
        </w:rPr>
        <w:t>fico No.</w:t>
      </w:r>
      <w:r w:rsidR="00CD431C">
        <w:rPr>
          <w:rFonts w:eastAsia="Calibri"/>
          <w:b/>
          <w:bCs/>
          <w:noProof/>
          <w:lang w:val="es-DO"/>
        </w:rPr>
        <w:t xml:space="preserve"> 16</w:t>
      </w:r>
    </w:p>
    <w:p w14:paraId="774FF7D6" w14:textId="458CEBEA" w:rsidR="00600744" w:rsidRPr="00600744" w:rsidRDefault="00600744" w:rsidP="00600744">
      <w:pPr>
        <w:spacing w:line="360" w:lineRule="auto"/>
        <w:jc w:val="center"/>
        <w:rPr>
          <w:rFonts w:eastAsia="Calibri"/>
          <w:b/>
          <w:bCs/>
          <w:noProof/>
          <w:lang w:val="es-DO"/>
        </w:rPr>
      </w:pPr>
      <w:r w:rsidRPr="00600744">
        <w:rPr>
          <w:rFonts w:eastAsia="Calibri"/>
          <w:b/>
          <w:bCs/>
          <w:noProof/>
          <w:lang w:val="es-DO"/>
        </w:rPr>
        <w:t>Tesorería Nacional</w:t>
      </w:r>
    </w:p>
    <w:p w14:paraId="18813DB5" w14:textId="6CBB282C" w:rsidR="009B649B" w:rsidRPr="009B649B" w:rsidRDefault="00CA5D56" w:rsidP="009B649B">
      <w:pPr>
        <w:spacing w:line="360" w:lineRule="auto"/>
        <w:jc w:val="both"/>
        <w:rPr>
          <w:rFonts w:eastAsia="Calibri"/>
          <w:noProof/>
          <w:lang w:val="es-DO"/>
        </w:rPr>
      </w:pPr>
      <w:r>
        <w:rPr>
          <w:noProof/>
        </w:rPr>
        <w:drawing>
          <wp:inline distT="0" distB="0" distL="0" distR="0" wp14:anchorId="1B924F08" wp14:editId="48236295">
            <wp:extent cx="5029200" cy="2270597"/>
            <wp:effectExtent l="0" t="0" r="0" b="0"/>
            <wp:docPr id="1564370008" name="Gráfico 1">
              <a:extLst xmlns:a="http://schemas.openxmlformats.org/drawingml/2006/main">
                <a:ext uri="{FF2B5EF4-FFF2-40B4-BE49-F238E27FC236}">
                  <a16:creationId xmlns:a16="http://schemas.microsoft.com/office/drawing/2014/main" id="{B9EEE3A5-ACF5-4488-A363-8764356CFE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129073F" w14:textId="77777777" w:rsidR="009B649B" w:rsidRPr="009B649B" w:rsidRDefault="009B649B" w:rsidP="009B649B">
      <w:pPr>
        <w:spacing w:line="360" w:lineRule="auto"/>
        <w:jc w:val="both"/>
        <w:rPr>
          <w:rFonts w:eastAsia="Calibri"/>
          <w:noProof/>
          <w:lang w:val="es-DO"/>
        </w:rPr>
      </w:pPr>
    </w:p>
    <w:p w14:paraId="5AADF420" w14:textId="640D70A4" w:rsidR="009B649B" w:rsidRPr="009B649B" w:rsidRDefault="009B649B" w:rsidP="009B649B">
      <w:pPr>
        <w:spacing w:line="360" w:lineRule="auto"/>
        <w:jc w:val="both"/>
        <w:rPr>
          <w:rFonts w:eastAsia="Calibri"/>
          <w:noProof/>
          <w:lang w:val="es-DO"/>
        </w:rPr>
      </w:pPr>
      <w:r w:rsidRPr="009B649B">
        <w:rPr>
          <w:rFonts w:eastAsia="Calibri"/>
          <w:noProof/>
          <w:lang w:val="es-DO"/>
        </w:rPr>
        <w:t xml:space="preserve">Durante el año 2025 mostró un incremento acumulado respecto al mismo periodo de 2024. Este aumento se debe a la entrada en operación, a partir del segundo semestre de 2024, de once (11) nuevas </w:t>
      </w:r>
      <w:r w:rsidRPr="009B649B">
        <w:rPr>
          <w:rFonts w:eastAsia="Calibri"/>
          <w:noProof/>
          <w:lang w:val="es-DO"/>
        </w:rPr>
        <w:lastRenderedPageBreak/>
        <w:t>unidades de climatización que estaban integradas en el sistema del Ministerio de Hacienda (con quien comparte planta física), que pasaron a ser contabilizadas dentro del consumo correspondiente a la Tesorería Nacional.</w:t>
      </w:r>
    </w:p>
    <w:p w14:paraId="3B81A31C" w14:textId="72A7201D" w:rsidR="009B649B" w:rsidRPr="009B649B" w:rsidRDefault="009B649B" w:rsidP="009B649B">
      <w:pPr>
        <w:spacing w:line="360" w:lineRule="auto"/>
        <w:jc w:val="both"/>
        <w:rPr>
          <w:rFonts w:eastAsia="Calibri"/>
          <w:noProof/>
          <w:lang w:val="es-DO"/>
        </w:rPr>
      </w:pPr>
      <w:r w:rsidRPr="009B649B">
        <w:rPr>
          <w:rFonts w:eastAsia="Calibri"/>
          <w:noProof/>
          <w:lang w:val="es-DO"/>
        </w:rPr>
        <w:t>Aun cuando el consumo total aumentó frente a 2024 por la incorporación de nuevas unidades de aire acondicionado, la comparación con el año 2022, año base previo a la implementación de medidas de eficiencia energética, demuestra progresos sostenidos.</w:t>
      </w:r>
    </w:p>
    <w:p w14:paraId="0154F0B7" w14:textId="57901BAD" w:rsidR="009B649B" w:rsidRPr="009B649B" w:rsidRDefault="009B649B" w:rsidP="009B649B">
      <w:pPr>
        <w:spacing w:line="360" w:lineRule="auto"/>
        <w:jc w:val="both"/>
        <w:rPr>
          <w:rFonts w:eastAsia="Calibri"/>
          <w:noProof/>
          <w:lang w:val="es-DO"/>
        </w:rPr>
      </w:pPr>
      <w:r w:rsidRPr="009B649B">
        <w:rPr>
          <w:rFonts w:eastAsia="Calibri"/>
          <w:noProof/>
          <w:lang w:val="es-DO"/>
        </w:rPr>
        <w:t>El consumo en 2022 fue de 291,840 kWh, mientras que en 2025, a pesar de contar con más equipos, el consumo fue de 286,080 kWh, lo que representa:</w:t>
      </w:r>
    </w:p>
    <w:p w14:paraId="32A35EF1"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Reducción absoluta: –5,760 kWh</w:t>
      </w:r>
    </w:p>
    <w:p w14:paraId="407E21D0"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Reducción porcentual: –2.5%</w:t>
      </w:r>
    </w:p>
    <w:p w14:paraId="41E3FADF" w14:textId="77777777" w:rsidR="009B649B" w:rsidRPr="009B649B" w:rsidRDefault="009B649B" w:rsidP="009B649B">
      <w:pPr>
        <w:spacing w:line="360" w:lineRule="auto"/>
        <w:jc w:val="both"/>
        <w:rPr>
          <w:rFonts w:eastAsia="Calibri"/>
          <w:noProof/>
          <w:lang w:val="es-DO"/>
        </w:rPr>
      </w:pPr>
    </w:p>
    <w:p w14:paraId="621C181F"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Esta disminución confirma que las medidas aplicadas desde 2023 continúan generando resultados, incluso con una infraestructura operativa ampliada.</w:t>
      </w:r>
    </w:p>
    <w:p w14:paraId="6AD658AB" w14:textId="77777777" w:rsidR="009B649B" w:rsidRPr="009B649B" w:rsidRDefault="009B649B" w:rsidP="009B649B">
      <w:pPr>
        <w:spacing w:line="360" w:lineRule="auto"/>
        <w:jc w:val="both"/>
        <w:rPr>
          <w:rFonts w:eastAsia="Calibri"/>
          <w:noProof/>
          <w:lang w:val="es-DO"/>
        </w:rPr>
      </w:pPr>
    </w:p>
    <w:p w14:paraId="78535174" w14:textId="5A32DA50" w:rsidR="009B649B" w:rsidRPr="000A4BAD" w:rsidRDefault="009B649B" w:rsidP="009B649B">
      <w:pPr>
        <w:spacing w:line="360" w:lineRule="auto"/>
        <w:jc w:val="both"/>
        <w:rPr>
          <w:rFonts w:eastAsia="Calibri"/>
          <w:b/>
          <w:bCs/>
          <w:noProof/>
          <w:lang w:val="es-DO"/>
        </w:rPr>
      </w:pPr>
      <w:r w:rsidRPr="000A4BAD">
        <w:rPr>
          <w:rFonts w:eastAsia="Calibri"/>
          <w:b/>
          <w:bCs/>
          <w:noProof/>
          <w:lang w:val="es-DO"/>
        </w:rPr>
        <w:t>Medición de la Huella de Carbono</w:t>
      </w:r>
    </w:p>
    <w:p w14:paraId="2F68B9B1" w14:textId="1B357102" w:rsidR="009B649B" w:rsidRPr="009B649B" w:rsidRDefault="000A4BAD" w:rsidP="009B649B">
      <w:pPr>
        <w:spacing w:line="360" w:lineRule="auto"/>
        <w:jc w:val="both"/>
        <w:rPr>
          <w:rFonts w:eastAsia="Calibri"/>
          <w:noProof/>
          <w:lang w:val="es-DO"/>
        </w:rPr>
      </w:pPr>
      <w:r w:rsidRPr="0028749D">
        <w:rPr>
          <w:noProof/>
        </w:rPr>
        <w:drawing>
          <wp:anchor distT="0" distB="0" distL="114300" distR="114300" simplePos="0" relativeHeight="251734016" behindDoc="1" locked="0" layoutInCell="1" allowOverlap="1" wp14:anchorId="6C3D19CA" wp14:editId="69A0D5B1">
            <wp:simplePos x="0" y="0"/>
            <wp:positionH relativeFrom="column">
              <wp:posOffset>0</wp:posOffset>
            </wp:positionH>
            <wp:positionV relativeFrom="paragraph">
              <wp:posOffset>38100</wp:posOffset>
            </wp:positionV>
            <wp:extent cx="721995" cy="721995"/>
            <wp:effectExtent l="0" t="0" r="1905" b="1905"/>
            <wp:wrapTight wrapText="bothSides">
              <wp:wrapPolygon edited="0">
                <wp:start x="0" y="0"/>
                <wp:lineTo x="0" y="21087"/>
                <wp:lineTo x="21087" y="21087"/>
                <wp:lineTo x="21087" y="0"/>
                <wp:lineTo x="0" y="0"/>
              </wp:wrapPolygon>
            </wp:wrapTight>
            <wp:docPr id="1033707786" name="Imagen 1033707786" descr="Cambio climático - Desarrollo Soste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mbio climático - Desarrollo Sostenibl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21995" cy="721995"/>
                    </a:xfrm>
                    <a:prstGeom prst="rect">
                      <a:avLst/>
                    </a:prstGeom>
                    <a:noFill/>
                    <a:ln>
                      <a:noFill/>
                    </a:ln>
                  </pic:spPr>
                </pic:pic>
              </a:graphicData>
            </a:graphic>
          </wp:anchor>
        </w:drawing>
      </w:r>
      <w:r w:rsidR="009B649B" w:rsidRPr="009B649B">
        <w:rPr>
          <w:rFonts w:eastAsia="Calibri"/>
          <w:noProof/>
          <w:lang w:val="es-DO"/>
        </w:rPr>
        <w:t xml:space="preserve">En 2025, la Tesorería Nacional, a través de la plataforma RDuceTuHuella, llevó a cabo la medición de su huella de carbono correspondiente al año 2024, con el objetivo de identificar oportunidades de mejora, alinearse con el ODS 13 e implementar acciones orientadas a reducir el impacto ambiental, mitigar los efectos del cambio climático y contribuir con la meta país de reducir en un 27 % las Emisiones de los Gases Efecto Invernadero </w:t>
      </w:r>
      <w:r w:rsidR="009B649B" w:rsidRPr="009B649B">
        <w:rPr>
          <w:rFonts w:eastAsia="Calibri"/>
          <w:noProof/>
          <w:lang w:val="es-DO"/>
        </w:rPr>
        <w:lastRenderedPageBreak/>
        <w:t>(GEI) para 2030 y alcanzar los Objetivos de Desarrollo Sostenible (ODS).</w:t>
      </w:r>
    </w:p>
    <w:p w14:paraId="5FA87A2A" w14:textId="77777777" w:rsidR="009B649B" w:rsidRPr="009B649B" w:rsidRDefault="009B649B" w:rsidP="009B649B">
      <w:pPr>
        <w:spacing w:line="360" w:lineRule="auto"/>
        <w:jc w:val="both"/>
        <w:rPr>
          <w:rFonts w:eastAsia="Calibri"/>
          <w:noProof/>
          <w:lang w:val="es-DO"/>
        </w:rPr>
      </w:pPr>
    </w:p>
    <w:p w14:paraId="4E245180" w14:textId="4E82A785" w:rsidR="009B649B" w:rsidRPr="00F12263" w:rsidRDefault="009B649B" w:rsidP="009B649B">
      <w:pPr>
        <w:spacing w:line="360" w:lineRule="auto"/>
        <w:jc w:val="both"/>
        <w:rPr>
          <w:rFonts w:eastAsia="Calibri"/>
          <w:b/>
          <w:bCs/>
          <w:noProof/>
          <w:lang w:val="es-DO"/>
        </w:rPr>
      </w:pPr>
      <w:r w:rsidRPr="00F12263">
        <w:rPr>
          <w:rFonts w:eastAsia="Calibri"/>
          <w:b/>
          <w:bCs/>
          <w:noProof/>
          <w:lang w:val="es-DO"/>
        </w:rPr>
        <w:t>Encuesta de Acción Climática</w:t>
      </w:r>
    </w:p>
    <w:p w14:paraId="62577C4E"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 xml:space="preserve">Con el propósito de obtener los datos necesarios para calcular su huella de carbono, la Tesorería Nacional aplicó por tercera ocasión la encuesta de acción climática. Mediante esta herramienta, cuantificó las emisiones el total de sus emisiones de gases de efecto invernadero generadas por los medios de transporte y las distancias recorridas, incluidas las de sus colaboradores, para determinar el impacto ambiental durante 2024. </w:t>
      </w:r>
    </w:p>
    <w:p w14:paraId="5148B040" w14:textId="77777777" w:rsidR="009B649B" w:rsidRPr="009B649B" w:rsidRDefault="009B649B" w:rsidP="009B649B">
      <w:pPr>
        <w:spacing w:line="360" w:lineRule="auto"/>
        <w:jc w:val="both"/>
        <w:rPr>
          <w:rFonts w:eastAsia="Calibri"/>
          <w:noProof/>
          <w:lang w:val="es-DO"/>
        </w:rPr>
      </w:pPr>
    </w:p>
    <w:p w14:paraId="12FCA129" w14:textId="056173D5" w:rsidR="009B649B" w:rsidRPr="00F12263" w:rsidRDefault="009B649B" w:rsidP="009B649B">
      <w:pPr>
        <w:spacing w:line="360" w:lineRule="auto"/>
        <w:jc w:val="both"/>
        <w:rPr>
          <w:rFonts w:eastAsia="Calibri"/>
          <w:b/>
          <w:bCs/>
          <w:noProof/>
          <w:lang w:val="es-DO"/>
        </w:rPr>
      </w:pPr>
      <w:r w:rsidRPr="00F12263">
        <w:rPr>
          <w:rFonts w:eastAsia="Calibri"/>
          <w:b/>
          <w:bCs/>
          <w:noProof/>
          <w:lang w:val="es-DO"/>
        </w:rPr>
        <w:t xml:space="preserve">Mes del Reciclaje </w:t>
      </w:r>
    </w:p>
    <w:p w14:paraId="47CAA8B8" w14:textId="06A5760B" w:rsidR="009B649B" w:rsidRPr="009B649B" w:rsidRDefault="009B649B" w:rsidP="009B649B">
      <w:pPr>
        <w:spacing w:line="360" w:lineRule="auto"/>
        <w:jc w:val="both"/>
        <w:rPr>
          <w:rFonts w:eastAsia="Calibri"/>
          <w:noProof/>
          <w:lang w:val="es-DO"/>
        </w:rPr>
      </w:pPr>
      <w:r w:rsidRPr="009B649B">
        <w:rPr>
          <w:rFonts w:eastAsia="Calibri"/>
          <w:noProof/>
          <w:lang w:val="es-DO"/>
        </w:rPr>
        <w:t xml:space="preserve">Con motivo de celebrarse el 17 de mayo el Día Mundial del Reciclaje, dedicó el mes de mayo al Reciclaje con las siguientes iniciativas: </w:t>
      </w:r>
    </w:p>
    <w:p w14:paraId="54CCB988" w14:textId="77777777" w:rsidR="00F12263" w:rsidRDefault="00F12263" w:rsidP="009B649B">
      <w:pPr>
        <w:spacing w:line="360" w:lineRule="auto"/>
        <w:jc w:val="both"/>
        <w:rPr>
          <w:rFonts w:eastAsia="Calibri"/>
          <w:noProof/>
          <w:lang w:val="es-DO"/>
        </w:rPr>
      </w:pPr>
    </w:p>
    <w:p w14:paraId="4AD0D40F" w14:textId="30840BFD" w:rsidR="009B649B" w:rsidRPr="009B649B" w:rsidRDefault="009B649B" w:rsidP="009B649B">
      <w:pPr>
        <w:spacing w:line="360" w:lineRule="auto"/>
        <w:jc w:val="both"/>
        <w:rPr>
          <w:rFonts w:eastAsia="Calibri"/>
          <w:noProof/>
          <w:lang w:val="es-DO"/>
        </w:rPr>
      </w:pPr>
      <w:r w:rsidRPr="009B649B">
        <w:rPr>
          <w:rFonts w:eastAsia="Calibri"/>
          <w:noProof/>
          <w:lang w:val="es-DO"/>
        </w:rPr>
        <w:t xml:space="preserve">“Jueves de Traje” </w:t>
      </w:r>
    </w:p>
    <w:p w14:paraId="42D01C8C" w14:textId="26857F7D" w:rsidR="009B649B" w:rsidRPr="009B649B" w:rsidRDefault="009B649B" w:rsidP="009B649B">
      <w:pPr>
        <w:spacing w:line="360" w:lineRule="auto"/>
        <w:jc w:val="both"/>
        <w:rPr>
          <w:rFonts w:eastAsia="Calibri"/>
          <w:noProof/>
          <w:lang w:val="es-DO"/>
        </w:rPr>
      </w:pPr>
      <w:r w:rsidRPr="009B649B">
        <w:rPr>
          <w:rFonts w:eastAsia="Calibri"/>
          <w:noProof/>
          <w:lang w:val="es-DO"/>
        </w:rPr>
        <w:t xml:space="preserve">Extendió su programa de reciclaje a los colaboradores y sus familias, invitándolos a clasificar los residuos reciclables del hogar y depositarlos en nuestro centro de acopio para su correcta disposición a través de gestor de residuo de residuos contratado. Esta acción genera un cambio de cultura en los grupos de interés e impacta positivamente el medio ambiente. </w:t>
      </w:r>
    </w:p>
    <w:p w14:paraId="27CC5513" w14:textId="77777777" w:rsidR="00F12263" w:rsidRDefault="00F12263" w:rsidP="009B649B">
      <w:pPr>
        <w:spacing w:line="360" w:lineRule="auto"/>
        <w:jc w:val="both"/>
        <w:rPr>
          <w:rFonts w:eastAsia="Calibri"/>
          <w:noProof/>
          <w:lang w:val="es-DO"/>
        </w:rPr>
      </w:pPr>
    </w:p>
    <w:p w14:paraId="46931310" w14:textId="77777777" w:rsidR="00F12263" w:rsidRDefault="00F12263" w:rsidP="009B649B">
      <w:pPr>
        <w:spacing w:line="360" w:lineRule="auto"/>
        <w:jc w:val="both"/>
        <w:rPr>
          <w:rFonts w:eastAsia="Calibri"/>
          <w:noProof/>
          <w:lang w:val="es-DO"/>
        </w:rPr>
      </w:pPr>
    </w:p>
    <w:p w14:paraId="5CD5B9FF" w14:textId="77777777" w:rsidR="00F12263" w:rsidRDefault="00F12263" w:rsidP="009B649B">
      <w:pPr>
        <w:spacing w:line="360" w:lineRule="auto"/>
        <w:jc w:val="both"/>
        <w:rPr>
          <w:rFonts w:eastAsia="Calibri"/>
          <w:noProof/>
          <w:lang w:val="es-DO"/>
        </w:rPr>
      </w:pPr>
    </w:p>
    <w:p w14:paraId="7AAAFCCF" w14:textId="134F1B44" w:rsidR="009B649B" w:rsidRPr="009B649B" w:rsidRDefault="009B649B" w:rsidP="009B649B">
      <w:pPr>
        <w:spacing w:line="360" w:lineRule="auto"/>
        <w:jc w:val="both"/>
        <w:rPr>
          <w:rFonts w:eastAsia="Calibri"/>
          <w:noProof/>
          <w:lang w:val="es-DO"/>
        </w:rPr>
      </w:pPr>
      <w:r w:rsidRPr="009B649B">
        <w:rPr>
          <w:rFonts w:eastAsia="Calibri"/>
          <w:noProof/>
          <w:lang w:val="es-DO"/>
        </w:rPr>
        <w:lastRenderedPageBreak/>
        <w:t xml:space="preserve">“Tesoro Solidario: Tapitas contra el Cáncer” </w:t>
      </w:r>
    </w:p>
    <w:p w14:paraId="0CB17BC0"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 xml:space="preserve">Con el propósito de continuar contribuyendo al cuidado del medio ambiente y apoyar a una causa social, implementó “Tesoro Solidario”, una iniciativa que busca recaudar fondos a través de tapitas plásticas recolectadas tanto dentro como fuera de la institución para donarlos a la Fundación Amigos Contra el Cáncer Infantil (FACCI) en favor de los niños con cáncer que necesitan cubrir su tratamiento de quimioterapia. </w:t>
      </w:r>
    </w:p>
    <w:p w14:paraId="0FE5339E"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 xml:space="preserve"> </w:t>
      </w:r>
    </w:p>
    <w:p w14:paraId="66F9F715"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Las tapitas colectadas son dispuestas adecuadamente para su reciclaje por el gestor de residuos de la Tesorería Nacional.</w:t>
      </w:r>
    </w:p>
    <w:p w14:paraId="1E88D3CC" w14:textId="77777777" w:rsidR="009B649B" w:rsidRPr="009B649B" w:rsidRDefault="009B649B" w:rsidP="009B649B">
      <w:pPr>
        <w:spacing w:line="360" w:lineRule="auto"/>
        <w:jc w:val="both"/>
        <w:rPr>
          <w:rFonts w:eastAsia="Calibri"/>
          <w:noProof/>
          <w:lang w:val="es-DO"/>
        </w:rPr>
      </w:pPr>
    </w:p>
    <w:p w14:paraId="51595C23" w14:textId="502FE4DA" w:rsidR="009B649B" w:rsidRPr="009B649B" w:rsidRDefault="009B649B" w:rsidP="009B649B">
      <w:pPr>
        <w:spacing w:line="360" w:lineRule="auto"/>
        <w:jc w:val="both"/>
        <w:rPr>
          <w:rFonts w:eastAsia="Calibri"/>
          <w:noProof/>
          <w:lang w:val="es-DO"/>
        </w:rPr>
      </w:pPr>
      <w:r w:rsidRPr="009B649B">
        <w:rPr>
          <w:rFonts w:eastAsia="Calibri"/>
          <w:noProof/>
          <w:lang w:val="es-DO"/>
        </w:rPr>
        <w:t>Taller de Reciclaje</w:t>
      </w:r>
    </w:p>
    <w:p w14:paraId="1C574465" w14:textId="586B5FC7" w:rsidR="009B649B" w:rsidRPr="009B649B" w:rsidRDefault="009B649B" w:rsidP="009B649B">
      <w:pPr>
        <w:spacing w:line="360" w:lineRule="auto"/>
        <w:jc w:val="both"/>
        <w:rPr>
          <w:rFonts w:eastAsia="Calibri"/>
          <w:noProof/>
          <w:lang w:val="es-DO"/>
        </w:rPr>
      </w:pPr>
      <w:r w:rsidRPr="009B649B">
        <w:rPr>
          <w:rFonts w:eastAsia="Calibri"/>
          <w:noProof/>
          <w:lang w:val="es-DO"/>
        </w:rPr>
        <w:t>Realizó un Taller de Reciclaje “El Reciclaje como estrategia de Conservación Ambiental”, durante el cual un artesano enseñó a los participantes a elaborar una artesanía con la fibra de banano. Al finalizar el taller, se realizó una exposición con las obras realizadas, con motivo del Día Mundial del Medio Ambiente.</w:t>
      </w:r>
    </w:p>
    <w:p w14:paraId="5AE784C5"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Tesoro Solidario: Tapitas contra el Cáncer</w:t>
      </w:r>
    </w:p>
    <w:p w14:paraId="7EDD6E9A" w14:textId="77777777" w:rsidR="009B649B" w:rsidRPr="009B649B" w:rsidRDefault="009B649B" w:rsidP="009B649B">
      <w:pPr>
        <w:spacing w:line="360" w:lineRule="auto"/>
        <w:jc w:val="both"/>
        <w:rPr>
          <w:rFonts w:eastAsia="Calibri"/>
          <w:noProof/>
          <w:lang w:val="es-DO"/>
        </w:rPr>
      </w:pPr>
    </w:p>
    <w:p w14:paraId="0FE8FF83"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 xml:space="preserve">Durante el año 2025 continuó con la iniciativa Tesoro Solidario para promover la sostenibilidad ambiental y la solidaridad social. A través de la recolección de tapitas plásticas, contribuye a reducir los residuos contaminantes y genera fondos destinados a la Fundación Amigos Contra el Cáncer Infantil (FACCI), para apoyar a niños en tratamiento contra el cáncer. Esta acción refleja el compromiso </w:t>
      </w:r>
      <w:r w:rsidRPr="009B649B">
        <w:rPr>
          <w:rFonts w:eastAsia="Calibri"/>
          <w:noProof/>
          <w:lang w:val="es-DO"/>
        </w:rPr>
        <w:lastRenderedPageBreak/>
        <w:t>institucional con la protección del medio ambiente y el bienestar de las comunidades más vulnerables.</w:t>
      </w:r>
    </w:p>
    <w:p w14:paraId="789EF7EA" w14:textId="77777777" w:rsidR="009B649B" w:rsidRPr="009B649B" w:rsidRDefault="009B649B" w:rsidP="009B649B">
      <w:pPr>
        <w:spacing w:line="360" w:lineRule="auto"/>
        <w:jc w:val="both"/>
        <w:rPr>
          <w:rFonts w:eastAsia="Calibri"/>
          <w:noProof/>
          <w:lang w:val="es-DO"/>
        </w:rPr>
      </w:pPr>
    </w:p>
    <w:p w14:paraId="74EC0B70" w14:textId="4DCF08DB" w:rsidR="009B649B" w:rsidRPr="009B649B" w:rsidRDefault="009B649B" w:rsidP="009B649B">
      <w:pPr>
        <w:spacing w:line="360" w:lineRule="auto"/>
        <w:jc w:val="both"/>
        <w:rPr>
          <w:rFonts w:eastAsia="Calibri"/>
          <w:noProof/>
          <w:lang w:val="es-DO"/>
        </w:rPr>
      </w:pPr>
      <w:r w:rsidRPr="009B649B">
        <w:rPr>
          <w:rFonts w:eastAsia="Calibri"/>
          <w:noProof/>
          <w:lang w:val="es-DO"/>
        </w:rPr>
        <w:t>Cadena de Valor Sostenible</w:t>
      </w:r>
    </w:p>
    <w:p w14:paraId="1E7FBB87"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 xml:space="preserve">La Tesorería Nacional ha integrado los aspectos ambiental, social y económico en sus procedimientos de compras, con el propósito de maximizar el principio de valor por dinero, garantizar un uso eficiente de los recursos y promover un mayor bienestar colectivo. Esta iniciativa procura reducir el impacto negativo sobre el medioambiente y el clima, conforme a la Política de Compras Verdes y al ODS 12. </w:t>
      </w:r>
    </w:p>
    <w:p w14:paraId="2549FCFE" w14:textId="77777777" w:rsidR="009B649B" w:rsidRPr="009B649B" w:rsidRDefault="009B649B" w:rsidP="009B649B">
      <w:pPr>
        <w:spacing w:line="360" w:lineRule="auto"/>
        <w:jc w:val="both"/>
        <w:rPr>
          <w:rFonts w:eastAsia="Calibri"/>
          <w:noProof/>
          <w:lang w:val="es-DO"/>
        </w:rPr>
      </w:pPr>
    </w:p>
    <w:p w14:paraId="227B52AC"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Durante el presente período, fueron adjudicados 30 procesos de 32 publicados con criterios de sostenibilidad, 15 de ellos dirigidos a Mipymes y 5 de estos, dirigidos a Mipyme Mujer. El monto total de procesos adjudicados ascendió a RD$RD$21,429,170.00, .</w:t>
      </w:r>
    </w:p>
    <w:p w14:paraId="701F6560" w14:textId="77777777" w:rsidR="009B649B" w:rsidRPr="009B649B" w:rsidRDefault="009B649B" w:rsidP="009B649B">
      <w:pPr>
        <w:spacing w:line="360" w:lineRule="auto"/>
        <w:jc w:val="both"/>
        <w:rPr>
          <w:rFonts w:eastAsia="Calibri"/>
          <w:noProof/>
          <w:lang w:val="es-DO"/>
        </w:rPr>
      </w:pPr>
    </w:p>
    <w:p w14:paraId="7F810C5B" w14:textId="2DED4907" w:rsidR="009B649B" w:rsidRPr="009B649B" w:rsidRDefault="00CA5433" w:rsidP="009B649B">
      <w:pPr>
        <w:spacing w:line="360" w:lineRule="auto"/>
        <w:jc w:val="both"/>
        <w:rPr>
          <w:rFonts w:eastAsia="Calibri"/>
          <w:noProof/>
          <w:lang w:val="es-DO"/>
        </w:rPr>
      </w:pPr>
      <w:r w:rsidRPr="00CB2F36">
        <w:rPr>
          <w:noProof/>
        </w:rPr>
        <w:drawing>
          <wp:anchor distT="0" distB="0" distL="114300" distR="114300" simplePos="0" relativeHeight="251735040" behindDoc="0" locked="0" layoutInCell="1" allowOverlap="1" wp14:anchorId="7E7DB6CB" wp14:editId="7F704ABD">
            <wp:simplePos x="0" y="0"/>
            <wp:positionH relativeFrom="column">
              <wp:posOffset>4341495</wp:posOffset>
            </wp:positionH>
            <wp:positionV relativeFrom="paragraph">
              <wp:posOffset>360680</wp:posOffset>
            </wp:positionV>
            <wp:extent cx="720725" cy="720725"/>
            <wp:effectExtent l="0" t="0" r="3175" b="3175"/>
            <wp:wrapNone/>
            <wp:docPr id="1015126880" name="Imagen 1" descr="U.S. Indicators For The Sustainable Development Go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 Indicators For The Sustainable Development Goals"/>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20725" cy="720725"/>
                    </a:xfrm>
                    <a:prstGeom prst="rect">
                      <a:avLst/>
                    </a:prstGeom>
                    <a:noFill/>
                    <a:ln>
                      <a:noFill/>
                    </a:ln>
                  </pic:spPr>
                </pic:pic>
              </a:graphicData>
            </a:graphic>
            <wp14:sizeRelH relativeFrom="page">
              <wp14:pctWidth>0</wp14:pctWidth>
            </wp14:sizeRelH>
            <wp14:sizeRelV relativeFrom="page">
              <wp14:pctHeight>0</wp14:pctHeight>
            </wp14:sizeRelV>
          </wp:anchor>
        </w:drawing>
      </w:r>
      <w:r w:rsidR="009B649B" w:rsidRPr="009B649B">
        <w:rPr>
          <w:rFonts w:eastAsia="Calibri"/>
          <w:noProof/>
          <w:lang w:val="es-DO"/>
        </w:rPr>
        <w:t>Mercadito Agrícola y Artesanal</w:t>
      </w:r>
    </w:p>
    <w:p w14:paraId="14C40243" w14:textId="0A5304D6" w:rsidR="009B649B" w:rsidRPr="00CA5433" w:rsidRDefault="00F11748" w:rsidP="00CA5433">
      <w:pPr>
        <w:spacing w:line="360" w:lineRule="auto"/>
        <w:ind w:right="108"/>
        <w:jc w:val="both"/>
        <w:rPr>
          <w:rFonts w:eastAsia="Calibri"/>
          <w:lang w:val="es-ES" w:eastAsia="es-DO"/>
        </w:rPr>
      </w:pPr>
      <w:r w:rsidRPr="00CB2F36">
        <w:rPr>
          <w:rFonts w:eastAsia="Calibri"/>
          <w:noProof/>
          <w:lang w:val="es-ES"/>
        </w:rPr>
        <w:drawing>
          <wp:inline distT="0" distB="0" distL="0" distR="0" wp14:anchorId="12612763" wp14:editId="3430CCCB">
            <wp:extent cx="722875" cy="722875"/>
            <wp:effectExtent l="0" t="0" r="1270" b="1270"/>
            <wp:docPr id="928659643"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659643" name="Imagen 2" descr="Texto&#10;&#10;Descripción generada automáticament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27572" cy="727572"/>
                    </a:xfrm>
                    <a:prstGeom prst="rect">
                      <a:avLst/>
                    </a:prstGeom>
                    <a:noFill/>
                    <a:ln>
                      <a:noFill/>
                    </a:ln>
                  </pic:spPr>
                </pic:pic>
              </a:graphicData>
            </a:graphic>
          </wp:inline>
        </w:drawing>
      </w:r>
      <w:r w:rsidRPr="00CB2F36">
        <w:rPr>
          <w:noProof/>
        </w:rPr>
        <w:drawing>
          <wp:inline distT="0" distB="0" distL="0" distR="0" wp14:anchorId="4F2D5AB1" wp14:editId="19FD1511">
            <wp:extent cx="723900" cy="723900"/>
            <wp:effectExtent l="0" t="0" r="0" b="0"/>
            <wp:docPr id="217348530" name="Imagen 3" descr="Objetivo 2 | Department of Economic and Social Aff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bjetivo 2 | Department of Economic and Social Affairs"/>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24197" cy="724197"/>
                    </a:xfrm>
                    <a:prstGeom prst="rect">
                      <a:avLst/>
                    </a:prstGeom>
                    <a:noFill/>
                    <a:ln>
                      <a:noFill/>
                    </a:ln>
                  </pic:spPr>
                </pic:pic>
              </a:graphicData>
            </a:graphic>
          </wp:inline>
        </w:drawing>
      </w:r>
      <w:r w:rsidRPr="00CB2F36">
        <w:rPr>
          <w:noProof/>
        </w:rPr>
        <w:drawing>
          <wp:inline distT="0" distB="0" distL="0" distR="0" wp14:anchorId="1D1DDBB5" wp14:editId="1D8280E1">
            <wp:extent cx="727075" cy="727075"/>
            <wp:effectExtent l="0" t="0" r="0" b="0"/>
            <wp:docPr id="1727302446" name="Imagen 8" descr="Materiales de comunicación - Desarrollo Soste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teriales de comunicación - Desarrollo Sostenible"/>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27075" cy="727075"/>
                    </a:xfrm>
                    <a:prstGeom prst="rect">
                      <a:avLst/>
                    </a:prstGeom>
                    <a:noFill/>
                    <a:ln>
                      <a:noFill/>
                    </a:ln>
                  </pic:spPr>
                </pic:pic>
              </a:graphicData>
            </a:graphic>
          </wp:inline>
        </w:drawing>
      </w:r>
      <w:r w:rsidRPr="00CB2F36">
        <w:rPr>
          <w:noProof/>
        </w:rPr>
        <w:drawing>
          <wp:inline distT="0" distB="0" distL="0" distR="0" wp14:anchorId="3296EE36" wp14:editId="633D697A">
            <wp:extent cx="724145" cy="724145"/>
            <wp:effectExtent l="0" t="0" r="0" b="0"/>
            <wp:docPr id="473461294" name="Imagen 473461294" descr="ODS 10 Reducción de las desigualdades | Pacto Mundial ONU · Pacto Mund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DS 10 Reducción de las desigualdades | Pacto Mundial ONU · Pacto Mundial"/>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56494" cy="756494"/>
                    </a:xfrm>
                    <a:prstGeom prst="rect">
                      <a:avLst/>
                    </a:prstGeom>
                    <a:noFill/>
                    <a:ln>
                      <a:noFill/>
                    </a:ln>
                  </pic:spPr>
                </pic:pic>
              </a:graphicData>
            </a:graphic>
          </wp:inline>
        </w:drawing>
      </w:r>
      <w:r w:rsidRPr="00CB2F36">
        <w:rPr>
          <w:noProof/>
        </w:rPr>
        <w:drawing>
          <wp:inline distT="0" distB="0" distL="0" distR="0" wp14:anchorId="460461AF" wp14:editId="060EC38A">
            <wp:extent cx="723900" cy="723900"/>
            <wp:effectExtent l="0" t="0" r="0" b="0"/>
            <wp:docPr id="1044812958" name="Imagen 10" descr="Materiales de comunicación - Desarrollo Soste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teriales de comunicación - Desarrollo Sostenibl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49844" cy="749844"/>
                    </a:xfrm>
                    <a:prstGeom prst="rect">
                      <a:avLst/>
                    </a:prstGeom>
                    <a:noFill/>
                    <a:ln>
                      <a:noFill/>
                    </a:ln>
                  </pic:spPr>
                </pic:pic>
              </a:graphicData>
            </a:graphic>
          </wp:inline>
        </w:drawing>
      </w:r>
      <w:r w:rsidRPr="00CB2F36">
        <w:rPr>
          <w:noProof/>
        </w:rPr>
        <w:drawing>
          <wp:inline distT="0" distB="0" distL="0" distR="0" wp14:anchorId="59AF1E5C" wp14:editId="2A6B6CD8">
            <wp:extent cx="721995" cy="721995"/>
            <wp:effectExtent l="0" t="0" r="1905" b="1905"/>
            <wp:docPr id="647490233" name="Imagen 11" descr="Cambio climático - Desarrollo Soste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mbio climático - Desarrollo Sostenibl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44960" cy="744960"/>
                    </a:xfrm>
                    <a:prstGeom prst="rect">
                      <a:avLst/>
                    </a:prstGeom>
                    <a:noFill/>
                    <a:ln>
                      <a:noFill/>
                    </a:ln>
                  </pic:spPr>
                </pic:pic>
              </a:graphicData>
            </a:graphic>
          </wp:inline>
        </w:drawing>
      </w:r>
    </w:p>
    <w:p w14:paraId="57D981E9" w14:textId="4F968D30" w:rsidR="009B649B" w:rsidRPr="009B649B" w:rsidRDefault="009B649B" w:rsidP="009B649B">
      <w:pPr>
        <w:spacing w:line="360" w:lineRule="auto"/>
        <w:jc w:val="both"/>
        <w:rPr>
          <w:rFonts w:eastAsia="Calibri"/>
          <w:noProof/>
          <w:lang w:val="es-DO"/>
        </w:rPr>
      </w:pPr>
      <w:r w:rsidRPr="009B649B">
        <w:rPr>
          <w:rFonts w:eastAsia="Calibri"/>
          <w:noProof/>
          <w:lang w:val="es-DO"/>
        </w:rPr>
        <w:t xml:space="preserve">La Tesorería Nacional, en alianza estratégica con la Dirección de Desarrollo Social Supérate, la Organización de las Naciones Unidas para la Alimentación y la Agricultura (FAO) y el Programa Mundial de Alimentos (PMA), continúa impulsando el Mercadito Agrícola y Artesanal, una iniciativa de triple impacto social, económico y </w:t>
      </w:r>
      <w:r w:rsidRPr="009B649B">
        <w:rPr>
          <w:rFonts w:eastAsia="Calibri"/>
          <w:noProof/>
          <w:lang w:val="es-DO"/>
        </w:rPr>
        <w:lastRenderedPageBreak/>
        <w:t>ambiental que fortalece el desarrollo sostenible, promueve la inclusión económica y contribuye a la cohesión territorial.</w:t>
      </w:r>
    </w:p>
    <w:p w14:paraId="4E59A05C" w14:textId="77777777" w:rsidR="009B649B" w:rsidRPr="009B649B" w:rsidRDefault="009B649B" w:rsidP="009B649B">
      <w:pPr>
        <w:spacing w:line="360" w:lineRule="auto"/>
        <w:jc w:val="both"/>
        <w:rPr>
          <w:rFonts w:eastAsia="Calibri"/>
          <w:noProof/>
          <w:lang w:val="es-DO"/>
        </w:rPr>
      </w:pPr>
    </w:p>
    <w:p w14:paraId="5F69C5A8"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El mercadito apoya directamente a los agricultores familiares, artesanos, mujeres emprendedoras, emprendedores verdes y personas con discapacidad, alineándose con la Estrategia Nacional de Desarrollo 2030 (END) y los Objetivos de Desarrollo Sostenible (ODS), con el propósito de contribuir a un país próspero donde las personas vivan dignamente, gestionando recursos de manera sostenible.</w:t>
      </w:r>
    </w:p>
    <w:p w14:paraId="43AC73B1" w14:textId="61D868BF" w:rsidR="00F11748" w:rsidRPr="00600744" w:rsidRDefault="009B649B" w:rsidP="00F11748">
      <w:pPr>
        <w:spacing w:line="360" w:lineRule="auto"/>
        <w:jc w:val="center"/>
        <w:rPr>
          <w:rFonts w:eastAsia="Calibri"/>
          <w:b/>
          <w:bCs/>
          <w:noProof/>
          <w:lang w:val="es-DO"/>
        </w:rPr>
      </w:pPr>
      <w:r w:rsidRPr="009B649B">
        <w:rPr>
          <w:rFonts w:eastAsia="Calibri"/>
          <w:noProof/>
          <w:lang w:val="es-DO"/>
        </w:rPr>
        <w:t xml:space="preserve"> </w:t>
      </w:r>
      <w:r w:rsidR="00F11748" w:rsidRPr="00600744">
        <w:rPr>
          <w:rFonts w:eastAsia="Calibri"/>
          <w:b/>
          <w:bCs/>
          <w:noProof/>
          <w:lang w:val="es-DO"/>
        </w:rPr>
        <w:t>Gr</w:t>
      </w:r>
      <w:r w:rsidR="00D82521">
        <w:rPr>
          <w:rFonts w:eastAsia="Calibri"/>
          <w:b/>
          <w:bCs/>
          <w:noProof/>
          <w:lang w:val="es-DO"/>
        </w:rPr>
        <w:t>á</w:t>
      </w:r>
      <w:r w:rsidR="00F11748" w:rsidRPr="00600744">
        <w:rPr>
          <w:rFonts w:eastAsia="Calibri"/>
          <w:b/>
          <w:bCs/>
          <w:noProof/>
          <w:lang w:val="es-DO"/>
        </w:rPr>
        <w:t>fico No.</w:t>
      </w:r>
      <w:r w:rsidR="00CD431C">
        <w:rPr>
          <w:rFonts w:eastAsia="Calibri"/>
          <w:b/>
          <w:bCs/>
          <w:noProof/>
          <w:lang w:val="es-DO"/>
        </w:rPr>
        <w:t xml:space="preserve"> 17</w:t>
      </w:r>
    </w:p>
    <w:p w14:paraId="77D0AEDF" w14:textId="2EEC9C21" w:rsidR="009B649B" w:rsidRPr="00F11748" w:rsidRDefault="00F11748" w:rsidP="00F11748">
      <w:pPr>
        <w:spacing w:line="360" w:lineRule="auto"/>
        <w:jc w:val="center"/>
        <w:rPr>
          <w:rFonts w:eastAsia="Calibri"/>
          <w:b/>
          <w:bCs/>
          <w:noProof/>
          <w:lang w:val="es-DO"/>
        </w:rPr>
      </w:pPr>
      <w:r w:rsidRPr="00600744">
        <w:rPr>
          <w:rFonts w:eastAsia="Calibri"/>
          <w:b/>
          <w:bCs/>
          <w:noProof/>
          <w:lang w:val="es-DO"/>
        </w:rPr>
        <w:t>Tesorería Nacional</w:t>
      </w:r>
    </w:p>
    <w:p w14:paraId="1BD18FFC" w14:textId="7BAA4628" w:rsidR="009B649B" w:rsidRPr="009B649B" w:rsidRDefault="00F11748" w:rsidP="009B649B">
      <w:pPr>
        <w:spacing w:line="360" w:lineRule="auto"/>
        <w:jc w:val="both"/>
        <w:rPr>
          <w:rFonts w:eastAsia="Calibri"/>
          <w:noProof/>
          <w:lang w:val="es-DO"/>
        </w:rPr>
      </w:pPr>
      <w:r w:rsidRPr="00BF0BCC">
        <w:rPr>
          <w:noProof/>
          <w:sz w:val="18"/>
          <w:szCs w:val="18"/>
        </w:rPr>
        <w:drawing>
          <wp:inline distT="0" distB="0" distL="0" distR="0" wp14:anchorId="4E525C40" wp14:editId="4FB615E2">
            <wp:extent cx="5029200" cy="2540621"/>
            <wp:effectExtent l="0" t="0" r="0" b="0"/>
            <wp:docPr id="396259052" name="Gráfico 1">
              <a:extLst xmlns:a="http://schemas.openxmlformats.org/drawingml/2006/main">
                <a:ext uri="{FF2B5EF4-FFF2-40B4-BE49-F238E27FC236}">
                  <a16:creationId xmlns:a16="http://schemas.microsoft.com/office/drawing/2014/main" id="{C836A650-D3C6-4E18-A0A4-C871BF3242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518D6A79"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Impacto Económico y Social</w:t>
      </w:r>
    </w:p>
    <w:p w14:paraId="393A7914" w14:textId="77777777" w:rsidR="009B649B" w:rsidRPr="009B649B" w:rsidRDefault="009B649B" w:rsidP="009B649B">
      <w:pPr>
        <w:spacing w:line="360" w:lineRule="auto"/>
        <w:jc w:val="both"/>
        <w:rPr>
          <w:rFonts w:eastAsia="Calibri"/>
          <w:noProof/>
          <w:lang w:val="es-DO"/>
        </w:rPr>
      </w:pPr>
    </w:p>
    <w:p w14:paraId="2780DEF0" w14:textId="5DB34300" w:rsidR="009B649B" w:rsidRPr="009B649B" w:rsidRDefault="009B649B" w:rsidP="009B649B">
      <w:pPr>
        <w:spacing w:line="360" w:lineRule="auto"/>
        <w:jc w:val="both"/>
        <w:rPr>
          <w:rFonts w:eastAsia="Calibri"/>
          <w:noProof/>
          <w:lang w:val="es-DO"/>
        </w:rPr>
      </w:pPr>
      <w:r w:rsidRPr="009B649B">
        <w:rPr>
          <w:rFonts w:eastAsia="Calibri"/>
          <w:noProof/>
          <w:lang w:val="es-DO"/>
        </w:rPr>
        <w:t xml:space="preserve">En 2025, la Tesorería Nacional reafirmó su compromiso con el impulso a las compras verdes, economía local y el apoyo directo a productores familiares y emprendimientos sostenibles a través de dos nuevas ediciones del Mercadito Agrícola y Artesanal, realizadas en </w:t>
      </w:r>
      <w:r w:rsidRPr="009B649B">
        <w:rPr>
          <w:rFonts w:eastAsia="Calibri"/>
          <w:noProof/>
          <w:lang w:val="es-DO"/>
        </w:rPr>
        <w:lastRenderedPageBreak/>
        <w:t xml:space="preserve">los meses de abril y diciembre. Ambas actividades contaron con el apoyo de Supérate, la Organización de las Naciones Unidas para la Alimentación y la Agricultura (FAO), el Programa Mundial de Alimentos (PMA), consolidando un modelo de cooperación interinstitucional en favor del desarrollo sostenible. </w:t>
      </w:r>
    </w:p>
    <w:p w14:paraId="7F9D15FF" w14:textId="411E4BAA" w:rsidR="009B649B" w:rsidRPr="009B649B" w:rsidRDefault="009B649B" w:rsidP="009B649B">
      <w:pPr>
        <w:spacing w:line="360" w:lineRule="auto"/>
        <w:jc w:val="both"/>
        <w:rPr>
          <w:rFonts w:eastAsia="Calibri"/>
          <w:noProof/>
          <w:lang w:val="es-DO"/>
        </w:rPr>
      </w:pPr>
      <w:r w:rsidRPr="009B649B">
        <w:rPr>
          <w:rFonts w:eastAsia="Calibri"/>
          <w:noProof/>
          <w:lang w:val="es-DO"/>
        </w:rPr>
        <w:t>En cada edición participaron más de 30 productores, artesanos y emprendedores, distribuidos en 20 puestos de venta, garantizando una oferta diversa e inclusiva que favoreció la generación de ingresos, la visibilidad de productos locales y la integración económica de mujeres, mipymes y grupos vulnerables.</w:t>
      </w:r>
    </w:p>
    <w:p w14:paraId="699FC782" w14:textId="1A78B58B" w:rsidR="009B649B" w:rsidRPr="009B649B" w:rsidRDefault="009B649B" w:rsidP="009B649B">
      <w:pPr>
        <w:spacing w:line="360" w:lineRule="auto"/>
        <w:jc w:val="both"/>
        <w:rPr>
          <w:rFonts w:eastAsia="Calibri"/>
          <w:noProof/>
          <w:lang w:val="es-DO"/>
        </w:rPr>
      </w:pPr>
      <w:r w:rsidRPr="009B649B">
        <w:rPr>
          <w:rFonts w:eastAsia="Calibri"/>
          <w:noProof/>
          <w:lang w:val="es-DO"/>
        </w:rPr>
        <w:t>La primera edición del año, celebrada en abril, se enmarcó en las acciones institucionales con motivo del Día Mundial de la Tierra. La segunda, realizada en diciembre, integró un enfoque especial dirigido a promover la agricultura familiar y los huertos urbanos, con la participación destacada del FEDA a través de su programa Siembra Tu Patio. Durante esta jornada, se impartió la charla formativa “Siembra Tu Patio, Siembra en Familia” y se entregaron 500 plantas frutales de guanábana, granadillo y parra (uva) a los asistentes, impulsando prácticas agrícolas sostenibles, de bajo costo y alineadas con los esfuerzos nacionales de seguridad alimentaria.</w:t>
      </w:r>
    </w:p>
    <w:p w14:paraId="254DDE5A" w14:textId="23D95064" w:rsidR="009B649B" w:rsidRPr="009B649B" w:rsidRDefault="009B649B" w:rsidP="009B649B">
      <w:pPr>
        <w:spacing w:line="360" w:lineRule="auto"/>
        <w:jc w:val="both"/>
        <w:rPr>
          <w:rFonts w:eastAsia="Calibri"/>
          <w:noProof/>
          <w:lang w:val="es-DO"/>
        </w:rPr>
      </w:pPr>
      <w:r w:rsidRPr="009B649B">
        <w:rPr>
          <w:rFonts w:eastAsia="Calibri"/>
          <w:noProof/>
          <w:lang w:val="es-DO"/>
        </w:rPr>
        <w:t>Asimismo, el Ministerio de Agricultura tuvo una presencia relevante mediante sus programas “Siembra Tu Huerto” y “SIEMBRA-RD”, aportando plantas frutales de tamarindo y cereza, regaderas, y un total de 720 plántulas de lechuga, perejil, espinaca, rúcula, albahaca y ajíes, contribuyendo así al fortalecimiento de capacidades y al fomento de la producción doméstica sostenible.</w:t>
      </w:r>
    </w:p>
    <w:p w14:paraId="4127777E" w14:textId="42498B7B" w:rsidR="009B649B" w:rsidRPr="009B649B" w:rsidRDefault="009B649B" w:rsidP="009B649B">
      <w:pPr>
        <w:spacing w:line="360" w:lineRule="auto"/>
        <w:jc w:val="both"/>
        <w:rPr>
          <w:rFonts w:eastAsia="Calibri"/>
          <w:noProof/>
          <w:lang w:val="es-DO"/>
        </w:rPr>
      </w:pPr>
      <w:r w:rsidRPr="009B649B">
        <w:rPr>
          <w:rFonts w:eastAsia="Calibri"/>
          <w:noProof/>
          <w:lang w:val="es-DO"/>
        </w:rPr>
        <w:t xml:space="preserve">Los dos mercaditos realizados en 2025 generaron RD$474,951.46 en ventas directas para agricultores familiares, mujeres </w:t>
      </w:r>
      <w:r w:rsidRPr="009B649B">
        <w:rPr>
          <w:rFonts w:eastAsia="Calibri"/>
          <w:noProof/>
          <w:lang w:val="es-DO"/>
        </w:rPr>
        <w:lastRenderedPageBreak/>
        <w:t>SúperEmprendedoras, artesanos, cooperativas agropecuarias, emprendedores verdes, mipymes y personas con discapacidad.</w:t>
      </w:r>
    </w:p>
    <w:p w14:paraId="221FE5C1"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Con estos resultados, el total acumulado de ventas generadas por las diez ediciones del Mercadito Agrícola y Artesanal realizadas entre 2022 y 2025 asciende a RD$2,549,273.16. Este crecimiento evidencia el impacto sostenido de la iniciativa como plataforma de dinamización económica, fortalecimiento de capacidades, integración de productores rurales y urbanos, y promoción de cadenas de valor inclusivas y sostenibles.</w:t>
      </w:r>
    </w:p>
    <w:p w14:paraId="3CBDF3CE" w14:textId="77777777" w:rsidR="009B649B" w:rsidRPr="009B649B" w:rsidRDefault="009B649B" w:rsidP="009B649B">
      <w:pPr>
        <w:spacing w:line="360" w:lineRule="auto"/>
        <w:jc w:val="both"/>
        <w:rPr>
          <w:rFonts w:eastAsia="Calibri"/>
          <w:noProof/>
          <w:lang w:val="es-DO"/>
        </w:rPr>
      </w:pPr>
    </w:p>
    <w:p w14:paraId="32CC370C" w14:textId="62EDDD53" w:rsidR="009B649B" w:rsidRPr="009B649B" w:rsidRDefault="009B649B" w:rsidP="009B649B">
      <w:pPr>
        <w:spacing w:line="360" w:lineRule="auto"/>
        <w:jc w:val="both"/>
        <w:rPr>
          <w:rFonts w:eastAsia="Calibri"/>
          <w:noProof/>
          <w:lang w:val="es-DO"/>
        </w:rPr>
      </w:pPr>
      <w:r w:rsidRPr="009B649B">
        <w:rPr>
          <w:rFonts w:eastAsia="Calibri"/>
          <w:noProof/>
          <w:lang w:val="es-DO"/>
        </w:rPr>
        <w:t>Regiones Impactadas</w:t>
      </w:r>
    </w:p>
    <w:p w14:paraId="5F6885D9"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El Mercadito ha beneficiado a más de 30 productores, artesanos y emprendedores de diversas regiones del país, incluyendo territorios priorizados:</w:t>
      </w:r>
    </w:p>
    <w:p w14:paraId="47E3C267" w14:textId="77777777" w:rsidR="009B649B" w:rsidRPr="009B649B" w:rsidRDefault="009B649B" w:rsidP="009B649B">
      <w:pPr>
        <w:spacing w:line="360" w:lineRule="auto"/>
        <w:jc w:val="both"/>
        <w:rPr>
          <w:rFonts w:eastAsia="Calibri"/>
          <w:noProof/>
          <w:lang w:val="es-DO"/>
        </w:rPr>
      </w:pPr>
    </w:p>
    <w:p w14:paraId="07A5CAD4"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w:t>
      </w:r>
      <w:r w:rsidRPr="009B649B">
        <w:rPr>
          <w:rFonts w:eastAsia="Calibri"/>
          <w:noProof/>
          <w:lang w:val="es-DO"/>
        </w:rPr>
        <w:tab/>
        <w:t xml:space="preserve">Región Cibao Norte: Puerto Plata. </w:t>
      </w:r>
    </w:p>
    <w:p w14:paraId="7E62DF95"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w:t>
      </w:r>
      <w:r w:rsidRPr="009B649B">
        <w:rPr>
          <w:rFonts w:eastAsia="Calibri"/>
          <w:noProof/>
          <w:lang w:val="es-DO"/>
        </w:rPr>
        <w:tab/>
        <w:t xml:space="preserve">Región Cibao Sur: La Vega. </w:t>
      </w:r>
    </w:p>
    <w:p w14:paraId="32285CA7"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w:t>
      </w:r>
      <w:r w:rsidRPr="009B649B">
        <w:rPr>
          <w:rFonts w:eastAsia="Calibri"/>
          <w:noProof/>
          <w:lang w:val="es-DO"/>
        </w:rPr>
        <w:tab/>
        <w:t xml:space="preserve">Región Cibao Noroeste: Montecristi y Valverde. </w:t>
      </w:r>
    </w:p>
    <w:p w14:paraId="51774085"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w:t>
      </w:r>
      <w:r w:rsidRPr="009B649B">
        <w:rPr>
          <w:rFonts w:eastAsia="Calibri"/>
          <w:noProof/>
          <w:lang w:val="es-DO"/>
        </w:rPr>
        <w:tab/>
        <w:t>Región Valdesia: San Cristóbal.</w:t>
      </w:r>
    </w:p>
    <w:p w14:paraId="66F2FD97"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w:t>
      </w:r>
      <w:r w:rsidRPr="009B649B">
        <w:rPr>
          <w:rFonts w:eastAsia="Calibri"/>
          <w:noProof/>
          <w:lang w:val="es-DO"/>
        </w:rPr>
        <w:tab/>
        <w:t>Región Yuma: La Romana y La Altagracia;</w:t>
      </w:r>
    </w:p>
    <w:p w14:paraId="12F76A71"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w:t>
      </w:r>
      <w:r w:rsidRPr="009B649B">
        <w:rPr>
          <w:rFonts w:eastAsia="Calibri"/>
          <w:noProof/>
          <w:lang w:val="es-DO"/>
        </w:rPr>
        <w:tab/>
        <w:t>Región Higüamo: San Pedro de Macorís, Monte Plata y Hato Mayor.</w:t>
      </w:r>
    </w:p>
    <w:p w14:paraId="38BB29B3"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w:t>
      </w:r>
      <w:r w:rsidRPr="009B649B">
        <w:rPr>
          <w:rFonts w:eastAsia="Calibri"/>
          <w:noProof/>
          <w:lang w:val="es-DO"/>
        </w:rPr>
        <w:tab/>
        <w:t xml:space="preserve">Región Ozama: Santo Domingo (Santo Domingo Este, Santo Domingo Oeste, Santo Domingo Norte) y el Distrito Nacional. </w:t>
      </w:r>
    </w:p>
    <w:p w14:paraId="7F3B77CA" w14:textId="77777777" w:rsidR="009B649B" w:rsidRPr="009B649B" w:rsidRDefault="009B649B" w:rsidP="009B649B">
      <w:pPr>
        <w:spacing w:line="360" w:lineRule="auto"/>
        <w:jc w:val="both"/>
        <w:rPr>
          <w:rFonts w:eastAsia="Calibri"/>
          <w:noProof/>
          <w:lang w:val="es-DO"/>
        </w:rPr>
      </w:pPr>
    </w:p>
    <w:p w14:paraId="79350860" w14:textId="5A50A08D" w:rsidR="009B649B" w:rsidRPr="009B649B" w:rsidRDefault="009B649B" w:rsidP="009B649B">
      <w:pPr>
        <w:spacing w:line="360" w:lineRule="auto"/>
        <w:jc w:val="both"/>
        <w:rPr>
          <w:rFonts w:eastAsia="Calibri"/>
          <w:noProof/>
          <w:lang w:val="es-DO"/>
        </w:rPr>
      </w:pPr>
      <w:r w:rsidRPr="009B649B">
        <w:rPr>
          <w:rFonts w:eastAsia="Calibri"/>
          <w:noProof/>
          <w:lang w:val="es-DO"/>
        </w:rPr>
        <w:lastRenderedPageBreak/>
        <w:t>Contribución a la END 2030 y los ODS</w:t>
      </w:r>
    </w:p>
    <w:p w14:paraId="028F3E1E"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El Mercadito contribuye al cumplimiento de los Objetivos de Desarrollo Sostenible (ODS), en especial el ODS 1 (Fin de la Pobreza), ODS 2 (Hambre Cero), ODS 8 (Trabajo decente y crecimiento económico) y el ODS 12 (Producción y Consumo Responsables), mediante:</w:t>
      </w:r>
    </w:p>
    <w:p w14:paraId="4C4EC676" w14:textId="77777777" w:rsidR="009B649B" w:rsidRPr="009B649B" w:rsidRDefault="009B649B" w:rsidP="009B649B">
      <w:pPr>
        <w:spacing w:line="360" w:lineRule="auto"/>
        <w:jc w:val="both"/>
        <w:rPr>
          <w:rFonts w:eastAsia="Calibri"/>
          <w:noProof/>
          <w:lang w:val="es-DO"/>
        </w:rPr>
      </w:pPr>
    </w:p>
    <w:p w14:paraId="0520743D"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w:t>
      </w:r>
      <w:r w:rsidRPr="009B649B">
        <w:rPr>
          <w:rFonts w:eastAsia="Calibri"/>
          <w:noProof/>
          <w:lang w:val="es-DO"/>
        </w:rPr>
        <w:tab/>
        <w:t>El apoyo a la agricultura familiar y la seguridad alimentaria.</w:t>
      </w:r>
    </w:p>
    <w:p w14:paraId="49180AB2"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w:t>
      </w:r>
      <w:r w:rsidRPr="009B649B">
        <w:rPr>
          <w:rFonts w:eastAsia="Calibri"/>
          <w:noProof/>
          <w:lang w:val="es-DO"/>
        </w:rPr>
        <w:tab/>
        <w:t>La promoción de compras públicas verdes e inclusivas.</w:t>
      </w:r>
    </w:p>
    <w:p w14:paraId="3A5F33E5"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w:t>
      </w:r>
      <w:r w:rsidRPr="009B649B">
        <w:rPr>
          <w:rFonts w:eastAsia="Calibri"/>
          <w:noProof/>
          <w:lang w:val="es-DO"/>
        </w:rPr>
        <w:tab/>
        <w:t>El fomento de la producción y el consumo responsable.</w:t>
      </w:r>
    </w:p>
    <w:p w14:paraId="71569AE0"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w:t>
      </w:r>
      <w:r w:rsidRPr="009B649B">
        <w:rPr>
          <w:rFonts w:eastAsia="Calibri"/>
          <w:noProof/>
          <w:lang w:val="es-DO"/>
        </w:rPr>
        <w:tab/>
        <w:t xml:space="preserve"> La creación de espacios económicos inclusivos para mujeres y grupos vulnerables para la reducción de la pobreza.</w:t>
      </w:r>
    </w:p>
    <w:p w14:paraId="2280768B" w14:textId="77777777" w:rsidR="009B649B" w:rsidRPr="009B649B" w:rsidRDefault="009B649B" w:rsidP="009B649B">
      <w:pPr>
        <w:spacing w:line="360" w:lineRule="auto"/>
        <w:jc w:val="both"/>
        <w:rPr>
          <w:rFonts w:eastAsia="Calibri"/>
          <w:noProof/>
          <w:lang w:val="es-DO"/>
        </w:rPr>
      </w:pPr>
    </w:p>
    <w:p w14:paraId="35506D04"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Asimismo, cumple con el Decreto 610-22, que prioriza la compra de productos agrícolas crudos a pequeños agricultores familiares, fortaleciendo el desarrollo económico local.</w:t>
      </w:r>
    </w:p>
    <w:p w14:paraId="697306F8" w14:textId="77777777" w:rsidR="009B649B" w:rsidRPr="009B649B" w:rsidRDefault="009B649B" w:rsidP="009B649B">
      <w:pPr>
        <w:spacing w:line="360" w:lineRule="auto"/>
        <w:jc w:val="both"/>
        <w:rPr>
          <w:rFonts w:eastAsia="Calibri"/>
          <w:noProof/>
          <w:lang w:val="es-DO"/>
        </w:rPr>
      </w:pPr>
    </w:p>
    <w:p w14:paraId="1EAA3487" w14:textId="168E7CC0" w:rsidR="009B649B" w:rsidRPr="009B649B" w:rsidRDefault="009B649B" w:rsidP="009B649B">
      <w:pPr>
        <w:spacing w:line="360" w:lineRule="auto"/>
        <w:jc w:val="both"/>
        <w:rPr>
          <w:rFonts w:eastAsia="Calibri"/>
          <w:noProof/>
          <w:lang w:val="es-DO"/>
        </w:rPr>
      </w:pPr>
      <w:r w:rsidRPr="009B649B">
        <w:rPr>
          <w:rFonts w:eastAsia="Calibri"/>
          <w:noProof/>
          <w:lang w:val="es-DO"/>
        </w:rPr>
        <w:t xml:space="preserve">Encuesta de medición del Mercadito </w:t>
      </w:r>
    </w:p>
    <w:p w14:paraId="02ADD2D3"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 xml:space="preserve">En 2025, la Tesorería Nacional realizó una encuesta para evaluar la percepción de productores, artesanos y emprendedores participantes en el Mercadito Agrícola y Artesanal. </w:t>
      </w:r>
    </w:p>
    <w:p w14:paraId="617D8978" w14:textId="77777777" w:rsidR="009B649B" w:rsidRPr="009B649B" w:rsidRDefault="009B649B" w:rsidP="009B649B">
      <w:pPr>
        <w:spacing w:line="360" w:lineRule="auto"/>
        <w:jc w:val="both"/>
        <w:rPr>
          <w:rFonts w:eastAsia="Calibri"/>
          <w:noProof/>
          <w:lang w:val="es-DO"/>
        </w:rPr>
      </w:pPr>
    </w:p>
    <w:p w14:paraId="280FAFDE"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Participación y Beneficios</w:t>
      </w:r>
    </w:p>
    <w:p w14:paraId="7CDA9802"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w:t>
      </w:r>
      <w:r w:rsidRPr="009B649B">
        <w:rPr>
          <w:rFonts w:eastAsia="Calibri"/>
          <w:noProof/>
          <w:lang w:val="es-DO"/>
        </w:rPr>
        <w:tab/>
        <w:t>Valoración: 83% de los encuestados calificó el Mercadito como "Excelente iniciativa" y 17% restante, como "Muy bueno".</w:t>
      </w:r>
    </w:p>
    <w:p w14:paraId="6906860D"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lastRenderedPageBreak/>
        <w:t>•</w:t>
      </w:r>
      <w:r w:rsidRPr="009B649B">
        <w:rPr>
          <w:rFonts w:eastAsia="Calibri"/>
          <w:noProof/>
          <w:lang w:val="es-DO"/>
        </w:rPr>
        <w:tab/>
        <w:t>Impacto:</w:t>
      </w:r>
    </w:p>
    <w:p w14:paraId="3A518E58"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o</w:t>
      </w:r>
      <w:r w:rsidRPr="009B649B">
        <w:rPr>
          <w:rFonts w:eastAsia="Calibri"/>
          <w:noProof/>
          <w:lang w:val="es-DO"/>
        </w:rPr>
        <w:tab/>
        <w:t>50% afirmó que el Mercadito les ayuda a generar más ingresos.</w:t>
      </w:r>
    </w:p>
    <w:p w14:paraId="65CE95D7"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o</w:t>
      </w:r>
      <w:r w:rsidRPr="009B649B">
        <w:rPr>
          <w:rFonts w:eastAsia="Calibri"/>
          <w:noProof/>
          <w:lang w:val="es-DO"/>
        </w:rPr>
        <w:tab/>
        <w:t>50% aseguró que les beneficia participar para aumentar sus ventas.</w:t>
      </w:r>
    </w:p>
    <w:p w14:paraId="41574B12"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o</w:t>
      </w:r>
      <w:r w:rsidRPr="009B649B">
        <w:rPr>
          <w:rFonts w:eastAsia="Calibri"/>
          <w:noProof/>
          <w:lang w:val="es-DO"/>
        </w:rPr>
        <w:tab/>
        <w:t>33% destacó que les ayuda a mejorar sus condiciones de vida y la de sus familiares.</w:t>
      </w:r>
    </w:p>
    <w:p w14:paraId="4CE7D5F1" w14:textId="77777777" w:rsidR="009B649B" w:rsidRPr="009B649B" w:rsidRDefault="009B649B" w:rsidP="009B649B">
      <w:pPr>
        <w:spacing w:line="360" w:lineRule="auto"/>
        <w:jc w:val="both"/>
        <w:rPr>
          <w:rFonts w:eastAsia="Calibri"/>
          <w:noProof/>
          <w:lang w:val="es-DO"/>
        </w:rPr>
      </w:pPr>
    </w:p>
    <w:p w14:paraId="38212B9E" w14:textId="622C3489" w:rsidR="009B649B" w:rsidRPr="009B649B" w:rsidRDefault="009B649B" w:rsidP="009B649B">
      <w:pPr>
        <w:spacing w:line="360" w:lineRule="auto"/>
        <w:jc w:val="both"/>
        <w:rPr>
          <w:rFonts w:eastAsia="Calibri"/>
          <w:noProof/>
          <w:lang w:val="es-DO"/>
        </w:rPr>
      </w:pPr>
      <w:r w:rsidRPr="009B649B">
        <w:rPr>
          <w:rFonts w:eastAsia="Calibri"/>
          <w:noProof/>
          <w:lang w:val="es-DO"/>
        </w:rPr>
        <w:t xml:space="preserve">Gobernanza </w:t>
      </w:r>
    </w:p>
    <w:p w14:paraId="4A25EAA5" w14:textId="4CB9FF93" w:rsidR="009B649B" w:rsidRPr="009B649B" w:rsidRDefault="009B649B" w:rsidP="009B649B">
      <w:pPr>
        <w:spacing w:line="360" w:lineRule="auto"/>
        <w:jc w:val="both"/>
        <w:rPr>
          <w:rFonts w:eastAsia="Calibri"/>
          <w:noProof/>
          <w:lang w:val="es-DO"/>
        </w:rPr>
      </w:pPr>
      <w:r w:rsidRPr="009B649B">
        <w:rPr>
          <w:rFonts w:eastAsia="Calibri"/>
          <w:noProof/>
          <w:lang w:val="es-DO"/>
        </w:rPr>
        <w:t xml:space="preserve">Inclusión Laboral Alineada a la ISO 26000 y al Subindicador 09.6 del SISMAP </w:t>
      </w:r>
    </w:p>
    <w:p w14:paraId="2BA78C0B"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Desde el año 2023, la Tesorería Nacional trabaja de manera continua junto al Consejo Nacional de Discapacidad (Conadis) para fortalecer la inclusión laboral y la accesibilidad universal, conforme a los principios de igualdad de derechos, respeto a la diversidad y trato digno. En 2025, la institución consolidó avances significativos derivados del cumplimiento del Subindicador 09.6, orientado al desarrollo de infraestructuras accesibles, la sensibilización del personal y la evaluación de necesidades de los colaboradores con discapacidad.</w:t>
      </w:r>
    </w:p>
    <w:p w14:paraId="55B43C24" w14:textId="77777777" w:rsidR="009B649B" w:rsidRPr="009B649B" w:rsidRDefault="009B649B" w:rsidP="009B649B">
      <w:pPr>
        <w:spacing w:line="360" w:lineRule="auto"/>
        <w:jc w:val="both"/>
        <w:rPr>
          <w:rFonts w:eastAsia="Calibri"/>
          <w:noProof/>
          <w:lang w:val="es-DO"/>
        </w:rPr>
      </w:pPr>
    </w:p>
    <w:p w14:paraId="7E74091E"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Estas acciones refuerzan el compromiso institucional con los Objetivos de Desarrollo Sostenible, especialmente el ODS 8 (Trabajo decente), ODS 10 (Reducción de desigualdades) y ODS 16 (Instituciones eficaces e inclusivas).</w:t>
      </w:r>
    </w:p>
    <w:p w14:paraId="448EAE26" w14:textId="77777777" w:rsidR="009B649B" w:rsidRDefault="009B649B" w:rsidP="009B649B">
      <w:pPr>
        <w:spacing w:line="360" w:lineRule="auto"/>
        <w:jc w:val="both"/>
        <w:rPr>
          <w:rFonts w:eastAsia="Calibri"/>
          <w:noProof/>
          <w:lang w:val="es-DO"/>
        </w:rPr>
      </w:pPr>
    </w:p>
    <w:p w14:paraId="193959F7" w14:textId="77777777" w:rsidR="00CD431C" w:rsidRPr="009B649B" w:rsidRDefault="00CD431C" w:rsidP="009B649B">
      <w:pPr>
        <w:spacing w:line="360" w:lineRule="auto"/>
        <w:jc w:val="both"/>
        <w:rPr>
          <w:rFonts w:eastAsia="Calibri"/>
          <w:noProof/>
          <w:lang w:val="es-DO"/>
        </w:rPr>
      </w:pPr>
    </w:p>
    <w:p w14:paraId="30BBB129"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lastRenderedPageBreak/>
        <w:t>DDHH</w:t>
      </w:r>
    </w:p>
    <w:p w14:paraId="2B884511" w14:textId="77777777" w:rsidR="009B649B" w:rsidRPr="009B649B" w:rsidRDefault="009B649B" w:rsidP="009B649B">
      <w:pPr>
        <w:spacing w:line="360" w:lineRule="auto"/>
        <w:jc w:val="both"/>
        <w:rPr>
          <w:rFonts w:eastAsia="Calibri"/>
          <w:noProof/>
          <w:lang w:val="es-DO"/>
        </w:rPr>
      </w:pPr>
    </w:p>
    <w:p w14:paraId="7A8AFF36" w14:textId="483D120E" w:rsidR="009B649B" w:rsidRPr="009B649B" w:rsidRDefault="009B649B" w:rsidP="009B649B">
      <w:pPr>
        <w:spacing w:line="360" w:lineRule="auto"/>
        <w:jc w:val="both"/>
        <w:rPr>
          <w:rFonts w:eastAsia="Calibri"/>
          <w:noProof/>
          <w:lang w:val="es-DO"/>
        </w:rPr>
      </w:pPr>
      <w:r w:rsidRPr="009B649B">
        <w:rPr>
          <w:rFonts w:eastAsia="Calibri"/>
          <w:noProof/>
          <w:lang w:val="es-DO"/>
        </w:rPr>
        <w:t>1.</w:t>
      </w:r>
      <w:r w:rsidRPr="009B649B">
        <w:rPr>
          <w:rFonts w:eastAsia="Calibri"/>
          <w:noProof/>
          <w:lang w:val="es-DO"/>
        </w:rPr>
        <w:tab/>
        <w:t>Inclusión: Taller Trato digno a personas con discapacidad</w:t>
      </w:r>
    </w:p>
    <w:p w14:paraId="28A7E76B" w14:textId="54789CE3" w:rsidR="009B649B" w:rsidRPr="009B649B" w:rsidRDefault="009B649B" w:rsidP="009B649B">
      <w:pPr>
        <w:spacing w:line="360" w:lineRule="auto"/>
        <w:jc w:val="both"/>
        <w:rPr>
          <w:rFonts w:eastAsia="Calibri"/>
          <w:noProof/>
          <w:lang w:val="es-DO"/>
        </w:rPr>
      </w:pPr>
      <w:r w:rsidRPr="009B649B">
        <w:rPr>
          <w:rFonts w:eastAsia="Calibri"/>
          <w:noProof/>
          <w:lang w:val="es-DO"/>
        </w:rPr>
        <w:t>Como parte fundamental del Subindicador 09.6, la Tesorería Nacional fortaleció las competencias de su personal mediante la realización de tres (3) talleres entre 2024 y 2025 sobre “Trato digno a las personas con discapacidad desde un enfoque de derechos”. Esta iniciativa consolida una cultura institucional basada en la responsabilidad social, la igualdad y el respeto a los derechos humanos, reafirmando el compromiso de la institución con el trato digno hacia todas las personas.</w:t>
      </w:r>
    </w:p>
    <w:p w14:paraId="4C65BF40" w14:textId="77777777" w:rsidR="009B649B" w:rsidRDefault="009B649B" w:rsidP="009B649B">
      <w:pPr>
        <w:spacing w:line="360" w:lineRule="auto"/>
        <w:jc w:val="both"/>
        <w:rPr>
          <w:rFonts w:eastAsia="Calibri"/>
          <w:noProof/>
          <w:lang w:val="es-DO"/>
        </w:rPr>
      </w:pPr>
      <w:r w:rsidRPr="009B649B">
        <w:rPr>
          <w:rFonts w:eastAsia="Calibri"/>
          <w:noProof/>
          <w:lang w:val="es-DO"/>
        </w:rPr>
        <w:t>Los talleres fueron impartidos por técnicos del Conadis y permitieron la sensibilización de 82 servidores, equivalentes al 35.7 % de la nómina institucional, asistiendo por primera vez el 9.6 %. Como parte de la metodología, los participantes realizaron ejercicios vivenciales que incluyeron limitaciones de movilidad, simulación de discapacidad visual y desplazamiento asistido, lo que contribuyó a fortalecer la empatía, la comprensión de las barreras funcionales y la importancia de crear entornos accesibles.</w:t>
      </w:r>
    </w:p>
    <w:p w14:paraId="31538B1F" w14:textId="77777777" w:rsidR="0040659D" w:rsidRDefault="0040659D" w:rsidP="009B649B">
      <w:pPr>
        <w:spacing w:line="360" w:lineRule="auto"/>
        <w:jc w:val="both"/>
        <w:rPr>
          <w:rFonts w:eastAsia="Calibri"/>
          <w:b/>
          <w:bCs/>
          <w:noProof/>
          <w:lang w:val="es-DO"/>
        </w:rPr>
      </w:pPr>
    </w:p>
    <w:p w14:paraId="25E4A3F9" w14:textId="77777777" w:rsidR="0040659D" w:rsidRDefault="0040659D" w:rsidP="009B649B">
      <w:pPr>
        <w:spacing w:line="360" w:lineRule="auto"/>
        <w:jc w:val="both"/>
        <w:rPr>
          <w:rFonts w:eastAsia="Calibri"/>
          <w:b/>
          <w:bCs/>
          <w:noProof/>
          <w:lang w:val="es-DO"/>
        </w:rPr>
      </w:pPr>
    </w:p>
    <w:p w14:paraId="1696C73C" w14:textId="77777777" w:rsidR="0040659D" w:rsidRDefault="0040659D" w:rsidP="009B649B">
      <w:pPr>
        <w:spacing w:line="360" w:lineRule="auto"/>
        <w:jc w:val="both"/>
        <w:rPr>
          <w:rFonts w:eastAsia="Calibri"/>
          <w:b/>
          <w:bCs/>
          <w:noProof/>
          <w:lang w:val="es-DO"/>
        </w:rPr>
      </w:pPr>
    </w:p>
    <w:p w14:paraId="32CAC13D" w14:textId="77777777" w:rsidR="0040659D" w:rsidRDefault="0040659D" w:rsidP="009B649B">
      <w:pPr>
        <w:spacing w:line="360" w:lineRule="auto"/>
        <w:jc w:val="both"/>
        <w:rPr>
          <w:rFonts w:eastAsia="Calibri"/>
          <w:b/>
          <w:bCs/>
          <w:noProof/>
          <w:lang w:val="es-DO"/>
        </w:rPr>
      </w:pPr>
    </w:p>
    <w:p w14:paraId="43928185" w14:textId="77777777" w:rsidR="0040659D" w:rsidRDefault="0040659D" w:rsidP="009B649B">
      <w:pPr>
        <w:spacing w:line="360" w:lineRule="auto"/>
        <w:jc w:val="both"/>
        <w:rPr>
          <w:rFonts w:eastAsia="Calibri"/>
          <w:b/>
          <w:bCs/>
          <w:noProof/>
          <w:lang w:val="es-DO"/>
        </w:rPr>
      </w:pPr>
    </w:p>
    <w:p w14:paraId="4B822F19" w14:textId="77777777" w:rsidR="0040659D" w:rsidRDefault="0040659D" w:rsidP="009B649B">
      <w:pPr>
        <w:spacing w:line="360" w:lineRule="auto"/>
        <w:jc w:val="both"/>
        <w:rPr>
          <w:rFonts w:eastAsia="Calibri"/>
          <w:b/>
          <w:bCs/>
          <w:noProof/>
          <w:lang w:val="es-DO"/>
        </w:rPr>
      </w:pPr>
    </w:p>
    <w:p w14:paraId="5D6691C4" w14:textId="77777777" w:rsidR="0040659D" w:rsidRDefault="0040659D" w:rsidP="009B649B">
      <w:pPr>
        <w:spacing w:line="360" w:lineRule="auto"/>
        <w:jc w:val="both"/>
        <w:rPr>
          <w:rFonts w:eastAsia="Calibri"/>
          <w:b/>
          <w:bCs/>
          <w:noProof/>
          <w:lang w:val="es-DO"/>
        </w:rPr>
      </w:pPr>
    </w:p>
    <w:p w14:paraId="7666C9BF" w14:textId="5C55A9F9" w:rsidR="009B649B" w:rsidRPr="00834FB7" w:rsidRDefault="009B649B" w:rsidP="009B649B">
      <w:pPr>
        <w:spacing w:line="360" w:lineRule="auto"/>
        <w:jc w:val="both"/>
        <w:rPr>
          <w:rFonts w:eastAsia="Calibri"/>
          <w:b/>
          <w:bCs/>
          <w:noProof/>
          <w:lang w:val="es-DO"/>
        </w:rPr>
      </w:pPr>
      <w:r w:rsidRPr="00834FB7">
        <w:rPr>
          <w:rFonts w:eastAsia="Calibri"/>
          <w:b/>
          <w:bCs/>
          <w:noProof/>
          <w:lang w:val="es-DO"/>
        </w:rPr>
        <w:lastRenderedPageBreak/>
        <w:t>2.</w:t>
      </w:r>
      <w:r w:rsidRPr="00834FB7">
        <w:rPr>
          <w:rFonts w:eastAsia="Calibri"/>
          <w:b/>
          <w:bCs/>
          <w:noProof/>
          <w:lang w:val="es-DO"/>
        </w:rPr>
        <w:tab/>
        <w:t>Capacitación: Accesibilidad Universal</w:t>
      </w:r>
    </w:p>
    <w:p w14:paraId="38F923A9" w14:textId="2FD38640" w:rsidR="00834FB7" w:rsidRPr="00600744" w:rsidRDefault="00834FB7" w:rsidP="00834FB7">
      <w:pPr>
        <w:spacing w:line="360" w:lineRule="auto"/>
        <w:jc w:val="center"/>
        <w:rPr>
          <w:rFonts w:eastAsia="Calibri"/>
          <w:b/>
          <w:bCs/>
          <w:noProof/>
          <w:lang w:val="es-DO"/>
        </w:rPr>
      </w:pPr>
      <w:r w:rsidRPr="00600744">
        <w:rPr>
          <w:rFonts w:eastAsia="Calibri"/>
          <w:b/>
          <w:bCs/>
          <w:noProof/>
          <w:lang w:val="es-DO"/>
        </w:rPr>
        <w:t>Gr</w:t>
      </w:r>
      <w:r w:rsidR="00D82521">
        <w:rPr>
          <w:rFonts w:eastAsia="Calibri"/>
          <w:b/>
          <w:bCs/>
          <w:noProof/>
          <w:lang w:val="es-DO"/>
        </w:rPr>
        <w:t>á</w:t>
      </w:r>
      <w:r w:rsidRPr="00600744">
        <w:rPr>
          <w:rFonts w:eastAsia="Calibri"/>
          <w:b/>
          <w:bCs/>
          <w:noProof/>
          <w:lang w:val="es-DO"/>
        </w:rPr>
        <w:t>fico No.</w:t>
      </w:r>
      <w:r w:rsidR="00CD431C">
        <w:rPr>
          <w:rFonts w:eastAsia="Calibri"/>
          <w:b/>
          <w:bCs/>
          <w:noProof/>
          <w:lang w:val="es-DO"/>
        </w:rPr>
        <w:t xml:space="preserve"> 18</w:t>
      </w:r>
    </w:p>
    <w:p w14:paraId="36FA3CBE" w14:textId="48D9CDAE" w:rsidR="00834FB7" w:rsidRDefault="00834FB7" w:rsidP="00834FB7">
      <w:pPr>
        <w:spacing w:line="360" w:lineRule="auto"/>
        <w:jc w:val="center"/>
        <w:rPr>
          <w:rFonts w:eastAsia="Calibri"/>
          <w:noProof/>
          <w:lang w:val="es-DO"/>
        </w:rPr>
      </w:pPr>
      <w:r w:rsidRPr="00600744">
        <w:rPr>
          <w:rFonts w:eastAsia="Calibri"/>
          <w:b/>
          <w:bCs/>
          <w:noProof/>
          <w:lang w:val="es-DO"/>
        </w:rPr>
        <w:t>Tesorería Nacional</w:t>
      </w:r>
    </w:p>
    <w:p w14:paraId="7559F905" w14:textId="14E8CDF5" w:rsidR="009B649B" w:rsidRPr="009B649B" w:rsidRDefault="00C06D41" w:rsidP="00D82521">
      <w:pPr>
        <w:spacing w:line="360" w:lineRule="auto"/>
        <w:ind w:left="720" w:hanging="720"/>
        <w:jc w:val="center"/>
        <w:rPr>
          <w:rFonts w:eastAsia="Calibri"/>
          <w:noProof/>
          <w:lang w:val="es-DO"/>
        </w:rPr>
      </w:pPr>
      <w:r>
        <w:rPr>
          <w:noProof/>
        </w:rPr>
        <w:drawing>
          <wp:inline distT="0" distB="0" distL="0" distR="0" wp14:anchorId="56735335" wp14:editId="49EFE497">
            <wp:extent cx="3124200" cy="2057400"/>
            <wp:effectExtent l="0" t="0" r="0" b="0"/>
            <wp:docPr id="2047297123" name="Gráfico 1">
              <a:extLst xmlns:a="http://schemas.openxmlformats.org/drawingml/2006/main">
                <a:ext uri="{FF2B5EF4-FFF2-40B4-BE49-F238E27FC236}">
                  <a16:creationId xmlns:a16="http://schemas.microsoft.com/office/drawing/2014/main" id="{A1BE7ED2-8562-FBCD-C95F-18B6E37F41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00D82521">
        <w:rPr>
          <w:rFonts w:eastAsia="Calibri"/>
          <w:noProof/>
          <w:lang w:val="es-DO"/>
        </w:rPr>
        <w:t>gra</w:t>
      </w:r>
    </w:p>
    <w:p w14:paraId="4D489DB4" w14:textId="0D6CD3D6" w:rsidR="009B649B" w:rsidRPr="009B649B" w:rsidRDefault="009B649B" w:rsidP="009B649B">
      <w:pPr>
        <w:spacing w:line="360" w:lineRule="auto"/>
        <w:jc w:val="both"/>
        <w:rPr>
          <w:rFonts w:eastAsia="Calibri"/>
          <w:noProof/>
          <w:lang w:val="es-DO"/>
        </w:rPr>
      </w:pPr>
      <w:r w:rsidRPr="009B649B">
        <w:rPr>
          <w:rFonts w:eastAsia="Calibri"/>
          <w:noProof/>
          <w:lang w:val="es-DO"/>
        </w:rPr>
        <w:t>El 6.5 % de los colaboradores (29 personas) realizó la capacitación Accesibilidad Universal.</w:t>
      </w:r>
    </w:p>
    <w:p w14:paraId="2D93DDEB" w14:textId="3A175303" w:rsidR="0040659D" w:rsidRDefault="009B649B" w:rsidP="0040659D">
      <w:pPr>
        <w:spacing w:line="360" w:lineRule="auto"/>
        <w:jc w:val="both"/>
        <w:rPr>
          <w:rFonts w:eastAsia="Calibri"/>
          <w:noProof/>
          <w:lang w:val="es-DO"/>
        </w:rPr>
      </w:pPr>
      <w:r w:rsidRPr="00834FB7">
        <w:rPr>
          <w:rFonts w:eastAsia="Calibri"/>
          <w:b/>
          <w:bCs/>
          <w:noProof/>
          <w:lang w:val="es-DO"/>
        </w:rPr>
        <w:t>3.</w:t>
      </w:r>
      <w:r w:rsidRPr="00834FB7">
        <w:rPr>
          <w:rFonts w:eastAsia="Calibri"/>
          <w:b/>
          <w:bCs/>
          <w:noProof/>
          <w:lang w:val="es-DO"/>
        </w:rPr>
        <w:tab/>
        <w:t>Capacitación: Discapacidad y Empleo desde un enfoque de Derechos</w:t>
      </w:r>
    </w:p>
    <w:p w14:paraId="1CB5539E" w14:textId="688CF802" w:rsidR="0040659D" w:rsidRPr="00600744" w:rsidRDefault="0040659D" w:rsidP="0040659D">
      <w:pPr>
        <w:spacing w:line="360" w:lineRule="auto"/>
        <w:jc w:val="center"/>
        <w:rPr>
          <w:rFonts w:eastAsia="Calibri"/>
          <w:b/>
          <w:bCs/>
          <w:noProof/>
          <w:lang w:val="es-DO"/>
        </w:rPr>
      </w:pPr>
      <w:r w:rsidRPr="00600744">
        <w:rPr>
          <w:rFonts w:eastAsia="Calibri"/>
          <w:b/>
          <w:bCs/>
          <w:noProof/>
          <w:lang w:val="es-DO"/>
        </w:rPr>
        <w:t>Gr</w:t>
      </w:r>
      <w:r w:rsidR="00D82521">
        <w:rPr>
          <w:rFonts w:eastAsia="Calibri"/>
          <w:b/>
          <w:bCs/>
          <w:noProof/>
          <w:lang w:val="es-DO"/>
        </w:rPr>
        <w:t>á</w:t>
      </w:r>
      <w:r w:rsidRPr="00600744">
        <w:rPr>
          <w:rFonts w:eastAsia="Calibri"/>
          <w:b/>
          <w:bCs/>
          <w:noProof/>
          <w:lang w:val="es-DO"/>
        </w:rPr>
        <w:t>fico No.</w:t>
      </w:r>
      <w:r w:rsidR="00CD431C">
        <w:rPr>
          <w:rFonts w:eastAsia="Calibri"/>
          <w:b/>
          <w:bCs/>
          <w:noProof/>
          <w:lang w:val="es-DO"/>
        </w:rPr>
        <w:t xml:space="preserve"> 19</w:t>
      </w:r>
    </w:p>
    <w:p w14:paraId="1274299B" w14:textId="77777777" w:rsidR="0040659D" w:rsidRDefault="0040659D" w:rsidP="0040659D">
      <w:pPr>
        <w:spacing w:line="360" w:lineRule="auto"/>
        <w:jc w:val="center"/>
        <w:rPr>
          <w:rFonts w:eastAsia="Calibri"/>
          <w:b/>
          <w:bCs/>
          <w:noProof/>
          <w:lang w:val="es-DO"/>
        </w:rPr>
      </w:pPr>
      <w:r w:rsidRPr="00600744">
        <w:rPr>
          <w:rFonts w:eastAsia="Calibri"/>
          <w:b/>
          <w:bCs/>
          <w:noProof/>
          <w:lang w:val="es-DO"/>
        </w:rPr>
        <w:t>Tesorería Nacional</w:t>
      </w:r>
    </w:p>
    <w:p w14:paraId="4F80ACF5" w14:textId="2E446F72" w:rsidR="009B649B" w:rsidRPr="009B649B" w:rsidRDefault="0040659D" w:rsidP="0040659D">
      <w:pPr>
        <w:spacing w:line="360" w:lineRule="auto"/>
        <w:jc w:val="center"/>
        <w:rPr>
          <w:rFonts w:eastAsia="Calibri"/>
          <w:noProof/>
          <w:lang w:val="es-DO"/>
        </w:rPr>
      </w:pPr>
      <w:r>
        <w:rPr>
          <w:noProof/>
        </w:rPr>
        <w:t xml:space="preserve"> </w:t>
      </w:r>
      <w:r w:rsidR="00834FB7">
        <w:rPr>
          <w:noProof/>
        </w:rPr>
        <w:drawing>
          <wp:inline distT="0" distB="0" distL="0" distR="0" wp14:anchorId="5206ABF4" wp14:editId="6688EEF7">
            <wp:extent cx="3333750" cy="2276475"/>
            <wp:effectExtent l="0" t="0" r="0" b="0"/>
            <wp:docPr id="1924376938" name="Gráfico 1">
              <a:extLst xmlns:a="http://schemas.openxmlformats.org/drawingml/2006/main">
                <a:ext uri="{FF2B5EF4-FFF2-40B4-BE49-F238E27FC236}">
                  <a16:creationId xmlns:a16="http://schemas.microsoft.com/office/drawing/2014/main" id="{2FD1CCE7-9E79-609E-7C62-44F29331F7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16781563"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lastRenderedPageBreak/>
        <w:t>El 5.65 % de los colaboradores (28 personas) realizó la capacitación Discapacidad y Empleo desde un enfoque de Derechos.</w:t>
      </w:r>
    </w:p>
    <w:p w14:paraId="17D93D66" w14:textId="77777777" w:rsidR="009B649B" w:rsidRPr="009B649B" w:rsidRDefault="009B649B" w:rsidP="009B649B">
      <w:pPr>
        <w:spacing w:line="360" w:lineRule="auto"/>
        <w:jc w:val="both"/>
        <w:rPr>
          <w:rFonts w:eastAsia="Calibri"/>
          <w:noProof/>
          <w:lang w:val="es-DO"/>
        </w:rPr>
      </w:pPr>
    </w:p>
    <w:p w14:paraId="3E91F2EF" w14:textId="69EA6BD7" w:rsidR="009B649B" w:rsidRPr="009B649B" w:rsidRDefault="009B649B" w:rsidP="009B649B">
      <w:pPr>
        <w:spacing w:line="360" w:lineRule="auto"/>
        <w:jc w:val="both"/>
        <w:rPr>
          <w:rFonts w:eastAsia="Calibri"/>
          <w:noProof/>
          <w:lang w:val="es-DO"/>
        </w:rPr>
      </w:pPr>
      <w:r w:rsidRPr="009B649B">
        <w:rPr>
          <w:rFonts w:eastAsia="Calibri"/>
          <w:noProof/>
          <w:lang w:val="es-DO"/>
        </w:rPr>
        <w:t>4.</w:t>
      </w:r>
      <w:r w:rsidRPr="009B649B">
        <w:rPr>
          <w:rFonts w:eastAsia="Calibri"/>
          <w:noProof/>
          <w:lang w:val="es-DO"/>
        </w:rPr>
        <w:tab/>
        <w:t>Encuesta de Detección de Discapacidad en Colaboradores:</w:t>
      </w:r>
    </w:p>
    <w:p w14:paraId="00219B1C"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Durante el año 2025, la Tesorería Nacional llevó a cabo la evaluación de accesibilidad de su infraestructura con el acompañamiento técnico del Consejo Nacional de Discapacidad (CONADIS), utilizando el Sistema Nacional de Evaluación de la Accesibilidad (SINAC). Esta evaluación permitió determinar el nivel de cumplimiento institucional respecto a la Ley Orgánica 5-13 y a los estándares de la NORDOM 779, verificando un total de 58 criterios normativos, de los cuales 25 fueron aprobados. El informe incluyó la identificación de barreras arquitectónicas, la validación de evidencias y la formulación de recomendaciones técnicas para avanzar en la eliminación progresiva de obstáculos en los espacios y servicios evaluados. Los resultados obtenidos constituyen una base estratégica para orientar las acciones de mejora continua en materia de accesibilidad universal, en coherencia con el Plan Nacional de Accesibilidad y con el firme compromiso de la Tesorería Nacional de garantizar los derechos de las personas con discapacidad.</w:t>
      </w:r>
    </w:p>
    <w:p w14:paraId="2448444F" w14:textId="77777777" w:rsidR="009B649B" w:rsidRPr="009B649B" w:rsidRDefault="009B649B" w:rsidP="009B649B">
      <w:pPr>
        <w:spacing w:line="360" w:lineRule="auto"/>
        <w:jc w:val="both"/>
        <w:rPr>
          <w:rFonts w:eastAsia="Calibri"/>
          <w:noProof/>
          <w:lang w:val="es-DO"/>
        </w:rPr>
      </w:pPr>
    </w:p>
    <w:p w14:paraId="2EBAF2BF" w14:textId="6137FF41" w:rsidR="009B649B" w:rsidRPr="009B649B" w:rsidRDefault="009B649B" w:rsidP="009B649B">
      <w:pPr>
        <w:spacing w:line="360" w:lineRule="auto"/>
        <w:jc w:val="both"/>
        <w:rPr>
          <w:rFonts w:eastAsia="Calibri"/>
          <w:noProof/>
          <w:lang w:val="es-DO"/>
        </w:rPr>
      </w:pPr>
      <w:r w:rsidRPr="009B649B">
        <w:rPr>
          <w:rFonts w:eastAsia="Calibri"/>
          <w:noProof/>
          <w:lang w:val="es-DO"/>
        </w:rPr>
        <w:t>5.</w:t>
      </w:r>
      <w:r w:rsidRPr="009B649B">
        <w:rPr>
          <w:rFonts w:eastAsia="Calibri"/>
          <w:noProof/>
          <w:lang w:val="es-DO"/>
        </w:rPr>
        <w:tab/>
        <w:t>Encuesta de Detección de Discapacidad en Colaboradores:</w:t>
      </w:r>
    </w:p>
    <w:p w14:paraId="54FF5464"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Entre 2024 y 2025 aplicó la Encuesta de Detección de Discapacidad, basada en la lista breve del Grupo de Washington (WG-SS) para identificar los colaboradores con discapacidad y sus familiares, obteniéndose un total de 55 colaboradores participantes.</w:t>
      </w:r>
    </w:p>
    <w:p w14:paraId="62555359"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Principales hallazgos por módulos evaluados:</w:t>
      </w:r>
    </w:p>
    <w:p w14:paraId="7E6B610F"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 xml:space="preserve"> </w:t>
      </w:r>
    </w:p>
    <w:p w14:paraId="78777395" w14:textId="77777777" w:rsidR="009B649B" w:rsidRPr="009B649B" w:rsidRDefault="009B649B" w:rsidP="009B649B">
      <w:pPr>
        <w:spacing w:line="360" w:lineRule="auto"/>
        <w:jc w:val="both"/>
        <w:rPr>
          <w:rFonts w:eastAsia="Calibri"/>
          <w:noProof/>
          <w:lang w:val="es-DO"/>
        </w:rPr>
      </w:pPr>
    </w:p>
    <w:p w14:paraId="71DBF79F"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Del total de 55 colaboradores participantes, 41 personas (74.54 %) manifestaron no tener dificultad visual, mientras que 13 personas (23.63 %) reportaron alguna dificultad y 1 persona (1.81 %) indicó una alta dificultad visual. En cuanto a la audición, 49 personas (89.09 %) declararon no presentar problemas auditivos; sin embargo, 6 colaboradores (10.90 %) señalaron cierto nivel de dificultad, lo cual podría generar limitaciones en su comunicación y desempeño en situaciones específicas del entorno laboral.</w:t>
      </w:r>
    </w:p>
    <w:p w14:paraId="1EB78DEB" w14:textId="77777777" w:rsidR="009B649B" w:rsidRPr="009B649B" w:rsidRDefault="009B649B" w:rsidP="009B649B">
      <w:pPr>
        <w:spacing w:line="360" w:lineRule="auto"/>
        <w:jc w:val="both"/>
        <w:rPr>
          <w:rFonts w:eastAsia="Calibri"/>
          <w:noProof/>
          <w:lang w:val="es-DO"/>
        </w:rPr>
      </w:pPr>
    </w:p>
    <w:p w14:paraId="02CC2D4B"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 xml:space="preserve">Respecto a la capacidad para caminar o subir escaleras, 47 personas (85.45 %) indicaron no presentar ninguna limitación, mientras que 7 colaboradores (12.72 %) reportaron alguna dificultad. Solo 1 persona (2 %) manifestó mucha dificultad, lo que evidencia una limitación significativa en su capacidad de desplazamiento. </w:t>
      </w:r>
    </w:p>
    <w:p w14:paraId="6DF23D35" w14:textId="77777777" w:rsidR="009B649B" w:rsidRPr="009B649B" w:rsidRDefault="009B649B" w:rsidP="009B649B">
      <w:pPr>
        <w:spacing w:line="360" w:lineRule="auto"/>
        <w:jc w:val="both"/>
        <w:rPr>
          <w:rFonts w:eastAsia="Calibri"/>
          <w:noProof/>
          <w:lang w:val="es-DO"/>
        </w:rPr>
      </w:pPr>
    </w:p>
    <w:p w14:paraId="0123057C"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En relación con las funciones cognitivas, 44 colaboradores (80 %) expresaron no tener problemas para recordar o concentrarse, mientras que 11 personas (20 %) reportaron presentar alguna dificultad en estas capacidades. Sobre el cuidado personal (lavarse o vestirse), los resultados muestran que 52 colaboradores (94.54 %) mantienen plena autonomía en sus actividades de autocuidado, y solo 3 personas (5.45 %) informaron experimentar alguna dificultad.</w:t>
      </w:r>
    </w:p>
    <w:p w14:paraId="37960764" w14:textId="77777777" w:rsidR="009B649B" w:rsidRPr="009B649B" w:rsidRDefault="009B649B" w:rsidP="009B649B">
      <w:pPr>
        <w:spacing w:line="360" w:lineRule="auto"/>
        <w:jc w:val="both"/>
        <w:rPr>
          <w:rFonts w:eastAsia="Calibri"/>
          <w:noProof/>
          <w:lang w:val="es-DO"/>
        </w:rPr>
      </w:pPr>
    </w:p>
    <w:p w14:paraId="11A65AA7"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Si bien este cuestionario permite identificar posibles limitaciones funcionales dentro del personal, es necesario contar con la certificación médica correspondiente y del Conadis para validar cualquier condición o diagnóstico.</w:t>
      </w:r>
    </w:p>
    <w:p w14:paraId="35F07702" w14:textId="77777777" w:rsidR="009B649B" w:rsidRPr="009B649B" w:rsidRDefault="009B649B" w:rsidP="009B649B">
      <w:pPr>
        <w:spacing w:line="360" w:lineRule="auto"/>
        <w:jc w:val="both"/>
        <w:rPr>
          <w:rFonts w:eastAsia="Calibri"/>
          <w:noProof/>
          <w:lang w:val="es-DO"/>
        </w:rPr>
      </w:pPr>
    </w:p>
    <w:p w14:paraId="6512665C"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Los datos recabados servirán para diseñar medidas de accesibilidad ajustadas a las necesidades reales del personal e integrar la perspectiva de discapacidad en la gestión del talento humano, contribuyendo a la construcción de un entorno laboral más inclusivo y accesible. Asimismo, permitirán evaluar las capacidades y requerimientos de los colaboradores con discapacidad, a fin de identificar las adaptaciones razonables necesarias en los puestos de trabajo y en la infraestructura institucional.</w:t>
      </w:r>
    </w:p>
    <w:p w14:paraId="0DEDC113" w14:textId="77777777" w:rsidR="009B649B" w:rsidRPr="009B649B" w:rsidRDefault="009B649B" w:rsidP="009B649B">
      <w:pPr>
        <w:spacing w:line="360" w:lineRule="auto"/>
        <w:jc w:val="both"/>
        <w:rPr>
          <w:rFonts w:eastAsia="Calibri"/>
          <w:noProof/>
          <w:lang w:val="es-DO"/>
        </w:rPr>
      </w:pPr>
    </w:p>
    <w:p w14:paraId="7514ADB9" w14:textId="77777777" w:rsidR="009B649B" w:rsidRPr="009B649B" w:rsidRDefault="009B649B" w:rsidP="009B649B">
      <w:pPr>
        <w:spacing w:line="360" w:lineRule="auto"/>
        <w:jc w:val="both"/>
        <w:rPr>
          <w:rFonts w:eastAsia="Calibri"/>
          <w:noProof/>
          <w:lang w:val="es-DO"/>
        </w:rPr>
      </w:pPr>
      <w:r w:rsidRPr="009B649B">
        <w:rPr>
          <w:rFonts w:eastAsia="Calibri"/>
          <w:noProof/>
          <w:lang w:val="es-DO"/>
        </w:rPr>
        <w:t>Como resultado de esta iniciativa, un hijo de una colaboradora de la Tesorería Nacional obtuvo su certificación y accedió al subsidio del Fondo Nacional para la Niñez y la Adolescencia con Discapacidad, evidenciando el impacto positivo de estas acciones más allá del ámbito laboral.</w:t>
      </w:r>
    </w:p>
    <w:p w14:paraId="35597869" w14:textId="77777777" w:rsidR="009B649B" w:rsidRPr="009B649B" w:rsidRDefault="009B649B" w:rsidP="009B649B">
      <w:pPr>
        <w:spacing w:line="360" w:lineRule="auto"/>
        <w:jc w:val="both"/>
        <w:rPr>
          <w:rFonts w:eastAsia="Calibri"/>
          <w:noProof/>
          <w:lang w:val="es-DO"/>
        </w:rPr>
      </w:pPr>
    </w:p>
    <w:p w14:paraId="2A257E42" w14:textId="42160B54" w:rsidR="009B649B" w:rsidRPr="009B649B" w:rsidRDefault="009B649B" w:rsidP="009B649B">
      <w:pPr>
        <w:spacing w:line="360" w:lineRule="auto"/>
        <w:jc w:val="both"/>
        <w:rPr>
          <w:rFonts w:eastAsia="Calibri"/>
          <w:noProof/>
          <w:lang w:val="es-DO"/>
        </w:rPr>
      </w:pPr>
      <w:r w:rsidRPr="009B649B">
        <w:rPr>
          <w:rFonts w:eastAsia="Calibri"/>
          <w:noProof/>
          <w:lang w:val="es-DO"/>
        </w:rPr>
        <w:t>Comunicación inclusiva</w:t>
      </w:r>
    </w:p>
    <w:p w14:paraId="6086F5C8" w14:textId="7B69694A" w:rsidR="00D24CB4" w:rsidRDefault="009B649B" w:rsidP="009B649B">
      <w:pPr>
        <w:spacing w:line="360" w:lineRule="auto"/>
        <w:jc w:val="both"/>
        <w:rPr>
          <w:rFonts w:eastAsia="Calibri"/>
          <w:noProof/>
          <w:lang w:val="es-DO"/>
        </w:rPr>
      </w:pPr>
      <w:r w:rsidRPr="009B649B">
        <w:rPr>
          <w:rFonts w:eastAsia="Calibri"/>
          <w:noProof/>
          <w:lang w:val="es-DO"/>
        </w:rPr>
        <w:t>En el acto de inauguración del Foro de Tesorerías Gubernamentales de Latinoamérica (Fotegal 2025), la Tesorería Nacional garantizó la accesibilidad comunicacional al contar con dos intérpretes de lengua de señas, permitiendo la participación plena de personas con discapacidad auditiva. Asimismo, la institución difundió en sus redes sociales audiovisuales sobre los servicios que ofrece, incorporando lengua de señas, como parte de su compromiso con una comunicación inclusiva y accesible para toda la ciudadanía.</w:t>
      </w:r>
    </w:p>
    <w:p w14:paraId="1D0A27D1" w14:textId="77777777" w:rsidR="009B649B" w:rsidRDefault="009B649B" w:rsidP="009B649B">
      <w:pPr>
        <w:spacing w:line="360" w:lineRule="auto"/>
        <w:jc w:val="both"/>
        <w:rPr>
          <w:rFonts w:eastAsia="Calibri"/>
          <w:noProof/>
          <w:lang w:val="es-DO"/>
        </w:rPr>
      </w:pPr>
    </w:p>
    <w:p w14:paraId="16F5D849" w14:textId="77777777" w:rsidR="00CF3544" w:rsidRPr="00AC7AC2" w:rsidRDefault="00CF3544" w:rsidP="009B649B">
      <w:pPr>
        <w:spacing w:line="360" w:lineRule="auto"/>
        <w:jc w:val="both"/>
        <w:rPr>
          <w:rFonts w:eastAsia="Calibri"/>
          <w:noProof/>
          <w:lang w:val="es-DO"/>
        </w:rPr>
      </w:pPr>
    </w:p>
    <w:p w14:paraId="349319E2" w14:textId="302B1DCF" w:rsidR="00DD7615" w:rsidRPr="00AC7AC2" w:rsidRDefault="008209E2" w:rsidP="00D64261">
      <w:pPr>
        <w:spacing w:line="360" w:lineRule="auto"/>
        <w:jc w:val="both"/>
        <w:rPr>
          <w:rFonts w:eastAsia="Calibri"/>
          <w:b/>
          <w:bCs/>
          <w:noProof/>
          <w:lang w:val="es-DO"/>
        </w:rPr>
      </w:pPr>
      <w:r w:rsidRPr="00AC7AC2">
        <w:rPr>
          <w:rFonts w:eastAsia="Calibri"/>
          <w:b/>
          <w:bCs/>
          <w:noProof/>
          <w:lang w:val="es-DO"/>
        </w:rPr>
        <w:lastRenderedPageBreak/>
        <w:t>4.6 Desempeño del Área Comunicaciones</w:t>
      </w:r>
    </w:p>
    <w:p w14:paraId="1B3682A8" w14:textId="77777777" w:rsidR="00763CE1" w:rsidRPr="00AC7AC2" w:rsidRDefault="00763CE1" w:rsidP="00D64261">
      <w:pPr>
        <w:spacing w:line="360" w:lineRule="auto"/>
        <w:jc w:val="both"/>
        <w:rPr>
          <w:rFonts w:eastAsia="Calibri"/>
          <w:noProof/>
          <w:lang w:val="es-MX"/>
        </w:rPr>
      </w:pPr>
      <w:r w:rsidRPr="00AC7AC2">
        <w:rPr>
          <w:rFonts w:eastAsia="Calibri"/>
          <w:noProof/>
          <w:lang w:val="es-MX"/>
        </w:rPr>
        <w:t>En el transcurso del año 2025, la Tesorería Nacional consolidó una reputación positiva al promover el conocimiento institucional entre la ciudadanía mediante el uso de medios de comunicación masivos y publicaciones en redes sociales.</w:t>
      </w:r>
    </w:p>
    <w:p w14:paraId="153F1D6F"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En enero, llevó a cabo una rueda de prensa para anunciar el convenio interinstitucional con el Instituto Nacional de Custodia y Administración de Bienes Incautados, Decomisados y en Extinción de Dominio (INCABIDE). Este acuerdo tiene como objetivo garantizar la seguridad y conservación de bienes de alto valor económico incautados en operativos contra el lavado de activos, el tráfico de drogas, la corrupción y otras infracciones graves a las leyes.</w:t>
      </w:r>
    </w:p>
    <w:p w14:paraId="3158D9DB"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 xml:space="preserve">Participó de la XI Semana Económica y Financiera del Banco Central, llevada a cabo del 17 al 21 de marzo, en la que tuvo presencia con charlas, actividades y concursos para los niños y adolescentes que visitaron la misma. </w:t>
      </w:r>
    </w:p>
    <w:p w14:paraId="38AA78AE"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 xml:space="preserve">Dió continuidad al programa “Conoce a la Tesorería Nacional”, actividad que forma parte de la responsabilidad social institucional y tiene como objetivo acercar a los estudiantes al conocimiento sobre el funcionamiento, procesos y servicios institucionales. Durante el primer semestre del año, recibió: 34 estudiantes del Politécnico Salomé Ureña de Piedra Blanca, Bonao; 37 estudiantes del </w:t>
      </w:r>
      <w:r w:rsidRPr="00AC7AC2">
        <w:rPr>
          <w:rFonts w:eastAsia="Calibri"/>
          <w:noProof/>
          <w:lang w:val="es-MX"/>
        </w:rPr>
        <w:t>Politécnico Mercedes María Montero de Las Matas de Farfán; y 33 estudiantes del Politécnico Fray Balbino Pineda Gálvez de Santo Domingo Este, para un total de</w:t>
      </w:r>
      <w:r w:rsidRPr="00AC7AC2">
        <w:rPr>
          <w:rFonts w:eastAsia="Calibri"/>
          <w:noProof/>
          <w:lang w:val="es-DO"/>
        </w:rPr>
        <w:t xml:space="preserve"> 104 estudiantes. Durante la actividad se les impartió a los estudiantes la charla titulada: “Tesorería Nacional: Función y Funciones”, también una visita guiada por las </w:t>
      </w:r>
      <w:r w:rsidRPr="00AC7AC2">
        <w:rPr>
          <w:rFonts w:eastAsia="Calibri"/>
          <w:noProof/>
          <w:lang w:val="es-DO"/>
        </w:rPr>
        <w:lastRenderedPageBreak/>
        <w:t xml:space="preserve">áreas institucionales, acercando de esta forma la Tesorería Nacional a los ciudadanos. </w:t>
      </w:r>
    </w:p>
    <w:p w14:paraId="7EE4880B" w14:textId="77777777" w:rsidR="00763CE1" w:rsidRPr="00AC7AC2" w:rsidRDefault="00763CE1" w:rsidP="00D64261">
      <w:pPr>
        <w:spacing w:line="360" w:lineRule="auto"/>
        <w:jc w:val="both"/>
        <w:rPr>
          <w:rFonts w:eastAsia="Calibri"/>
          <w:noProof/>
          <w:lang w:val="es-MX"/>
        </w:rPr>
      </w:pPr>
      <w:r w:rsidRPr="00AC7AC2">
        <w:rPr>
          <w:rFonts w:eastAsia="Calibri"/>
          <w:noProof/>
          <w:lang w:val="es-MX"/>
        </w:rPr>
        <w:t>La Tesorería Nacional coordinó el XV Seminario Anual Latinoamericano sobre Gestión de Tesorerías Públicas y, desde principios de año, impulsó diversas actividades de formación y fortalecimiento de capacidades, entre ellas conferencias, seminarios, cursos en línea e intercambios bilaterales. En este marco, participó en el webinar “Interacción entre Tesorerías y Deuda: Experiencias de Perú, Brasil y Chile”, abordó la articulación entre la gestión de tesorería y la deuda pública como un eje estratégico para garantizar una administración fiscal eficiente, transparente y sostenible en la región. Asimismo, intervino en el webinar “Tesorerías en la era digital: tecnologías e innovaciones que transforman la gestión financiera”, impartido por Liza Niño, representante de Citibank. Estas actividades formaron parte de la agenda oficial que culminó con la realización de un seminario internacional los días 28, 29 y 30 de octubre en el Barceló Bávaro Convention Center, en Punta Cana, evento que marcó el cierre de la presidencia pro tempore del país ante FOTEGAL y en el cual Chile fue electo como nuevo presidente para el período 2025-2026.</w:t>
      </w:r>
    </w:p>
    <w:p w14:paraId="20441039" w14:textId="77777777" w:rsidR="00763CE1" w:rsidRPr="00AC7AC2" w:rsidRDefault="00763CE1" w:rsidP="00D64261">
      <w:pPr>
        <w:spacing w:line="360" w:lineRule="auto"/>
        <w:jc w:val="both"/>
        <w:rPr>
          <w:rFonts w:eastAsia="Calibri"/>
          <w:noProof/>
          <w:lang w:val="es-MX"/>
        </w:rPr>
      </w:pPr>
      <w:r w:rsidRPr="00AC7AC2">
        <w:rPr>
          <w:rFonts w:eastAsia="Calibri"/>
          <w:noProof/>
          <w:lang w:val="es-MX"/>
        </w:rPr>
        <w:t>En diciembre, llevó a cabo el tradicional encuentro con los medios de comunicación para presentar los logros alcanzados durante la gestión actual, como muestra de agradecimiento por el apoyo brindado a la Tesorería Nacional.</w:t>
      </w:r>
    </w:p>
    <w:p w14:paraId="6E2F28DB" w14:textId="77777777" w:rsidR="00763CE1" w:rsidRPr="00AC7AC2" w:rsidRDefault="00763CE1" w:rsidP="004C2709">
      <w:pPr>
        <w:numPr>
          <w:ilvl w:val="0"/>
          <w:numId w:val="19"/>
        </w:numPr>
        <w:spacing w:line="360" w:lineRule="auto"/>
        <w:jc w:val="both"/>
        <w:rPr>
          <w:rFonts w:eastAsia="Calibri"/>
          <w:noProof/>
          <w:lang w:val="es-DO"/>
        </w:rPr>
      </w:pPr>
      <w:r w:rsidRPr="00AC7AC2">
        <w:rPr>
          <w:rFonts w:eastAsia="Calibri"/>
          <w:noProof/>
          <w:lang w:val="es-DO"/>
        </w:rPr>
        <w:t>Continuó el programa de fortalecimiento del portal web institucional y las redes sociales Instagram, Facebook y YouTube, en alianza con Caribe Media.</w:t>
      </w:r>
    </w:p>
    <w:p w14:paraId="223F44B5" w14:textId="77777777" w:rsidR="00763CE1" w:rsidRPr="00AC7AC2" w:rsidRDefault="00763CE1" w:rsidP="004C2709">
      <w:pPr>
        <w:numPr>
          <w:ilvl w:val="1"/>
          <w:numId w:val="19"/>
        </w:numPr>
        <w:spacing w:line="360" w:lineRule="auto"/>
        <w:jc w:val="both"/>
        <w:rPr>
          <w:rFonts w:eastAsia="Calibri"/>
          <w:noProof/>
          <w:lang w:val="es-DO"/>
        </w:rPr>
      </w:pPr>
      <w:r w:rsidRPr="00AC7AC2">
        <w:rPr>
          <w:rFonts w:eastAsia="Calibri"/>
          <w:noProof/>
          <w:lang w:val="es-DO"/>
        </w:rPr>
        <w:t xml:space="preserve">En el portal web </w:t>
      </w:r>
      <w:hyperlink r:id="rId62" w:history="1">
        <w:r w:rsidRPr="00AC7AC2">
          <w:rPr>
            <w:rStyle w:val="Hipervnculo"/>
            <w:rFonts w:eastAsia="Calibri"/>
            <w:noProof/>
            <w:color w:val="767171"/>
            <w:lang w:val="es-DO"/>
          </w:rPr>
          <w:t>www.tesoreria</w:t>
        </w:r>
      </w:hyperlink>
      <w:r w:rsidRPr="00AC7AC2">
        <w:rPr>
          <w:rFonts w:eastAsia="Calibri"/>
          <w:noProof/>
          <w:lang w:val="es-DO"/>
        </w:rPr>
        <w:t xml:space="preserve">.gob.do promocionó las diferentes noticias de impacto positivo a la sociedad. </w:t>
      </w:r>
      <w:r w:rsidRPr="00AC7AC2">
        <w:rPr>
          <w:rFonts w:eastAsia="Calibri"/>
          <w:noProof/>
          <w:lang w:val="es-DO"/>
        </w:rPr>
        <w:lastRenderedPageBreak/>
        <w:t>Logró un tráfico aproximado de 219 mil personas y 389 mil vistas del portal, mediante el uso de anuncios de display y búsqueda en Google.</w:t>
      </w:r>
    </w:p>
    <w:p w14:paraId="239CCD31" w14:textId="77777777" w:rsidR="00FF3551" w:rsidRPr="00AC7AC2" w:rsidRDefault="00FF3551" w:rsidP="00D64261">
      <w:pPr>
        <w:spacing w:line="360" w:lineRule="auto"/>
        <w:jc w:val="both"/>
        <w:rPr>
          <w:rFonts w:eastAsia="Calibri"/>
          <w:b/>
          <w:bCs/>
          <w:noProof/>
          <w:lang w:val="es-DO"/>
        </w:rPr>
      </w:pPr>
    </w:p>
    <w:p w14:paraId="6F1ED037" w14:textId="4C2075A6" w:rsidR="00FF3551" w:rsidRPr="00AC7AC2" w:rsidRDefault="00FF3551" w:rsidP="00D64261">
      <w:pPr>
        <w:spacing w:after="0" w:line="360" w:lineRule="auto"/>
        <w:jc w:val="center"/>
        <w:rPr>
          <w:rFonts w:eastAsia="Calibri"/>
          <w:b/>
          <w:bCs/>
          <w:noProof/>
          <w:lang w:val="es-DO"/>
        </w:rPr>
      </w:pPr>
      <w:r w:rsidRPr="00AC7AC2">
        <w:rPr>
          <w:rFonts w:eastAsia="Calibri"/>
          <w:b/>
          <w:bCs/>
          <w:noProof/>
          <w:lang w:val="es-DO"/>
        </w:rPr>
        <w:t>Cuadro No.</w:t>
      </w:r>
      <w:r w:rsidR="008D7279" w:rsidRPr="00AC7AC2">
        <w:rPr>
          <w:rFonts w:eastAsia="Calibri"/>
          <w:b/>
          <w:bCs/>
          <w:noProof/>
          <w:lang w:val="es-DO"/>
        </w:rPr>
        <w:t xml:space="preserve"> 49</w:t>
      </w:r>
    </w:p>
    <w:p w14:paraId="703BA400" w14:textId="1F432CEA" w:rsidR="00763CE1" w:rsidRPr="00AC7AC2" w:rsidRDefault="00763CE1" w:rsidP="00D64261">
      <w:pPr>
        <w:spacing w:after="0" w:line="360" w:lineRule="auto"/>
        <w:jc w:val="center"/>
        <w:rPr>
          <w:rFonts w:eastAsia="Calibri"/>
          <w:b/>
          <w:bCs/>
          <w:noProof/>
          <w:lang w:val="es-DO"/>
        </w:rPr>
      </w:pPr>
      <w:r w:rsidRPr="00AC7AC2">
        <w:rPr>
          <w:rFonts w:eastAsia="Calibri"/>
          <w:b/>
          <w:bCs/>
          <w:noProof/>
          <w:lang w:val="es-DO"/>
        </w:rPr>
        <w:t>Tesorería Nacional</w:t>
      </w:r>
    </w:p>
    <w:p w14:paraId="3B0F8272" w14:textId="77777777" w:rsidR="00763CE1" w:rsidRPr="00AC7AC2" w:rsidRDefault="00763CE1" w:rsidP="00D64261">
      <w:pPr>
        <w:spacing w:after="0" w:line="360" w:lineRule="auto"/>
        <w:jc w:val="center"/>
        <w:rPr>
          <w:rFonts w:eastAsia="Calibri"/>
          <w:b/>
          <w:bCs/>
          <w:noProof/>
          <w:lang w:val="es-DO"/>
        </w:rPr>
      </w:pPr>
      <w:r w:rsidRPr="00AC7AC2">
        <w:rPr>
          <w:rFonts w:eastAsia="Calibri"/>
          <w:b/>
          <w:bCs/>
          <w:noProof/>
          <w:lang w:val="es-DO"/>
        </w:rPr>
        <w:t>Año 2025</w:t>
      </w:r>
    </w:p>
    <w:tbl>
      <w:tblPr>
        <w:tblW w:w="5691" w:type="dxa"/>
        <w:jc w:val="center"/>
        <w:tblLook w:val="04A0" w:firstRow="1" w:lastRow="0" w:firstColumn="1" w:lastColumn="0" w:noHBand="0" w:noVBand="1"/>
      </w:tblPr>
      <w:tblGrid>
        <w:gridCol w:w="2009"/>
        <w:gridCol w:w="1610"/>
        <w:gridCol w:w="996"/>
        <w:gridCol w:w="1076"/>
      </w:tblGrid>
      <w:tr w:rsidR="00763CE1" w:rsidRPr="00763CE1" w14:paraId="718C170E" w14:textId="77777777" w:rsidTr="006F7E31">
        <w:trPr>
          <w:trHeight w:val="312"/>
          <w:jc w:val="center"/>
        </w:trPr>
        <w:tc>
          <w:tcPr>
            <w:tcW w:w="2009" w:type="dxa"/>
            <w:tcBorders>
              <w:top w:val="nil"/>
              <w:left w:val="nil"/>
              <w:bottom w:val="nil"/>
              <w:right w:val="nil"/>
            </w:tcBorders>
            <w:shd w:val="clear" w:color="auto" w:fill="011C50"/>
            <w:noWrap/>
            <w:vAlign w:val="bottom"/>
            <w:hideMark/>
          </w:tcPr>
          <w:p w14:paraId="5D0C1F5C" w14:textId="77777777" w:rsidR="00763CE1" w:rsidRPr="00763CE1" w:rsidRDefault="00763CE1" w:rsidP="00D64261">
            <w:pPr>
              <w:spacing w:line="360" w:lineRule="auto"/>
              <w:jc w:val="both"/>
              <w:rPr>
                <w:rFonts w:eastAsia="Calibri"/>
                <w:noProof/>
                <w:color w:val="FFFFFF" w:themeColor="background1"/>
                <w:lang w:val="es-DO"/>
              </w:rPr>
            </w:pPr>
            <w:r w:rsidRPr="00763CE1">
              <w:rPr>
                <w:rFonts w:eastAsia="Calibri"/>
                <w:noProof/>
                <w:color w:val="FFFFFF" w:themeColor="background1"/>
                <w:lang w:val="es-DO"/>
              </w:rPr>
              <w:t>Herramienta</w:t>
            </w:r>
          </w:p>
        </w:tc>
        <w:tc>
          <w:tcPr>
            <w:tcW w:w="1610" w:type="dxa"/>
            <w:tcBorders>
              <w:top w:val="nil"/>
              <w:left w:val="nil"/>
              <w:bottom w:val="nil"/>
              <w:right w:val="nil"/>
            </w:tcBorders>
            <w:shd w:val="clear" w:color="auto" w:fill="011C50"/>
            <w:noWrap/>
            <w:vAlign w:val="bottom"/>
            <w:hideMark/>
          </w:tcPr>
          <w:p w14:paraId="351C055B" w14:textId="77777777" w:rsidR="00763CE1" w:rsidRPr="00763CE1" w:rsidRDefault="00763CE1" w:rsidP="00D64261">
            <w:pPr>
              <w:spacing w:line="360" w:lineRule="auto"/>
              <w:jc w:val="both"/>
              <w:rPr>
                <w:rFonts w:eastAsia="Calibri"/>
                <w:noProof/>
                <w:color w:val="FFFFFF" w:themeColor="background1"/>
                <w:lang w:val="es-DO"/>
              </w:rPr>
            </w:pPr>
            <w:r w:rsidRPr="00763CE1">
              <w:rPr>
                <w:rFonts w:eastAsia="Calibri"/>
                <w:noProof/>
                <w:color w:val="FFFFFF" w:themeColor="background1"/>
                <w:lang w:val="es-DO"/>
              </w:rPr>
              <w:t>Impresiones</w:t>
            </w:r>
          </w:p>
        </w:tc>
        <w:tc>
          <w:tcPr>
            <w:tcW w:w="996" w:type="dxa"/>
            <w:tcBorders>
              <w:top w:val="nil"/>
              <w:left w:val="nil"/>
              <w:bottom w:val="nil"/>
              <w:right w:val="nil"/>
            </w:tcBorders>
            <w:shd w:val="clear" w:color="auto" w:fill="011C50"/>
            <w:noWrap/>
            <w:vAlign w:val="bottom"/>
            <w:hideMark/>
          </w:tcPr>
          <w:p w14:paraId="0F065458" w14:textId="77777777" w:rsidR="00763CE1" w:rsidRPr="00763CE1" w:rsidRDefault="00763CE1" w:rsidP="00D64261">
            <w:pPr>
              <w:spacing w:line="360" w:lineRule="auto"/>
              <w:jc w:val="both"/>
              <w:rPr>
                <w:rFonts w:eastAsia="Calibri"/>
                <w:noProof/>
                <w:color w:val="FFFFFF" w:themeColor="background1"/>
                <w:lang w:val="es-DO"/>
              </w:rPr>
            </w:pPr>
            <w:r w:rsidRPr="00763CE1">
              <w:rPr>
                <w:rFonts w:eastAsia="Calibri"/>
                <w:noProof/>
                <w:color w:val="FFFFFF" w:themeColor="background1"/>
                <w:lang w:val="es-DO"/>
              </w:rPr>
              <w:t>Clics</w:t>
            </w:r>
          </w:p>
        </w:tc>
        <w:tc>
          <w:tcPr>
            <w:tcW w:w="1076" w:type="dxa"/>
            <w:tcBorders>
              <w:top w:val="nil"/>
              <w:left w:val="nil"/>
              <w:bottom w:val="nil"/>
              <w:right w:val="nil"/>
            </w:tcBorders>
            <w:shd w:val="clear" w:color="auto" w:fill="011C50"/>
            <w:noWrap/>
            <w:vAlign w:val="bottom"/>
            <w:hideMark/>
          </w:tcPr>
          <w:p w14:paraId="00DE771C" w14:textId="77777777" w:rsidR="00763CE1" w:rsidRPr="00763CE1" w:rsidRDefault="00763CE1" w:rsidP="00D64261">
            <w:pPr>
              <w:spacing w:line="360" w:lineRule="auto"/>
              <w:jc w:val="both"/>
              <w:rPr>
                <w:rFonts w:eastAsia="Calibri"/>
                <w:noProof/>
                <w:color w:val="FFFFFF" w:themeColor="background1"/>
                <w:lang w:val="es-DO"/>
              </w:rPr>
            </w:pPr>
            <w:r w:rsidRPr="00763CE1">
              <w:rPr>
                <w:rFonts w:eastAsia="Calibri"/>
                <w:noProof/>
                <w:color w:val="FFFFFF" w:themeColor="background1"/>
                <w:lang w:val="es-DO"/>
              </w:rPr>
              <w:t>CTR</w:t>
            </w:r>
          </w:p>
        </w:tc>
      </w:tr>
      <w:tr w:rsidR="00763CE1" w:rsidRPr="00763CE1" w14:paraId="03AAE1E4" w14:textId="77777777" w:rsidTr="006F7E31">
        <w:trPr>
          <w:trHeight w:val="312"/>
          <w:jc w:val="center"/>
        </w:trPr>
        <w:tc>
          <w:tcPr>
            <w:tcW w:w="2009" w:type="dxa"/>
            <w:tcBorders>
              <w:top w:val="nil"/>
              <w:left w:val="nil"/>
              <w:bottom w:val="nil"/>
              <w:right w:val="nil"/>
            </w:tcBorders>
            <w:noWrap/>
            <w:vAlign w:val="bottom"/>
            <w:hideMark/>
          </w:tcPr>
          <w:p w14:paraId="265D6289"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Google Display</w:t>
            </w:r>
          </w:p>
        </w:tc>
        <w:tc>
          <w:tcPr>
            <w:tcW w:w="1610" w:type="dxa"/>
            <w:tcBorders>
              <w:top w:val="nil"/>
              <w:left w:val="nil"/>
              <w:bottom w:val="nil"/>
              <w:right w:val="nil"/>
            </w:tcBorders>
            <w:noWrap/>
            <w:vAlign w:val="bottom"/>
            <w:hideMark/>
          </w:tcPr>
          <w:p w14:paraId="6799D6BE"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3,216,356</w:t>
            </w:r>
          </w:p>
        </w:tc>
        <w:tc>
          <w:tcPr>
            <w:tcW w:w="996" w:type="dxa"/>
            <w:tcBorders>
              <w:top w:val="nil"/>
              <w:left w:val="nil"/>
              <w:bottom w:val="nil"/>
              <w:right w:val="nil"/>
            </w:tcBorders>
            <w:noWrap/>
            <w:vAlign w:val="bottom"/>
            <w:hideMark/>
          </w:tcPr>
          <w:p w14:paraId="13D020FA"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5,603</w:t>
            </w:r>
          </w:p>
        </w:tc>
        <w:tc>
          <w:tcPr>
            <w:tcW w:w="1076" w:type="dxa"/>
            <w:tcBorders>
              <w:top w:val="nil"/>
              <w:left w:val="nil"/>
              <w:bottom w:val="nil"/>
              <w:right w:val="nil"/>
            </w:tcBorders>
            <w:noWrap/>
            <w:vAlign w:val="bottom"/>
            <w:hideMark/>
          </w:tcPr>
          <w:p w14:paraId="328DC427"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0.17%</w:t>
            </w:r>
          </w:p>
        </w:tc>
      </w:tr>
      <w:tr w:rsidR="00763CE1" w:rsidRPr="00763CE1" w14:paraId="0CDFFD01" w14:textId="77777777" w:rsidTr="006F7E31">
        <w:trPr>
          <w:trHeight w:val="312"/>
          <w:jc w:val="center"/>
        </w:trPr>
        <w:tc>
          <w:tcPr>
            <w:tcW w:w="2009" w:type="dxa"/>
            <w:tcBorders>
              <w:top w:val="nil"/>
              <w:left w:val="nil"/>
              <w:bottom w:val="nil"/>
              <w:right w:val="nil"/>
            </w:tcBorders>
            <w:noWrap/>
            <w:vAlign w:val="bottom"/>
            <w:hideMark/>
          </w:tcPr>
          <w:p w14:paraId="4DA89383"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Google Search</w:t>
            </w:r>
          </w:p>
        </w:tc>
        <w:tc>
          <w:tcPr>
            <w:tcW w:w="1610" w:type="dxa"/>
            <w:tcBorders>
              <w:top w:val="nil"/>
              <w:left w:val="nil"/>
              <w:bottom w:val="nil"/>
              <w:right w:val="nil"/>
            </w:tcBorders>
            <w:noWrap/>
            <w:vAlign w:val="bottom"/>
            <w:hideMark/>
          </w:tcPr>
          <w:p w14:paraId="572FDE75"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73,215</w:t>
            </w:r>
          </w:p>
        </w:tc>
        <w:tc>
          <w:tcPr>
            <w:tcW w:w="996" w:type="dxa"/>
            <w:tcBorders>
              <w:top w:val="nil"/>
              <w:left w:val="nil"/>
              <w:bottom w:val="nil"/>
              <w:right w:val="nil"/>
            </w:tcBorders>
            <w:noWrap/>
            <w:vAlign w:val="bottom"/>
            <w:hideMark/>
          </w:tcPr>
          <w:p w14:paraId="62760E7C"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12,522</w:t>
            </w:r>
          </w:p>
        </w:tc>
        <w:tc>
          <w:tcPr>
            <w:tcW w:w="1076" w:type="dxa"/>
            <w:tcBorders>
              <w:top w:val="nil"/>
              <w:left w:val="nil"/>
              <w:bottom w:val="nil"/>
              <w:right w:val="nil"/>
            </w:tcBorders>
            <w:noWrap/>
            <w:vAlign w:val="bottom"/>
            <w:hideMark/>
          </w:tcPr>
          <w:p w14:paraId="66169F09" w14:textId="77777777" w:rsidR="00763CE1" w:rsidRPr="00AC7AC2" w:rsidRDefault="00763CE1" w:rsidP="00D64261">
            <w:pPr>
              <w:spacing w:line="360" w:lineRule="auto"/>
              <w:jc w:val="both"/>
              <w:rPr>
                <w:rFonts w:eastAsia="Calibri"/>
                <w:noProof/>
                <w:lang w:val="es-DO"/>
              </w:rPr>
            </w:pPr>
            <w:r w:rsidRPr="00AC7AC2">
              <w:rPr>
                <w:rFonts w:eastAsia="Calibri"/>
                <w:noProof/>
                <w:lang w:val="es-DO"/>
              </w:rPr>
              <w:t>17.10%</w:t>
            </w:r>
          </w:p>
        </w:tc>
      </w:tr>
      <w:tr w:rsidR="00763CE1" w:rsidRPr="00763CE1" w14:paraId="29376852" w14:textId="77777777" w:rsidTr="006F7E31">
        <w:trPr>
          <w:trHeight w:val="312"/>
          <w:jc w:val="center"/>
        </w:trPr>
        <w:tc>
          <w:tcPr>
            <w:tcW w:w="2009" w:type="dxa"/>
            <w:tcBorders>
              <w:top w:val="nil"/>
              <w:left w:val="nil"/>
              <w:bottom w:val="nil"/>
              <w:right w:val="nil"/>
            </w:tcBorders>
            <w:shd w:val="clear" w:color="auto" w:fill="011C50"/>
            <w:noWrap/>
            <w:vAlign w:val="bottom"/>
            <w:hideMark/>
          </w:tcPr>
          <w:p w14:paraId="07F9D5F3" w14:textId="77777777" w:rsidR="00763CE1" w:rsidRPr="00763CE1" w:rsidRDefault="00763CE1" w:rsidP="00D64261">
            <w:pPr>
              <w:spacing w:line="360" w:lineRule="auto"/>
              <w:jc w:val="both"/>
              <w:rPr>
                <w:rFonts w:eastAsia="Calibri"/>
                <w:noProof/>
                <w:color w:val="FFFFFF" w:themeColor="background1"/>
                <w:lang w:val="es-DO"/>
              </w:rPr>
            </w:pPr>
            <w:r w:rsidRPr="00763CE1">
              <w:rPr>
                <w:rFonts w:eastAsia="Calibri"/>
                <w:noProof/>
                <w:color w:val="FFFFFF" w:themeColor="background1"/>
                <w:lang w:val="es-DO"/>
              </w:rPr>
              <w:t>Total</w:t>
            </w:r>
          </w:p>
        </w:tc>
        <w:tc>
          <w:tcPr>
            <w:tcW w:w="1610" w:type="dxa"/>
            <w:tcBorders>
              <w:top w:val="nil"/>
              <w:left w:val="nil"/>
              <w:bottom w:val="nil"/>
              <w:right w:val="nil"/>
            </w:tcBorders>
            <w:shd w:val="clear" w:color="auto" w:fill="011C50"/>
            <w:noWrap/>
            <w:vAlign w:val="bottom"/>
            <w:hideMark/>
          </w:tcPr>
          <w:p w14:paraId="169182CD" w14:textId="77777777" w:rsidR="00763CE1" w:rsidRPr="00763CE1" w:rsidRDefault="00763CE1" w:rsidP="00D64261">
            <w:pPr>
              <w:spacing w:line="360" w:lineRule="auto"/>
              <w:jc w:val="both"/>
              <w:rPr>
                <w:rFonts w:eastAsia="Calibri"/>
                <w:noProof/>
                <w:color w:val="FFFFFF" w:themeColor="background1"/>
                <w:lang w:val="es-DO"/>
              </w:rPr>
            </w:pPr>
            <w:r w:rsidRPr="00763CE1">
              <w:rPr>
                <w:rFonts w:eastAsia="Calibri"/>
                <w:noProof/>
                <w:color w:val="FFFFFF" w:themeColor="background1"/>
                <w:lang w:val="es-DO"/>
              </w:rPr>
              <w:t>5,343,105</w:t>
            </w:r>
          </w:p>
        </w:tc>
        <w:tc>
          <w:tcPr>
            <w:tcW w:w="996" w:type="dxa"/>
            <w:tcBorders>
              <w:top w:val="nil"/>
              <w:left w:val="nil"/>
              <w:bottom w:val="nil"/>
              <w:right w:val="nil"/>
            </w:tcBorders>
            <w:shd w:val="clear" w:color="auto" w:fill="011C50"/>
            <w:noWrap/>
            <w:vAlign w:val="bottom"/>
            <w:hideMark/>
          </w:tcPr>
          <w:p w14:paraId="6753BCCD" w14:textId="77777777" w:rsidR="00763CE1" w:rsidRPr="00763CE1" w:rsidRDefault="00763CE1" w:rsidP="00D64261">
            <w:pPr>
              <w:spacing w:line="360" w:lineRule="auto"/>
              <w:jc w:val="both"/>
              <w:rPr>
                <w:rFonts w:eastAsia="Calibri"/>
                <w:noProof/>
                <w:color w:val="FFFFFF" w:themeColor="background1"/>
                <w:lang w:val="es-DO"/>
              </w:rPr>
            </w:pPr>
            <w:r w:rsidRPr="00763CE1">
              <w:rPr>
                <w:rFonts w:eastAsia="Calibri"/>
                <w:noProof/>
                <w:color w:val="FFFFFF" w:themeColor="background1"/>
                <w:lang w:val="es-DO"/>
              </w:rPr>
              <w:t>22,446</w:t>
            </w:r>
          </w:p>
        </w:tc>
        <w:tc>
          <w:tcPr>
            <w:tcW w:w="1076" w:type="dxa"/>
            <w:tcBorders>
              <w:top w:val="nil"/>
              <w:left w:val="nil"/>
              <w:bottom w:val="nil"/>
              <w:right w:val="nil"/>
            </w:tcBorders>
            <w:shd w:val="clear" w:color="auto" w:fill="011C50"/>
            <w:noWrap/>
            <w:vAlign w:val="bottom"/>
            <w:hideMark/>
          </w:tcPr>
          <w:p w14:paraId="127EE582" w14:textId="77777777" w:rsidR="00763CE1" w:rsidRPr="00763CE1" w:rsidRDefault="00763CE1" w:rsidP="00D64261">
            <w:pPr>
              <w:spacing w:line="360" w:lineRule="auto"/>
              <w:jc w:val="both"/>
              <w:rPr>
                <w:rFonts w:eastAsia="Calibri"/>
                <w:noProof/>
                <w:color w:val="FFFFFF" w:themeColor="background1"/>
                <w:lang w:val="es-DO"/>
              </w:rPr>
            </w:pPr>
            <w:r w:rsidRPr="00763CE1">
              <w:rPr>
                <w:rFonts w:eastAsia="Calibri"/>
                <w:noProof/>
                <w:color w:val="FFFFFF" w:themeColor="background1"/>
                <w:lang w:val="es-DO"/>
              </w:rPr>
              <w:t>0.42%</w:t>
            </w:r>
          </w:p>
        </w:tc>
      </w:tr>
    </w:tbl>
    <w:p w14:paraId="4DA9DF31" w14:textId="77777777" w:rsidR="00763CE1" w:rsidRPr="00763CE1" w:rsidRDefault="00763CE1" w:rsidP="00D64261">
      <w:pPr>
        <w:spacing w:line="360" w:lineRule="auto"/>
        <w:jc w:val="both"/>
        <w:rPr>
          <w:rFonts w:eastAsia="Calibri"/>
          <w:noProof/>
          <w:color w:val="4C4747"/>
          <w:lang w:val="es-DO"/>
        </w:rPr>
      </w:pPr>
    </w:p>
    <w:p w14:paraId="08E426A2" w14:textId="77777777" w:rsidR="00763CE1" w:rsidRPr="00AC7AC2" w:rsidRDefault="00763CE1" w:rsidP="004C2709">
      <w:pPr>
        <w:numPr>
          <w:ilvl w:val="0"/>
          <w:numId w:val="20"/>
        </w:numPr>
        <w:spacing w:line="360" w:lineRule="auto"/>
        <w:jc w:val="both"/>
        <w:rPr>
          <w:rFonts w:eastAsia="Calibri"/>
          <w:noProof/>
          <w:lang w:val="es-DO"/>
        </w:rPr>
      </w:pPr>
      <w:r w:rsidRPr="00AC7AC2">
        <w:rPr>
          <w:rFonts w:eastAsia="Calibri"/>
          <w:noProof/>
          <w:lang w:val="es-DO"/>
        </w:rPr>
        <w:t>Promocionó de forma pagada un total de 48 publicaciones en Instagram y Facebook. Durante los meses de julio a octubre, proporcionó las publicaciones correspondientes al XV Seminario Anual sobre Gestión de Tesorerías Publicas a los países de Centroamérica participantes.</w:t>
      </w:r>
    </w:p>
    <w:p w14:paraId="33AAC16F" w14:textId="77777777" w:rsidR="00763CE1" w:rsidRPr="00AC7AC2" w:rsidRDefault="00763CE1" w:rsidP="004C2709">
      <w:pPr>
        <w:numPr>
          <w:ilvl w:val="0"/>
          <w:numId w:val="20"/>
        </w:numPr>
        <w:spacing w:line="360" w:lineRule="auto"/>
        <w:jc w:val="both"/>
        <w:rPr>
          <w:rFonts w:eastAsia="Calibri"/>
          <w:noProof/>
          <w:lang w:val="es-DO"/>
        </w:rPr>
      </w:pPr>
      <w:r w:rsidRPr="00AC7AC2">
        <w:rPr>
          <w:rFonts w:eastAsia="Calibri"/>
          <w:noProof/>
          <w:lang w:val="es-DO"/>
        </w:rPr>
        <w:t>En YouTube logró 2,316,702 impresiones y 919,910 vistas de video</w:t>
      </w:r>
    </w:p>
    <w:p w14:paraId="38CB9C16" w14:textId="77777777" w:rsidR="00763CE1" w:rsidRPr="00AC7AC2" w:rsidRDefault="00763CE1" w:rsidP="004C2709">
      <w:pPr>
        <w:numPr>
          <w:ilvl w:val="0"/>
          <w:numId w:val="20"/>
        </w:numPr>
        <w:spacing w:line="360" w:lineRule="auto"/>
        <w:jc w:val="both"/>
        <w:rPr>
          <w:rFonts w:eastAsia="Calibri"/>
          <w:noProof/>
          <w:lang w:val="es-DO"/>
        </w:rPr>
      </w:pPr>
      <w:r w:rsidRPr="00AC7AC2">
        <w:rPr>
          <w:rFonts w:eastAsia="Calibri"/>
          <w:noProof/>
          <w:lang w:val="es-DO"/>
        </w:rPr>
        <w:t>En redes sociales alcanzó un total aproximado de 71,886 seguidores, por las divulgaciones de todas estas iniciativas, contenidos y acciones que contribuyen con el incremento de la comunidad digital.</w:t>
      </w:r>
    </w:p>
    <w:p w14:paraId="64682C65" w14:textId="77777777" w:rsidR="00FF3551" w:rsidRPr="00AC7AC2" w:rsidRDefault="00FF3551" w:rsidP="00D64261">
      <w:pPr>
        <w:spacing w:line="360" w:lineRule="auto"/>
        <w:jc w:val="both"/>
        <w:rPr>
          <w:rFonts w:eastAsia="Calibri"/>
          <w:b/>
          <w:bCs/>
          <w:noProof/>
          <w:lang w:val="es-DO"/>
        </w:rPr>
      </w:pPr>
    </w:p>
    <w:p w14:paraId="0F4982F0" w14:textId="77777777" w:rsidR="00D24CB4" w:rsidRPr="00AC7AC2" w:rsidRDefault="00D24CB4" w:rsidP="00D64261">
      <w:pPr>
        <w:spacing w:line="360" w:lineRule="auto"/>
        <w:jc w:val="both"/>
        <w:rPr>
          <w:rFonts w:eastAsia="Calibri"/>
          <w:b/>
          <w:bCs/>
          <w:noProof/>
          <w:lang w:val="es-DO"/>
        </w:rPr>
      </w:pPr>
    </w:p>
    <w:p w14:paraId="79C0F3EB" w14:textId="77777777" w:rsidR="00D24CB4" w:rsidRPr="00AC7AC2" w:rsidRDefault="00D24CB4" w:rsidP="00D64261">
      <w:pPr>
        <w:spacing w:line="360" w:lineRule="auto"/>
        <w:jc w:val="both"/>
        <w:rPr>
          <w:rFonts w:eastAsia="Calibri"/>
          <w:b/>
          <w:bCs/>
          <w:noProof/>
          <w:lang w:val="es-DO"/>
        </w:rPr>
      </w:pPr>
    </w:p>
    <w:p w14:paraId="475C1746" w14:textId="10178000" w:rsidR="00FF3551" w:rsidRPr="00AC7AC2" w:rsidRDefault="00FF3551" w:rsidP="00D64261">
      <w:pPr>
        <w:spacing w:after="0" w:line="360" w:lineRule="auto"/>
        <w:jc w:val="center"/>
        <w:rPr>
          <w:rFonts w:eastAsia="Calibri"/>
          <w:b/>
          <w:bCs/>
          <w:noProof/>
          <w:lang w:val="es-DO"/>
        </w:rPr>
      </w:pPr>
      <w:r w:rsidRPr="00AC7AC2">
        <w:rPr>
          <w:rFonts w:eastAsia="Calibri"/>
          <w:b/>
          <w:bCs/>
          <w:noProof/>
          <w:lang w:val="es-DO"/>
        </w:rPr>
        <w:lastRenderedPageBreak/>
        <w:t>Cuadro No.</w:t>
      </w:r>
      <w:r w:rsidR="008D7279" w:rsidRPr="00AC7AC2">
        <w:rPr>
          <w:rFonts w:eastAsia="Calibri"/>
          <w:b/>
          <w:bCs/>
          <w:noProof/>
          <w:lang w:val="es-DO"/>
        </w:rPr>
        <w:t xml:space="preserve"> 50</w:t>
      </w:r>
    </w:p>
    <w:p w14:paraId="22D3F297" w14:textId="77777777" w:rsidR="00763CE1" w:rsidRPr="00AC7AC2" w:rsidRDefault="00763CE1" w:rsidP="00D64261">
      <w:pPr>
        <w:spacing w:after="0" w:line="360" w:lineRule="auto"/>
        <w:jc w:val="center"/>
        <w:rPr>
          <w:rFonts w:eastAsia="Calibri"/>
          <w:b/>
          <w:bCs/>
          <w:noProof/>
          <w:lang w:val="es-DO"/>
        </w:rPr>
      </w:pPr>
      <w:r w:rsidRPr="00AC7AC2">
        <w:rPr>
          <w:rFonts w:eastAsia="Calibri"/>
          <w:b/>
          <w:bCs/>
          <w:noProof/>
          <w:lang w:val="es-DO"/>
        </w:rPr>
        <w:t>Tesorería Nacional</w:t>
      </w:r>
    </w:p>
    <w:p w14:paraId="380E4154" w14:textId="77777777" w:rsidR="00763CE1" w:rsidRPr="00AC7AC2" w:rsidRDefault="00763CE1" w:rsidP="00D64261">
      <w:pPr>
        <w:spacing w:after="0" w:line="360" w:lineRule="auto"/>
        <w:jc w:val="center"/>
        <w:rPr>
          <w:rFonts w:eastAsia="Calibri"/>
          <w:b/>
          <w:bCs/>
          <w:noProof/>
          <w:lang w:val="es-DO"/>
        </w:rPr>
      </w:pPr>
      <w:r w:rsidRPr="00AC7AC2">
        <w:rPr>
          <w:rFonts w:eastAsia="Calibri"/>
          <w:b/>
          <w:bCs/>
          <w:noProof/>
          <w:lang w:val="es-DO"/>
        </w:rPr>
        <w:t>Año 2025</w:t>
      </w:r>
    </w:p>
    <w:tbl>
      <w:tblPr>
        <w:tblStyle w:val="Tablaconcuadrcula"/>
        <w:tblW w:w="0" w:type="auto"/>
        <w:jc w:val="center"/>
        <w:tblLook w:val="04A0" w:firstRow="1" w:lastRow="0" w:firstColumn="1" w:lastColumn="0" w:noHBand="0" w:noVBand="1"/>
      </w:tblPr>
      <w:tblGrid>
        <w:gridCol w:w="1318"/>
        <w:gridCol w:w="1595"/>
        <w:gridCol w:w="1318"/>
        <w:gridCol w:w="1975"/>
        <w:gridCol w:w="1704"/>
      </w:tblGrid>
      <w:tr w:rsidR="00763CE1" w:rsidRPr="00763CE1" w14:paraId="11461499" w14:textId="77777777" w:rsidTr="006F7E31">
        <w:trPr>
          <w:jc w:val="center"/>
        </w:trPr>
        <w:tc>
          <w:tcPr>
            <w:tcW w:w="1142" w:type="dxa"/>
            <w:shd w:val="clear" w:color="auto" w:fill="011C50"/>
          </w:tcPr>
          <w:p w14:paraId="15ED0F61" w14:textId="77777777" w:rsidR="00763CE1" w:rsidRPr="00763CE1" w:rsidRDefault="00763CE1" w:rsidP="00D64261">
            <w:pPr>
              <w:spacing w:after="160" w:line="360" w:lineRule="auto"/>
              <w:jc w:val="both"/>
              <w:rPr>
                <w:rFonts w:eastAsia="Calibri"/>
                <w:noProof/>
                <w:color w:val="FFFFFF" w:themeColor="background1"/>
                <w:lang w:val="es-DO"/>
              </w:rPr>
            </w:pPr>
            <w:r w:rsidRPr="00763CE1">
              <w:rPr>
                <w:rFonts w:eastAsia="Calibri"/>
                <w:noProof/>
                <w:color w:val="FFFFFF" w:themeColor="background1"/>
                <w:lang w:val="es-DO"/>
              </w:rPr>
              <w:t>Red Social</w:t>
            </w:r>
          </w:p>
        </w:tc>
        <w:tc>
          <w:tcPr>
            <w:tcW w:w="1452" w:type="dxa"/>
            <w:shd w:val="clear" w:color="auto" w:fill="011C50"/>
          </w:tcPr>
          <w:p w14:paraId="4273CA3D" w14:textId="77777777" w:rsidR="00763CE1" w:rsidRPr="00763CE1" w:rsidRDefault="00763CE1" w:rsidP="00D64261">
            <w:pPr>
              <w:spacing w:after="160" w:line="360" w:lineRule="auto"/>
              <w:jc w:val="both"/>
              <w:rPr>
                <w:rFonts w:eastAsia="Calibri"/>
                <w:noProof/>
                <w:color w:val="FFFFFF" w:themeColor="background1"/>
                <w:lang w:val="es-DO"/>
              </w:rPr>
            </w:pPr>
            <w:r w:rsidRPr="00763CE1">
              <w:rPr>
                <w:rFonts w:eastAsia="Calibri"/>
                <w:noProof/>
                <w:color w:val="FFFFFF" w:themeColor="background1"/>
                <w:lang w:val="es-DO"/>
              </w:rPr>
              <w:t>Nuevos Seguidores/ Suscriptores</w:t>
            </w:r>
          </w:p>
        </w:tc>
        <w:tc>
          <w:tcPr>
            <w:tcW w:w="1217" w:type="dxa"/>
            <w:shd w:val="clear" w:color="auto" w:fill="011C50"/>
          </w:tcPr>
          <w:p w14:paraId="6F22635E" w14:textId="77777777" w:rsidR="00763CE1" w:rsidRPr="00763CE1" w:rsidRDefault="00763CE1" w:rsidP="00D64261">
            <w:pPr>
              <w:spacing w:after="160" w:line="360" w:lineRule="auto"/>
              <w:jc w:val="both"/>
              <w:rPr>
                <w:rFonts w:eastAsia="Calibri"/>
                <w:noProof/>
                <w:color w:val="FFFFFF" w:themeColor="background1"/>
                <w:lang w:val="es-DO"/>
              </w:rPr>
            </w:pPr>
            <w:r w:rsidRPr="00763CE1">
              <w:rPr>
                <w:rFonts w:eastAsia="Calibri"/>
                <w:noProof/>
                <w:color w:val="FFFFFF" w:themeColor="background1"/>
                <w:lang w:val="es-DO"/>
              </w:rPr>
              <w:t>Alcance Promedio</w:t>
            </w:r>
          </w:p>
        </w:tc>
        <w:tc>
          <w:tcPr>
            <w:tcW w:w="1708" w:type="dxa"/>
            <w:shd w:val="clear" w:color="auto" w:fill="011C50"/>
          </w:tcPr>
          <w:p w14:paraId="154B0BDB" w14:textId="77777777" w:rsidR="00763CE1" w:rsidRPr="00763CE1" w:rsidRDefault="00763CE1" w:rsidP="00D64261">
            <w:pPr>
              <w:spacing w:after="160" w:line="360" w:lineRule="auto"/>
              <w:jc w:val="both"/>
              <w:rPr>
                <w:rFonts w:eastAsia="Calibri"/>
                <w:noProof/>
                <w:color w:val="FFFFFF" w:themeColor="background1"/>
                <w:lang w:val="es-DO"/>
              </w:rPr>
            </w:pPr>
            <w:r w:rsidRPr="00763CE1">
              <w:rPr>
                <w:rFonts w:eastAsia="Calibri"/>
                <w:noProof/>
                <w:color w:val="FFFFFF" w:themeColor="background1"/>
                <w:lang w:val="es-DO"/>
              </w:rPr>
              <w:t>Impresiones/ Visualizaciones</w:t>
            </w:r>
          </w:p>
        </w:tc>
        <w:tc>
          <w:tcPr>
            <w:tcW w:w="1475" w:type="dxa"/>
            <w:shd w:val="clear" w:color="auto" w:fill="011C50"/>
          </w:tcPr>
          <w:p w14:paraId="7B128A06" w14:textId="77777777" w:rsidR="00763CE1" w:rsidRPr="00763CE1" w:rsidRDefault="00763CE1" w:rsidP="00D64261">
            <w:pPr>
              <w:spacing w:after="160" w:line="360" w:lineRule="auto"/>
              <w:jc w:val="both"/>
              <w:rPr>
                <w:rFonts w:eastAsia="Calibri"/>
                <w:noProof/>
                <w:color w:val="FFFFFF" w:themeColor="background1"/>
                <w:lang w:val="es-DO"/>
              </w:rPr>
            </w:pPr>
            <w:r w:rsidRPr="00763CE1">
              <w:rPr>
                <w:rFonts w:eastAsia="Calibri"/>
                <w:noProof/>
                <w:color w:val="FFFFFF" w:themeColor="background1"/>
                <w:lang w:val="es-DO"/>
              </w:rPr>
              <w:t>Interacciones</w:t>
            </w:r>
          </w:p>
        </w:tc>
      </w:tr>
      <w:tr w:rsidR="00AC7AC2" w:rsidRPr="00AC7AC2" w14:paraId="12ACC2B3" w14:textId="77777777" w:rsidTr="006F7E31">
        <w:trPr>
          <w:jc w:val="center"/>
        </w:trPr>
        <w:tc>
          <w:tcPr>
            <w:tcW w:w="1142" w:type="dxa"/>
          </w:tcPr>
          <w:p w14:paraId="4890F458"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Facebook</w:t>
            </w:r>
          </w:p>
        </w:tc>
        <w:tc>
          <w:tcPr>
            <w:tcW w:w="1452" w:type="dxa"/>
          </w:tcPr>
          <w:p w14:paraId="7BFAA7BC"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473</w:t>
            </w:r>
          </w:p>
        </w:tc>
        <w:tc>
          <w:tcPr>
            <w:tcW w:w="1217" w:type="dxa"/>
          </w:tcPr>
          <w:p w14:paraId="5A01DA58"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4,389,687</w:t>
            </w:r>
          </w:p>
        </w:tc>
        <w:tc>
          <w:tcPr>
            <w:tcW w:w="1708" w:type="dxa"/>
          </w:tcPr>
          <w:p w14:paraId="14225656"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6,766,599</w:t>
            </w:r>
          </w:p>
        </w:tc>
        <w:tc>
          <w:tcPr>
            <w:tcW w:w="1475" w:type="dxa"/>
          </w:tcPr>
          <w:p w14:paraId="0456D818"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1,566,594</w:t>
            </w:r>
          </w:p>
        </w:tc>
      </w:tr>
      <w:tr w:rsidR="00AC7AC2" w:rsidRPr="00AC7AC2" w14:paraId="0678ADEA" w14:textId="77777777" w:rsidTr="006F7E31">
        <w:trPr>
          <w:jc w:val="center"/>
        </w:trPr>
        <w:tc>
          <w:tcPr>
            <w:tcW w:w="1142" w:type="dxa"/>
          </w:tcPr>
          <w:p w14:paraId="08B6066D"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Instagram</w:t>
            </w:r>
          </w:p>
        </w:tc>
        <w:tc>
          <w:tcPr>
            <w:tcW w:w="1452" w:type="dxa"/>
          </w:tcPr>
          <w:p w14:paraId="4A213C51"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6,385</w:t>
            </w:r>
          </w:p>
        </w:tc>
        <w:tc>
          <w:tcPr>
            <w:tcW w:w="1217" w:type="dxa"/>
          </w:tcPr>
          <w:p w14:paraId="7813DC85"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2,010,159</w:t>
            </w:r>
          </w:p>
        </w:tc>
        <w:tc>
          <w:tcPr>
            <w:tcW w:w="1708" w:type="dxa"/>
          </w:tcPr>
          <w:p w14:paraId="2CFFC624"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3,540,370</w:t>
            </w:r>
          </w:p>
        </w:tc>
        <w:tc>
          <w:tcPr>
            <w:tcW w:w="1475" w:type="dxa"/>
          </w:tcPr>
          <w:p w14:paraId="6B61153D"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900,895</w:t>
            </w:r>
          </w:p>
        </w:tc>
      </w:tr>
      <w:tr w:rsidR="00AC7AC2" w:rsidRPr="00AC7AC2" w14:paraId="27B873DF" w14:textId="77777777" w:rsidTr="006F7E31">
        <w:trPr>
          <w:jc w:val="center"/>
        </w:trPr>
        <w:tc>
          <w:tcPr>
            <w:tcW w:w="1142" w:type="dxa"/>
          </w:tcPr>
          <w:p w14:paraId="5EB49B16"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 xml:space="preserve">X </w:t>
            </w:r>
          </w:p>
        </w:tc>
        <w:tc>
          <w:tcPr>
            <w:tcW w:w="1452" w:type="dxa"/>
          </w:tcPr>
          <w:p w14:paraId="51AE73DB"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200</w:t>
            </w:r>
          </w:p>
        </w:tc>
        <w:tc>
          <w:tcPr>
            <w:tcW w:w="1217" w:type="dxa"/>
          </w:tcPr>
          <w:p w14:paraId="2C9F82BC"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N/A</w:t>
            </w:r>
          </w:p>
        </w:tc>
        <w:tc>
          <w:tcPr>
            <w:tcW w:w="1708" w:type="dxa"/>
          </w:tcPr>
          <w:p w14:paraId="7E672888"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N/A</w:t>
            </w:r>
          </w:p>
        </w:tc>
        <w:tc>
          <w:tcPr>
            <w:tcW w:w="1475" w:type="dxa"/>
          </w:tcPr>
          <w:p w14:paraId="568AD920"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N/A</w:t>
            </w:r>
          </w:p>
        </w:tc>
      </w:tr>
      <w:tr w:rsidR="00AC7AC2" w:rsidRPr="00AC7AC2" w14:paraId="187B1893" w14:textId="77777777" w:rsidTr="006F7E31">
        <w:trPr>
          <w:jc w:val="center"/>
        </w:trPr>
        <w:tc>
          <w:tcPr>
            <w:tcW w:w="1142" w:type="dxa"/>
          </w:tcPr>
          <w:p w14:paraId="6A420448"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YouTube</w:t>
            </w:r>
          </w:p>
        </w:tc>
        <w:tc>
          <w:tcPr>
            <w:tcW w:w="1452" w:type="dxa"/>
          </w:tcPr>
          <w:p w14:paraId="01AB28EF"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44</w:t>
            </w:r>
          </w:p>
        </w:tc>
        <w:tc>
          <w:tcPr>
            <w:tcW w:w="1217" w:type="dxa"/>
          </w:tcPr>
          <w:p w14:paraId="1E4E0615"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N/A</w:t>
            </w:r>
          </w:p>
        </w:tc>
        <w:tc>
          <w:tcPr>
            <w:tcW w:w="1708" w:type="dxa"/>
          </w:tcPr>
          <w:p w14:paraId="324C2262"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2,106,093</w:t>
            </w:r>
          </w:p>
        </w:tc>
        <w:tc>
          <w:tcPr>
            <w:tcW w:w="1475" w:type="dxa"/>
          </w:tcPr>
          <w:p w14:paraId="2DCFD069"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N/A</w:t>
            </w:r>
          </w:p>
        </w:tc>
      </w:tr>
      <w:tr w:rsidR="00AC7AC2" w:rsidRPr="00AC7AC2" w14:paraId="1B202236" w14:textId="77777777" w:rsidTr="006F7E31">
        <w:trPr>
          <w:jc w:val="center"/>
        </w:trPr>
        <w:tc>
          <w:tcPr>
            <w:tcW w:w="1142" w:type="dxa"/>
          </w:tcPr>
          <w:p w14:paraId="456A7D5E"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LinkedIn</w:t>
            </w:r>
          </w:p>
        </w:tc>
        <w:tc>
          <w:tcPr>
            <w:tcW w:w="1452" w:type="dxa"/>
          </w:tcPr>
          <w:p w14:paraId="2158614F"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0</w:t>
            </w:r>
          </w:p>
        </w:tc>
        <w:tc>
          <w:tcPr>
            <w:tcW w:w="1217" w:type="dxa"/>
          </w:tcPr>
          <w:p w14:paraId="5699C53A"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N/A</w:t>
            </w:r>
          </w:p>
        </w:tc>
        <w:tc>
          <w:tcPr>
            <w:tcW w:w="1708" w:type="dxa"/>
          </w:tcPr>
          <w:p w14:paraId="64301E61"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18,002</w:t>
            </w:r>
          </w:p>
        </w:tc>
        <w:tc>
          <w:tcPr>
            <w:tcW w:w="1475" w:type="dxa"/>
          </w:tcPr>
          <w:p w14:paraId="250A670D"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67,204</w:t>
            </w:r>
          </w:p>
        </w:tc>
      </w:tr>
      <w:tr w:rsidR="00AC7AC2" w:rsidRPr="00AC7AC2" w14:paraId="0519F32F" w14:textId="77777777" w:rsidTr="006F7E31">
        <w:trPr>
          <w:jc w:val="center"/>
        </w:trPr>
        <w:tc>
          <w:tcPr>
            <w:tcW w:w="1142" w:type="dxa"/>
          </w:tcPr>
          <w:p w14:paraId="3ACD25D8"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TikTok</w:t>
            </w:r>
          </w:p>
        </w:tc>
        <w:tc>
          <w:tcPr>
            <w:tcW w:w="1452" w:type="dxa"/>
          </w:tcPr>
          <w:p w14:paraId="6B319A18"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37</w:t>
            </w:r>
          </w:p>
        </w:tc>
        <w:tc>
          <w:tcPr>
            <w:tcW w:w="1217" w:type="dxa"/>
          </w:tcPr>
          <w:p w14:paraId="68F1879F"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758</w:t>
            </w:r>
          </w:p>
        </w:tc>
        <w:tc>
          <w:tcPr>
            <w:tcW w:w="1708" w:type="dxa"/>
          </w:tcPr>
          <w:p w14:paraId="14ECD72D"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12,242</w:t>
            </w:r>
          </w:p>
        </w:tc>
        <w:tc>
          <w:tcPr>
            <w:tcW w:w="1475" w:type="dxa"/>
          </w:tcPr>
          <w:p w14:paraId="5D0788DA" w14:textId="77777777" w:rsidR="00763CE1" w:rsidRPr="00AC7AC2" w:rsidRDefault="00763CE1" w:rsidP="00D64261">
            <w:pPr>
              <w:spacing w:after="160" w:line="360" w:lineRule="auto"/>
              <w:jc w:val="both"/>
              <w:rPr>
                <w:rFonts w:eastAsia="Calibri"/>
                <w:noProof/>
                <w:lang w:val="es-DO"/>
              </w:rPr>
            </w:pPr>
            <w:r w:rsidRPr="00AC7AC2">
              <w:rPr>
                <w:rFonts w:eastAsia="Calibri"/>
                <w:noProof/>
                <w:lang w:val="es-DO"/>
              </w:rPr>
              <w:t>497</w:t>
            </w:r>
          </w:p>
        </w:tc>
      </w:tr>
    </w:tbl>
    <w:p w14:paraId="4F92F956" w14:textId="77777777" w:rsidR="00763CE1" w:rsidRPr="00AC7AC2" w:rsidRDefault="00763CE1" w:rsidP="00D64261">
      <w:pPr>
        <w:spacing w:line="360" w:lineRule="auto"/>
        <w:jc w:val="both"/>
        <w:rPr>
          <w:rFonts w:eastAsia="Calibri"/>
          <w:i/>
          <w:iCs/>
          <w:noProof/>
          <w:sz w:val="20"/>
          <w:szCs w:val="20"/>
          <w:lang w:val="es-DO"/>
        </w:rPr>
      </w:pPr>
      <w:r w:rsidRPr="00AC7AC2">
        <w:rPr>
          <w:rFonts w:eastAsia="Calibri"/>
          <w:i/>
          <w:iCs/>
          <w:noProof/>
          <w:sz w:val="20"/>
          <w:szCs w:val="20"/>
          <w:lang w:val="es-DO"/>
        </w:rPr>
        <w:t xml:space="preserve">    Fuente: Analítica de Redes Sociales 2025</w:t>
      </w:r>
    </w:p>
    <w:p w14:paraId="371F0CBA" w14:textId="77777777" w:rsidR="006E74D8" w:rsidRPr="00AC7AC2" w:rsidRDefault="006E74D8" w:rsidP="00D64261">
      <w:pPr>
        <w:spacing w:line="360" w:lineRule="auto"/>
        <w:jc w:val="both"/>
        <w:rPr>
          <w:rFonts w:eastAsia="Calibri"/>
          <w:noProof/>
          <w:lang w:val="es-DO"/>
        </w:rPr>
      </w:pPr>
    </w:p>
    <w:p w14:paraId="130A0C0C" w14:textId="77777777" w:rsidR="00B046C6" w:rsidRDefault="00B046C6" w:rsidP="00D64261">
      <w:pPr>
        <w:spacing w:line="360" w:lineRule="auto"/>
        <w:jc w:val="both"/>
        <w:rPr>
          <w:rFonts w:eastAsia="Calibri"/>
          <w:noProof/>
          <w:color w:val="4C4747"/>
          <w:lang w:val="es-DO"/>
        </w:rPr>
      </w:pPr>
    </w:p>
    <w:p w14:paraId="6B23CEB8" w14:textId="77777777" w:rsidR="00B046C6" w:rsidRDefault="00B046C6" w:rsidP="00D64261">
      <w:pPr>
        <w:spacing w:line="360" w:lineRule="auto"/>
        <w:jc w:val="both"/>
        <w:rPr>
          <w:rFonts w:eastAsia="Calibri"/>
          <w:noProof/>
          <w:color w:val="4C4747"/>
          <w:lang w:val="es-DO"/>
        </w:rPr>
      </w:pPr>
    </w:p>
    <w:p w14:paraId="215BEF8A" w14:textId="77777777" w:rsidR="00B046C6" w:rsidRDefault="00B046C6" w:rsidP="00D64261">
      <w:pPr>
        <w:spacing w:line="360" w:lineRule="auto"/>
        <w:jc w:val="both"/>
        <w:rPr>
          <w:rFonts w:eastAsia="Calibri"/>
          <w:noProof/>
          <w:color w:val="4C4747"/>
          <w:lang w:val="es-DO"/>
        </w:rPr>
      </w:pPr>
    </w:p>
    <w:p w14:paraId="4F299BA3" w14:textId="77777777" w:rsidR="00B046C6" w:rsidRDefault="00B046C6" w:rsidP="00D64261">
      <w:pPr>
        <w:spacing w:line="360" w:lineRule="auto"/>
        <w:jc w:val="both"/>
        <w:rPr>
          <w:rFonts w:eastAsia="Calibri"/>
          <w:noProof/>
          <w:color w:val="4C4747"/>
          <w:lang w:val="es-DO"/>
        </w:rPr>
      </w:pPr>
    </w:p>
    <w:p w14:paraId="07259D61" w14:textId="77777777" w:rsidR="00B046C6" w:rsidRDefault="00B046C6" w:rsidP="00D64261">
      <w:pPr>
        <w:spacing w:line="360" w:lineRule="auto"/>
        <w:jc w:val="both"/>
        <w:rPr>
          <w:rFonts w:eastAsia="Calibri"/>
          <w:noProof/>
          <w:color w:val="4C4747"/>
          <w:lang w:val="es-DO"/>
        </w:rPr>
      </w:pPr>
    </w:p>
    <w:p w14:paraId="343BBD5E" w14:textId="77777777" w:rsidR="00B046C6" w:rsidRPr="008209E2" w:rsidRDefault="00B046C6" w:rsidP="00D64261">
      <w:pPr>
        <w:spacing w:line="360" w:lineRule="auto"/>
        <w:jc w:val="both"/>
        <w:rPr>
          <w:rFonts w:eastAsia="Calibri"/>
          <w:noProof/>
          <w:color w:val="4C4747"/>
          <w:lang w:val="es-DO"/>
        </w:rPr>
      </w:pPr>
    </w:p>
    <w:p w14:paraId="0A54B7AA" w14:textId="77777777" w:rsidR="00DD7615" w:rsidRPr="00406103" w:rsidRDefault="00DD7615" w:rsidP="00D64261">
      <w:pPr>
        <w:pStyle w:val="Ttulo1"/>
        <w:rPr>
          <w:color w:val="767171"/>
          <w:lang w:val="es-DO"/>
        </w:rPr>
      </w:pPr>
      <w:bookmarkStart w:id="46" w:name="_Toc215652632"/>
      <w:r w:rsidRPr="00406103">
        <w:rPr>
          <w:color w:val="767171"/>
          <w:lang w:val="es-DO"/>
        </w:rPr>
        <w:lastRenderedPageBreak/>
        <w:t>SERVICIO AL CIUDADANO Y TRANSPARENCIA INSTITUCIONAL</w:t>
      </w:r>
      <w:bookmarkEnd w:id="46"/>
    </w:p>
    <w:p w14:paraId="6F16AFF3" w14:textId="77777777" w:rsidR="00DD7615" w:rsidRPr="00406103" w:rsidRDefault="00DD7615" w:rsidP="00D64261">
      <w:pPr>
        <w:spacing w:line="360" w:lineRule="auto"/>
        <w:jc w:val="both"/>
        <w:rPr>
          <w:rFonts w:eastAsia="Calibri"/>
          <w:sz w:val="18"/>
          <w:lang w:val="es-DO"/>
        </w:rPr>
      </w:pPr>
      <w:r w:rsidRPr="00406103">
        <w:rPr>
          <w:rFonts w:eastAsia="Calibri"/>
          <w:noProof/>
          <w:sz w:val="18"/>
          <w:lang w:val="es-DO" w:eastAsia="es-DO"/>
        </w:rPr>
        <mc:AlternateContent>
          <mc:Choice Requires="wps">
            <w:drawing>
              <wp:anchor distT="0" distB="0" distL="114300" distR="114300" simplePos="0" relativeHeight="251722752" behindDoc="0" locked="0" layoutInCell="1" allowOverlap="1" wp14:anchorId="5B826A78" wp14:editId="353B77BA">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40F43" id="Straight Connector 3" o:spid="_x0000_s1026"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468EA26" w14:textId="2A4A339F" w:rsidR="00DD7615" w:rsidRPr="00406103" w:rsidRDefault="00DD7615" w:rsidP="00D64261">
      <w:pPr>
        <w:spacing w:line="360" w:lineRule="auto"/>
        <w:jc w:val="center"/>
        <w:rPr>
          <w:rFonts w:eastAsia="Calibri"/>
          <w:szCs w:val="36"/>
          <w:lang w:val="es-DO"/>
        </w:rPr>
      </w:pPr>
      <w:r w:rsidRPr="00406103">
        <w:rPr>
          <w:rFonts w:eastAsia="Calibri"/>
          <w:szCs w:val="36"/>
          <w:lang w:val="es-DO"/>
        </w:rPr>
        <w:t xml:space="preserve">Memoria </w:t>
      </w:r>
      <w:r w:rsidR="00F05DF4" w:rsidRPr="00406103">
        <w:rPr>
          <w:rFonts w:eastAsia="Calibri"/>
          <w:szCs w:val="36"/>
          <w:lang w:val="es-DO"/>
        </w:rPr>
        <w:t>I</w:t>
      </w:r>
      <w:r w:rsidRPr="00406103">
        <w:rPr>
          <w:rFonts w:eastAsia="Calibri"/>
          <w:szCs w:val="36"/>
          <w:lang w:val="es-DO"/>
        </w:rPr>
        <w:t xml:space="preserve">nstitucional </w:t>
      </w:r>
      <w:r w:rsidR="000025D4" w:rsidRPr="00406103">
        <w:rPr>
          <w:rFonts w:eastAsia="Calibri"/>
          <w:szCs w:val="36"/>
          <w:lang w:val="es-DO"/>
        </w:rPr>
        <w:t>20</w:t>
      </w:r>
      <w:r w:rsidR="00A5647B" w:rsidRPr="00406103">
        <w:rPr>
          <w:rFonts w:eastAsia="Calibri"/>
          <w:szCs w:val="36"/>
          <w:lang w:val="es-DO"/>
        </w:rPr>
        <w:t>25</w:t>
      </w:r>
    </w:p>
    <w:p w14:paraId="161023A2" w14:textId="77777777" w:rsidR="00FF3551" w:rsidRPr="00406103" w:rsidRDefault="00FF3551" w:rsidP="00D64261">
      <w:pPr>
        <w:spacing w:line="360" w:lineRule="auto"/>
        <w:jc w:val="center"/>
        <w:rPr>
          <w:rFonts w:eastAsia="Calibri"/>
          <w:szCs w:val="36"/>
          <w:lang w:val="es-DO"/>
        </w:rPr>
      </w:pPr>
    </w:p>
    <w:p w14:paraId="58565560" w14:textId="77777777" w:rsidR="008209E2" w:rsidRPr="00406103" w:rsidRDefault="008209E2" w:rsidP="00D64261">
      <w:pPr>
        <w:spacing w:line="360" w:lineRule="auto"/>
        <w:jc w:val="both"/>
        <w:rPr>
          <w:rFonts w:eastAsia="Calibri"/>
          <w:b/>
          <w:bCs/>
          <w:noProof/>
          <w:lang w:val="es-DO"/>
        </w:rPr>
      </w:pPr>
      <w:r w:rsidRPr="00406103">
        <w:rPr>
          <w:rFonts w:eastAsia="Calibri"/>
          <w:b/>
          <w:bCs/>
          <w:noProof/>
          <w:lang w:val="es-DO"/>
        </w:rPr>
        <w:t xml:space="preserve">5.1 Nivel de la satisfacción con el servicio </w:t>
      </w:r>
    </w:p>
    <w:p w14:paraId="5FBE8207" w14:textId="77777777" w:rsidR="00FF3551" w:rsidRPr="00406103" w:rsidRDefault="00FF3551" w:rsidP="00D64261">
      <w:pPr>
        <w:spacing w:line="360" w:lineRule="auto"/>
        <w:jc w:val="both"/>
        <w:rPr>
          <w:rFonts w:eastAsia="Calibri"/>
          <w:noProof/>
          <w:lang w:val="es-DO"/>
        </w:rPr>
      </w:pPr>
      <w:r w:rsidRPr="00406103">
        <w:rPr>
          <w:rFonts w:eastAsia="Calibri"/>
          <w:noProof/>
          <w:lang w:val="es-DO"/>
        </w:rPr>
        <w:t>La Tesorería Nacional realizó la medición de los servicios comprometidos en la Carta Compromiso al Ciudadano de la institución, la cual fue aprobada por medio de la Resolución 373-2023, por el Ministerio de Administración Pública (MAP).</w:t>
      </w:r>
    </w:p>
    <w:p w14:paraId="2A8F38CF" w14:textId="77777777" w:rsidR="00FF3551" w:rsidRPr="00406103" w:rsidRDefault="00FF3551" w:rsidP="00D64261">
      <w:pPr>
        <w:spacing w:line="360" w:lineRule="auto"/>
        <w:jc w:val="both"/>
        <w:rPr>
          <w:rFonts w:eastAsia="Calibri"/>
          <w:noProof/>
          <w:lang w:val="es-DO"/>
        </w:rPr>
      </w:pPr>
      <w:r w:rsidRPr="00406103">
        <w:rPr>
          <w:rFonts w:eastAsia="Calibri"/>
          <w:noProof/>
          <w:lang w:val="es-DO"/>
        </w:rPr>
        <w:t>La misma abarca el periodo Enero-Diciembre 2025, evidenció resultados sobresalientes en la experiencia del usuario y la medición de los servicios comprometidos en la Carta Compromiso al Ciudadano:</w:t>
      </w:r>
    </w:p>
    <w:p w14:paraId="5383371D" w14:textId="77777777" w:rsidR="00FF3551" w:rsidRPr="00406103" w:rsidRDefault="00FF3551" w:rsidP="00D64261">
      <w:pPr>
        <w:spacing w:line="360" w:lineRule="auto"/>
        <w:jc w:val="both"/>
        <w:rPr>
          <w:rFonts w:eastAsia="Calibri"/>
          <w:noProof/>
          <w:lang w:val="es-DO"/>
        </w:rPr>
      </w:pPr>
      <w:r w:rsidRPr="00406103">
        <w:rPr>
          <w:rFonts w:eastAsia="Calibri"/>
          <w:noProof/>
          <w:lang w:val="es-DO"/>
        </w:rPr>
        <w:t>•</w:t>
      </w:r>
      <w:r w:rsidRPr="00406103">
        <w:rPr>
          <w:rFonts w:eastAsia="Calibri"/>
          <w:noProof/>
          <w:lang w:val="es-DO"/>
        </w:rPr>
        <w:tab/>
        <w:t>Consulta de Pagos y Libramientos 98.53%</w:t>
      </w:r>
    </w:p>
    <w:p w14:paraId="6BE62C2C" w14:textId="77777777" w:rsidR="00FF3551" w:rsidRPr="00406103" w:rsidRDefault="00FF3551" w:rsidP="00D64261">
      <w:pPr>
        <w:spacing w:line="360" w:lineRule="auto"/>
        <w:jc w:val="both"/>
        <w:rPr>
          <w:rFonts w:eastAsia="Calibri"/>
          <w:noProof/>
          <w:lang w:val="es-DO"/>
        </w:rPr>
      </w:pPr>
      <w:r w:rsidRPr="00406103">
        <w:rPr>
          <w:rFonts w:eastAsia="Calibri"/>
          <w:noProof/>
          <w:lang w:val="es-DO"/>
        </w:rPr>
        <w:t>•</w:t>
      </w:r>
      <w:r w:rsidRPr="00406103">
        <w:rPr>
          <w:rFonts w:eastAsia="Calibri"/>
          <w:noProof/>
          <w:lang w:val="es-DO"/>
        </w:rPr>
        <w:tab/>
        <w:t>Asistencia Técnica a las Tesorerías Institucionales 98.85%</w:t>
      </w:r>
    </w:p>
    <w:p w14:paraId="78398F9D" w14:textId="77777777" w:rsidR="00FF3551" w:rsidRPr="00406103" w:rsidRDefault="00FF3551" w:rsidP="00D64261">
      <w:pPr>
        <w:spacing w:line="360" w:lineRule="auto"/>
        <w:jc w:val="both"/>
        <w:rPr>
          <w:rFonts w:eastAsia="Calibri"/>
          <w:noProof/>
          <w:lang w:val="es-DO"/>
        </w:rPr>
      </w:pPr>
      <w:r w:rsidRPr="00406103">
        <w:rPr>
          <w:rFonts w:eastAsia="Calibri"/>
          <w:noProof/>
          <w:lang w:val="es-DO"/>
        </w:rPr>
        <w:t>•</w:t>
      </w:r>
      <w:r w:rsidRPr="00406103">
        <w:rPr>
          <w:rFonts w:eastAsia="Calibri"/>
          <w:noProof/>
          <w:lang w:val="es-DO"/>
        </w:rPr>
        <w:tab/>
        <w:t>Reimpresión de Cheques 99.27%</w:t>
      </w:r>
    </w:p>
    <w:p w14:paraId="53476F26" w14:textId="77777777" w:rsidR="00FF3551" w:rsidRPr="00406103" w:rsidRDefault="00FF3551" w:rsidP="00D64261">
      <w:pPr>
        <w:spacing w:line="360" w:lineRule="auto"/>
        <w:jc w:val="both"/>
        <w:rPr>
          <w:rFonts w:eastAsia="Calibri"/>
          <w:noProof/>
          <w:lang w:val="es-DO"/>
        </w:rPr>
      </w:pPr>
      <w:r w:rsidRPr="00406103">
        <w:rPr>
          <w:rFonts w:eastAsia="Calibri"/>
          <w:noProof/>
          <w:lang w:val="es-DO"/>
        </w:rPr>
        <w:t>La Tesorería Nacional alcanzó el 100% en la evaluación correspondiente al indicador 01.4 Carta Compromiso al Ciudadano, del Sistema de Medición de la Administración Pública (SISMAP), realizado por el Ministerio de Administración Pública (MAP), el estándar es de 85%, en cada uno de los servicios, sin embargo, con esta calificación se evidencia el compromiso institucional de cara al ciudadano.</w:t>
      </w:r>
    </w:p>
    <w:p w14:paraId="4E825E82" w14:textId="77777777" w:rsidR="00FF3551" w:rsidRPr="00406103" w:rsidRDefault="00FF3551" w:rsidP="00D64261">
      <w:pPr>
        <w:spacing w:line="360" w:lineRule="auto"/>
        <w:jc w:val="both"/>
        <w:rPr>
          <w:rFonts w:eastAsia="Calibri"/>
          <w:noProof/>
          <w:lang w:val="es-DO"/>
        </w:rPr>
      </w:pPr>
    </w:p>
    <w:p w14:paraId="5517832F" w14:textId="77777777" w:rsidR="00B046C6" w:rsidRPr="00406103" w:rsidRDefault="00B046C6" w:rsidP="00D64261">
      <w:pPr>
        <w:spacing w:line="360" w:lineRule="auto"/>
        <w:jc w:val="both"/>
        <w:rPr>
          <w:rFonts w:eastAsia="Calibri"/>
          <w:noProof/>
          <w:lang w:val="es-DO"/>
        </w:rPr>
      </w:pPr>
    </w:p>
    <w:p w14:paraId="03FD15F5" w14:textId="77777777" w:rsidR="008209E2" w:rsidRPr="00406103" w:rsidRDefault="008209E2" w:rsidP="00D64261">
      <w:pPr>
        <w:spacing w:line="360" w:lineRule="auto"/>
        <w:jc w:val="both"/>
        <w:rPr>
          <w:rFonts w:eastAsia="Calibri"/>
          <w:b/>
          <w:bCs/>
          <w:noProof/>
          <w:lang w:val="es-DO"/>
        </w:rPr>
      </w:pPr>
      <w:r w:rsidRPr="00406103">
        <w:rPr>
          <w:rFonts w:eastAsia="Calibri"/>
          <w:b/>
          <w:bCs/>
          <w:noProof/>
          <w:lang w:val="es-DO"/>
        </w:rPr>
        <w:lastRenderedPageBreak/>
        <w:t xml:space="preserve">5.2 Nivel de cumplimiento acceso a la información </w:t>
      </w:r>
    </w:p>
    <w:p w14:paraId="4D2F1269" w14:textId="5B6AD875" w:rsidR="00FF3551" w:rsidRPr="00406103" w:rsidRDefault="00FF3551" w:rsidP="00D64261">
      <w:pPr>
        <w:spacing w:line="360" w:lineRule="auto"/>
        <w:jc w:val="both"/>
        <w:rPr>
          <w:rFonts w:eastAsia="Calibri"/>
          <w:noProof/>
          <w:lang w:val="es-DO"/>
        </w:rPr>
      </w:pPr>
      <w:r w:rsidRPr="00406103">
        <w:rPr>
          <w:rFonts w:eastAsia="Calibri"/>
          <w:noProof/>
          <w:lang w:val="es-DO"/>
        </w:rPr>
        <w:t xml:space="preserve">Tesorería Nacional recibió un total de </w:t>
      </w:r>
      <w:r w:rsidRPr="00406103">
        <w:rPr>
          <w:rFonts w:eastAsia="Calibri"/>
          <w:b/>
          <w:bCs/>
          <w:noProof/>
          <w:lang w:val="es-DO"/>
        </w:rPr>
        <w:t xml:space="preserve">119 </w:t>
      </w:r>
      <w:r w:rsidRPr="00406103">
        <w:rPr>
          <w:rFonts w:eastAsia="Calibri"/>
          <w:noProof/>
          <w:lang w:val="es-DO"/>
        </w:rPr>
        <w:t>solicitudes de acceso a la información pública, durante el período enero-</w:t>
      </w:r>
      <w:r w:rsidR="00AB1A1D">
        <w:rPr>
          <w:rFonts w:eastAsia="Calibri"/>
          <w:noProof/>
          <w:lang w:val="es-DO"/>
        </w:rPr>
        <w:t>diciembre</w:t>
      </w:r>
      <w:r w:rsidRPr="00406103">
        <w:rPr>
          <w:rFonts w:eastAsia="Calibri"/>
          <w:noProof/>
          <w:lang w:val="es-DO"/>
        </w:rPr>
        <w:t xml:space="preserve"> 2025, de las cuales </w:t>
      </w:r>
      <w:r w:rsidRPr="00406103">
        <w:rPr>
          <w:rFonts w:eastAsia="Calibri"/>
          <w:b/>
          <w:bCs/>
          <w:noProof/>
          <w:lang w:val="es-DO"/>
        </w:rPr>
        <w:t>5</w:t>
      </w:r>
      <w:r w:rsidRPr="00406103">
        <w:rPr>
          <w:rFonts w:eastAsia="Calibri"/>
          <w:noProof/>
          <w:lang w:val="es-DO"/>
        </w:rPr>
        <w:t xml:space="preserve"> solicitudes fueron transferidas a otras instituciones, </w:t>
      </w:r>
      <w:r w:rsidRPr="00406103">
        <w:rPr>
          <w:rFonts w:eastAsia="Calibri"/>
          <w:b/>
          <w:bCs/>
          <w:noProof/>
          <w:lang w:val="es-DO"/>
        </w:rPr>
        <w:t xml:space="preserve">63 </w:t>
      </w:r>
      <w:r w:rsidRPr="00406103">
        <w:rPr>
          <w:rFonts w:eastAsia="Calibri"/>
          <w:noProof/>
          <w:lang w:val="es-DO"/>
        </w:rPr>
        <w:t xml:space="preserve">solicitudes fueron gestionadas en la Plataforma Sistema de Acceso a la Información Pública (SAIP), </w:t>
      </w:r>
      <w:r w:rsidRPr="00406103">
        <w:rPr>
          <w:rFonts w:eastAsia="Calibri"/>
          <w:b/>
          <w:bCs/>
          <w:noProof/>
          <w:lang w:val="es-DO"/>
        </w:rPr>
        <w:t xml:space="preserve">8 </w:t>
      </w:r>
      <w:r w:rsidRPr="00406103">
        <w:rPr>
          <w:rFonts w:eastAsia="Calibri"/>
          <w:noProof/>
          <w:lang w:val="es-DO"/>
        </w:rPr>
        <w:t xml:space="preserve"> fueron recibidas de manera personal, </w:t>
      </w:r>
      <w:r w:rsidRPr="00406103">
        <w:rPr>
          <w:rFonts w:eastAsia="Calibri"/>
          <w:b/>
          <w:bCs/>
          <w:noProof/>
          <w:lang w:val="es-DO"/>
        </w:rPr>
        <w:t xml:space="preserve">17 </w:t>
      </w:r>
      <w:r w:rsidRPr="00406103">
        <w:rPr>
          <w:rFonts w:eastAsia="Calibri"/>
          <w:noProof/>
          <w:lang w:val="es-DO"/>
        </w:rPr>
        <w:t xml:space="preserve">vía  telefónicas, como también </w:t>
      </w:r>
      <w:r w:rsidRPr="00406103">
        <w:rPr>
          <w:rFonts w:eastAsia="Calibri"/>
          <w:b/>
          <w:bCs/>
          <w:noProof/>
          <w:lang w:val="es-DO"/>
        </w:rPr>
        <w:t>26</w:t>
      </w:r>
      <w:r w:rsidRPr="00406103">
        <w:rPr>
          <w:rFonts w:eastAsia="Calibri"/>
          <w:noProof/>
          <w:lang w:val="es-DO"/>
        </w:rPr>
        <w:t xml:space="preserve"> solicitudes concernientes a canales como correo electrónico, todas las informaciones solicitadas por los ciudadanos fueron de carácter financiero, así mismo las informaciones que han  solicitado  fueron completadas dentro de los plazos correspondientes establecido por la Ley 200-04 de Libre Acceso a la Información Pública.</w:t>
      </w:r>
    </w:p>
    <w:p w14:paraId="7B00E8F3" w14:textId="77777777" w:rsidR="00FF3551" w:rsidRPr="00406103" w:rsidRDefault="00FF3551" w:rsidP="00D64261">
      <w:pPr>
        <w:spacing w:line="360" w:lineRule="auto"/>
        <w:jc w:val="both"/>
        <w:rPr>
          <w:rFonts w:eastAsia="Calibri"/>
          <w:noProof/>
          <w:lang w:val="es-DO"/>
        </w:rPr>
      </w:pPr>
    </w:p>
    <w:p w14:paraId="754D8A22" w14:textId="77777777" w:rsidR="008209E2" w:rsidRPr="00406103" w:rsidRDefault="008209E2" w:rsidP="00D64261">
      <w:pPr>
        <w:spacing w:line="360" w:lineRule="auto"/>
        <w:jc w:val="both"/>
        <w:rPr>
          <w:rFonts w:eastAsia="Calibri"/>
          <w:b/>
          <w:bCs/>
          <w:noProof/>
          <w:lang w:val="es-DO"/>
        </w:rPr>
      </w:pPr>
      <w:r w:rsidRPr="00406103">
        <w:rPr>
          <w:rFonts w:eastAsia="Calibri"/>
          <w:b/>
          <w:bCs/>
          <w:noProof/>
          <w:lang w:val="es-DO"/>
        </w:rPr>
        <w:t xml:space="preserve">5.3 Resultados Sistema de Quejas, Reclamos y Sugerencias </w:t>
      </w:r>
    </w:p>
    <w:p w14:paraId="1A7C4093" w14:textId="77777777" w:rsidR="00FF3551" w:rsidRPr="00406103" w:rsidRDefault="00FF3551" w:rsidP="00D64261">
      <w:pPr>
        <w:spacing w:line="360" w:lineRule="auto"/>
        <w:jc w:val="both"/>
        <w:rPr>
          <w:rFonts w:eastAsia="Calibri"/>
          <w:noProof/>
          <w:lang w:val="es-DO"/>
        </w:rPr>
      </w:pPr>
      <w:r w:rsidRPr="00406103">
        <w:rPr>
          <w:rFonts w:eastAsia="Calibri"/>
          <w:noProof/>
          <w:lang w:val="es-DO"/>
        </w:rPr>
        <w:t>La Tesorería Nacional, durante el período enero-diciembre 2025, no presentó interacciones vía el portal 311, sobre denuncias, quejas, reclamos y sugerencias.</w:t>
      </w:r>
    </w:p>
    <w:p w14:paraId="724A3BD2" w14:textId="77777777" w:rsidR="00FF3551" w:rsidRPr="00406103" w:rsidRDefault="00FF3551" w:rsidP="00D64261">
      <w:pPr>
        <w:spacing w:line="360" w:lineRule="auto"/>
        <w:jc w:val="both"/>
        <w:rPr>
          <w:rFonts w:eastAsia="Calibri"/>
          <w:noProof/>
          <w:lang w:val="es-DO"/>
        </w:rPr>
      </w:pPr>
    </w:p>
    <w:p w14:paraId="2DDDCC9D" w14:textId="1F400005" w:rsidR="00DD7615" w:rsidRPr="00406103" w:rsidRDefault="008209E2" w:rsidP="00D64261">
      <w:pPr>
        <w:spacing w:line="360" w:lineRule="auto"/>
        <w:jc w:val="both"/>
        <w:rPr>
          <w:rFonts w:eastAsia="Calibri"/>
          <w:b/>
          <w:bCs/>
          <w:noProof/>
          <w:lang w:val="es-DO"/>
        </w:rPr>
      </w:pPr>
      <w:r w:rsidRPr="00406103">
        <w:rPr>
          <w:rFonts w:eastAsia="Calibri"/>
          <w:b/>
          <w:bCs/>
          <w:noProof/>
          <w:lang w:val="es-DO"/>
        </w:rPr>
        <w:t>5.4 Resultados de mediciones del portal de transparencia.</w:t>
      </w:r>
    </w:p>
    <w:p w14:paraId="2AF33262" w14:textId="77777777" w:rsidR="00FF3551" w:rsidRPr="00406103" w:rsidRDefault="00FF3551" w:rsidP="00D64261">
      <w:pPr>
        <w:spacing w:line="360" w:lineRule="auto"/>
        <w:jc w:val="both"/>
        <w:rPr>
          <w:rFonts w:eastAsia="Calibri"/>
          <w:noProof/>
          <w:lang w:val="es-DO"/>
        </w:rPr>
      </w:pPr>
      <w:r w:rsidRPr="00406103">
        <w:rPr>
          <w:rFonts w:eastAsia="Calibri"/>
          <w:noProof/>
          <w:lang w:val="es-DO"/>
        </w:rPr>
        <w:t xml:space="preserve">La Tesorería Nacional presentó durante el periodo enero-diciembre 2025 las calificaciones detalladas a continuación: </w:t>
      </w:r>
    </w:p>
    <w:p w14:paraId="4EE09F6F" w14:textId="77777777" w:rsidR="00FF3551" w:rsidRPr="00406103" w:rsidRDefault="00FF3551" w:rsidP="00D64261">
      <w:pPr>
        <w:spacing w:line="360" w:lineRule="auto"/>
        <w:jc w:val="both"/>
        <w:rPr>
          <w:rFonts w:eastAsia="Calibri"/>
          <w:noProof/>
          <w:lang w:val="es-DO"/>
        </w:rPr>
      </w:pPr>
      <w:r w:rsidRPr="00406103">
        <w:rPr>
          <w:rFonts w:eastAsia="Calibri"/>
          <w:noProof/>
          <w:lang w:val="es-DO"/>
        </w:rPr>
        <w:t>•</w:t>
      </w:r>
      <w:r w:rsidRPr="00406103">
        <w:rPr>
          <w:rFonts w:eastAsia="Calibri"/>
          <w:noProof/>
          <w:lang w:val="es-DO"/>
        </w:rPr>
        <w:tab/>
        <w:t>Enero: 99.79%</w:t>
      </w:r>
    </w:p>
    <w:p w14:paraId="1A514A41" w14:textId="77777777" w:rsidR="00FF3551" w:rsidRPr="00406103" w:rsidRDefault="00FF3551" w:rsidP="00D64261">
      <w:pPr>
        <w:spacing w:line="360" w:lineRule="auto"/>
        <w:jc w:val="both"/>
        <w:rPr>
          <w:rFonts w:eastAsia="Calibri"/>
          <w:noProof/>
          <w:lang w:val="es-DO"/>
        </w:rPr>
      </w:pPr>
      <w:r w:rsidRPr="00406103">
        <w:rPr>
          <w:rFonts w:eastAsia="Calibri"/>
          <w:noProof/>
          <w:lang w:val="es-DO"/>
        </w:rPr>
        <w:t>•</w:t>
      </w:r>
      <w:r w:rsidRPr="00406103">
        <w:rPr>
          <w:rFonts w:eastAsia="Calibri"/>
          <w:noProof/>
          <w:lang w:val="es-DO"/>
        </w:rPr>
        <w:tab/>
        <w:t>Febrero: 99.79%</w:t>
      </w:r>
    </w:p>
    <w:p w14:paraId="3B9A6CCA" w14:textId="77777777" w:rsidR="00FF3551" w:rsidRPr="00406103" w:rsidRDefault="00FF3551" w:rsidP="00D64261">
      <w:pPr>
        <w:spacing w:line="360" w:lineRule="auto"/>
        <w:jc w:val="both"/>
        <w:rPr>
          <w:rFonts w:eastAsia="Calibri"/>
          <w:noProof/>
          <w:lang w:val="es-DO"/>
        </w:rPr>
      </w:pPr>
      <w:r w:rsidRPr="00406103">
        <w:rPr>
          <w:rFonts w:eastAsia="Calibri"/>
          <w:noProof/>
          <w:lang w:val="es-DO"/>
        </w:rPr>
        <w:t>•</w:t>
      </w:r>
      <w:r w:rsidRPr="00406103">
        <w:rPr>
          <w:rFonts w:eastAsia="Calibri"/>
          <w:noProof/>
          <w:lang w:val="es-DO"/>
        </w:rPr>
        <w:tab/>
        <w:t>Marzo: 99.12%</w:t>
      </w:r>
    </w:p>
    <w:p w14:paraId="2E4C5EAC" w14:textId="77777777" w:rsidR="00FF3551" w:rsidRPr="00406103" w:rsidRDefault="00FF3551" w:rsidP="00D64261">
      <w:pPr>
        <w:spacing w:line="360" w:lineRule="auto"/>
        <w:jc w:val="both"/>
        <w:rPr>
          <w:rFonts w:eastAsia="Calibri"/>
          <w:noProof/>
          <w:lang w:val="es-DO"/>
        </w:rPr>
      </w:pPr>
      <w:r w:rsidRPr="00406103">
        <w:rPr>
          <w:rFonts w:eastAsia="Calibri"/>
          <w:noProof/>
          <w:lang w:val="es-DO"/>
        </w:rPr>
        <w:t>•</w:t>
      </w:r>
      <w:r w:rsidRPr="00406103">
        <w:rPr>
          <w:rFonts w:eastAsia="Calibri"/>
          <w:noProof/>
          <w:lang w:val="es-DO"/>
        </w:rPr>
        <w:tab/>
        <w:t xml:space="preserve">Abril: 99.79% </w:t>
      </w:r>
    </w:p>
    <w:p w14:paraId="42D8A56E" w14:textId="77777777" w:rsidR="00FF3551" w:rsidRPr="00406103" w:rsidRDefault="00FF3551" w:rsidP="00D64261">
      <w:pPr>
        <w:spacing w:line="360" w:lineRule="auto"/>
        <w:jc w:val="both"/>
        <w:rPr>
          <w:rFonts w:eastAsia="Calibri"/>
          <w:noProof/>
          <w:lang w:val="es-DO"/>
        </w:rPr>
      </w:pPr>
      <w:r w:rsidRPr="00406103">
        <w:rPr>
          <w:rFonts w:eastAsia="Calibri"/>
          <w:noProof/>
          <w:lang w:val="es-DO"/>
        </w:rPr>
        <w:t>•</w:t>
      </w:r>
      <w:r w:rsidRPr="00406103">
        <w:rPr>
          <w:rFonts w:eastAsia="Calibri"/>
          <w:noProof/>
          <w:lang w:val="es-DO"/>
        </w:rPr>
        <w:tab/>
        <w:t xml:space="preserve">Mayo: 94.79% </w:t>
      </w:r>
    </w:p>
    <w:p w14:paraId="0C4F489A" w14:textId="77777777" w:rsidR="00FF3551" w:rsidRPr="00406103" w:rsidRDefault="00FF3551" w:rsidP="00D64261">
      <w:pPr>
        <w:spacing w:line="360" w:lineRule="auto"/>
        <w:jc w:val="both"/>
        <w:rPr>
          <w:rFonts w:eastAsia="Calibri"/>
          <w:noProof/>
          <w:lang w:val="es-DO"/>
        </w:rPr>
      </w:pPr>
      <w:r w:rsidRPr="00406103">
        <w:rPr>
          <w:rFonts w:eastAsia="Calibri"/>
          <w:noProof/>
          <w:lang w:val="es-DO"/>
        </w:rPr>
        <w:lastRenderedPageBreak/>
        <w:t>•</w:t>
      </w:r>
      <w:r w:rsidRPr="00406103">
        <w:rPr>
          <w:rFonts w:eastAsia="Calibri"/>
          <w:noProof/>
          <w:lang w:val="es-DO"/>
        </w:rPr>
        <w:tab/>
        <w:t>Junio: 99.12%</w:t>
      </w:r>
    </w:p>
    <w:p w14:paraId="58A0F50A" w14:textId="77777777" w:rsidR="00FF3551" w:rsidRPr="00406103" w:rsidRDefault="00FF3551" w:rsidP="00D64261">
      <w:pPr>
        <w:spacing w:line="360" w:lineRule="auto"/>
        <w:jc w:val="both"/>
        <w:rPr>
          <w:rFonts w:eastAsia="Calibri"/>
          <w:noProof/>
          <w:lang w:val="es-DO"/>
        </w:rPr>
      </w:pPr>
      <w:r w:rsidRPr="00406103">
        <w:rPr>
          <w:rFonts w:eastAsia="Calibri"/>
          <w:noProof/>
          <w:lang w:val="es-DO"/>
        </w:rPr>
        <w:t>•</w:t>
      </w:r>
      <w:r w:rsidRPr="00406103">
        <w:rPr>
          <w:rFonts w:eastAsia="Calibri"/>
          <w:noProof/>
          <w:lang w:val="es-DO"/>
        </w:rPr>
        <w:tab/>
        <w:t>Julio: 99.12%</w:t>
      </w:r>
    </w:p>
    <w:p w14:paraId="31E56A35" w14:textId="77777777" w:rsidR="00FF3551" w:rsidRPr="00406103" w:rsidRDefault="00FF3551" w:rsidP="00D64261">
      <w:pPr>
        <w:spacing w:line="360" w:lineRule="auto"/>
        <w:jc w:val="both"/>
        <w:rPr>
          <w:rFonts w:eastAsia="Calibri"/>
          <w:noProof/>
          <w:lang w:val="es-DO"/>
        </w:rPr>
      </w:pPr>
      <w:r w:rsidRPr="00406103">
        <w:rPr>
          <w:rFonts w:eastAsia="Calibri"/>
          <w:noProof/>
          <w:lang w:val="es-DO"/>
        </w:rPr>
        <w:t>•        Agosto: 99.79%</w:t>
      </w:r>
    </w:p>
    <w:p w14:paraId="27271271" w14:textId="20FB30BA" w:rsidR="0094521B" w:rsidRPr="00406103" w:rsidRDefault="00FF3551" w:rsidP="00D64261">
      <w:pPr>
        <w:spacing w:line="360" w:lineRule="auto"/>
        <w:jc w:val="both"/>
        <w:rPr>
          <w:rFonts w:eastAsia="Calibri"/>
          <w:noProof/>
          <w:lang w:val="es-DO"/>
        </w:rPr>
      </w:pPr>
      <w:r w:rsidRPr="00406103">
        <w:rPr>
          <w:rFonts w:eastAsia="Calibri"/>
          <w:noProof/>
          <w:lang w:val="es-DO"/>
        </w:rPr>
        <w:t>•        Septiembre: 99.79%</w:t>
      </w:r>
    </w:p>
    <w:p w14:paraId="0BDD1694" w14:textId="2EE32EF2" w:rsidR="0094521B" w:rsidRPr="00406103" w:rsidRDefault="0094521B" w:rsidP="0094521B">
      <w:pPr>
        <w:spacing w:line="360" w:lineRule="auto"/>
        <w:jc w:val="both"/>
        <w:rPr>
          <w:rFonts w:eastAsia="Calibri"/>
          <w:noProof/>
          <w:lang w:val="es-DO"/>
        </w:rPr>
      </w:pPr>
      <w:r w:rsidRPr="00406103">
        <w:rPr>
          <w:rFonts w:eastAsia="Calibri"/>
          <w:noProof/>
          <w:lang w:val="es-DO"/>
        </w:rPr>
        <w:t xml:space="preserve">•        </w:t>
      </w:r>
      <w:r>
        <w:rPr>
          <w:rFonts w:eastAsia="Calibri"/>
          <w:noProof/>
          <w:lang w:val="es-DO"/>
        </w:rPr>
        <w:t>Octubre</w:t>
      </w:r>
      <w:r w:rsidRPr="00406103">
        <w:rPr>
          <w:rFonts w:eastAsia="Calibri"/>
          <w:noProof/>
          <w:lang w:val="es-DO"/>
        </w:rPr>
        <w:t>: 99.79%</w:t>
      </w:r>
    </w:p>
    <w:p w14:paraId="3BB7F4D2" w14:textId="7218CEE1" w:rsidR="0094521B" w:rsidRPr="00406103" w:rsidRDefault="0094521B" w:rsidP="0094521B">
      <w:pPr>
        <w:spacing w:line="360" w:lineRule="auto"/>
        <w:jc w:val="both"/>
        <w:rPr>
          <w:rFonts w:eastAsia="Calibri"/>
          <w:noProof/>
          <w:lang w:val="es-DO"/>
        </w:rPr>
      </w:pPr>
      <w:r w:rsidRPr="00406103">
        <w:rPr>
          <w:rFonts w:eastAsia="Calibri"/>
          <w:noProof/>
          <w:lang w:val="es-DO"/>
        </w:rPr>
        <w:t xml:space="preserve">•        </w:t>
      </w:r>
      <w:r>
        <w:rPr>
          <w:rFonts w:eastAsia="Calibri"/>
          <w:noProof/>
          <w:lang w:val="es-DO"/>
        </w:rPr>
        <w:t>Noviembre</w:t>
      </w:r>
      <w:r w:rsidRPr="00406103">
        <w:rPr>
          <w:rFonts w:eastAsia="Calibri"/>
          <w:noProof/>
          <w:lang w:val="es-DO"/>
        </w:rPr>
        <w:t>: 99.79%</w:t>
      </w:r>
    </w:p>
    <w:p w14:paraId="1B37F9F4" w14:textId="3B18A809" w:rsidR="0094521B" w:rsidRPr="00406103" w:rsidRDefault="0094521B" w:rsidP="0094521B">
      <w:pPr>
        <w:spacing w:line="360" w:lineRule="auto"/>
        <w:jc w:val="both"/>
        <w:rPr>
          <w:rFonts w:eastAsia="Calibri"/>
          <w:noProof/>
          <w:lang w:val="es-DO"/>
        </w:rPr>
      </w:pPr>
      <w:r w:rsidRPr="00406103">
        <w:rPr>
          <w:rFonts w:eastAsia="Calibri"/>
          <w:noProof/>
          <w:lang w:val="es-DO"/>
        </w:rPr>
        <w:t xml:space="preserve">•        </w:t>
      </w:r>
      <w:r>
        <w:rPr>
          <w:rFonts w:eastAsia="Calibri"/>
          <w:noProof/>
          <w:lang w:val="es-DO"/>
        </w:rPr>
        <w:t>Diciembre</w:t>
      </w:r>
      <w:r w:rsidRPr="00406103">
        <w:rPr>
          <w:rFonts w:eastAsia="Calibri"/>
          <w:noProof/>
          <w:lang w:val="es-DO"/>
        </w:rPr>
        <w:t>: 99.79%</w:t>
      </w:r>
    </w:p>
    <w:p w14:paraId="29BDC7EB" w14:textId="77777777" w:rsidR="00FF3551" w:rsidRPr="00406103" w:rsidRDefault="00FF3551" w:rsidP="00D64261">
      <w:pPr>
        <w:spacing w:line="360" w:lineRule="auto"/>
        <w:jc w:val="both"/>
        <w:rPr>
          <w:rFonts w:eastAsia="Calibri"/>
          <w:noProof/>
          <w:lang w:val="es-DO"/>
        </w:rPr>
      </w:pPr>
    </w:p>
    <w:p w14:paraId="70AB528B" w14:textId="77777777" w:rsidR="00FF3551" w:rsidRPr="00406103" w:rsidRDefault="00FF3551" w:rsidP="00D64261">
      <w:pPr>
        <w:spacing w:line="360" w:lineRule="auto"/>
        <w:jc w:val="both"/>
        <w:rPr>
          <w:rFonts w:eastAsia="Calibri"/>
          <w:noProof/>
          <w:lang w:val="es-DO"/>
        </w:rPr>
      </w:pPr>
      <w:r w:rsidRPr="00406103">
        <w:rPr>
          <w:rFonts w:eastAsia="Calibri"/>
          <w:noProof/>
          <w:lang w:val="es-DO"/>
        </w:rPr>
        <w:t xml:space="preserve">Estas calificaciones vienen dadas por la evaluación que realiza la DIGEIG cada mes, sin embargo, hasta el momento contamos con los resultados hasta el mes de septiembre, podemos hacer una inferencia conforme a los resultados alcanzados que los meses por evaluar alcanzaremos la misma calificación por mes hasta finalizar el período 2025. </w:t>
      </w:r>
    </w:p>
    <w:p w14:paraId="778A85F8" w14:textId="77777777" w:rsidR="00FF3551" w:rsidRPr="00406103" w:rsidRDefault="00FF3551" w:rsidP="00D64261">
      <w:pPr>
        <w:spacing w:line="360" w:lineRule="auto"/>
        <w:jc w:val="both"/>
        <w:rPr>
          <w:rFonts w:eastAsia="Calibri"/>
          <w:noProof/>
          <w:lang w:val="es-DO"/>
        </w:rPr>
      </w:pPr>
      <w:r w:rsidRPr="00406103">
        <w:rPr>
          <w:rFonts w:eastAsia="Calibri"/>
          <w:noProof/>
          <w:lang w:val="es-DO"/>
        </w:rPr>
        <w:t>Tesorería Nacional evidenció el cumplimiento con la Ley Núm., 200-04 y el Decreto Número 130-05 de Libre Acceso a la Información Pública y con el Monitoreo de Estandarización de Divisiones de Transparencia, resolución 002-2021, el cual consiste en, medir la disponibilidad de la información pública y transparencia activa.</w:t>
      </w:r>
    </w:p>
    <w:p w14:paraId="34F919D4" w14:textId="77777777" w:rsidR="00B046C6" w:rsidRDefault="00B046C6" w:rsidP="00D64261">
      <w:pPr>
        <w:spacing w:line="360" w:lineRule="auto"/>
        <w:jc w:val="both"/>
        <w:rPr>
          <w:rFonts w:eastAsia="Calibri"/>
          <w:noProof/>
          <w:lang w:val="es-DO"/>
        </w:rPr>
      </w:pPr>
    </w:p>
    <w:p w14:paraId="7EB0A183" w14:textId="77777777" w:rsidR="0094521B" w:rsidRPr="00406103" w:rsidRDefault="0094521B" w:rsidP="00D64261">
      <w:pPr>
        <w:spacing w:line="360" w:lineRule="auto"/>
        <w:jc w:val="both"/>
        <w:rPr>
          <w:rFonts w:eastAsia="Calibri"/>
          <w:noProof/>
          <w:lang w:val="es-DO"/>
        </w:rPr>
      </w:pPr>
    </w:p>
    <w:p w14:paraId="41D9ED36" w14:textId="77777777" w:rsidR="00B046C6" w:rsidRPr="00406103" w:rsidRDefault="00B046C6" w:rsidP="00D64261">
      <w:pPr>
        <w:spacing w:line="360" w:lineRule="auto"/>
        <w:jc w:val="both"/>
        <w:rPr>
          <w:rFonts w:eastAsia="Calibri"/>
          <w:noProof/>
          <w:lang w:val="es-DO"/>
        </w:rPr>
      </w:pPr>
    </w:p>
    <w:p w14:paraId="1B64D3DD" w14:textId="77777777" w:rsidR="00B046C6" w:rsidRPr="00406103" w:rsidRDefault="00B046C6" w:rsidP="00D64261">
      <w:pPr>
        <w:spacing w:line="360" w:lineRule="auto"/>
        <w:jc w:val="both"/>
        <w:rPr>
          <w:rFonts w:eastAsia="Calibri"/>
          <w:noProof/>
          <w:lang w:val="es-DO"/>
        </w:rPr>
      </w:pPr>
    </w:p>
    <w:p w14:paraId="5AFBCD7D" w14:textId="77777777" w:rsidR="00B046C6" w:rsidRPr="00406103" w:rsidRDefault="00B046C6" w:rsidP="00D64261">
      <w:pPr>
        <w:spacing w:line="360" w:lineRule="auto"/>
        <w:jc w:val="both"/>
        <w:rPr>
          <w:rFonts w:eastAsia="Calibri"/>
          <w:noProof/>
          <w:lang w:val="es-DO"/>
        </w:rPr>
      </w:pPr>
    </w:p>
    <w:p w14:paraId="30FF63ED" w14:textId="77777777" w:rsidR="00DD7615" w:rsidRPr="00406103" w:rsidRDefault="00DD7615" w:rsidP="00D64261">
      <w:pPr>
        <w:pStyle w:val="Ttulo1"/>
        <w:rPr>
          <w:color w:val="767171"/>
          <w:lang w:val="es-DO"/>
        </w:rPr>
      </w:pPr>
      <w:bookmarkStart w:id="47" w:name="_Toc215652633"/>
      <w:r w:rsidRPr="00406103">
        <w:rPr>
          <w:color w:val="767171"/>
          <w:lang w:val="es-DO"/>
        </w:rPr>
        <w:lastRenderedPageBreak/>
        <w:t>PROYECCIONES AL PRÓXIMO AÑO</w:t>
      </w:r>
      <w:bookmarkEnd w:id="47"/>
    </w:p>
    <w:p w14:paraId="50A93A1D" w14:textId="77777777" w:rsidR="00DD7615" w:rsidRPr="00406103" w:rsidRDefault="00DD7615" w:rsidP="00D64261">
      <w:pPr>
        <w:spacing w:line="360" w:lineRule="auto"/>
        <w:jc w:val="both"/>
        <w:rPr>
          <w:rFonts w:eastAsia="Calibri"/>
          <w:sz w:val="18"/>
          <w:lang w:val="es-DO"/>
        </w:rPr>
      </w:pPr>
      <w:r w:rsidRPr="00406103">
        <w:rPr>
          <w:rFonts w:eastAsia="Calibri"/>
          <w:noProof/>
          <w:sz w:val="18"/>
          <w:lang w:val="es-DO" w:eastAsia="es-DO"/>
        </w:rPr>
        <mc:AlternateContent>
          <mc:Choice Requires="wps">
            <w:drawing>
              <wp:anchor distT="0" distB="0" distL="114300" distR="114300" simplePos="0" relativeHeight="251723776" behindDoc="0" locked="0" layoutInCell="1" allowOverlap="1" wp14:anchorId="456CF742" wp14:editId="00566CE8">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B69C5" id="Straight Connector 11" o:spid="_x0000_s1026" style="position:absolute;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7273B29" w14:textId="4491E2D1" w:rsidR="00DD7615" w:rsidRPr="00406103" w:rsidRDefault="00DD7615" w:rsidP="00D64261">
      <w:pPr>
        <w:spacing w:line="360" w:lineRule="auto"/>
        <w:jc w:val="center"/>
        <w:rPr>
          <w:rFonts w:eastAsia="Calibri"/>
          <w:szCs w:val="36"/>
          <w:lang w:val="es-DO"/>
        </w:rPr>
      </w:pPr>
      <w:r w:rsidRPr="00406103">
        <w:rPr>
          <w:rFonts w:eastAsia="Calibri"/>
          <w:szCs w:val="36"/>
          <w:lang w:val="es-DO"/>
        </w:rPr>
        <w:t xml:space="preserve">Memoria </w:t>
      </w:r>
      <w:r w:rsidR="00F05DF4" w:rsidRPr="00406103">
        <w:rPr>
          <w:rFonts w:eastAsia="Calibri"/>
          <w:szCs w:val="36"/>
          <w:lang w:val="es-DO"/>
        </w:rPr>
        <w:t>I</w:t>
      </w:r>
      <w:r w:rsidRPr="00406103">
        <w:rPr>
          <w:rFonts w:eastAsia="Calibri"/>
          <w:szCs w:val="36"/>
          <w:lang w:val="es-DO"/>
        </w:rPr>
        <w:t xml:space="preserve">nstitucional </w:t>
      </w:r>
      <w:r w:rsidR="000025D4" w:rsidRPr="00406103">
        <w:rPr>
          <w:rFonts w:eastAsia="Calibri"/>
          <w:szCs w:val="36"/>
          <w:lang w:val="es-DO"/>
        </w:rPr>
        <w:t>20</w:t>
      </w:r>
      <w:r w:rsidR="00A5647B" w:rsidRPr="00406103">
        <w:rPr>
          <w:rFonts w:eastAsia="Calibri"/>
          <w:szCs w:val="36"/>
          <w:lang w:val="es-DO"/>
        </w:rPr>
        <w:t>25</w:t>
      </w:r>
    </w:p>
    <w:p w14:paraId="739D1B69" w14:textId="77777777" w:rsidR="00162A94" w:rsidRPr="00162A94" w:rsidRDefault="00162A94" w:rsidP="00162A94">
      <w:pPr>
        <w:spacing w:line="360" w:lineRule="auto"/>
        <w:jc w:val="both"/>
        <w:rPr>
          <w:rFonts w:eastAsia="Calibri"/>
          <w:szCs w:val="36"/>
          <w:lang w:val="es-DO"/>
        </w:rPr>
      </w:pPr>
      <w:r w:rsidRPr="00162A94">
        <w:rPr>
          <w:rFonts w:eastAsia="Calibri"/>
          <w:szCs w:val="36"/>
          <w:lang w:val="es-DO"/>
        </w:rPr>
        <w:t xml:space="preserve">La Tesorería Nacional realizó un levantamiento de información para el desarrollo de </w:t>
      </w:r>
      <w:proofErr w:type="spellStart"/>
      <w:r w:rsidRPr="00162A94">
        <w:rPr>
          <w:rFonts w:eastAsia="Calibri"/>
          <w:szCs w:val="36"/>
          <w:lang w:val="es-DO"/>
        </w:rPr>
        <w:t>Dashboards</w:t>
      </w:r>
      <w:proofErr w:type="spellEnd"/>
      <w:r w:rsidRPr="00162A94">
        <w:rPr>
          <w:rFonts w:eastAsia="Calibri"/>
          <w:szCs w:val="36"/>
          <w:lang w:val="es-DO"/>
        </w:rPr>
        <w:t xml:space="preserve">, con la finalidad de determinar los datos de entrada requeridos, los indicadores clave y visualizaciones adecuados para su presentación. Actualmente está en proceso de sistematización el Informe de Disponibilidad del Tesoro, en conjunto con el Grupo de Soluciones Informáticas (GSI), para elaborar el tablero de visualización de datos en la herramienta </w:t>
      </w:r>
      <w:proofErr w:type="spellStart"/>
      <w:r w:rsidRPr="00162A94">
        <w:rPr>
          <w:rFonts w:eastAsia="Calibri"/>
          <w:szCs w:val="36"/>
          <w:lang w:val="es-DO"/>
        </w:rPr>
        <w:t>Power</w:t>
      </w:r>
      <w:proofErr w:type="spellEnd"/>
      <w:r w:rsidRPr="00162A94">
        <w:rPr>
          <w:rFonts w:eastAsia="Calibri"/>
          <w:szCs w:val="36"/>
          <w:lang w:val="es-DO"/>
        </w:rPr>
        <w:t xml:space="preserve"> Bi.</w:t>
      </w:r>
    </w:p>
    <w:p w14:paraId="2E95FD05" w14:textId="77777777" w:rsidR="00D93BC5" w:rsidRPr="00406103" w:rsidRDefault="00D93BC5" w:rsidP="00D64261">
      <w:pPr>
        <w:spacing w:line="360" w:lineRule="auto"/>
        <w:jc w:val="center"/>
        <w:rPr>
          <w:rFonts w:eastAsia="Calibri"/>
          <w:szCs w:val="36"/>
          <w:lang w:val="es-DO"/>
        </w:rPr>
      </w:pPr>
    </w:p>
    <w:p w14:paraId="07B05446" w14:textId="77777777" w:rsidR="00D93BC5" w:rsidRPr="00406103" w:rsidRDefault="00D93BC5" w:rsidP="00D64261">
      <w:pPr>
        <w:spacing w:line="360" w:lineRule="auto"/>
        <w:jc w:val="center"/>
        <w:rPr>
          <w:rFonts w:eastAsia="Calibri"/>
          <w:szCs w:val="36"/>
          <w:lang w:val="es-DO"/>
        </w:rPr>
      </w:pPr>
    </w:p>
    <w:p w14:paraId="0754B6CC" w14:textId="77777777" w:rsidR="002449F9" w:rsidRPr="00406103" w:rsidRDefault="002449F9" w:rsidP="00D64261">
      <w:pPr>
        <w:spacing w:line="360" w:lineRule="auto"/>
        <w:jc w:val="center"/>
        <w:rPr>
          <w:rFonts w:eastAsia="Calibri"/>
          <w:szCs w:val="36"/>
          <w:lang w:val="es-DO"/>
        </w:rPr>
      </w:pPr>
    </w:p>
    <w:p w14:paraId="79BE3CE6" w14:textId="77777777" w:rsidR="002449F9" w:rsidRPr="00406103" w:rsidRDefault="002449F9" w:rsidP="00D64261">
      <w:pPr>
        <w:spacing w:line="360" w:lineRule="auto"/>
        <w:jc w:val="center"/>
        <w:rPr>
          <w:rFonts w:eastAsia="Calibri"/>
          <w:szCs w:val="36"/>
          <w:lang w:val="es-DO"/>
        </w:rPr>
      </w:pPr>
    </w:p>
    <w:p w14:paraId="4850929F" w14:textId="77777777" w:rsidR="002449F9" w:rsidRPr="00406103" w:rsidRDefault="002449F9" w:rsidP="00D64261">
      <w:pPr>
        <w:spacing w:line="360" w:lineRule="auto"/>
        <w:jc w:val="center"/>
        <w:rPr>
          <w:rFonts w:eastAsia="Calibri"/>
          <w:szCs w:val="36"/>
          <w:lang w:val="es-DO"/>
        </w:rPr>
      </w:pPr>
    </w:p>
    <w:p w14:paraId="5C5614E1" w14:textId="77777777" w:rsidR="002449F9" w:rsidRPr="00406103" w:rsidRDefault="002449F9" w:rsidP="00D64261">
      <w:pPr>
        <w:spacing w:line="360" w:lineRule="auto"/>
        <w:jc w:val="center"/>
        <w:rPr>
          <w:rFonts w:eastAsia="Calibri"/>
          <w:szCs w:val="36"/>
          <w:lang w:val="es-DO"/>
        </w:rPr>
      </w:pPr>
    </w:p>
    <w:p w14:paraId="2D34FFAA" w14:textId="77777777" w:rsidR="002449F9" w:rsidRPr="00406103" w:rsidRDefault="002449F9" w:rsidP="00D64261">
      <w:pPr>
        <w:spacing w:line="360" w:lineRule="auto"/>
        <w:jc w:val="center"/>
        <w:rPr>
          <w:rFonts w:eastAsia="Calibri"/>
          <w:szCs w:val="36"/>
          <w:lang w:val="es-DO"/>
        </w:rPr>
      </w:pPr>
    </w:p>
    <w:p w14:paraId="4F98AFA6" w14:textId="77777777" w:rsidR="002449F9" w:rsidRPr="00406103" w:rsidRDefault="002449F9" w:rsidP="00D64261">
      <w:pPr>
        <w:spacing w:line="360" w:lineRule="auto"/>
        <w:jc w:val="center"/>
        <w:rPr>
          <w:rFonts w:eastAsia="Calibri"/>
          <w:szCs w:val="36"/>
          <w:lang w:val="es-DO"/>
        </w:rPr>
      </w:pPr>
    </w:p>
    <w:p w14:paraId="64BD549B" w14:textId="77777777" w:rsidR="002449F9" w:rsidRDefault="002449F9" w:rsidP="00D64261">
      <w:pPr>
        <w:spacing w:line="360" w:lineRule="auto"/>
        <w:jc w:val="center"/>
        <w:rPr>
          <w:rFonts w:eastAsia="Calibri"/>
          <w:szCs w:val="36"/>
          <w:lang w:val="es-DO"/>
        </w:rPr>
      </w:pPr>
    </w:p>
    <w:p w14:paraId="402A6392" w14:textId="77777777" w:rsidR="00E87313" w:rsidRDefault="00E87313" w:rsidP="00D64261">
      <w:pPr>
        <w:spacing w:line="360" w:lineRule="auto"/>
        <w:jc w:val="center"/>
        <w:rPr>
          <w:rFonts w:eastAsia="Calibri"/>
          <w:szCs w:val="36"/>
          <w:lang w:val="es-DO"/>
        </w:rPr>
      </w:pPr>
    </w:p>
    <w:p w14:paraId="25121594" w14:textId="77777777" w:rsidR="00E87313" w:rsidRPr="00406103" w:rsidRDefault="00E87313" w:rsidP="00D64261">
      <w:pPr>
        <w:spacing w:line="360" w:lineRule="auto"/>
        <w:jc w:val="center"/>
        <w:rPr>
          <w:rFonts w:eastAsia="Calibri"/>
          <w:szCs w:val="36"/>
          <w:lang w:val="es-DO"/>
        </w:rPr>
      </w:pPr>
    </w:p>
    <w:p w14:paraId="549750C5" w14:textId="77777777" w:rsidR="002449F9" w:rsidRPr="00406103" w:rsidRDefault="002449F9" w:rsidP="00D64261">
      <w:pPr>
        <w:spacing w:line="360" w:lineRule="auto"/>
        <w:jc w:val="center"/>
        <w:rPr>
          <w:rFonts w:eastAsia="Calibri"/>
          <w:szCs w:val="36"/>
          <w:lang w:val="es-DO"/>
        </w:rPr>
      </w:pPr>
    </w:p>
    <w:p w14:paraId="5F210C69" w14:textId="77777777" w:rsidR="00E87313" w:rsidRDefault="00E87313" w:rsidP="00823DC1">
      <w:pPr>
        <w:rPr>
          <w:lang w:val="es-DO"/>
        </w:rPr>
      </w:pPr>
      <w:bookmarkStart w:id="48" w:name="_Toc215652634"/>
    </w:p>
    <w:p w14:paraId="07B59F76" w14:textId="77777777" w:rsidR="00823DC1" w:rsidRDefault="00823DC1" w:rsidP="00823DC1">
      <w:pPr>
        <w:rPr>
          <w:lang w:val="es-DO"/>
        </w:rPr>
      </w:pPr>
    </w:p>
    <w:p w14:paraId="291E62A0" w14:textId="65FE12B8" w:rsidR="00DD7615" w:rsidRPr="00406103" w:rsidRDefault="00DD7615" w:rsidP="00D64261">
      <w:pPr>
        <w:pStyle w:val="Ttulo1"/>
        <w:rPr>
          <w:color w:val="767171"/>
          <w:lang w:val="es-DO"/>
        </w:rPr>
      </w:pPr>
      <w:r w:rsidRPr="00406103">
        <w:rPr>
          <w:color w:val="767171"/>
          <w:lang w:val="es-DO"/>
        </w:rPr>
        <w:lastRenderedPageBreak/>
        <w:t>ANEXOS</w:t>
      </w:r>
      <w:bookmarkEnd w:id="48"/>
    </w:p>
    <w:p w14:paraId="0DBA53BE" w14:textId="77777777" w:rsidR="00DD7615" w:rsidRPr="00406103" w:rsidRDefault="00DD7615" w:rsidP="00D64261">
      <w:pPr>
        <w:spacing w:line="360" w:lineRule="auto"/>
        <w:jc w:val="both"/>
        <w:rPr>
          <w:rFonts w:eastAsia="Calibri"/>
          <w:sz w:val="18"/>
          <w:lang w:val="es-DO"/>
        </w:rPr>
      </w:pPr>
      <w:r w:rsidRPr="00406103">
        <w:rPr>
          <w:rFonts w:eastAsia="Calibri"/>
          <w:noProof/>
          <w:sz w:val="18"/>
          <w:lang w:val="es-DO" w:eastAsia="es-DO"/>
        </w:rPr>
        <mc:AlternateContent>
          <mc:Choice Requires="wps">
            <w:drawing>
              <wp:anchor distT="0" distB="0" distL="114300" distR="114300" simplePos="0" relativeHeight="251724800" behindDoc="0" locked="0" layoutInCell="1" allowOverlap="1" wp14:anchorId="0E9CB02A" wp14:editId="2C1EF15C">
                <wp:simplePos x="0" y="0"/>
                <wp:positionH relativeFrom="margin">
                  <wp:posOffset>2254250</wp:posOffset>
                </wp:positionH>
                <wp:positionV relativeFrom="paragraph">
                  <wp:posOffset>100625</wp:posOffset>
                </wp:positionV>
                <wp:extent cx="463550" cy="0"/>
                <wp:effectExtent l="22860" t="15875" r="18415" b="222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164C4" id="Straight Connector 12" o:spid="_x0000_s1026" style="position:absolute;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02B5BAB" w14:textId="06414EA0" w:rsidR="00DD7615" w:rsidRPr="00406103" w:rsidRDefault="00DD7615" w:rsidP="00D64261">
      <w:pPr>
        <w:spacing w:line="360" w:lineRule="auto"/>
        <w:jc w:val="center"/>
        <w:rPr>
          <w:rFonts w:eastAsia="Calibri"/>
          <w:szCs w:val="36"/>
          <w:lang w:val="es-DO"/>
        </w:rPr>
      </w:pPr>
      <w:r w:rsidRPr="00406103">
        <w:rPr>
          <w:rFonts w:eastAsia="Calibri"/>
          <w:szCs w:val="36"/>
          <w:lang w:val="es-DO"/>
        </w:rPr>
        <w:t xml:space="preserve">Memoria </w:t>
      </w:r>
      <w:r w:rsidR="00F05DF4" w:rsidRPr="00406103">
        <w:rPr>
          <w:rFonts w:eastAsia="Calibri"/>
          <w:szCs w:val="36"/>
          <w:lang w:val="es-DO"/>
        </w:rPr>
        <w:t>I</w:t>
      </w:r>
      <w:r w:rsidRPr="00406103">
        <w:rPr>
          <w:rFonts w:eastAsia="Calibri"/>
          <w:szCs w:val="36"/>
          <w:lang w:val="es-DO"/>
        </w:rPr>
        <w:t xml:space="preserve">nstitucional </w:t>
      </w:r>
      <w:r w:rsidR="000025D4" w:rsidRPr="00406103">
        <w:rPr>
          <w:rFonts w:eastAsia="Calibri"/>
          <w:szCs w:val="36"/>
          <w:lang w:val="es-DO"/>
        </w:rPr>
        <w:t>20</w:t>
      </w:r>
      <w:r w:rsidR="00A5647B" w:rsidRPr="00406103">
        <w:rPr>
          <w:rFonts w:eastAsia="Calibri"/>
          <w:szCs w:val="36"/>
          <w:lang w:val="es-DO"/>
        </w:rPr>
        <w:t>25</w:t>
      </w:r>
    </w:p>
    <w:p w14:paraId="64691382" w14:textId="433FBC4B" w:rsidR="008209E2" w:rsidRPr="00406103" w:rsidRDefault="008209E2" w:rsidP="00D64261">
      <w:pPr>
        <w:spacing w:line="360" w:lineRule="auto"/>
        <w:rPr>
          <w:b/>
          <w:bCs/>
          <w:lang w:val="es-DO"/>
        </w:rPr>
      </w:pPr>
      <w:r w:rsidRPr="00406103">
        <w:rPr>
          <w:b/>
          <w:bCs/>
          <w:lang w:val="es-DO"/>
        </w:rPr>
        <w:t>a. Matriz de logros relevantes</w:t>
      </w:r>
    </w:p>
    <w:p w14:paraId="22C8A285" w14:textId="40FF49EC" w:rsidR="002449F9" w:rsidRDefault="000C3458" w:rsidP="00D64261">
      <w:pPr>
        <w:spacing w:line="360" w:lineRule="auto"/>
        <w:rPr>
          <w:color w:val="4C4747"/>
          <w:lang w:val="es-DO"/>
        </w:rPr>
      </w:pPr>
      <w:r w:rsidRPr="000C3458">
        <w:rPr>
          <w:noProof/>
        </w:rPr>
        <w:drawing>
          <wp:inline distT="0" distB="0" distL="0" distR="0" wp14:anchorId="1993C2A9" wp14:editId="5BA009A7">
            <wp:extent cx="5029200" cy="2763520"/>
            <wp:effectExtent l="0" t="0" r="0" b="0"/>
            <wp:docPr id="81322267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029200" cy="2763520"/>
                    </a:xfrm>
                    <a:prstGeom prst="rect">
                      <a:avLst/>
                    </a:prstGeom>
                    <a:noFill/>
                    <a:ln>
                      <a:noFill/>
                    </a:ln>
                  </pic:spPr>
                </pic:pic>
              </a:graphicData>
            </a:graphic>
          </wp:inline>
        </w:drawing>
      </w:r>
    </w:p>
    <w:p w14:paraId="5E4B6C49" w14:textId="77777777" w:rsidR="008209E2" w:rsidRPr="000C3458" w:rsidRDefault="008209E2" w:rsidP="00D64261">
      <w:pPr>
        <w:spacing w:line="360" w:lineRule="auto"/>
        <w:rPr>
          <w:b/>
          <w:bCs/>
          <w:lang w:val="es-DO"/>
        </w:rPr>
      </w:pPr>
      <w:r w:rsidRPr="000C3458">
        <w:rPr>
          <w:b/>
          <w:bCs/>
          <w:lang w:val="es-DO"/>
        </w:rPr>
        <w:t xml:space="preserve">b. Matriz de Gestión Presupuestaria Anual. </w:t>
      </w:r>
    </w:p>
    <w:p w14:paraId="468117E1" w14:textId="24E85F29" w:rsidR="00B35429" w:rsidRDefault="002449F9" w:rsidP="00D64261">
      <w:pPr>
        <w:spacing w:line="360" w:lineRule="auto"/>
        <w:rPr>
          <w:color w:val="4C4747"/>
          <w:lang w:val="es-DO"/>
        </w:rPr>
      </w:pPr>
      <w:r w:rsidRPr="002449F9">
        <w:rPr>
          <w:noProof/>
        </w:rPr>
        <w:drawing>
          <wp:inline distT="0" distB="0" distL="0" distR="0" wp14:anchorId="07D39A0D" wp14:editId="5E6EF63E">
            <wp:extent cx="5029200" cy="2426970"/>
            <wp:effectExtent l="0" t="0" r="0" b="0"/>
            <wp:docPr id="164813605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029200" cy="2426970"/>
                    </a:xfrm>
                    <a:prstGeom prst="rect">
                      <a:avLst/>
                    </a:prstGeom>
                    <a:noFill/>
                    <a:ln>
                      <a:noFill/>
                    </a:ln>
                  </pic:spPr>
                </pic:pic>
              </a:graphicData>
            </a:graphic>
          </wp:inline>
        </w:drawing>
      </w:r>
    </w:p>
    <w:p w14:paraId="78E4C695" w14:textId="77777777" w:rsidR="002449F9" w:rsidRDefault="002449F9" w:rsidP="00D64261">
      <w:pPr>
        <w:spacing w:line="360" w:lineRule="auto"/>
        <w:rPr>
          <w:color w:val="4C4747"/>
          <w:lang w:val="es-DO"/>
        </w:rPr>
      </w:pPr>
    </w:p>
    <w:p w14:paraId="1DCCB211" w14:textId="77777777" w:rsidR="00E24477" w:rsidRDefault="00E24477" w:rsidP="00D64261">
      <w:pPr>
        <w:spacing w:line="360" w:lineRule="auto"/>
        <w:rPr>
          <w:color w:val="4C4747"/>
          <w:lang w:val="es-DO"/>
        </w:rPr>
      </w:pPr>
    </w:p>
    <w:p w14:paraId="4B99D073" w14:textId="77777777" w:rsidR="008209E2" w:rsidRPr="000C3458" w:rsidRDefault="008209E2" w:rsidP="00D64261">
      <w:pPr>
        <w:spacing w:line="360" w:lineRule="auto"/>
        <w:rPr>
          <w:b/>
          <w:bCs/>
          <w:lang w:val="es-DO"/>
        </w:rPr>
      </w:pPr>
      <w:r w:rsidRPr="000C3458">
        <w:rPr>
          <w:b/>
          <w:bCs/>
          <w:lang w:val="es-DO"/>
        </w:rPr>
        <w:lastRenderedPageBreak/>
        <w:t xml:space="preserve">c. Matriz de principales indicadores del POA. </w:t>
      </w:r>
    </w:p>
    <w:p w14:paraId="624F102B" w14:textId="77777777" w:rsidR="002A762D" w:rsidRDefault="002A762D" w:rsidP="00B35429">
      <w:pPr>
        <w:spacing w:line="360" w:lineRule="auto"/>
        <w:rPr>
          <w:color w:val="4C4747"/>
          <w:lang w:val="es-DO"/>
        </w:rPr>
      </w:pPr>
      <w:r w:rsidRPr="002A762D">
        <w:rPr>
          <w:noProof/>
          <w:color w:val="4C4747"/>
          <w:lang w:val="es-DO"/>
        </w:rPr>
        <w:drawing>
          <wp:inline distT="0" distB="0" distL="0" distR="0" wp14:anchorId="1839B01D" wp14:editId="088E3E78">
            <wp:extent cx="5029200" cy="3126740"/>
            <wp:effectExtent l="0" t="0" r="0" b="0"/>
            <wp:docPr id="256898135" name="Picture 1" descr="A white and blue tab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898135" name="Picture 1" descr="A white and blue table with black text&#10;&#10;AI-generated content may be incorrect."/>
                    <pic:cNvPicPr/>
                  </pic:nvPicPr>
                  <pic:blipFill>
                    <a:blip r:embed="rId65"/>
                    <a:stretch>
                      <a:fillRect/>
                    </a:stretch>
                  </pic:blipFill>
                  <pic:spPr>
                    <a:xfrm>
                      <a:off x="0" y="0"/>
                      <a:ext cx="5029200" cy="3126740"/>
                    </a:xfrm>
                    <a:prstGeom prst="rect">
                      <a:avLst/>
                    </a:prstGeom>
                  </pic:spPr>
                </pic:pic>
              </a:graphicData>
            </a:graphic>
          </wp:inline>
        </w:drawing>
      </w:r>
      <w:r w:rsidRPr="002A762D">
        <w:rPr>
          <w:noProof/>
          <w:color w:val="4C4747"/>
          <w:lang w:val="es-DO"/>
        </w:rPr>
        <w:drawing>
          <wp:inline distT="0" distB="0" distL="0" distR="0" wp14:anchorId="1794D812" wp14:editId="1BBA17A2">
            <wp:extent cx="5029200" cy="3637280"/>
            <wp:effectExtent l="0" t="0" r="0" b="1270"/>
            <wp:docPr id="1713056981" name="Picture 1" descr="A table of information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056981" name="Picture 1" descr="A table of information with text&#10;&#10;AI-generated content may be incorrect."/>
                    <pic:cNvPicPr/>
                  </pic:nvPicPr>
                  <pic:blipFill>
                    <a:blip r:embed="rId66"/>
                    <a:stretch>
                      <a:fillRect/>
                    </a:stretch>
                  </pic:blipFill>
                  <pic:spPr>
                    <a:xfrm>
                      <a:off x="0" y="0"/>
                      <a:ext cx="5029200" cy="3637280"/>
                    </a:xfrm>
                    <a:prstGeom prst="rect">
                      <a:avLst/>
                    </a:prstGeom>
                  </pic:spPr>
                </pic:pic>
              </a:graphicData>
            </a:graphic>
          </wp:inline>
        </w:drawing>
      </w:r>
    </w:p>
    <w:p w14:paraId="494D0CF2" w14:textId="7021F8B4" w:rsidR="005B07A1" w:rsidRDefault="002A762D" w:rsidP="00B35429">
      <w:pPr>
        <w:spacing w:line="360" w:lineRule="auto"/>
        <w:rPr>
          <w:color w:val="4C4747"/>
          <w:lang w:val="es-DO"/>
        </w:rPr>
      </w:pPr>
      <w:r w:rsidRPr="002A762D">
        <w:rPr>
          <w:noProof/>
          <w:color w:val="4C4747"/>
          <w:lang w:val="es-DO"/>
        </w:rPr>
        <w:lastRenderedPageBreak/>
        <w:drawing>
          <wp:inline distT="0" distB="0" distL="0" distR="0" wp14:anchorId="5B9BA4E0" wp14:editId="20B8E47B">
            <wp:extent cx="5029200" cy="1934845"/>
            <wp:effectExtent l="0" t="0" r="0" b="8255"/>
            <wp:docPr id="241213640" name="Picture 1" descr="A table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213640" name="Picture 1" descr="A table with text and numbers&#10;&#10;AI-generated content may be incorrect."/>
                    <pic:cNvPicPr/>
                  </pic:nvPicPr>
                  <pic:blipFill>
                    <a:blip r:embed="rId67"/>
                    <a:stretch>
                      <a:fillRect/>
                    </a:stretch>
                  </pic:blipFill>
                  <pic:spPr>
                    <a:xfrm>
                      <a:off x="0" y="0"/>
                      <a:ext cx="5029200" cy="1934845"/>
                    </a:xfrm>
                    <a:prstGeom prst="rect">
                      <a:avLst/>
                    </a:prstGeom>
                  </pic:spPr>
                </pic:pic>
              </a:graphicData>
            </a:graphic>
          </wp:inline>
        </w:drawing>
      </w:r>
    </w:p>
    <w:p w14:paraId="6632351A" w14:textId="77777777" w:rsidR="000C3458" w:rsidRDefault="000C3458" w:rsidP="00D64261">
      <w:pPr>
        <w:spacing w:line="360" w:lineRule="auto"/>
        <w:rPr>
          <w:color w:val="4C4747"/>
          <w:lang w:val="es-DO"/>
        </w:rPr>
      </w:pPr>
    </w:p>
    <w:p w14:paraId="4F14B94B" w14:textId="77777777" w:rsidR="002A762D" w:rsidRDefault="002A762D" w:rsidP="00D64261">
      <w:pPr>
        <w:spacing w:line="360" w:lineRule="auto"/>
        <w:rPr>
          <w:color w:val="4C4747"/>
          <w:lang w:val="es-DO"/>
        </w:rPr>
      </w:pPr>
    </w:p>
    <w:p w14:paraId="7405D7C7" w14:textId="77777777" w:rsidR="002A762D" w:rsidRDefault="002A762D" w:rsidP="00D64261">
      <w:pPr>
        <w:spacing w:line="360" w:lineRule="auto"/>
        <w:rPr>
          <w:color w:val="4C4747"/>
          <w:lang w:val="es-DO"/>
        </w:rPr>
      </w:pPr>
    </w:p>
    <w:p w14:paraId="2544FD3B" w14:textId="77777777" w:rsidR="002A762D" w:rsidRDefault="002A762D" w:rsidP="00D64261">
      <w:pPr>
        <w:spacing w:line="360" w:lineRule="auto"/>
        <w:rPr>
          <w:color w:val="4C4747"/>
          <w:lang w:val="es-DO"/>
        </w:rPr>
      </w:pPr>
    </w:p>
    <w:p w14:paraId="1DD670C1" w14:textId="77777777" w:rsidR="002A762D" w:rsidRDefault="002A762D" w:rsidP="00D64261">
      <w:pPr>
        <w:spacing w:line="360" w:lineRule="auto"/>
        <w:rPr>
          <w:color w:val="4C4747"/>
          <w:lang w:val="es-DO"/>
        </w:rPr>
      </w:pPr>
    </w:p>
    <w:p w14:paraId="74D6066E" w14:textId="77777777" w:rsidR="002A762D" w:rsidRDefault="002A762D" w:rsidP="00D64261">
      <w:pPr>
        <w:spacing w:line="360" w:lineRule="auto"/>
        <w:rPr>
          <w:color w:val="4C4747"/>
          <w:lang w:val="es-DO"/>
        </w:rPr>
      </w:pPr>
    </w:p>
    <w:p w14:paraId="0C2B9049" w14:textId="77777777" w:rsidR="002A762D" w:rsidRDefault="002A762D" w:rsidP="00D64261">
      <w:pPr>
        <w:spacing w:line="360" w:lineRule="auto"/>
        <w:rPr>
          <w:color w:val="4C4747"/>
          <w:lang w:val="es-DO"/>
        </w:rPr>
      </w:pPr>
    </w:p>
    <w:p w14:paraId="1A6B873D" w14:textId="77777777" w:rsidR="002A762D" w:rsidRDefault="002A762D" w:rsidP="00D64261">
      <w:pPr>
        <w:spacing w:line="360" w:lineRule="auto"/>
        <w:rPr>
          <w:color w:val="4C4747"/>
          <w:lang w:val="es-DO"/>
        </w:rPr>
      </w:pPr>
    </w:p>
    <w:p w14:paraId="094D21F1" w14:textId="77777777" w:rsidR="002A762D" w:rsidRDefault="002A762D" w:rsidP="00D64261">
      <w:pPr>
        <w:spacing w:line="360" w:lineRule="auto"/>
        <w:rPr>
          <w:color w:val="4C4747"/>
          <w:lang w:val="es-DO"/>
        </w:rPr>
      </w:pPr>
    </w:p>
    <w:p w14:paraId="1BA71298" w14:textId="77777777" w:rsidR="002A762D" w:rsidRDefault="002A762D" w:rsidP="00D64261">
      <w:pPr>
        <w:spacing w:line="360" w:lineRule="auto"/>
        <w:rPr>
          <w:color w:val="4C4747"/>
          <w:lang w:val="es-DO"/>
        </w:rPr>
      </w:pPr>
    </w:p>
    <w:p w14:paraId="37F9EE33" w14:textId="77777777" w:rsidR="002A762D" w:rsidRDefault="002A762D" w:rsidP="00D64261">
      <w:pPr>
        <w:spacing w:line="360" w:lineRule="auto"/>
        <w:rPr>
          <w:color w:val="4C4747"/>
          <w:lang w:val="es-DO"/>
        </w:rPr>
      </w:pPr>
    </w:p>
    <w:p w14:paraId="03A32950" w14:textId="77777777" w:rsidR="002A762D" w:rsidRDefault="002A762D" w:rsidP="00D64261">
      <w:pPr>
        <w:spacing w:line="360" w:lineRule="auto"/>
        <w:rPr>
          <w:color w:val="4C4747"/>
          <w:lang w:val="es-DO"/>
        </w:rPr>
      </w:pPr>
    </w:p>
    <w:p w14:paraId="019D0336" w14:textId="77777777" w:rsidR="002A762D" w:rsidRDefault="002A762D" w:rsidP="00D64261">
      <w:pPr>
        <w:spacing w:line="360" w:lineRule="auto"/>
        <w:rPr>
          <w:color w:val="4C4747"/>
          <w:lang w:val="es-DO"/>
        </w:rPr>
      </w:pPr>
    </w:p>
    <w:p w14:paraId="71BAA15C" w14:textId="77777777" w:rsidR="002A762D" w:rsidRDefault="002A762D" w:rsidP="00D64261">
      <w:pPr>
        <w:spacing w:line="360" w:lineRule="auto"/>
        <w:rPr>
          <w:color w:val="4C4747"/>
          <w:lang w:val="es-DO"/>
        </w:rPr>
      </w:pPr>
    </w:p>
    <w:p w14:paraId="1D60E4CF" w14:textId="77777777" w:rsidR="002A762D" w:rsidRDefault="002A762D" w:rsidP="00D64261">
      <w:pPr>
        <w:spacing w:line="360" w:lineRule="auto"/>
        <w:rPr>
          <w:color w:val="4C4747"/>
          <w:lang w:val="es-DO"/>
        </w:rPr>
      </w:pPr>
    </w:p>
    <w:p w14:paraId="318B034C" w14:textId="77777777" w:rsidR="002A762D" w:rsidRDefault="002A762D" w:rsidP="00D64261">
      <w:pPr>
        <w:spacing w:line="360" w:lineRule="auto"/>
        <w:rPr>
          <w:color w:val="4C4747"/>
          <w:lang w:val="es-DO"/>
        </w:rPr>
      </w:pPr>
    </w:p>
    <w:p w14:paraId="5105E98F" w14:textId="4F9161B7" w:rsidR="002A762D" w:rsidRPr="00650B1B" w:rsidRDefault="002A762D" w:rsidP="00D64261">
      <w:pPr>
        <w:spacing w:line="360" w:lineRule="auto"/>
        <w:rPr>
          <w:b/>
          <w:bCs/>
          <w:color w:val="4C4747"/>
          <w:lang w:val="es-DO"/>
        </w:rPr>
      </w:pPr>
    </w:p>
    <w:p w14:paraId="0779003C" w14:textId="07A65E3F" w:rsidR="00654164" w:rsidRPr="00B35429" w:rsidRDefault="008209E2" w:rsidP="00D64261">
      <w:pPr>
        <w:spacing w:line="360" w:lineRule="auto"/>
        <w:rPr>
          <w:b/>
          <w:bCs/>
          <w:color w:val="4C4747"/>
          <w:lang w:val="es-DO"/>
        </w:rPr>
      </w:pPr>
      <w:r w:rsidRPr="00B35429">
        <w:rPr>
          <w:b/>
          <w:bCs/>
          <w:color w:val="4C4747"/>
          <w:lang w:val="es-DO"/>
        </w:rPr>
        <w:lastRenderedPageBreak/>
        <w:t>d. Resumen del Plan de Compras.</w:t>
      </w:r>
    </w:p>
    <w:tbl>
      <w:tblPr>
        <w:tblW w:w="7246" w:type="dxa"/>
        <w:jc w:val="center"/>
        <w:tblLayout w:type="fixed"/>
        <w:tblCellMar>
          <w:left w:w="70" w:type="dxa"/>
          <w:right w:w="70" w:type="dxa"/>
        </w:tblCellMar>
        <w:tblLook w:val="04A0" w:firstRow="1" w:lastRow="0" w:firstColumn="1" w:lastColumn="0" w:noHBand="0" w:noVBand="1"/>
      </w:tblPr>
      <w:tblGrid>
        <w:gridCol w:w="4037"/>
        <w:gridCol w:w="185"/>
        <w:gridCol w:w="185"/>
        <w:gridCol w:w="2679"/>
        <w:gridCol w:w="160"/>
      </w:tblGrid>
      <w:tr w:rsidR="005B07A1" w:rsidRPr="00B47076" w14:paraId="3694930A" w14:textId="77777777" w:rsidTr="00E24477">
        <w:trPr>
          <w:gridAfter w:val="1"/>
          <w:wAfter w:w="160" w:type="dxa"/>
          <w:trHeight w:val="458"/>
          <w:tblHeader/>
          <w:jc w:val="center"/>
        </w:trPr>
        <w:tc>
          <w:tcPr>
            <w:tcW w:w="7086" w:type="dxa"/>
            <w:gridSpan w:val="4"/>
            <w:vMerge w:val="restart"/>
            <w:tcBorders>
              <w:top w:val="single" w:sz="8" w:space="0" w:color="auto"/>
              <w:left w:val="single" w:sz="8" w:space="0" w:color="auto"/>
              <w:bottom w:val="single" w:sz="8" w:space="0" w:color="000000"/>
              <w:right w:val="single" w:sz="8" w:space="0" w:color="000000"/>
            </w:tcBorders>
            <w:shd w:val="clear" w:color="000000" w:fill="003876"/>
            <w:noWrap/>
            <w:vAlign w:val="center"/>
            <w:hideMark/>
          </w:tcPr>
          <w:p w14:paraId="408482A4" w14:textId="4F3C12F4" w:rsidR="00E24477" w:rsidRPr="000C3458" w:rsidRDefault="005B07A1" w:rsidP="00E24477">
            <w:pPr>
              <w:spacing w:after="0" w:line="240" w:lineRule="auto"/>
              <w:jc w:val="center"/>
              <w:rPr>
                <w:rFonts w:eastAsia="Times New Roman"/>
                <w:color w:val="FFFFFF"/>
                <w:spacing w:val="0"/>
                <w:lang w:val="es-DO" w:eastAsia="es-DO"/>
              </w:rPr>
            </w:pPr>
            <w:r w:rsidRPr="000C3458">
              <w:rPr>
                <w:rFonts w:eastAsia="Times New Roman"/>
                <w:color w:val="FFFFFF"/>
                <w:spacing w:val="0"/>
                <w:lang w:val="es-DO" w:eastAsia="es-DO"/>
              </w:rPr>
              <w:t>RESUMEN DEL PLAN DE COMPRAS</w:t>
            </w:r>
          </w:p>
        </w:tc>
      </w:tr>
      <w:tr w:rsidR="005B07A1" w:rsidRPr="00B47076" w14:paraId="09FBE19E" w14:textId="77777777" w:rsidTr="005B07A1">
        <w:trPr>
          <w:trHeight w:val="405"/>
          <w:jc w:val="center"/>
        </w:trPr>
        <w:tc>
          <w:tcPr>
            <w:tcW w:w="7086" w:type="dxa"/>
            <w:gridSpan w:val="4"/>
            <w:vMerge/>
            <w:tcBorders>
              <w:top w:val="single" w:sz="8" w:space="0" w:color="auto"/>
              <w:left w:val="single" w:sz="8" w:space="0" w:color="auto"/>
              <w:bottom w:val="single" w:sz="8" w:space="0" w:color="000000"/>
              <w:right w:val="single" w:sz="8" w:space="0" w:color="000000"/>
            </w:tcBorders>
            <w:vAlign w:val="center"/>
            <w:hideMark/>
          </w:tcPr>
          <w:p w14:paraId="7CD9A8B7" w14:textId="77777777" w:rsidR="005B07A1" w:rsidRPr="000C3458" w:rsidRDefault="005B07A1" w:rsidP="005B07A1">
            <w:pPr>
              <w:spacing w:after="0" w:line="240" w:lineRule="auto"/>
              <w:rPr>
                <w:rFonts w:eastAsia="Times New Roman"/>
                <w:color w:val="FFFFFF"/>
                <w:spacing w:val="0"/>
                <w:lang w:val="es-DO" w:eastAsia="es-DO"/>
              </w:rPr>
            </w:pPr>
          </w:p>
        </w:tc>
        <w:tc>
          <w:tcPr>
            <w:tcW w:w="160" w:type="dxa"/>
            <w:tcBorders>
              <w:top w:val="nil"/>
              <w:left w:val="nil"/>
              <w:bottom w:val="nil"/>
              <w:right w:val="nil"/>
            </w:tcBorders>
            <w:noWrap/>
            <w:vAlign w:val="bottom"/>
            <w:hideMark/>
          </w:tcPr>
          <w:p w14:paraId="452A7CA0" w14:textId="77777777" w:rsidR="005B07A1" w:rsidRPr="000C3458" w:rsidRDefault="005B07A1" w:rsidP="005B07A1">
            <w:pPr>
              <w:spacing w:after="0" w:line="240" w:lineRule="auto"/>
              <w:jc w:val="center"/>
              <w:rPr>
                <w:rFonts w:eastAsia="Times New Roman"/>
                <w:color w:val="FFFFFF"/>
                <w:spacing w:val="0"/>
                <w:lang w:val="es-DO" w:eastAsia="es-DO"/>
              </w:rPr>
            </w:pPr>
          </w:p>
        </w:tc>
      </w:tr>
      <w:tr w:rsidR="005B07A1" w:rsidRPr="000C3458" w14:paraId="443577E3" w14:textId="77777777" w:rsidTr="005B07A1">
        <w:trPr>
          <w:trHeight w:val="300"/>
          <w:jc w:val="center"/>
        </w:trPr>
        <w:tc>
          <w:tcPr>
            <w:tcW w:w="7086" w:type="dxa"/>
            <w:gridSpan w:val="4"/>
            <w:vMerge w:val="restart"/>
            <w:tcBorders>
              <w:top w:val="single" w:sz="8" w:space="0" w:color="auto"/>
              <w:left w:val="single" w:sz="8" w:space="0" w:color="auto"/>
              <w:bottom w:val="single" w:sz="8" w:space="0" w:color="000000"/>
              <w:right w:val="single" w:sz="8" w:space="0" w:color="000000"/>
            </w:tcBorders>
            <w:shd w:val="clear" w:color="000000" w:fill="003876"/>
            <w:noWrap/>
            <w:vAlign w:val="center"/>
            <w:hideMark/>
          </w:tcPr>
          <w:p w14:paraId="1F0B158F" w14:textId="77777777" w:rsidR="005B07A1" w:rsidRPr="000C3458" w:rsidRDefault="005B07A1" w:rsidP="005B07A1">
            <w:pPr>
              <w:spacing w:after="0" w:line="240" w:lineRule="auto"/>
              <w:jc w:val="center"/>
              <w:rPr>
                <w:rFonts w:eastAsia="Times New Roman"/>
                <w:b/>
                <w:bCs/>
                <w:color w:val="FFFFFF"/>
                <w:spacing w:val="0"/>
                <w:lang w:val="es-DO" w:eastAsia="es-DO"/>
              </w:rPr>
            </w:pPr>
            <w:r w:rsidRPr="000C3458">
              <w:rPr>
                <w:rFonts w:eastAsia="Times New Roman"/>
                <w:b/>
                <w:bCs/>
                <w:color w:val="FFFFFF"/>
                <w:spacing w:val="0"/>
                <w:lang w:val="es-DO" w:eastAsia="es-DO"/>
              </w:rPr>
              <w:t>DATOS DE CABECERA PACC</w:t>
            </w:r>
          </w:p>
        </w:tc>
        <w:tc>
          <w:tcPr>
            <w:tcW w:w="160" w:type="dxa"/>
            <w:vAlign w:val="center"/>
            <w:hideMark/>
          </w:tcPr>
          <w:p w14:paraId="0746DA68"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0C3458" w14:paraId="0E801AC5" w14:textId="77777777" w:rsidTr="005B07A1">
        <w:trPr>
          <w:trHeight w:val="315"/>
          <w:jc w:val="center"/>
        </w:trPr>
        <w:tc>
          <w:tcPr>
            <w:tcW w:w="7086" w:type="dxa"/>
            <w:gridSpan w:val="4"/>
            <w:vMerge/>
            <w:tcBorders>
              <w:top w:val="single" w:sz="8" w:space="0" w:color="auto"/>
              <w:left w:val="single" w:sz="8" w:space="0" w:color="auto"/>
              <w:bottom w:val="single" w:sz="8" w:space="0" w:color="000000"/>
              <w:right w:val="single" w:sz="8" w:space="0" w:color="000000"/>
            </w:tcBorders>
            <w:vAlign w:val="center"/>
            <w:hideMark/>
          </w:tcPr>
          <w:p w14:paraId="52450A78" w14:textId="77777777" w:rsidR="005B07A1" w:rsidRPr="000C3458" w:rsidRDefault="005B07A1" w:rsidP="005B07A1">
            <w:pPr>
              <w:spacing w:after="0" w:line="240" w:lineRule="auto"/>
              <w:rPr>
                <w:rFonts w:eastAsia="Times New Roman"/>
                <w:b/>
                <w:bCs/>
                <w:color w:val="FFFFFF"/>
                <w:spacing w:val="0"/>
                <w:lang w:val="es-DO" w:eastAsia="es-DO"/>
              </w:rPr>
            </w:pPr>
          </w:p>
        </w:tc>
        <w:tc>
          <w:tcPr>
            <w:tcW w:w="160" w:type="dxa"/>
            <w:tcBorders>
              <w:top w:val="nil"/>
              <w:left w:val="nil"/>
              <w:bottom w:val="nil"/>
              <w:right w:val="nil"/>
            </w:tcBorders>
            <w:noWrap/>
            <w:vAlign w:val="bottom"/>
            <w:hideMark/>
          </w:tcPr>
          <w:p w14:paraId="3DAF709D" w14:textId="77777777" w:rsidR="005B07A1" w:rsidRPr="000C3458" w:rsidRDefault="005B07A1" w:rsidP="005B07A1">
            <w:pPr>
              <w:spacing w:after="0" w:line="240" w:lineRule="auto"/>
              <w:jc w:val="center"/>
              <w:rPr>
                <w:rFonts w:eastAsia="Times New Roman"/>
                <w:b/>
                <w:bCs/>
                <w:color w:val="FFFFFF"/>
                <w:spacing w:val="0"/>
                <w:lang w:val="es-DO" w:eastAsia="es-DO"/>
              </w:rPr>
            </w:pPr>
          </w:p>
        </w:tc>
      </w:tr>
      <w:tr w:rsidR="005B07A1" w:rsidRPr="000C3458" w14:paraId="5F1DC2A8" w14:textId="77777777" w:rsidTr="005B07A1">
        <w:trPr>
          <w:trHeight w:val="300"/>
          <w:jc w:val="center"/>
        </w:trPr>
        <w:tc>
          <w:tcPr>
            <w:tcW w:w="4037" w:type="dxa"/>
            <w:tcBorders>
              <w:top w:val="nil"/>
              <w:left w:val="single" w:sz="8" w:space="0" w:color="auto"/>
              <w:bottom w:val="single" w:sz="4" w:space="0" w:color="auto"/>
              <w:right w:val="nil"/>
            </w:tcBorders>
            <w:vAlign w:val="bottom"/>
            <w:hideMark/>
          </w:tcPr>
          <w:p w14:paraId="638FA1F9"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Monto estimado total</w:t>
            </w:r>
          </w:p>
        </w:tc>
        <w:tc>
          <w:tcPr>
            <w:tcW w:w="185" w:type="dxa"/>
            <w:tcBorders>
              <w:top w:val="nil"/>
              <w:left w:val="nil"/>
              <w:bottom w:val="single" w:sz="4" w:space="0" w:color="auto"/>
              <w:right w:val="nil"/>
            </w:tcBorders>
            <w:noWrap/>
            <w:vAlign w:val="bottom"/>
            <w:hideMark/>
          </w:tcPr>
          <w:p w14:paraId="1845C652"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185" w:type="dxa"/>
            <w:tcBorders>
              <w:top w:val="nil"/>
              <w:left w:val="nil"/>
              <w:bottom w:val="single" w:sz="4" w:space="0" w:color="auto"/>
              <w:right w:val="nil"/>
            </w:tcBorders>
            <w:noWrap/>
            <w:vAlign w:val="bottom"/>
            <w:hideMark/>
          </w:tcPr>
          <w:p w14:paraId="47D5EABD"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2679" w:type="dxa"/>
            <w:tcBorders>
              <w:top w:val="nil"/>
              <w:left w:val="nil"/>
              <w:bottom w:val="single" w:sz="4" w:space="0" w:color="auto"/>
              <w:right w:val="single" w:sz="8" w:space="0" w:color="auto"/>
            </w:tcBorders>
            <w:noWrap/>
            <w:vAlign w:val="bottom"/>
            <w:hideMark/>
          </w:tcPr>
          <w:p w14:paraId="749B4247" w14:textId="77777777" w:rsidR="005B07A1" w:rsidRPr="000C3458" w:rsidRDefault="005B07A1" w:rsidP="005B07A1">
            <w:pPr>
              <w:spacing w:after="0" w:line="240" w:lineRule="auto"/>
              <w:jc w:val="right"/>
              <w:rPr>
                <w:rFonts w:eastAsia="Times New Roman"/>
                <w:spacing w:val="0"/>
                <w:lang w:val="es-DO" w:eastAsia="es-DO"/>
              </w:rPr>
            </w:pPr>
            <w:r w:rsidRPr="000C3458">
              <w:rPr>
                <w:rFonts w:eastAsia="Times New Roman"/>
                <w:spacing w:val="0"/>
                <w:lang w:val="es-DO" w:eastAsia="es-DO"/>
              </w:rPr>
              <w:t>120,014,982.46</w:t>
            </w:r>
          </w:p>
        </w:tc>
        <w:tc>
          <w:tcPr>
            <w:tcW w:w="160" w:type="dxa"/>
            <w:vAlign w:val="center"/>
            <w:hideMark/>
          </w:tcPr>
          <w:p w14:paraId="034A9409"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0C3458" w14:paraId="6637C424" w14:textId="77777777" w:rsidTr="005B07A1">
        <w:trPr>
          <w:trHeight w:val="300"/>
          <w:jc w:val="center"/>
        </w:trPr>
        <w:tc>
          <w:tcPr>
            <w:tcW w:w="4037" w:type="dxa"/>
            <w:tcBorders>
              <w:top w:val="nil"/>
              <w:left w:val="single" w:sz="8" w:space="0" w:color="auto"/>
              <w:bottom w:val="single" w:sz="4" w:space="0" w:color="auto"/>
              <w:right w:val="nil"/>
            </w:tcBorders>
            <w:noWrap/>
            <w:vAlign w:val="bottom"/>
            <w:hideMark/>
          </w:tcPr>
          <w:p w14:paraId="13C19961"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Monto total contratado</w:t>
            </w:r>
          </w:p>
        </w:tc>
        <w:tc>
          <w:tcPr>
            <w:tcW w:w="185" w:type="dxa"/>
            <w:tcBorders>
              <w:top w:val="nil"/>
              <w:left w:val="nil"/>
              <w:bottom w:val="single" w:sz="4" w:space="0" w:color="auto"/>
              <w:right w:val="nil"/>
            </w:tcBorders>
            <w:noWrap/>
            <w:vAlign w:val="bottom"/>
            <w:hideMark/>
          </w:tcPr>
          <w:p w14:paraId="0525C967"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185" w:type="dxa"/>
            <w:tcBorders>
              <w:top w:val="nil"/>
              <w:left w:val="nil"/>
              <w:bottom w:val="single" w:sz="4" w:space="0" w:color="auto"/>
              <w:right w:val="nil"/>
            </w:tcBorders>
            <w:noWrap/>
            <w:vAlign w:val="bottom"/>
            <w:hideMark/>
          </w:tcPr>
          <w:p w14:paraId="15AC1983"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2679" w:type="dxa"/>
            <w:tcBorders>
              <w:top w:val="nil"/>
              <w:left w:val="nil"/>
              <w:bottom w:val="single" w:sz="4" w:space="0" w:color="auto"/>
              <w:right w:val="single" w:sz="8" w:space="0" w:color="auto"/>
            </w:tcBorders>
            <w:noWrap/>
            <w:vAlign w:val="bottom"/>
            <w:hideMark/>
          </w:tcPr>
          <w:p w14:paraId="065B66B3" w14:textId="77777777" w:rsidR="005B07A1" w:rsidRPr="000C3458" w:rsidRDefault="005B07A1" w:rsidP="005B07A1">
            <w:pPr>
              <w:spacing w:after="0" w:line="240" w:lineRule="auto"/>
              <w:jc w:val="right"/>
              <w:rPr>
                <w:rFonts w:eastAsia="Times New Roman"/>
                <w:spacing w:val="0"/>
                <w:lang w:val="es-DO" w:eastAsia="es-DO"/>
              </w:rPr>
            </w:pPr>
            <w:r w:rsidRPr="000C3458">
              <w:rPr>
                <w:rFonts w:eastAsia="Times New Roman"/>
                <w:spacing w:val="0"/>
                <w:lang w:val="es-DO" w:eastAsia="es-DO"/>
              </w:rPr>
              <w:t>120,014,982.46</w:t>
            </w:r>
          </w:p>
        </w:tc>
        <w:tc>
          <w:tcPr>
            <w:tcW w:w="160" w:type="dxa"/>
            <w:vAlign w:val="center"/>
            <w:hideMark/>
          </w:tcPr>
          <w:p w14:paraId="7B7F85AA"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0C3458" w14:paraId="359B6C37" w14:textId="77777777" w:rsidTr="005B07A1">
        <w:trPr>
          <w:trHeight w:val="300"/>
          <w:jc w:val="center"/>
        </w:trPr>
        <w:tc>
          <w:tcPr>
            <w:tcW w:w="4037" w:type="dxa"/>
            <w:tcBorders>
              <w:top w:val="nil"/>
              <w:left w:val="single" w:sz="8" w:space="0" w:color="auto"/>
              <w:bottom w:val="single" w:sz="4" w:space="0" w:color="auto"/>
              <w:right w:val="nil"/>
            </w:tcBorders>
            <w:vAlign w:val="bottom"/>
            <w:hideMark/>
          </w:tcPr>
          <w:p w14:paraId="046C7CD0"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Cantidad de procesos registrados</w:t>
            </w:r>
          </w:p>
        </w:tc>
        <w:tc>
          <w:tcPr>
            <w:tcW w:w="185" w:type="dxa"/>
            <w:tcBorders>
              <w:top w:val="nil"/>
              <w:left w:val="nil"/>
              <w:bottom w:val="single" w:sz="4" w:space="0" w:color="auto"/>
              <w:right w:val="nil"/>
            </w:tcBorders>
            <w:noWrap/>
            <w:vAlign w:val="bottom"/>
            <w:hideMark/>
          </w:tcPr>
          <w:p w14:paraId="50FCE1F9"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185" w:type="dxa"/>
            <w:tcBorders>
              <w:top w:val="nil"/>
              <w:left w:val="nil"/>
              <w:bottom w:val="single" w:sz="4" w:space="0" w:color="auto"/>
              <w:right w:val="nil"/>
            </w:tcBorders>
            <w:noWrap/>
            <w:vAlign w:val="bottom"/>
            <w:hideMark/>
          </w:tcPr>
          <w:p w14:paraId="1075DFF5"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2679" w:type="dxa"/>
            <w:tcBorders>
              <w:top w:val="nil"/>
              <w:left w:val="nil"/>
              <w:bottom w:val="single" w:sz="4" w:space="0" w:color="auto"/>
              <w:right w:val="single" w:sz="8" w:space="0" w:color="auto"/>
            </w:tcBorders>
            <w:noWrap/>
            <w:vAlign w:val="center"/>
            <w:hideMark/>
          </w:tcPr>
          <w:p w14:paraId="151D6CF5" w14:textId="77777777" w:rsidR="005B07A1" w:rsidRPr="000C3458" w:rsidRDefault="005B07A1" w:rsidP="005B07A1">
            <w:pPr>
              <w:spacing w:after="0" w:line="240" w:lineRule="auto"/>
              <w:jc w:val="center"/>
              <w:rPr>
                <w:rFonts w:eastAsia="Times New Roman"/>
                <w:spacing w:val="0"/>
                <w:lang w:val="es-DO" w:eastAsia="es-DO"/>
              </w:rPr>
            </w:pPr>
            <w:r w:rsidRPr="000C3458">
              <w:rPr>
                <w:rFonts w:eastAsia="Times New Roman"/>
                <w:spacing w:val="0"/>
                <w:lang w:val="es-DO" w:eastAsia="es-DO"/>
              </w:rPr>
              <w:t>183</w:t>
            </w:r>
          </w:p>
        </w:tc>
        <w:tc>
          <w:tcPr>
            <w:tcW w:w="160" w:type="dxa"/>
            <w:vAlign w:val="center"/>
            <w:hideMark/>
          </w:tcPr>
          <w:p w14:paraId="24E9BA43"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0C3458" w14:paraId="426B8816" w14:textId="77777777" w:rsidTr="005B07A1">
        <w:trPr>
          <w:trHeight w:val="300"/>
          <w:jc w:val="center"/>
        </w:trPr>
        <w:tc>
          <w:tcPr>
            <w:tcW w:w="4037" w:type="dxa"/>
            <w:tcBorders>
              <w:top w:val="nil"/>
              <w:left w:val="single" w:sz="8" w:space="0" w:color="auto"/>
              <w:bottom w:val="single" w:sz="4" w:space="0" w:color="auto"/>
              <w:right w:val="nil"/>
            </w:tcBorders>
            <w:noWrap/>
            <w:vAlign w:val="bottom"/>
            <w:hideMark/>
          </w:tcPr>
          <w:p w14:paraId="26934596"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Capítulo</w:t>
            </w:r>
          </w:p>
        </w:tc>
        <w:tc>
          <w:tcPr>
            <w:tcW w:w="185" w:type="dxa"/>
            <w:tcBorders>
              <w:top w:val="nil"/>
              <w:left w:val="nil"/>
              <w:bottom w:val="single" w:sz="4" w:space="0" w:color="auto"/>
              <w:right w:val="nil"/>
            </w:tcBorders>
            <w:noWrap/>
            <w:vAlign w:val="bottom"/>
            <w:hideMark/>
          </w:tcPr>
          <w:p w14:paraId="7AE14988"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185" w:type="dxa"/>
            <w:tcBorders>
              <w:top w:val="nil"/>
              <w:left w:val="nil"/>
              <w:bottom w:val="single" w:sz="4" w:space="0" w:color="auto"/>
              <w:right w:val="nil"/>
            </w:tcBorders>
            <w:noWrap/>
            <w:vAlign w:val="bottom"/>
            <w:hideMark/>
          </w:tcPr>
          <w:p w14:paraId="2FCECF88"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2679" w:type="dxa"/>
            <w:tcBorders>
              <w:top w:val="nil"/>
              <w:left w:val="nil"/>
              <w:bottom w:val="single" w:sz="4" w:space="0" w:color="auto"/>
              <w:right w:val="single" w:sz="8" w:space="0" w:color="auto"/>
            </w:tcBorders>
            <w:vAlign w:val="center"/>
            <w:hideMark/>
          </w:tcPr>
          <w:p w14:paraId="2BFC6841" w14:textId="77777777" w:rsidR="005B07A1" w:rsidRPr="000C3458" w:rsidRDefault="005B07A1" w:rsidP="005B07A1">
            <w:pPr>
              <w:spacing w:after="0" w:line="240" w:lineRule="auto"/>
              <w:jc w:val="center"/>
              <w:rPr>
                <w:rFonts w:eastAsia="Times New Roman"/>
                <w:spacing w:val="0"/>
                <w:lang w:val="es-DO" w:eastAsia="es-DO"/>
              </w:rPr>
            </w:pPr>
            <w:r w:rsidRPr="000C3458">
              <w:rPr>
                <w:rFonts w:eastAsia="Times New Roman"/>
                <w:spacing w:val="0"/>
                <w:lang w:val="es-DO" w:eastAsia="es-DO"/>
              </w:rPr>
              <w:t>0205</w:t>
            </w:r>
          </w:p>
        </w:tc>
        <w:tc>
          <w:tcPr>
            <w:tcW w:w="160" w:type="dxa"/>
            <w:vAlign w:val="center"/>
            <w:hideMark/>
          </w:tcPr>
          <w:p w14:paraId="0D3842E8"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0C3458" w14:paraId="6CB07237" w14:textId="77777777" w:rsidTr="005B07A1">
        <w:trPr>
          <w:trHeight w:val="300"/>
          <w:jc w:val="center"/>
        </w:trPr>
        <w:tc>
          <w:tcPr>
            <w:tcW w:w="4037" w:type="dxa"/>
            <w:tcBorders>
              <w:top w:val="nil"/>
              <w:left w:val="single" w:sz="8" w:space="0" w:color="auto"/>
              <w:bottom w:val="single" w:sz="4" w:space="0" w:color="auto"/>
              <w:right w:val="nil"/>
            </w:tcBorders>
            <w:noWrap/>
            <w:vAlign w:val="bottom"/>
            <w:hideMark/>
          </w:tcPr>
          <w:p w14:paraId="32508A9C" w14:textId="502EAF7E"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Subcapítulo</w:t>
            </w:r>
          </w:p>
        </w:tc>
        <w:tc>
          <w:tcPr>
            <w:tcW w:w="185" w:type="dxa"/>
            <w:tcBorders>
              <w:top w:val="nil"/>
              <w:left w:val="nil"/>
              <w:bottom w:val="single" w:sz="4" w:space="0" w:color="auto"/>
              <w:right w:val="nil"/>
            </w:tcBorders>
            <w:noWrap/>
            <w:vAlign w:val="bottom"/>
            <w:hideMark/>
          </w:tcPr>
          <w:p w14:paraId="56E25B9C"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185" w:type="dxa"/>
            <w:tcBorders>
              <w:top w:val="nil"/>
              <w:left w:val="nil"/>
              <w:bottom w:val="single" w:sz="4" w:space="0" w:color="auto"/>
              <w:right w:val="nil"/>
            </w:tcBorders>
            <w:noWrap/>
            <w:vAlign w:val="bottom"/>
            <w:hideMark/>
          </w:tcPr>
          <w:p w14:paraId="44E160D0"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2679" w:type="dxa"/>
            <w:tcBorders>
              <w:top w:val="nil"/>
              <w:left w:val="nil"/>
              <w:bottom w:val="single" w:sz="4" w:space="0" w:color="auto"/>
              <w:right w:val="single" w:sz="8" w:space="0" w:color="auto"/>
            </w:tcBorders>
            <w:noWrap/>
            <w:vAlign w:val="center"/>
            <w:hideMark/>
          </w:tcPr>
          <w:p w14:paraId="154BF00B" w14:textId="77777777" w:rsidR="005B07A1" w:rsidRPr="000C3458" w:rsidRDefault="005B07A1" w:rsidP="005B07A1">
            <w:pPr>
              <w:spacing w:after="0" w:line="240" w:lineRule="auto"/>
              <w:jc w:val="center"/>
              <w:rPr>
                <w:rFonts w:eastAsia="Times New Roman"/>
                <w:spacing w:val="0"/>
                <w:lang w:val="es-DO" w:eastAsia="es-DO"/>
              </w:rPr>
            </w:pPr>
            <w:r w:rsidRPr="000C3458">
              <w:rPr>
                <w:rFonts w:eastAsia="Times New Roman"/>
                <w:spacing w:val="0"/>
                <w:lang w:val="es-DO" w:eastAsia="es-DO"/>
              </w:rPr>
              <w:t>01</w:t>
            </w:r>
          </w:p>
        </w:tc>
        <w:tc>
          <w:tcPr>
            <w:tcW w:w="160" w:type="dxa"/>
            <w:vAlign w:val="center"/>
            <w:hideMark/>
          </w:tcPr>
          <w:p w14:paraId="1D449FBA"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0C3458" w14:paraId="26ED183C" w14:textId="77777777" w:rsidTr="005B07A1">
        <w:trPr>
          <w:trHeight w:val="300"/>
          <w:jc w:val="center"/>
        </w:trPr>
        <w:tc>
          <w:tcPr>
            <w:tcW w:w="4037" w:type="dxa"/>
            <w:tcBorders>
              <w:top w:val="nil"/>
              <w:left w:val="single" w:sz="8" w:space="0" w:color="auto"/>
              <w:bottom w:val="single" w:sz="4" w:space="0" w:color="auto"/>
              <w:right w:val="nil"/>
            </w:tcBorders>
            <w:noWrap/>
            <w:vAlign w:val="bottom"/>
            <w:hideMark/>
          </w:tcPr>
          <w:p w14:paraId="481AAB68"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Unidad ejecutora</w:t>
            </w:r>
          </w:p>
        </w:tc>
        <w:tc>
          <w:tcPr>
            <w:tcW w:w="185" w:type="dxa"/>
            <w:tcBorders>
              <w:top w:val="nil"/>
              <w:left w:val="nil"/>
              <w:bottom w:val="single" w:sz="4" w:space="0" w:color="auto"/>
              <w:right w:val="nil"/>
            </w:tcBorders>
            <w:noWrap/>
            <w:vAlign w:val="bottom"/>
            <w:hideMark/>
          </w:tcPr>
          <w:p w14:paraId="422E7F56"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185" w:type="dxa"/>
            <w:tcBorders>
              <w:top w:val="nil"/>
              <w:left w:val="nil"/>
              <w:bottom w:val="single" w:sz="4" w:space="0" w:color="auto"/>
              <w:right w:val="nil"/>
            </w:tcBorders>
            <w:noWrap/>
            <w:vAlign w:val="bottom"/>
            <w:hideMark/>
          </w:tcPr>
          <w:p w14:paraId="0CD7D5D2"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2679" w:type="dxa"/>
            <w:tcBorders>
              <w:top w:val="nil"/>
              <w:left w:val="nil"/>
              <w:bottom w:val="single" w:sz="4" w:space="0" w:color="auto"/>
              <w:right w:val="single" w:sz="8" w:space="0" w:color="auto"/>
            </w:tcBorders>
            <w:noWrap/>
            <w:vAlign w:val="center"/>
            <w:hideMark/>
          </w:tcPr>
          <w:p w14:paraId="4F328905" w14:textId="77777777" w:rsidR="005B07A1" w:rsidRPr="000C3458" w:rsidRDefault="005B07A1" w:rsidP="005B07A1">
            <w:pPr>
              <w:spacing w:after="0" w:line="240" w:lineRule="auto"/>
              <w:jc w:val="center"/>
              <w:rPr>
                <w:rFonts w:eastAsia="Times New Roman"/>
                <w:spacing w:val="0"/>
                <w:lang w:val="es-DO" w:eastAsia="es-DO"/>
              </w:rPr>
            </w:pPr>
            <w:r w:rsidRPr="000C3458">
              <w:rPr>
                <w:rFonts w:eastAsia="Times New Roman"/>
                <w:spacing w:val="0"/>
                <w:lang w:val="es-DO" w:eastAsia="es-DO"/>
              </w:rPr>
              <w:t>0008</w:t>
            </w:r>
          </w:p>
        </w:tc>
        <w:tc>
          <w:tcPr>
            <w:tcW w:w="160" w:type="dxa"/>
            <w:vAlign w:val="center"/>
            <w:hideMark/>
          </w:tcPr>
          <w:p w14:paraId="60BF5357"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0C3458" w14:paraId="50E61A00" w14:textId="77777777" w:rsidTr="005B07A1">
        <w:trPr>
          <w:trHeight w:val="300"/>
          <w:jc w:val="center"/>
        </w:trPr>
        <w:tc>
          <w:tcPr>
            <w:tcW w:w="4037" w:type="dxa"/>
            <w:tcBorders>
              <w:top w:val="nil"/>
              <w:left w:val="single" w:sz="8" w:space="0" w:color="auto"/>
              <w:bottom w:val="single" w:sz="4" w:space="0" w:color="auto"/>
              <w:right w:val="nil"/>
            </w:tcBorders>
            <w:noWrap/>
            <w:vAlign w:val="bottom"/>
            <w:hideMark/>
          </w:tcPr>
          <w:p w14:paraId="70C7714A"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xml:space="preserve">Unidad de compras </w:t>
            </w:r>
          </w:p>
        </w:tc>
        <w:tc>
          <w:tcPr>
            <w:tcW w:w="185" w:type="dxa"/>
            <w:tcBorders>
              <w:top w:val="nil"/>
              <w:left w:val="nil"/>
              <w:bottom w:val="single" w:sz="4" w:space="0" w:color="auto"/>
              <w:right w:val="nil"/>
            </w:tcBorders>
            <w:noWrap/>
            <w:vAlign w:val="bottom"/>
            <w:hideMark/>
          </w:tcPr>
          <w:p w14:paraId="2E520644"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185" w:type="dxa"/>
            <w:tcBorders>
              <w:top w:val="nil"/>
              <w:left w:val="nil"/>
              <w:bottom w:val="single" w:sz="4" w:space="0" w:color="auto"/>
              <w:right w:val="nil"/>
            </w:tcBorders>
            <w:noWrap/>
            <w:vAlign w:val="bottom"/>
            <w:hideMark/>
          </w:tcPr>
          <w:p w14:paraId="1BC72537"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2679" w:type="dxa"/>
            <w:tcBorders>
              <w:top w:val="nil"/>
              <w:left w:val="nil"/>
              <w:bottom w:val="single" w:sz="4" w:space="0" w:color="auto"/>
              <w:right w:val="single" w:sz="8" w:space="0" w:color="auto"/>
            </w:tcBorders>
            <w:noWrap/>
            <w:vAlign w:val="bottom"/>
            <w:hideMark/>
          </w:tcPr>
          <w:p w14:paraId="41EB5F89"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Tesorería Nacional</w:t>
            </w:r>
          </w:p>
        </w:tc>
        <w:tc>
          <w:tcPr>
            <w:tcW w:w="160" w:type="dxa"/>
            <w:vAlign w:val="center"/>
            <w:hideMark/>
          </w:tcPr>
          <w:p w14:paraId="7DBCD937"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0C3458" w14:paraId="3E78EBB4" w14:textId="77777777" w:rsidTr="005B07A1">
        <w:trPr>
          <w:trHeight w:val="300"/>
          <w:jc w:val="center"/>
        </w:trPr>
        <w:tc>
          <w:tcPr>
            <w:tcW w:w="4037" w:type="dxa"/>
            <w:tcBorders>
              <w:top w:val="nil"/>
              <w:left w:val="single" w:sz="8" w:space="0" w:color="auto"/>
              <w:bottom w:val="nil"/>
              <w:right w:val="nil"/>
            </w:tcBorders>
            <w:noWrap/>
            <w:vAlign w:val="bottom"/>
            <w:hideMark/>
          </w:tcPr>
          <w:p w14:paraId="26805821"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185" w:type="dxa"/>
            <w:tcBorders>
              <w:top w:val="nil"/>
              <w:left w:val="nil"/>
              <w:bottom w:val="nil"/>
              <w:right w:val="nil"/>
            </w:tcBorders>
            <w:noWrap/>
            <w:vAlign w:val="bottom"/>
            <w:hideMark/>
          </w:tcPr>
          <w:p w14:paraId="24C1B392" w14:textId="77777777" w:rsidR="005B07A1" w:rsidRPr="000C3458" w:rsidRDefault="005B07A1" w:rsidP="005B07A1">
            <w:pPr>
              <w:spacing w:after="0" w:line="240" w:lineRule="auto"/>
              <w:rPr>
                <w:rFonts w:eastAsia="Times New Roman"/>
                <w:spacing w:val="0"/>
                <w:lang w:val="es-DO" w:eastAsia="es-DO"/>
              </w:rPr>
            </w:pPr>
          </w:p>
        </w:tc>
        <w:tc>
          <w:tcPr>
            <w:tcW w:w="185" w:type="dxa"/>
            <w:tcBorders>
              <w:top w:val="nil"/>
              <w:left w:val="nil"/>
              <w:bottom w:val="nil"/>
              <w:right w:val="nil"/>
            </w:tcBorders>
            <w:noWrap/>
            <w:vAlign w:val="bottom"/>
            <w:hideMark/>
          </w:tcPr>
          <w:p w14:paraId="3612A9C1" w14:textId="77777777" w:rsidR="005B07A1" w:rsidRPr="000C3458" w:rsidRDefault="005B07A1" w:rsidP="005B07A1">
            <w:pPr>
              <w:spacing w:after="0" w:line="240" w:lineRule="auto"/>
              <w:rPr>
                <w:rFonts w:eastAsia="Times New Roman"/>
                <w:spacing w:val="0"/>
                <w:lang w:val="es-DO" w:eastAsia="es-DO"/>
              </w:rPr>
            </w:pPr>
          </w:p>
        </w:tc>
        <w:tc>
          <w:tcPr>
            <w:tcW w:w="2679" w:type="dxa"/>
            <w:tcBorders>
              <w:top w:val="nil"/>
              <w:left w:val="nil"/>
              <w:bottom w:val="nil"/>
              <w:right w:val="single" w:sz="8" w:space="0" w:color="auto"/>
            </w:tcBorders>
            <w:noWrap/>
            <w:vAlign w:val="center"/>
            <w:hideMark/>
          </w:tcPr>
          <w:p w14:paraId="0507100F" w14:textId="77777777" w:rsidR="005B07A1" w:rsidRPr="000C3458" w:rsidRDefault="005B07A1" w:rsidP="005B07A1">
            <w:pPr>
              <w:spacing w:after="0" w:line="240" w:lineRule="auto"/>
              <w:jc w:val="center"/>
              <w:rPr>
                <w:rFonts w:eastAsia="Times New Roman"/>
                <w:spacing w:val="0"/>
                <w:lang w:val="es-DO" w:eastAsia="es-DO"/>
              </w:rPr>
            </w:pPr>
            <w:r w:rsidRPr="000C3458">
              <w:rPr>
                <w:rFonts w:eastAsia="Times New Roman"/>
                <w:spacing w:val="0"/>
                <w:lang w:val="es-DO" w:eastAsia="es-DO"/>
              </w:rPr>
              <w:t>222</w:t>
            </w:r>
          </w:p>
        </w:tc>
        <w:tc>
          <w:tcPr>
            <w:tcW w:w="160" w:type="dxa"/>
            <w:vAlign w:val="center"/>
            <w:hideMark/>
          </w:tcPr>
          <w:p w14:paraId="7AFFB2BD"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0C3458" w14:paraId="0524EC46" w14:textId="77777777" w:rsidTr="005B07A1">
        <w:trPr>
          <w:trHeight w:val="300"/>
          <w:jc w:val="center"/>
        </w:trPr>
        <w:tc>
          <w:tcPr>
            <w:tcW w:w="4037" w:type="dxa"/>
            <w:tcBorders>
              <w:top w:val="single" w:sz="4" w:space="0" w:color="auto"/>
              <w:left w:val="single" w:sz="8" w:space="0" w:color="auto"/>
              <w:bottom w:val="single" w:sz="4" w:space="0" w:color="auto"/>
              <w:right w:val="nil"/>
            </w:tcBorders>
            <w:noWrap/>
            <w:vAlign w:val="bottom"/>
            <w:hideMark/>
          </w:tcPr>
          <w:p w14:paraId="3FF739B9"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Año fiscal</w:t>
            </w:r>
          </w:p>
        </w:tc>
        <w:tc>
          <w:tcPr>
            <w:tcW w:w="185" w:type="dxa"/>
            <w:tcBorders>
              <w:top w:val="single" w:sz="4" w:space="0" w:color="auto"/>
              <w:left w:val="nil"/>
              <w:bottom w:val="single" w:sz="4" w:space="0" w:color="auto"/>
              <w:right w:val="nil"/>
            </w:tcBorders>
            <w:noWrap/>
            <w:vAlign w:val="bottom"/>
            <w:hideMark/>
          </w:tcPr>
          <w:p w14:paraId="0A6E462D"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185" w:type="dxa"/>
            <w:tcBorders>
              <w:top w:val="single" w:sz="4" w:space="0" w:color="auto"/>
              <w:left w:val="nil"/>
              <w:bottom w:val="single" w:sz="4" w:space="0" w:color="auto"/>
              <w:right w:val="nil"/>
            </w:tcBorders>
            <w:noWrap/>
            <w:vAlign w:val="bottom"/>
            <w:hideMark/>
          </w:tcPr>
          <w:p w14:paraId="4386E944"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2679" w:type="dxa"/>
            <w:tcBorders>
              <w:top w:val="single" w:sz="4" w:space="0" w:color="auto"/>
              <w:left w:val="nil"/>
              <w:bottom w:val="single" w:sz="4" w:space="0" w:color="auto"/>
              <w:right w:val="single" w:sz="8" w:space="0" w:color="auto"/>
            </w:tcBorders>
            <w:noWrap/>
            <w:vAlign w:val="bottom"/>
            <w:hideMark/>
          </w:tcPr>
          <w:p w14:paraId="29AFA308" w14:textId="77777777" w:rsidR="005B07A1" w:rsidRPr="000C3458" w:rsidRDefault="005B07A1" w:rsidP="005B07A1">
            <w:pPr>
              <w:spacing w:after="0" w:line="240" w:lineRule="auto"/>
              <w:jc w:val="center"/>
              <w:rPr>
                <w:rFonts w:eastAsia="Times New Roman"/>
                <w:spacing w:val="0"/>
                <w:lang w:val="es-DO" w:eastAsia="es-DO"/>
              </w:rPr>
            </w:pPr>
            <w:r w:rsidRPr="000C3458">
              <w:rPr>
                <w:rFonts w:eastAsia="Times New Roman"/>
                <w:spacing w:val="0"/>
                <w:lang w:val="es-DO" w:eastAsia="es-DO"/>
              </w:rPr>
              <w:t>2025</w:t>
            </w:r>
          </w:p>
        </w:tc>
        <w:tc>
          <w:tcPr>
            <w:tcW w:w="160" w:type="dxa"/>
            <w:vAlign w:val="center"/>
            <w:hideMark/>
          </w:tcPr>
          <w:p w14:paraId="520E2EC4"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0C3458" w14:paraId="595E8A9B" w14:textId="77777777" w:rsidTr="005B07A1">
        <w:trPr>
          <w:trHeight w:val="315"/>
          <w:jc w:val="center"/>
        </w:trPr>
        <w:tc>
          <w:tcPr>
            <w:tcW w:w="4037" w:type="dxa"/>
            <w:tcBorders>
              <w:top w:val="nil"/>
              <w:left w:val="single" w:sz="8" w:space="0" w:color="auto"/>
              <w:bottom w:val="single" w:sz="4" w:space="0" w:color="auto"/>
              <w:right w:val="nil"/>
            </w:tcBorders>
            <w:noWrap/>
            <w:vAlign w:val="bottom"/>
            <w:hideMark/>
          </w:tcPr>
          <w:p w14:paraId="7488EF73"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Fecha de aprobación</w:t>
            </w:r>
          </w:p>
        </w:tc>
        <w:tc>
          <w:tcPr>
            <w:tcW w:w="185" w:type="dxa"/>
            <w:tcBorders>
              <w:top w:val="nil"/>
              <w:left w:val="nil"/>
              <w:bottom w:val="single" w:sz="4" w:space="0" w:color="auto"/>
              <w:right w:val="nil"/>
            </w:tcBorders>
            <w:noWrap/>
            <w:vAlign w:val="bottom"/>
            <w:hideMark/>
          </w:tcPr>
          <w:p w14:paraId="44570D8E"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185" w:type="dxa"/>
            <w:tcBorders>
              <w:top w:val="nil"/>
              <w:left w:val="nil"/>
              <w:bottom w:val="single" w:sz="4" w:space="0" w:color="auto"/>
              <w:right w:val="nil"/>
            </w:tcBorders>
            <w:noWrap/>
            <w:vAlign w:val="bottom"/>
            <w:hideMark/>
          </w:tcPr>
          <w:p w14:paraId="5AAFE750"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2679" w:type="dxa"/>
            <w:tcBorders>
              <w:top w:val="nil"/>
              <w:left w:val="nil"/>
              <w:bottom w:val="single" w:sz="4" w:space="0" w:color="auto"/>
              <w:right w:val="single" w:sz="8" w:space="0" w:color="auto"/>
            </w:tcBorders>
            <w:noWrap/>
            <w:vAlign w:val="center"/>
            <w:hideMark/>
          </w:tcPr>
          <w:p w14:paraId="2949C307" w14:textId="77777777" w:rsidR="005B07A1" w:rsidRPr="000C3458" w:rsidRDefault="005B07A1" w:rsidP="005B07A1">
            <w:pPr>
              <w:spacing w:after="0" w:line="240" w:lineRule="auto"/>
              <w:jc w:val="center"/>
              <w:rPr>
                <w:rFonts w:eastAsia="Times New Roman"/>
                <w:spacing w:val="0"/>
                <w:lang w:val="es-DO" w:eastAsia="es-DO"/>
              </w:rPr>
            </w:pPr>
            <w:r w:rsidRPr="000C3458">
              <w:rPr>
                <w:rFonts w:eastAsia="Times New Roman"/>
                <w:spacing w:val="0"/>
                <w:lang w:val="es-DO" w:eastAsia="es-DO"/>
              </w:rPr>
              <w:t>22/11/2024</w:t>
            </w:r>
          </w:p>
        </w:tc>
        <w:tc>
          <w:tcPr>
            <w:tcW w:w="160" w:type="dxa"/>
            <w:vAlign w:val="center"/>
            <w:hideMark/>
          </w:tcPr>
          <w:p w14:paraId="0DCBAAA7"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B47076" w14:paraId="710A0774" w14:textId="77777777" w:rsidTr="005B07A1">
        <w:trPr>
          <w:trHeight w:val="300"/>
          <w:jc w:val="center"/>
        </w:trPr>
        <w:tc>
          <w:tcPr>
            <w:tcW w:w="7086" w:type="dxa"/>
            <w:gridSpan w:val="4"/>
            <w:vMerge w:val="restart"/>
            <w:tcBorders>
              <w:top w:val="single" w:sz="8" w:space="0" w:color="auto"/>
              <w:left w:val="single" w:sz="8" w:space="0" w:color="auto"/>
              <w:bottom w:val="single" w:sz="8" w:space="0" w:color="000000"/>
              <w:right w:val="single" w:sz="8" w:space="0" w:color="000000"/>
            </w:tcBorders>
            <w:shd w:val="clear" w:color="000000" w:fill="003876"/>
            <w:noWrap/>
            <w:vAlign w:val="center"/>
            <w:hideMark/>
          </w:tcPr>
          <w:p w14:paraId="1AF83028" w14:textId="77777777" w:rsidR="005B07A1" w:rsidRPr="000C3458" w:rsidRDefault="005B07A1" w:rsidP="005B07A1">
            <w:pPr>
              <w:spacing w:after="0" w:line="240" w:lineRule="auto"/>
              <w:jc w:val="center"/>
              <w:rPr>
                <w:rFonts w:eastAsia="Times New Roman"/>
                <w:color w:val="FFFFFF"/>
                <w:spacing w:val="0"/>
                <w:lang w:val="es-DO" w:eastAsia="es-DO"/>
              </w:rPr>
            </w:pPr>
            <w:r w:rsidRPr="000C3458">
              <w:rPr>
                <w:rFonts w:eastAsia="Times New Roman"/>
                <w:color w:val="FFFFFF"/>
                <w:spacing w:val="0"/>
                <w:lang w:val="es-DO" w:eastAsia="es-DO"/>
              </w:rPr>
              <w:t>MONTOS ESTIMADOS SEGÚN OBJETO DE CONTRATACIÓN</w:t>
            </w:r>
          </w:p>
        </w:tc>
        <w:tc>
          <w:tcPr>
            <w:tcW w:w="160" w:type="dxa"/>
            <w:vAlign w:val="center"/>
            <w:hideMark/>
          </w:tcPr>
          <w:p w14:paraId="3E5C2BD3"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B47076" w14:paraId="70C915AB" w14:textId="77777777" w:rsidTr="005B07A1">
        <w:trPr>
          <w:trHeight w:val="300"/>
          <w:jc w:val="center"/>
        </w:trPr>
        <w:tc>
          <w:tcPr>
            <w:tcW w:w="7086" w:type="dxa"/>
            <w:gridSpan w:val="4"/>
            <w:vMerge/>
            <w:tcBorders>
              <w:top w:val="single" w:sz="8" w:space="0" w:color="auto"/>
              <w:left w:val="single" w:sz="8" w:space="0" w:color="auto"/>
              <w:bottom w:val="single" w:sz="8" w:space="0" w:color="000000"/>
              <w:right w:val="single" w:sz="8" w:space="0" w:color="000000"/>
            </w:tcBorders>
            <w:vAlign w:val="center"/>
            <w:hideMark/>
          </w:tcPr>
          <w:p w14:paraId="28CCEA1F" w14:textId="77777777" w:rsidR="005B07A1" w:rsidRPr="000C3458" w:rsidRDefault="005B07A1" w:rsidP="005B07A1">
            <w:pPr>
              <w:spacing w:after="0" w:line="240" w:lineRule="auto"/>
              <w:rPr>
                <w:rFonts w:eastAsia="Times New Roman"/>
                <w:color w:val="FFFFFF"/>
                <w:spacing w:val="0"/>
                <w:lang w:val="es-DO" w:eastAsia="es-DO"/>
              </w:rPr>
            </w:pPr>
          </w:p>
        </w:tc>
        <w:tc>
          <w:tcPr>
            <w:tcW w:w="160" w:type="dxa"/>
            <w:tcBorders>
              <w:top w:val="nil"/>
              <w:left w:val="nil"/>
              <w:bottom w:val="nil"/>
              <w:right w:val="nil"/>
            </w:tcBorders>
            <w:noWrap/>
            <w:vAlign w:val="bottom"/>
            <w:hideMark/>
          </w:tcPr>
          <w:p w14:paraId="583E8033" w14:textId="77777777" w:rsidR="005B07A1" w:rsidRPr="000C3458" w:rsidRDefault="005B07A1" w:rsidP="005B07A1">
            <w:pPr>
              <w:spacing w:after="0" w:line="240" w:lineRule="auto"/>
              <w:jc w:val="center"/>
              <w:rPr>
                <w:rFonts w:eastAsia="Times New Roman"/>
                <w:color w:val="FFFFFF"/>
                <w:spacing w:val="0"/>
                <w:lang w:val="es-DO" w:eastAsia="es-DO"/>
              </w:rPr>
            </w:pPr>
          </w:p>
        </w:tc>
      </w:tr>
      <w:tr w:rsidR="005B07A1" w:rsidRPr="000C3458" w14:paraId="1D18D709" w14:textId="77777777" w:rsidTr="005B07A1">
        <w:trPr>
          <w:trHeight w:val="300"/>
          <w:jc w:val="center"/>
        </w:trPr>
        <w:tc>
          <w:tcPr>
            <w:tcW w:w="4037" w:type="dxa"/>
            <w:tcBorders>
              <w:top w:val="nil"/>
              <w:left w:val="single" w:sz="8" w:space="0" w:color="auto"/>
              <w:bottom w:val="single" w:sz="4" w:space="0" w:color="auto"/>
              <w:right w:val="nil"/>
            </w:tcBorders>
            <w:noWrap/>
            <w:vAlign w:val="bottom"/>
            <w:hideMark/>
          </w:tcPr>
          <w:p w14:paraId="6D512599"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Bienes</w:t>
            </w:r>
          </w:p>
        </w:tc>
        <w:tc>
          <w:tcPr>
            <w:tcW w:w="185" w:type="dxa"/>
            <w:tcBorders>
              <w:top w:val="nil"/>
              <w:left w:val="nil"/>
              <w:bottom w:val="single" w:sz="4" w:space="0" w:color="auto"/>
              <w:right w:val="nil"/>
            </w:tcBorders>
            <w:noWrap/>
            <w:vAlign w:val="bottom"/>
            <w:hideMark/>
          </w:tcPr>
          <w:p w14:paraId="5D1C4EC0"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185" w:type="dxa"/>
            <w:tcBorders>
              <w:top w:val="nil"/>
              <w:left w:val="nil"/>
              <w:bottom w:val="single" w:sz="4" w:space="0" w:color="auto"/>
              <w:right w:val="nil"/>
            </w:tcBorders>
            <w:noWrap/>
            <w:vAlign w:val="bottom"/>
            <w:hideMark/>
          </w:tcPr>
          <w:p w14:paraId="2205F272"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2679" w:type="dxa"/>
            <w:tcBorders>
              <w:top w:val="nil"/>
              <w:left w:val="nil"/>
              <w:bottom w:val="single" w:sz="4" w:space="0" w:color="auto"/>
              <w:right w:val="single" w:sz="8" w:space="0" w:color="auto"/>
            </w:tcBorders>
            <w:noWrap/>
            <w:vAlign w:val="bottom"/>
            <w:hideMark/>
          </w:tcPr>
          <w:p w14:paraId="5932B8F5" w14:textId="77777777" w:rsidR="005B07A1" w:rsidRPr="000C3458" w:rsidRDefault="005B07A1" w:rsidP="005B07A1">
            <w:pPr>
              <w:spacing w:after="0" w:line="240" w:lineRule="auto"/>
              <w:jc w:val="right"/>
              <w:rPr>
                <w:rFonts w:eastAsia="Times New Roman"/>
                <w:spacing w:val="0"/>
                <w:lang w:val="es-DO" w:eastAsia="es-DO"/>
              </w:rPr>
            </w:pPr>
            <w:r w:rsidRPr="000C3458">
              <w:rPr>
                <w:rFonts w:eastAsia="Times New Roman"/>
                <w:spacing w:val="0"/>
                <w:lang w:val="es-DO" w:eastAsia="es-DO"/>
              </w:rPr>
              <w:t>22,654,254.92</w:t>
            </w:r>
          </w:p>
        </w:tc>
        <w:tc>
          <w:tcPr>
            <w:tcW w:w="160" w:type="dxa"/>
            <w:vAlign w:val="center"/>
            <w:hideMark/>
          </w:tcPr>
          <w:p w14:paraId="09EE7C07"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0C3458" w14:paraId="50865B70" w14:textId="77777777" w:rsidTr="005B07A1">
        <w:trPr>
          <w:trHeight w:val="300"/>
          <w:jc w:val="center"/>
        </w:trPr>
        <w:tc>
          <w:tcPr>
            <w:tcW w:w="4037" w:type="dxa"/>
            <w:tcBorders>
              <w:top w:val="nil"/>
              <w:left w:val="single" w:sz="8" w:space="0" w:color="auto"/>
              <w:bottom w:val="single" w:sz="4" w:space="0" w:color="auto"/>
              <w:right w:val="nil"/>
            </w:tcBorders>
            <w:noWrap/>
            <w:vAlign w:val="bottom"/>
            <w:hideMark/>
          </w:tcPr>
          <w:p w14:paraId="5CFE3A7A"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xml:space="preserve">Obras </w:t>
            </w:r>
          </w:p>
        </w:tc>
        <w:tc>
          <w:tcPr>
            <w:tcW w:w="185" w:type="dxa"/>
            <w:tcBorders>
              <w:top w:val="nil"/>
              <w:left w:val="nil"/>
              <w:bottom w:val="single" w:sz="4" w:space="0" w:color="auto"/>
              <w:right w:val="nil"/>
            </w:tcBorders>
            <w:noWrap/>
            <w:vAlign w:val="bottom"/>
            <w:hideMark/>
          </w:tcPr>
          <w:p w14:paraId="20163BBB"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185" w:type="dxa"/>
            <w:tcBorders>
              <w:top w:val="nil"/>
              <w:left w:val="nil"/>
              <w:bottom w:val="single" w:sz="4" w:space="0" w:color="auto"/>
              <w:right w:val="nil"/>
            </w:tcBorders>
            <w:noWrap/>
            <w:vAlign w:val="bottom"/>
            <w:hideMark/>
          </w:tcPr>
          <w:p w14:paraId="0FFE2D82"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2679" w:type="dxa"/>
            <w:tcBorders>
              <w:top w:val="nil"/>
              <w:left w:val="nil"/>
              <w:bottom w:val="single" w:sz="4" w:space="0" w:color="auto"/>
              <w:right w:val="single" w:sz="8" w:space="0" w:color="auto"/>
            </w:tcBorders>
            <w:noWrap/>
            <w:vAlign w:val="bottom"/>
            <w:hideMark/>
          </w:tcPr>
          <w:p w14:paraId="25248D06" w14:textId="77777777" w:rsidR="005B07A1" w:rsidRPr="000C3458" w:rsidRDefault="005B07A1" w:rsidP="005B07A1">
            <w:pPr>
              <w:spacing w:after="0" w:line="240" w:lineRule="auto"/>
              <w:jc w:val="right"/>
              <w:rPr>
                <w:rFonts w:eastAsia="Times New Roman"/>
                <w:b/>
                <w:bCs/>
                <w:spacing w:val="0"/>
                <w:lang w:val="es-DO" w:eastAsia="es-DO"/>
              </w:rPr>
            </w:pPr>
            <w:r w:rsidRPr="000C3458">
              <w:rPr>
                <w:rFonts w:eastAsia="Times New Roman"/>
                <w:b/>
                <w:bCs/>
                <w:spacing w:val="0"/>
                <w:lang w:val="es-DO" w:eastAsia="es-DO"/>
              </w:rPr>
              <w:t>-</w:t>
            </w:r>
          </w:p>
        </w:tc>
        <w:tc>
          <w:tcPr>
            <w:tcW w:w="160" w:type="dxa"/>
            <w:vAlign w:val="center"/>
            <w:hideMark/>
          </w:tcPr>
          <w:p w14:paraId="0642ECE2"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0C3458" w14:paraId="57DBB846" w14:textId="77777777" w:rsidTr="005B07A1">
        <w:trPr>
          <w:trHeight w:val="300"/>
          <w:jc w:val="center"/>
        </w:trPr>
        <w:tc>
          <w:tcPr>
            <w:tcW w:w="4037" w:type="dxa"/>
            <w:tcBorders>
              <w:top w:val="nil"/>
              <w:left w:val="single" w:sz="8" w:space="0" w:color="auto"/>
              <w:bottom w:val="single" w:sz="4" w:space="0" w:color="auto"/>
              <w:right w:val="nil"/>
            </w:tcBorders>
            <w:noWrap/>
            <w:vAlign w:val="bottom"/>
            <w:hideMark/>
          </w:tcPr>
          <w:p w14:paraId="4D6EC083"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xml:space="preserve">Servicios </w:t>
            </w:r>
          </w:p>
        </w:tc>
        <w:tc>
          <w:tcPr>
            <w:tcW w:w="185" w:type="dxa"/>
            <w:tcBorders>
              <w:top w:val="nil"/>
              <w:left w:val="nil"/>
              <w:bottom w:val="single" w:sz="4" w:space="0" w:color="auto"/>
              <w:right w:val="nil"/>
            </w:tcBorders>
            <w:noWrap/>
            <w:vAlign w:val="bottom"/>
            <w:hideMark/>
          </w:tcPr>
          <w:p w14:paraId="2CDC3FDA"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185" w:type="dxa"/>
            <w:tcBorders>
              <w:top w:val="nil"/>
              <w:left w:val="nil"/>
              <w:bottom w:val="single" w:sz="4" w:space="0" w:color="auto"/>
              <w:right w:val="nil"/>
            </w:tcBorders>
            <w:noWrap/>
            <w:vAlign w:val="bottom"/>
            <w:hideMark/>
          </w:tcPr>
          <w:p w14:paraId="188A5501"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2679" w:type="dxa"/>
            <w:tcBorders>
              <w:top w:val="nil"/>
              <w:left w:val="nil"/>
              <w:bottom w:val="single" w:sz="4" w:space="0" w:color="auto"/>
              <w:right w:val="single" w:sz="8" w:space="0" w:color="auto"/>
            </w:tcBorders>
            <w:noWrap/>
            <w:vAlign w:val="bottom"/>
            <w:hideMark/>
          </w:tcPr>
          <w:p w14:paraId="0DEBD3CB" w14:textId="77777777" w:rsidR="005B07A1" w:rsidRPr="000C3458" w:rsidRDefault="005B07A1" w:rsidP="005B07A1">
            <w:pPr>
              <w:spacing w:after="0" w:line="240" w:lineRule="auto"/>
              <w:jc w:val="right"/>
              <w:rPr>
                <w:rFonts w:eastAsia="Times New Roman"/>
                <w:spacing w:val="0"/>
                <w:lang w:val="es-DO" w:eastAsia="es-DO"/>
              </w:rPr>
            </w:pPr>
            <w:r w:rsidRPr="000C3458">
              <w:rPr>
                <w:rFonts w:eastAsia="Times New Roman"/>
                <w:spacing w:val="0"/>
                <w:lang w:val="es-DO" w:eastAsia="es-DO"/>
              </w:rPr>
              <w:t>97,360,727.54</w:t>
            </w:r>
          </w:p>
        </w:tc>
        <w:tc>
          <w:tcPr>
            <w:tcW w:w="160" w:type="dxa"/>
            <w:vAlign w:val="center"/>
            <w:hideMark/>
          </w:tcPr>
          <w:p w14:paraId="2B28D0B7"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0C3458" w14:paraId="43869851" w14:textId="77777777" w:rsidTr="005B07A1">
        <w:trPr>
          <w:trHeight w:val="315"/>
          <w:jc w:val="center"/>
        </w:trPr>
        <w:tc>
          <w:tcPr>
            <w:tcW w:w="4037" w:type="dxa"/>
            <w:tcBorders>
              <w:top w:val="nil"/>
              <w:left w:val="single" w:sz="8" w:space="0" w:color="auto"/>
              <w:bottom w:val="single" w:sz="4" w:space="0" w:color="auto"/>
              <w:right w:val="nil"/>
            </w:tcBorders>
            <w:noWrap/>
            <w:vAlign w:val="bottom"/>
            <w:hideMark/>
          </w:tcPr>
          <w:p w14:paraId="23392D53" w14:textId="66C5BE06"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xml:space="preserve">Servicios de consultoría </w:t>
            </w:r>
          </w:p>
        </w:tc>
        <w:tc>
          <w:tcPr>
            <w:tcW w:w="185" w:type="dxa"/>
            <w:tcBorders>
              <w:top w:val="nil"/>
              <w:left w:val="nil"/>
              <w:bottom w:val="single" w:sz="4" w:space="0" w:color="auto"/>
              <w:right w:val="nil"/>
            </w:tcBorders>
            <w:noWrap/>
            <w:vAlign w:val="bottom"/>
            <w:hideMark/>
          </w:tcPr>
          <w:p w14:paraId="638C7F19"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185" w:type="dxa"/>
            <w:tcBorders>
              <w:top w:val="nil"/>
              <w:left w:val="nil"/>
              <w:bottom w:val="single" w:sz="4" w:space="0" w:color="auto"/>
              <w:right w:val="nil"/>
            </w:tcBorders>
            <w:noWrap/>
            <w:vAlign w:val="bottom"/>
            <w:hideMark/>
          </w:tcPr>
          <w:p w14:paraId="1FF4D9E5"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2679" w:type="dxa"/>
            <w:tcBorders>
              <w:top w:val="nil"/>
              <w:left w:val="nil"/>
              <w:bottom w:val="single" w:sz="4" w:space="0" w:color="auto"/>
              <w:right w:val="single" w:sz="8" w:space="0" w:color="auto"/>
            </w:tcBorders>
            <w:noWrap/>
            <w:vAlign w:val="bottom"/>
            <w:hideMark/>
          </w:tcPr>
          <w:p w14:paraId="0F57EAAE" w14:textId="77777777" w:rsidR="005B07A1" w:rsidRPr="000C3458" w:rsidRDefault="005B07A1" w:rsidP="005B07A1">
            <w:pPr>
              <w:spacing w:after="0" w:line="240" w:lineRule="auto"/>
              <w:jc w:val="right"/>
              <w:rPr>
                <w:rFonts w:eastAsia="Times New Roman"/>
                <w:b/>
                <w:bCs/>
                <w:spacing w:val="0"/>
                <w:lang w:val="es-DO" w:eastAsia="es-DO"/>
              </w:rPr>
            </w:pPr>
            <w:r w:rsidRPr="000C3458">
              <w:rPr>
                <w:rFonts w:eastAsia="Times New Roman"/>
                <w:b/>
                <w:bCs/>
                <w:spacing w:val="0"/>
                <w:lang w:val="es-DO" w:eastAsia="es-DO"/>
              </w:rPr>
              <w:t>-</w:t>
            </w:r>
          </w:p>
        </w:tc>
        <w:tc>
          <w:tcPr>
            <w:tcW w:w="160" w:type="dxa"/>
            <w:vAlign w:val="center"/>
            <w:hideMark/>
          </w:tcPr>
          <w:p w14:paraId="3AD2C970"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B47076" w14:paraId="25716014" w14:textId="77777777" w:rsidTr="005B07A1">
        <w:trPr>
          <w:trHeight w:val="300"/>
          <w:jc w:val="center"/>
        </w:trPr>
        <w:tc>
          <w:tcPr>
            <w:tcW w:w="7086" w:type="dxa"/>
            <w:gridSpan w:val="4"/>
            <w:vMerge w:val="restart"/>
            <w:tcBorders>
              <w:top w:val="single" w:sz="8" w:space="0" w:color="auto"/>
              <w:left w:val="single" w:sz="8" w:space="0" w:color="auto"/>
              <w:bottom w:val="single" w:sz="8" w:space="0" w:color="000000"/>
              <w:right w:val="single" w:sz="8" w:space="0" w:color="000000"/>
            </w:tcBorders>
            <w:shd w:val="clear" w:color="000000" w:fill="003876"/>
            <w:noWrap/>
            <w:vAlign w:val="center"/>
            <w:hideMark/>
          </w:tcPr>
          <w:p w14:paraId="1D8E31F8" w14:textId="77777777" w:rsidR="005B07A1" w:rsidRPr="000C3458" w:rsidRDefault="005B07A1" w:rsidP="005B07A1">
            <w:pPr>
              <w:spacing w:after="0" w:line="240" w:lineRule="auto"/>
              <w:jc w:val="center"/>
              <w:rPr>
                <w:rFonts w:eastAsia="Times New Roman"/>
                <w:b/>
                <w:bCs/>
                <w:color w:val="FFFFFF"/>
                <w:spacing w:val="0"/>
                <w:lang w:val="es-DO" w:eastAsia="es-DO"/>
              </w:rPr>
            </w:pPr>
            <w:r w:rsidRPr="000C3458">
              <w:rPr>
                <w:rFonts w:eastAsia="Times New Roman"/>
                <w:b/>
                <w:bCs/>
                <w:color w:val="FFFFFF"/>
                <w:spacing w:val="0"/>
                <w:lang w:val="es-DO" w:eastAsia="es-DO"/>
              </w:rPr>
              <w:t>MONTOS ESTIMADOS SEGÚN CLASIFICACIÓN MIPYMES</w:t>
            </w:r>
          </w:p>
        </w:tc>
        <w:tc>
          <w:tcPr>
            <w:tcW w:w="160" w:type="dxa"/>
            <w:vAlign w:val="center"/>
            <w:hideMark/>
          </w:tcPr>
          <w:p w14:paraId="731FC910"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B47076" w14:paraId="1E0C1EF8" w14:textId="77777777" w:rsidTr="005B07A1">
        <w:trPr>
          <w:trHeight w:val="375"/>
          <w:jc w:val="center"/>
        </w:trPr>
        <w:tc>
          <w:tcPr>
            <w:tcW w:w="7086" w:type="dxa"/>
            <w:gridSpan w:val="4"/>
            <w:vMerge/>
            <w:tcBorders>
              <w:top w:val="single" w:sz="8" w:space="0" w:color="auto"/>
              <w:left w:val="single" w:sz="8" w:space="0" w:color="auto"/>
              <w:bottom w:val="single" w:sz="8" w:space="0" w:color="000000"/>
              <w:right w:val="single" w:sz="8" w:space="0" w:color="000000"/>
            </w:tcBorders>
            <w:vAlign w:val="center"/>
            <w:hideMark/>
          </w:tcPr>
          <w:p w14:paraId="097F9D16" w14:textId="77777777" w:rsidR="005B07A1" w:rsidRPr="000C3458" w:rsidRDefault="005B07A1" w:rsidP="005B07A1">
            <w:pPr>
              <w:spacing w:after="0" w:line="240" w:lineRule="auto"/>
              <w:rPr>
                <w:rFonts w:eastAsia="Times New Roman"/>
                <w:b/>
                <w:bCs/>
                <w:color w:val="FFFFFF"/>
                <w:spacing w:val="0"/>
                <w:lang w:val="es-DO" w:eastAsia="es-DO"/>
              </w:rPr>
            </w:pPr>
          </w:p>
        </w:tc>
        <w:tc>
          <w:tcPr>
            <w:tcW w:w="160" w:type="dxa"/>
            <w:tcBorders>
              <w:top w:val="nil"/>
              <w:left w:val="nil"/>
              <w:bottom w:val="nil"/>
              <w:right w:val="nil"/>
            </w:tcBorders>
            <w:noWrap/>
            <w:vAlign w:val="bottom"/>
            <w:hideMark/>
          </w:tcPr>
          <w:p w14:paraId="7FBA02D8" w14:textId="77777777" w:rsidR="005B07A1" w:rsidRPr="000C3458" w:rsidRDefault="005B07A1" w:rsidP="005B07A1">
            <w:pPr>
              <w:spacing w:after="0" w:line="240" w:lineRule="auto"/>
              <w:jc w:val="center"/>
              <w:rPr>
                <w:rFonts w:eastAsia="Times New Roman"/>
                <w:b/>
                <w:bCs/>
                <w:color w:val="FFFFFF"/>
                <w:spacing w:val="0"/>
                <w:lang w:val="es-DO" w:eastAsia="es-DO"/>
              </w:rPr>
            </w:pPr>
          </w:p>
        </w:tc>
      </w:tr>
      <w:tr w:rsidR="005B07A1" w:rsidRPr="000C3458" w14:paraId="7B9E80EC" w14:textId="77777777" w:rsidTr="005B07A1">
        <w:trPr>
          <w:trHeight w:val="300"/>
          <w:jc w:val="center"/>
        </w:trPr>
        <w:tc>
          <w:tcPr>
            <w:tcW w:w="4037" w:type="dxa"/>
            <w:tcBorders>
              <w:top w:val="nil"/>
              <w:left w:val="single" w:sz="8" w:space="0" w:color="auto"/>
              <w:bottom w:val="single" w:sz="4" w:space="0" w:color="auto"/>
              <w:right w:val="nil"/>
            </w:tcBorders>
            <w:noWrap/>
            <w:vAlign w:val="bottom"/>
            <w:hideMark/>
          </w:tcPr>
          <w:p w14:paraId="520CC55E"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MIPYMES</w:t>
            </w:r>
          </w:p>
        </w:tc>
        <w:tc>
          <w:tcPr>
            <w:tcW w:w="185" w:type="dxa"/>
            <w:tcBorders>
              <w:top w:val="nil"/>
              <w:left w:val="nil"/>
              <w:bottom w:val="single" w:sz="4" w:space="0" w:color="auto"/>
              <w:right w:val="nil"/>
            </w:tcBorders>
            <w:noWrap/>
            <w:vAlign w:val="bottom"/>
            <w:hideMark/>
          </w:tcPr>
          <w:p w14:paraId="4EFC869B"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185" w:type="dxa"/>
            <w:tcBorders>
              <w:top w:val="nil"/>
              <w:left w:val="nil"/>
              <w:bottom w:val="single" w:sz="4" w:space="0" w:color="auto"/>
              <w:right w:val="nil"/>
            </w:tcBorders>
            <w:noWrap/>
            <w:vAlign w:val="bottom"/>
            <w:hideMark/>
          </w:tcPr>
          <w:p w14:paraId="48C4D1E2"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2679" w:type="dxa"/>
            <w:tcBorders>
              <w:top w:val="nil"/>
              <w:left w:val="nil"/>
              <w:bottom w:val="single" w:sz="4" w:space="0" w:color="auto"/>
              <w:right w:val="single" w:sz="8" w:space="0" w:color="auto"/>
            </w:tcBorders>
            <w:noWrap/>
            <w:vAlign w:val="bottom"/>
            <w:hideMark/>
          </w:tcPr>
          <w:p w14:paraId="41B4A251" w14:textId="77777777" w:rsidR="005B07A1" w:rsidRPr="000C3458" w:rsidRDefault="005B07A1" w:rsidP="005B07A1">
            <w:pPr>
              <w:spacing w:after="0" w:line="240" w:lineRule="auto"/>
              <w:jc w:val="right"/>
              <w:rPr>
                <w:rFonts w:eastAsia="Times New Roman"/>
                <w:spacing w:val="0"/>
                <w:lang w:val="es-DO" w:eastAsia="es-DO"/>
              </w:rPr>
            </w:pPr>
            <w:r w:rsidRPr="000C3458">
              <w:rPr>
                <w:rFonts w:eastAsia="Times New Roman"/>
                <w:spacing w:val="0"/>
                <w:lang w:val="es-DO" w:eastAsia="es-DO"/>
              </w:rPr>
              <w:t>4,981,627.92</w:t>
            </w:r>
          </w:p>
        </w:tc>
        <w:tc>
          <w:tcPr>
            <w:tcW w:w="160" w:type="dxa"/>
            <w:vAlign w:val="center"/>
            <w:hideMark/>
          </w:tcPr>
          <w:p w14:paraId="49C3E7C0"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0C3458" w14:paraId="6488446F" w14:textId="77777777" w:rsidTr="005B07A1">
        <w:trPr>
          <w:trHeight w:val="300"/>
          <w:jc w:val="center"/>
        </w:trPr>
        <w:tc>
          <w:tcPr>
            <w:tcW w:w="4037" w:type="dxa"/>
            <w:tcBorders>
              <w:top w:val="nil"/>
              <w:left w:val="single" w:sz="8" w:space="0" w:color="auto"/>
              <w:bottom w:val="single" w:sz="4" w:space="0" w:color="auto"/>
              <w:right w:val="nil"/>
            </w:tcBorders>
            <w:noWrap/>
            <w:vAlign w:val="bottom"/>
            <w:hideMark/>
          </w:tcPr>
          <w:p w14:paraId="0AC4C537"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xml:space="preserve">MIPYMES mujer </w:t>
            </w:r>
          </w:p>
        </w:tc>
        <w:tc>
          <w:tcPr>
            <w:tcW w:w="185" w:type="dxa"/>
            <w:tcBorders>
              <w:top w:val="nil"/>
              <w:left w:val="nil"/>
              <w:bottom w:val="single" w:sz="4" w:space="0" w:color="auto"/>
              <w:right w:val="nil"/>
            </w:tcBorders>
            <w:noWrap/>
            <w:vAlign w:val="bottom"/>
            <w:hideMark/>
          </w:tcPr>
          <w:p w14:paraId="39CE7C9D"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185" w:type="dxa"/>
            <w:tcBorders>
              <w:top w:val="nil"/>
              <w:left w:val="nil"/>
              <w:bottom w:val="single" w:sz="4" w:space="0" w:color="auto"/>
              <w:right w:val="nil"/>
            </w:tcBorders>
            <w:noWrap/>
            <w:vAlign w:val="bottom"/>
            <w:hideMark/>
          </w:tcPr>
          <w:p w14:paraId="418F5E43"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2679" w:type="dxa"/>
            <w:tcBorders>
              <w:top w:val="nil"/>
              <w:left w:val="nil"/>
              <w:bottom w:val="single" w:sz="4" w:space="0" w:color="auto"/>
              <w:right w:val="single" w:sz="8" w:space="0" w:color="auto"/>
            </w:tcBorders>
            <w:noWrap/>
            <w:vAlign w:val="bottom"/>
            <w:hideMark/>
          </w:tcPr>
          <w:p w14:paraId="34201844" w14:textId="77777777" w:rsidR="005B07A1" w:rsidRPr="000C3458" w:rsidRDefault="005B07A1" w:rsidP="005B07A1">
            <w:pPr>
              <w:spacing w:after="0" w:line="240" w:lineRule="auto"/>
              <w:jc w:val="right"/>
              <w:rPr>
                <w:rFonts w:eastAsia="Times New Roman"/>
                <w:spacing w:val="0"/>
                <w:lang w:val="es-DO" w:eastAsia="es-DO"/>
              </w:rPr>
            </w:pPr>
            <w:r w:rsidRPr="000C3458">
              <w:rPr>
                <w:rFonts w:eastAsia="Times New Roman"/>
                <w:spacing w:val="0"/>
                <w:lang w:val="es-DO" w:eastAsia="es-DO"/>
              </w:rPr>
              <w:t>2,967,000.00</w:t>
            </w:r>
          </w:p>
        </w:tc>
        <w:tc>
          <w:tcPr>
            <w:tcW w:w="160" w:type="dxa"/>
            <w:vAlign w:val="center"/>
            <w:hideMark/>
          </w:tcPr>
          <w:p w14:paraId="4E4FC012"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0C3458" w14:paraId="3F019D38" w14:textId="77777777" w:rsidTr="005B07A1">
        <w:trPr>
          <w:trHeight w:val="315"/>
          <w:jc w:val="center"/>
        </w:trPr>
        <w:tc>
          <w:tcPr>
            <w:tcW w:w="4037" w:type="dxa"/>
            <w:tcBorders>
              <w:top w:val="nil"/>
              <w:left w:val="single" w:sz="8" w:space="0" w:color="auto"/>
              <w:bottom w:val="single" w:sz="4" w:space="0" w:color="auto"/>
              <w:right w:val="nil"/>
            </w:tcBorders>
            <w:noWrap/>
            <w:vAlign w:val="bottom"/>
            <w:hideMark/>
          </w:tcPr>
          <w:p w14:paraId="5AB6449E"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No MIPYMES</w:t>
            </w:r>
          </w:p>
        </w:tc>
        <w:tc>
          <w:tcPr>
            <w:tcW w:w="185" w:type="dxa"/>
            <w:tcBorders>
              <w:top w:val="nil"/>
              <w:left w:val="nil"/>
              <w:bottom w:val="single" w:sz="4" w:space="0" w:color="auto"/>
              <w:right w:val="nil"/>
            </w:tcBorders>
            <w:noWrap/>
            <w:vAlign w:val="bottom"/>
            <w:hideMark/>
          </w:tcPr>
          <w:p w14:paraId="1D7349A0"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185" w:type="dxa"/>
            <w:tcBorders>
              <w:top w:val="nil"/>
              <w:left w:val="nil"/>
              <w:bottom w:val="single" w:sz="4" w:space="0" w:color="auto"/>
              <w:right w:val="nil"/>
            </w:tcBorders>
            <w:noWrap/>
            <w:vAlign w:val="bottom"/>
            <w:hideMark/>
          </w:tcPr>
          <w:p w14:paraId="6ADC4C00"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2679" w:type="dxa"/>
            <w:tcBorders>
              <w:top w:val="nil"/>
              <w:left w:val="nil"/>
              <w:bottom w:val="single" w:sz="4" w:space="0" w:color="auto"/>
              <w:right w:val="single" w:sz="8" w:space="0" w:color="auto"/>
            </w:tcBorders>
            <w:noWrap/>
            <w:vAlign w:val="bottom"/>
            <w:hideMark/>
          </w:tcPr>
          <w:p w14:paraId="205C83C7" w14:textId="77777777" w:rsidR="005B07A1" w:rsidRPr="000C3458" w:rsidRDefault="005B07A1" w:rsidP="005B07A1">
            <w:pPr>
              <w:spacing w:after="0" w:line="240" w:lineRule="auto"/>
              <w:jc w:val="right"/>
              <w:rPr>
                <w:rFonts w:eastAsia="Times New Roman"/>
                <w:spacing w:val="0"/>
                <w:lang w:val="es-DO" w:eastAsia="es-DO"/>
              </w:rPr>
            </w:pPr>
            <w:r w:rsidRPr="000C3458">
              <w:rPr>
                <w:rFonts w:eastAsia="Times New Roman"/>
                <w:spacing w:val="0"/>
                <w:lang w:val="es-DO" w:eastAsia="es-DO"/>
              </w:rPr>
              <w:t>112,066,354.54</w:t>
            </w:r>
          </w:p>
        </w:tc>
        <w:tc>
          <w:tcPr>
            <w:tcW w:w="160" w:type="dxa"/>
            <w:vAlign w:val="center"/>
            <w:hideMark/>
          </w:tcPr>
          <w:p w14:paraId="183832CD"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B47076" w14:paraId="098E6505" w14:textId="77777777" w:rsidTr="005B07A1">
        <w:trPr>
          <w:trHeight w:val="300"/>
          <w:jc w:val="center"/>
        </w:trPr>
        <w:tc>
          <w:tcPr>
            <w:tcW w:w="7086" w:type="dxa"/>
            <w:gridSpan w:val="4"/>
            <w:vMerge w:val="restart"/>
            <w:tcBorders>
              <w:top w:val="single" w:sz="8" w:space="0" w:color="auto"/>
              <w:left w:val="single" w:sz="8" w:space="0" w:color="auto"/>
              <w:bottom w:val="single" w:sz="8" w:space="0" w:color="000000"/>
              <w:right w:val="single" w:sz="8" w:space="0" w:color="000000"/>
            </w:tcBorders>
            <w:shd w:val="clear" w:color="000000" w:fill="003876"/>
            <w:noWrap/>
            <w:vAlign w:val="center"/>
            <w:hideMark/>
          </w:tcPr>
          <w:p w14:paraId="3BF93068" w14:textId="77777777" w:rsidR="005B07A1" w:rsidRPr="000C3458" w:rsidRDefault="005B07A1" w:rsidP="005B07A1">
            <w:pPr>
              <w:spacing w:after="0" w:line="240" w:lineRule="auto"/>
              <w:jc w:val="center"/>
              <w:rPr>
                <w:rFonts w:eastAsia="Times New Roman"/>
                <w:b/>
                <w:bCs/>
                <w:color w:val="FFFFFF"/>
                <w:spacing w:val="0"/>
                <w:lang w:val="es-DO" w:eastAsia="es-DO"/>
              </w:rPr>
            </w:pPr>
            <w:r w:rsidRPr="000C3458">
              <w:rPr>
                <w:rFonts w:eastAsia="Times New Roman"/>
                <w:b/>
                <w:bCs/>
                <w:color w:val="FFFFFF"/>
                <w:spacing w:val="0"/>
                <w:lang w:val="es-DO" w:eastAsia="es-DO"/>
              </w:rPr>
              <w:t>MONTOS ESTIMADOS SEGÚN TIPO DE PROCEDIMIENTO</w:t>
            </w:r>
          </w:p>
        </w:tc>
        <w:tc>
          <w:tcPr>
            <w:tcW w:w="160" w:type="dxa"/>
            <w:vAlign w:val="center"/>
            <w:hideMark/>
          </w:tcPr>
          <w:p w14:paraId="61C2CF0F"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B47076" w14:paraId="4AEBEBF5" w14:textId="77777777" w:rsidTr="005B07A1">
        <w:trPr>
          <w:trHeight w:val="960"/>
          <w:jc w:val="center"/>
        </w:trPr>
        <w:tc>
          <w:tcPr>
            <w:tcW w:w="7086" w:type="dxa"/>
            <w:gridSpan w:val="4"/>
            <w:vMerge/>
            <w:tcBorders>
              <w:top w:val="single" w:sz="8" w:space="0" w:color="auto"/>
              <w:left w:val="single" w:sz="8" w:space="0" w:color="auto"/>
              <w:bottom w:val="single" w:sz="8" w:space="0" w:color="000000"/>
              <w:right w:val="single" w:sz="8" w:space="0" w:color="000000"/>
            </w:tcBorders>
            <w:vAlign w:val="center"/>
            <w:hideMark/>
          </w:tcPr>
          <w:p w14:paraId="36C619E1" w14:textId="77777777" w:rsidR="005B07A1" w:rsidRPr="000C3458" w:rsidRDefault="005B07A1" w:rsidP="005B07A1">
            <w:pPr>
              <w:spacing w:after="0" w:line="240" w:lineRule="auto"/>
              <w:rPr>
                <w:rFonts w:eastAsia="Times New Roman"/>
                <w:b/>
                <w:bCs/>
                <w:color w:val="FFFFFF"/>
                <w:spacing w:val="0"/>
                <w:lang w:val="es-DO" w:eastAsia="es-DO"/>
              </w:rPr>
            </w:pPr>
          </w:p>
        </w:tc>
        <w:tc>
          <w:tcPr>
            <w:tcW w:w="160" w:type="dxa"/>
            <w:tcBorders>
              <w:top w:val="nil"/>
              <w:left w:val="nil"/>
              <w:bottom w:val="nil"/>
              <w:right w:val="nil"/>
            </w:tcBorders>
            <w:noWrap/>
            <w:vAlign w:val="bottom"/>
            <w:hideMark/>
          </w:tcPr>
          <w:p w14:paraId="68DB94E4" w14:textId="77777777" w:rsidR="005B07A1" w:rsidRPr="000C3458" w:rsidRDefault="005B07A1" w:rsidP="005B07A1">
            <w:pPr>
              <w:spacing w:after="0" w:line="240" w:lineRule="auto"/>
              <w:jc w:val="center"/>
              <w:rPr>
                <w:rFonts w:eastAsia="Times New Roman"/>
                <w:b/>
                <w:bCs/>
                <w:color w:val="FFFFFF"/>
                <w:spacing w:val="0"/>
                <w:lang w:val="es-DO" w:eastAsia="es-DO"/>
              </w:rPr>
            </w:pPr>
          </w:p>
        </w:tc>
      </w:tr>
      <w:tr w:rsidR="005B07A1" w:rsidRPr="000C3458" w14:paraId="07EED970" w14:textId="77777777" w:rsidTr="005B07A1">
        <w:trPr>
          <w:trHeight w:val="750"/>
          <w:jc w:val="center"/>
        </w:trPr>
        <w:tc>
          <w:tcPr>
            <w:tcW w:w="4037" w:type="dxa"/>
            <w:tcBorders>
              <w:top w:val="nil"/>
              <w:left w:val="single" w:sz="8" w:space="0" w:color="auto"/>
              <w:bottom w:val="single" w:sz="4" w:space="0" w:color="auto"/>
              <w:right w:val="nil"/>
            </w:tcBorders>
            <w:vAlign w:val="center"/>
            <w:hideMark/>
          </w:tcPr>
          <w:p w14:paraId="57C7FCE1"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xml:space="preserve">Compras por debajo del umbral </w:t>
            </w:r>
          </w:p>
        </w:tc>
        <w:tc>
          <w:tcPr>
            <w:tcW w:w="185" w:type="dxa"/>
            <w:tcBorders>
              <w:top w:val="nil"/>
              <w:left w:val="nil"/>
              <w:bottom w:val="single" w:sz="4" w:space="0" w:color="auto"/>
              <w:right w:val="nil"/>
            </w:tcBorders>
            <w:noWrap/>
            <w:vAlign w:val="bottom"/>
            <w:hideMark/>
          </w:tcPr>
          <w:p w14:paraId="2E3D2CA4"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185" w:type="dxa"/>
            <w:tcBorders>
              <w:top w:val="nil"/>
              <w:left w:val="nil"/>
              <w:bottom w:val="single" w:sz="4" w:space="0" w:color="auto"/>
              <w:right w:val="nil"/>
            </w:tcBorders>
            <w:noWrap/>
            <w:vAlign w:val="bottom"/>
            <w:hideMark/>
          </w:tcPr>
          <w:p w14:paraId="7BE64E71"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2679" w:type="dxa"/>
            <w:tcBorders>
              <w:top w:val="nil"/>
              <w:left w:val="nil"/>
              <w:bottom w:val="single" w:sz="4" w:space="0" w:color="auto"/>
              <w:right w:val="single" w:sz="8" w:space="0" w:color="auto"/>
            </w:tcBorders>
            <w:noWrap/>
            <w:vAlign w:val="center"/>
            <w:hideMark/>
          </w:tcPr>
          <w:p w14:paraId="4D5C2E1A" w14:textId="77777777" w:rsidR="005B07A1" w:rsidRPr="000C3458" w:rsidRDefault="005B07A1" w:rsidP="005B07A1">
            <w:pPr>
              <w:spacing w:after="0" w:line="240" w:lineRule="auto"/>
              <w:jc w:val="right"/>
              <w:rPr>
                <w:rFonts w:eastAsia="Times New Roman"/>
                <w:spacing w:val="0"/>
                <w:lang w:val="es-DO" w:eastAsia="es-DO"/>
              </w:rPr>
            </w:pPr>
            <w:r w:rsidRPr="000C3458">
              <w:rPr>
                <w:rFonts w:eastAsia="Times New Roman"/>
                <w:spacing w:val="0"/>
                <w:lang w:val="es-DO" w:eastAsia="es-DO"/>
              </w:rPr>
              <w:t>14,707,353.54</w:t>
            </w:r>
          </w:p>
        </w:tc>
        <w:tc>
          <w:tcPr>
            <w:tcW w:w="160" w:type="dxa"/>
            <w:vAlign w:val="center"/>
            <w:hideMark/>
          </w:tcPr>
          <w:p w14:paraId="64616865"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0C3458" w14:paraId="101DE471" w14:textId="77777777" w:rsidTr="005B07A1">
        <w:trPr>
          <w:trHeight w:val="300"/>
          <w:jc w:val="center"/>
        </w:trPr>
        <w:tc>
          <w:tcPr>
            <w:tcW w:w="4037" w:type="dxa"/>
            <w:tcBorders>
              <w:top w:val="nil"/>
              <w:left w:val="single" w:sz="8" w:space="0" w:color="auto"/>
              <w:bottom w:val="single" w:sz="4" w:space="0" w:color="auto"/>
              <w:right w:val="nil"/>
            </w:tcBorders>
            <w:vAlign w:val="center"/>
            <w:hideMark/>
          </w:tcPr>
          <w:p w14:paraId="711862FE" w14:textId="6A0EEC1A"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Compras menores</w:t>
            </w:r>
          </w:p>
        </w:tc>
        <w:tc>
          <w:tcPr>
            <w:tcW w:w="185" w:type="dxa"/>
            <w:tcBorders>
              <w:top w:val="nil"/>
              <w:left w:val="nil"/>
              <w:bottom w:val="single" w:sz="4" w:space="0" w:color="auto"/>
              <w:right w:val="nil"/>
            </w:tcBorders>
            <w:noWrap/>
            <w:vAlign w:val="bottom"/>
            <w:hideMark/>
          </w:tcPr>
          <w:p w14:paraId="4F9AAB26"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185" w:type="dxa"/>
            <w:tcBorders>
              <w:top w:val="nil"/>
              <w:left w:val="nil"/>
              <w:bottom w:val="single" w:sz="4" w:space="0" w:color="auto"/>
              <w:right w:val="nil"/>
            </w:tcBorders>
            <w:noWrap/>
            <w:vAlign w:val="bottom"/>
            <w:hideMark/>
          </w:tcPr>
          <w:p w14:paraId="7BA4BAD3"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2679" w:type="dxa"/>
            <w:tcBorders>
              <w:top w:val="nil"/>
              <w:left w:val="nil"/>
              <w:bottom w:val="single" w:sz="4" w:space="0" w:color="auto"/>
              <w:right w:val="single" w:sz="8" w:space="0" w:color="auto"/>
            </w:tcBorders>
            <w:noWrap/>
            <w:vAlign w:val="center"/>
            <w:hideMark/>
          </w:tcPr>
          <w:p w14:paraId="79A031AD" w14:textId="77777777" w:rsidR="005B07A1" w:rsidRPr="000C3458" w:rsidRDefault="005B07A1" w:rsidP="005B07A1">
            <w:pPr>
              <w:spacing w:after="0" w:line="240" w:lineRule="auto"/>
              <w:jc w:val="right"/>
              <w:rPr>
                <w:rFonts w:eastAsia="Times New Roman"/>
                <w:spacing w:val="0"/>
                <w:lang w:val="es-DO" w:eastAsia="es-DO"/>
              </w:rPr>
            </w:pPr>
            <w:r w:rsidRPr="000C3458">
              <w:rPr>
                <w:rFonts w:eastAsia="Times New Roman"/>
                <w:spacing w:val="0"/>
                <w:lang w:val="es-DO" w:eastAsia="es-DO"/>
              </w:rPr>
              <w:t>19,940,628.92</w:t>
            </w:r>
          </w:p>
        </w:tc>
        <w:tc>
          <w:tcPr>
            <w:tcW w:w="160" w:type="dxa"/>
            <w:vAlign w:val="center"/>
            <w:hideMark/>
          </w:tcPr>
          <w:p w14:paraId="119EB1F6"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0C3458" w14:paraId="33574015" w14:textId="77777777" w:rsidTr="005B07A1">
        <w:trPr>
          <w:trHeight w:val="300"/>
          <w:jc w:val="center"/>
        </w:trPr>
        <w:tc>
          <w:tcPr>
            <w:tcW w:w="4037" w:type="dxa"/>
            <w:tcBorders>
              <w:top w:val="nil"/>
              <w:left w:val="single" w:sz="8" w:space="0" w:color="auto"/>
              <w:bottom w:val="single" w:sz="4" w:space="0" w:color="auto"/>
              <w:right w:val="nil"/>
            </w:tcBorders>
            <w:vAlign w:val="center"/>
            <w:hideMark/>
          </w:tcPr>
          <w:p w14:paraId="65D16DC2"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xml:space="preserve">Comparación de precios </w:t>
            </w:r>
          </w:p>
        </w:tc>
        <w:tc>
          <w:tcPr>
            <w:tcW w:w="185" w:type="dxa"/>
            <w:tcBorders>
              <w:top w:val="nil"/>
              <w:left w:val="nil"/>
              <w:bottom w:val="single" w:sz="4" w:space="0" w:color="auto"/>
              <w:right w:val="nil"/>
            </w:tcBorders>
            <w:noWrap/>
            <w:vAlign w:val="bottom"/>
            <w:hideMark/>
          </w:tcPr>
          <w:p w14:paraId="2E6C99D9"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185" w:type="dxa"/>
            <w:tcBorders>
              <w:top w:val="nil"/>
              <w:left w:val="nil"/>
              <w:bottom w:val="single" w:sz="4" w:space="0" w:color="auto"/>
              <w:right w:val="nil"/>
            </w:tcBorders>
            <w:noWrap/>
            <w:vAlign w:val="bottom"/>
            <w:hideMark/>
          </w:tcPr>
          <w:p w14:paraId="1756E2AA"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2679" w:type="dxa"/>
            <w:tcBorders>
              <w:top w:val="nil"/>
              <w:left w:val="nil"/>
              <w:bottom w:val="single" w:sz="4" w:space="0" w:color="auto"/>
              <w:right w:val="single" w:sz="8" w:space="0" w:color="auto"/>
            </w:tcBorders>
            <w:noWrap/>
            <w:vAlign w:val="center"/>
            <w:hideMark/>
          </w:tcPr>
          <w:p w14:paraId="7B425C83" w14:textId="77777777" w:rsidR="005B07A1" w:rsidRPr="000C3458" w:rsidRDefault="005B07A1" w:rsidP="005B07A1">
            <w:pPr>
              <w:spacing w:after="0" w:line="240" w:lineRule="auto"/>
              <w:jc w:val="right"/>
              <w:rPr>
                <w:rFonts w:eastAsia="Times New Roman"/>
                <w:spacing w:val="0"/>
                <w:lang w:val="es-DO" w:eastAsia="es-DO"/>
              </w:rPr>
            </w:pPr>
            <w:r w:rsidRPr="000C3458">
              <w:rPr>
                <w:rFonts w:eastAsia="Times New Roman"/>
                <w:spacing w:val="0"/>
                <w:lang w:val="es-DO" w:eastAsia="es-DO"/>
              </w:rPr>
              <w:t>29,167,000.00</w:t>
            </w:r>
          </w:p>
        </w:tc>
        <w:tc>
          <w:tcPr>
            <w:tcW w:w="160" w:type="dxa"/>
            <w:vAlign w:val="center"/>
            <w:hideMark/>
          </w:tcPr>
          <w:p w14:paraId="3BE3F5BE"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0C3458" w14:paraId="63E8A033" w14:textId="77777777" w:rsidTr="005B07A1">
        <w:trPr>
          <w:trHeight w:val="315"/>
          <w:jc w:val="center"/>
        </w:trPr>
        <w:tc>
          <w:tcPr>
            <w:tcW w:w="4037" w:type="dxa"/>
            <w:tcBorders>
              <w:top w:val="nil"/>
              <w:left w:val="single" w:sz="8" w:space="0" w:color="auto"/>
              <w:bottom w:val="single" w:sz="4" w:space="0" w:color="auto"/>
              <w:right w:val="nil"/>
            </w:tcBorders>
            <w:vAlign w:val="center"/>
            <w:hideMark/>
          </w:tcPr>
          <w:p w14:paraId="3542391A"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Licitación pública</w:t>
            </w:r>
          </w:p>
        </w:tc>
        <w:tc>
          <w:tcPr>
            <w:tcW w:w="185" w:type="dxa"/>
            <w:tcBorders>
              <w:top w:val="nil"/>
              <w:left w:val="nil"/>
              <w:bottom w:val="single" w:sz="4" w:space="0" w:color="auto"/>
              <w:right w:val="nil"/>
            </w:tcBorders>
            <w:noWrap/>
            <w:vAlign w:val="bottom"/>
            <w:hideMark/>
          </w:tcPr>
          <w:p w14:paraId="48955B42"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185" w:type="dxa"/>
            <w:tcBorders>
              <w:top w:val="nil"/>
              <w:left w:val="nil"/>
              <w:bottom w:val="single" w:sz="4" w:space="0" w:color="auto"/>
              <w:right w:val="nil"/>
            </w:tcBorders>
            <w:noWrap/>
            <w:vAlign w:val="bottom"/>
            <w:hideMark/>
          </w:tcPr>
          <w:p w14:paraId="24DAD163"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2679" w:type="dxa"/>
            <w:tcBorders>
              <w:top w:val="nil"/>
              <w:left w:val="nil"/>
              <w:bottom w:val="single" w:sz="4" w:space="0" w:color="auto"/>
              <w:right w:val="single" w:sz="8" w:space="0" w:color="auto"/>
            </w:tcBorders>
            <w:noWrap/>
            <w:vAlign w:val="center"/>
            <w:hideMark/>
          </w:tcPr>
          <w:p w14:paraId="799F97B5" w14:textId="77777777" w:rsidR="005B07A1" w:rsidRPr="000C3458" w:rsidRDefault="005B07A1" w:rsidP="005B07A1">
            <w:pPr>
              <w:spacing w:after="0" w:line="240" w:lineRule="auto"/>
              <w:jc w:val="right"/>
              <w:rPr>
                <w:rFonts w:eastAsia="Times New Roman"/>
                <w:spacing w:val="0"/>
                <w:lang w:val="es-DO" w:eastAsia="es-DO"/>
              </w:rPr>
            </w:pPr>
            <w:r w:rsidRPr="000C3458">
              <w:rPr>
                <w:rFonts w:eastAsia="Times New Roman"/>
                <w:spacing w:val="0"/>
                <w:lang w:val="es-DO" w:eastAsia="es-DO"/>
              </w:rPr>
              <w:t>56,000,000.00</w:t>
            </w:r>
          </w:p>
        </w:tc>
        <w:tc>
          <w:tcPr>
            <w:tcW w:w="160" w:type="dxa"/>
            <w:vAlign w:val="center"/>
            <w:hideMark/>
          </w:tcPr>
          <w:p w14:paraId="7A8BE54C"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B47076" w14:paraId="4900AC86" w14:textId="77777777" w:rsidTr="005B07A1">
        <w:trPr>
          <w:trHeight w:val="300"/>
          <w:jc w:val="center"/>
        </w:trPr>
        <w:tc>
          <w:tcPr>
            <w:tcW w:w="7086" w:type="dxa"/>
            <w:gridSpan w:val="4"/>
            <w:vMerge w:val="restart"/>
            <w:tcBorders>
              <w:top w:val="single" w:sz="8" w:space="0" w:color="auto"/>
              <w:left w:val="single" w:sz="8" w:space="0" w:color="auto"/>
              <w:bottom w:val="single" w:sz="8" w:space="0" w:color="000000"/>
              <w:right w:val="single" w:sz="8" w:space="0" w:color="000000"/>
            </w:tcBorders>
            <w:shd w:val="clear" w:color="000000" w:fill="003876"/>
            <w:noWrap/>
            <w:vAlign w:val="center"/>
            <w:hideMark/>
          </w:tcPr>
          <w:p w14:paraId="6E56ADA6" w14:textId="77777777" w:rsidR="005B07A1" w:rsidRPr="000C3458" w:rsidRDefault="005B07A1" w:rsidP="005B07A1">
            <w:pPr>
              <w:spacing w:after="0" w:line="240" w:lineRule="auto"/>
              <w:jc w:val="center"/>
              <w:rPr>
                <w:rFonts w:eastAsia="Times New Roman"/>
                <w:b/>
                <w:bCs/>
                <w:color w:val="FFFFFF"/>
                <w:spacing w:val="0"/>
                <w:lang w:val="es-DO" w:eastAsia="es-DO"/>
              </w:rPr>
            </w:pPr>
            <w:r w:rsidRPr="000C3458">
              <w:rPr>
                <w:rFonts w:eastAsia="Times New Roman"/>
                <w:b/>
                <w:bCs/>
                <w:color w:val="FFFFFF"/>
                <w:spacing w:val="0"/>
                <w:lang w:val="es-DO" w:eastAsia="es-DO"/>
              </w:rPr>
              <w:t>MONTOS ESTIMADOS SEGÚN TIPO DE PROCEDIMIENTO</w:t>
            </w:r>
          </w:p>
        </w:tc>
        <w:tc>
          <w:tcPr>
            <w:tcW w:w="160" w:type="dxa"/>
            <w:vAlign w:val="center"/>
            <w:hideMark/>
          </w:tcPr>
          <w:p w14:paraId="0E50B371"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B47076" w14:paraId="59D38B59" w14:textId="77777777" w:rsidTr="005B07A1">
        <w:trPr>
          <w:trHeight w:val="300"/>
          <w:jc w:val="center"/>
        </w:trPr>
        <w:tc>
          <w:tcPr>
            <w:tcW w:w="7086" w:type="dxa"/>
            <w:gridSpan w:val="4"/>
            <w:vMerge/>
            <w:tcBorders>
              <w:top w:val="single" w:sz="8" w:space="0" w:color="auto"/>
              <w:left w:val="single" w:sz="8" w:space="0" w:color="auto"/>
              <w:bottom w:val="single" w:sz="8" w:space="0" w:color="000000"/>
              <w:right w:val="single" w:sz="8" w:space="0" w:color="000000"/>
            </w:tcBorders>
            <w:vAlign w:val="center"/>
            <w:hideMark/>
          </w:tcPr>
          <w:p w14:paraId="39E76C8B" w14:textId="77777777" w:rsidR="005B07A1" w:rsidRPr="000C3458" w:rsidRDefault="005B07A1" w:rsidP="005B07A1">
            <w:pPr>
              <w:spacing w:after="0" w:line="240" w:lineRule="auto"/>
              <w:rPr>
                <w:rFonts w:eastAsia="Times New Roman"/>
                <w:b/>
                <w:bCs/>
                <w:color w:val="FFFFFF"/>
                <w:spacing w:val="0"/>
                <w:lang w:val="es-DO" w:eastAsia="es-DO"/>
              </w:rPr>
            </w:pPr>
          </w:p>
        </w:tc>
        <w:tc>
          <w:tcPr>
            <w:tcW w:w="160" w:type="dxa"/>
            <w:tcBorders>
              <w:top w:val="nil"/>
              <w:left w:val="nil"/>
              <w:bottom w:val="nil"/>
              <w:right w:val="nil"/>
            </w:tcBorders>
            <w:noWrap/>
            <w:vAlign w:val="bottom"/>
            <w:hideMark/>
          </w:tcPr>
          <w:p w14:paraId="7E3BDE7E" w14:textId="77777777" w:rsidR="005B07A1" w:rsidRPr="000C3458" w:rsidRDefault="005B07A1" w:rsidP="005B07A1">
            <w:pPr>
              <w:spacing w:after="0" w:line="240" w:lineRule="auto"/>
              <w:jc w:val="center"/>
              <w:rPr>
                <w:rFonts w:eastAsia="Times New Roman"/>
                <w:b/>
                <w:bCs/>
                <w:color w:val="FFFFFF"/>
                <w:spacing w:val="0"/>
                <w:lang w:val="es-DO" w:eastAsia="es-DO"/>
              </w:rPr>
            </w:pPr>
          </w:p>
        </w:tc>
      </w:tr>
      <w:tr w:rsidR="005B07A1" w:rsidRPr="000C3458" w14:paraId="4F7E369C" w14:textId="77777777" w:rsidTr="005B07A1">
        <w:trPr>
          <w:trHeight w:val="300"/>
          <w:jc w:val="center"/>
        </w:trPr>
        <w:tc>
          <w:tcPr>
            <w:tcW w:w="4037" w:type="dxa"/>
            <w:tcBorders>
              <w:top w:val="single" w:sz="4" w:space="0" w:color="auto"/>
              <w:left w:val="single" w:sz="8" w:space="0" w:color="auto"/>
              <w:bottom w:val="single" w:sz="4" w:space="0" w:color="auto"/>
              <w:right w:val="nil"/>
            </w:tcBorders>
            <w:noWrap/>
            <w:vAlign w:val="bottom"/>
            <w:hideMark/>
          </w:tcPr>
          <w:p w14:paraId="2395ADAD"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xml:space="preserve">Licitación pública internacional </w:t>
            </w:r>
          </w:p>
        </w:tc>
        <w:tc>
          <w:tcPr>
            <w:tcW w:w="185" w:type="dxa"/>
            <w:tcBorders>
              <w:top w:val="single" w:sz="4" w:space="0" w:color="auto"/>
              <w:left w:val="nil"/>
              <w:bottom w:val="single" w:sz="4" w:space="0" w:color="auto"/>
              <w:right w:val="nil"/>
            </w:tcBorders>
            <w:noWrap/>
            <w:vAlign w:val="bottom"/>
            <w:hideMark/>
          </w:tcPr>
          <w:p w14:paraId="40347F3E"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185" w:type="dxa"/>
            <w:tcBorders>
              <w:top w:val="single" w:sz="4" w:space="0" w:color="auto"/>
              <w:left w:val="nil"/>
              <w:bottom w:val="single" w:sz="4" w:space="0" w:color="auto"/>
              <w:right w:val="nil"/>
            </w:tcBorders>
            <w:noWrap/>
            <w:vAlign w:val="bottom"/>
            <w:hideMark/>
          </w:tcPr>
          <w:p w14:paraId="39024C9C"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2679" w:type="dxa"/>
            <w:tcBorders>
              <w:top w:val="single" w:sz="4" w:space="0" w:color="auto"/>
              <w:left w:val="nil"/>
              <w:bottom w:val="single" w:sz="4" w:space="0" w:color="auto"/>
              <w:right w:val="single" w:sz="8" w:space="0" w:color="auto"/>
            </w:tcBorders>
            <w:noWrap/>
            <w:vAlign w:val="bottom"/>
            <w:hideMark/>
          </w:tcPr>
          <w:p w14:paraId="2841C368" w14:textId="77777777" w:rsidR="005B07A1" w:rsidRPr="000C3458" w:rsidRDefault="005B07A1" w:rsidP="005B07A1">
            <w:pPr>
              <w:spacing w:after="0" w:line="240" w:lineRule="auto"/>
              <w:jc w:val="right"/>
              <w:rPr>
                <w:rFonts w:eastAsia="Times New Roman"/>
                <w:spacing w:val="0"/>
                <w:lang w:val="es-DO" w:eastAsia="es-DO"/>
              </w:rPr>
            </w:pPr>
            <w:r w:rsidRPr="000C3458">
              <w:rPr>
                <w:rFonts w:eastAsia="Times New Roman"/>
                <w:spacing w:val="0"/>
                <w:lang w:val="es-DO" w:eastAsia="es-DO"/>
              </w:rPr>
              <w:t>N/A</w:t>
            </w:r>
          </w:p>
        </w:tc>
        <w:tc>
          <w:tcPr>
            <w:tcW w:w="160" w:type="dxa"/>
            <w:vAlign w:val="center"/>
            <w:hideMark/>
          </w:tcPr>
          <w:p w14:paraId="7DF2323C"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0C3458" w14:paraId="093FD42E" w14:textId="77777777" w:rsidTr="005B07A1">
        <w:trPr>
          <w:trHeight w:val="720"/>
          <w:jc w:val="center"/>
        </w:trPr>
        <w:tc>
          <w:tcPr>
            <w:tcW w:w="4037" w:type="dxa"/>
            <w:tcBorders>
              <w:top w:val="nil"/>
              <w:left w:val="single" w:sz="8" w:space="0" w:color="auto"/>
              <w:bottom w:val="single" w:sz="4" w:space="0" w:color="auto"/>
              <w:right w:val="nil"/>
            </w:tcBorders>
            <w:vAlign w:val="center"/>
            <w:hideMark/>
          </w:tcPr>
          <w:p w14:paraId="3801E09B" w14:textId="71264B04"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lastRenderedPageBreak/>
              <w:t xml:space="preserve">Excepción - contratación de publicidad a </w:t>
            </w:r>
            <w:r w:rsidR="000C3458" w:rsidRPr="000C3458">
              <w:rPr>
                <w:rFonts w:eastAsia="Times New Roman"/>
                <w:spacing w:val="0"/>
                <w:lang w:val="es-DO" w:eastAsia="es-DO"/>
              </w:rPr>
              <w:t>través</w:t>
            </w:r>
            <w:r w:rsidRPr="000C3458">
              <w:rPr>
                <w:rFonts w:eastAsia="Times New Roman"/>
                <w:spacing w:val="0"/>
                <w:lang w:val="es-DO" w:eastAsia="es-DO"/>
              </w:rPr>
              <w:t xml:space="preserve"> de medios de comunicación social</w:t>
            </w:r>
          </w:p>
        </w:tc>
        <w:tc>
          <w:tcPr>
            <w:tcW w:w="185" w:type="dxa"/>
            <w:tcBorders>
              <w:top w:val="nil"/>
              <w:left w:val="nil"/>
              <w:bottom w:val="single" w:sz="4" w:space="0" w:color="auto"/>
              <w:right w:val="nil"/>
            </w:tcBorders>
            <w:noWrap/>
            <w:vAlign w:val="bottom"/>
            <w:hideMark/>
          </w:tcPr>
          <w:p w14:paraId="3B125D4C"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185" w:type="dxa"/>
            <w:tcBorders>
              <w:top w:val="nil"/>
              <w:left w:val="nil"/>
              <w:bottom w:val="single" w:sz="4" w:space="0" w:color="auto"/>
              <w:right w:val="nil"/>
            </w:tcBorders>
            <w:noWrap/>
            <w:vAlign w:val="bottom"/>
            <w:hideMark/>
          </w:tcPr>
          <w:p w14:paraId="4A91EEEC"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2679" w:type="dxa"/>
            <w:tcBorders>
              <w:top w:val="nil"/>
              <w:left w:val="nil"/>
              <w:bottom w:val="single" w:sz="4" w:space="0" w:color="auto"/>
              <w:right w:val="single" w:sz="8" w:space="0" w:color="auto"/>
            </w:tcBorders>
            <w:noWrap/>
            <w:vAlign w:val="center"/>
            <w:hideMark/>
          </w:tcPr>
          <w:p w14:paraId="5B87A40E" w14:textId="77777777" w:rsidR="005B07A1" w:rsidRPr="000C3458" w:rsidRDefault="005B07A1" w:rsidP="005B07A1">
            <w:pPr>
              <w:spacing w:after="0" w:line="240" w:lineRule="auto"/>
              <w:jc w:val="right"/>
              <w:rPr>
                <w:rFonts w:eastAsia="Times New Roman"/>
                <w:spacing w:val="0"/>
                <w:lang w:val="es-DO" w:eastAsia="es-DO"/>
              </w:rPr>
            </w:pPr>
            <w:r w:rsidRPr="000C3458">
              <w:rPr>
                <w:rFonts w:eastAsia="Times New Roman"/>
                <w:spacing w:val="0"/>
                <w:lang w:val="es-DO" w:eastAsia="es-DO"/>
              </w:rPr>
              <w:t>200,000.00</w:t>
            </w:r>
          </w:p>
        </w:tc>
        <w:tc>
          <w:tcPr>
            <w:tcW w:w="160" w:type="dxa"/>
            <w:vAlign w:val="center"/>
            <w:hideMark/>
          </w:tcPr>
          <w:p w14:paraId="7DADA27F"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0C3458" w14:paraId="0D866588" w14:textId="77777777" w:rsidTr="005B07A1">
        <w:trPr>
          <w:trHeight w:val="495"/>
          <w:jc w:val="center"/>
        </w:trPr>
        <w:tc>
          <w:tcPr>
            <w:tcW w:w="4037" w:type="dxa"/>
            <w:tcBorders>
              <w:top w:val="nil"/>
              <w:left w:val="single" w:sz="8" w:space="0" w:color="auto"/>
              <w:bottom w:val="single" w:sz="4" w:space="0" w:color="auto"/>
              <w:right w:val="nil"/>
            </w:tcBorders>
            <w:vAlign w:val="center"/>
            <w:hideMark/>
          </w:tcPr>
          <w:p w14:paraId="70BBADDE"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xml:space="preserve">Excepción - bienes o servicios con exclusividad </w:t>
            </w:r>
          </w:p>
        </w:tc>
        <w:tc>
          <w:tcPr>
            <w:tcW w:w="185" w:type="dxa"/>
            <w:tcBorders>
              <w:top w:val="nil"/>
              <w:left w:val="nil"/>
              <w:bottom w:val="single" w:sz="4" w:space="0" w:color="auto"/>
              <w:right w:val="nil"/>
            </w:tcBorders>
            <w:noWrap/>
            <w:vAlign w:val="bottom"/>
            <w:hideMark/>
          </w:tcPr>
          <w:p w14:paraId="6B0A1096"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185" w:type="dxa"/>
            <w:tcBorders>
              <w:top w:val="nil"/>
              <w:left w:val="nil"/>
              <w:bottom w:val="single" w:sz="4" w:space="0" w:color="auto"/>
              <w:right w:val="nil"/>
            </w:tcBorders>
            <w:noWrap/>
            <w:vAlign w:val="bottom"/>
            <w:hideMark/>
          </w:tcPr>
          <w:p w14:paraId="7C2B3CE8"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2679" w:type="dxa"/>
            <w:tcBorders>
              <w:top w:val="nil"/>
              <w:left w:val="nil"/>
              <w:bottom w:val="single" w:sz="4" w:space="0" w:color="auto"/>
              <w:right w:val="single" w:sz="8" w:space="0" w:color="auto"/>
            </w:tcBorders>
            <w:noWrap/>
            <w:vAlign w:val="center"/>
            <w:hideMark/>
          </w:tcPr>
          <w:p w14:paraId="21CC7835" w14:textId="77777777" w:rsidR="005B07A1" w:rsidRPr="000C3458" w:rsidRDefault="005B07A1" w:rsidP="005B07A1">
            <w:pPr>
              <w:spacing w:after="0" w:line="240" w:lineRule="auto"/>
              <w:jc w:val="right"/>
              <w:rPr>
                <w:rFonts w:eastAsia="Times New Roman"/>
                <w:spacing w:val="0"/>
                <w:lang w:val="es-DO" w:eastAsia="es-DO"/>
              </w:rPr>
            </w:pPr>
            <w:r w:rsidRPr="000C3458">
              <w:rPr>
                <w:rFonts w:eastAsia="Times New Roman"/>
                <w:spacing w:val="0"/>
                <w:lang w:val="es-DO" w:eastAsia="es-DO"/>
              </w:rPr>
              <w:t>38,867,000.00</w:t>
            </w:r>
          </w:p>
        </w:tc>
        <w:tc>
          <w:tcPr>
            <w:tcW w:w="160" w:type="dxa"/>
            <w:vAlign w:val="center"/>
            <w:hideMark/>
          </w:tcPr>
          <w:p w14:paraId="3C2C60B2"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0C3458" w14:paraId="7E38D893" w14:textId="77777777" w:rsidTr="005B07A1">
        <w:trPr>
          <w:trHeight w:val="300"/>
          <w:jc w:val="center"/>
        </w:trPr>
        <w:tc>
          <w:tcPr>
            <w:tcW w:w="4037" w:type="dxa"/>
            <w:tcBorders>
              <w:top w:val="nil"/>
              <w:left w:val="single" w:sz="8" w:space="0" w:color="auto"/>
              <w:bottom w:val="single" w:sz="4" w:space="0" w:color="auto"/>
              <w:right w:val="nil"/>
            </w:tcBorders>
            <w:vAlign w:val="center"/>
            <w:hideMark/>
          </w:tcPr>
          <w:p w14:paraId="77F1D637" w14:textId="6959E176"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xml:space="preserve">Excepción de proveedor </w:t>
            </w:r>
            <w:r w:rsidR="000C3458" w:rsidRPr="000C3458">
              <w:rPr>
                <w:rFonts w:eastAsia="Times New Roman"/>
                <w:spacing w:val="0"/>
                <w:lang w:val="es-DO" w:eastAsia="es-DO"/>
              </w:rPr>
              <w:t>único</w:t>
            </w:r>
            <w:r w:rsidRPr="000C3458">
              <w:rPr>
                <w:rFonts w:eastAsia="Times New Roman"/>
                <w:spacing w:val="0"/>
                <w:lang w:val="es-DO" w:eastAsia="es-DO"/>
              </w:rPr>
              <w:t xml:space="preserve"> </w:t>
            </w:r>
          </w:p>
        </w:tc>
        <w:tc>
          <w:tcPr>
            <w:tcW w:w="185" w:type="dxa"/>
            <w:tcBorders>
              <w:top w:val="nil"/>
              <w:left w:val="nil"/>
              <w:bottom w:val="single" w:sz="4" w:space="0" w:color="auto"/>
              <w:right w:val="nil"/>
            </w:tcBorders>
            <w:noWrap/>
            <w:vAlign w:val="bottom"/>
            <w:hideMark/>
          </w:tcPr>
          <w:p w14:paraId="13B3E495"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185" w:type="dxa"/>
            <w:tcBorders>
              <w:top w:val="nil"/>
              <w:left w:val="nil"/>
              <w:bottom w:val="single" w:sz="4" w:space="0" w:color="auto"/>
              <w:right w:val="nil"/>
            </w:tcBorders>
            <w:noWrap/>
            <w:vAlign w:val="bottom"/>
            <w:hideMark/>
          </w:tcPr>
          <w:p w14:paraId="7754F17B"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2679" w:type="dxa"/>
            <w:tcBorders>
              <w:top w:val="nil"/>
              <w:left w:val="nil"/>
              <w:bottom w:val="single" w:sz="4" w:space="0" w:color="auto"/>
              <w:right w:val="single" w:sz="8" w:space="0" w:color="auto"/>
            </w:tcBorders>
            <w:noWrap/>
            <w:vAlign w:val="bottom"/>
            <w:hideMark/>
          </w:tcPr>
          <w:p w14:paraId="10C0F538" w14:textId="77777777" w:rsidR="005B07A1" w:rsidRPr="000C3458" w:rsidRDefault="005B07A1" w:rsidP="005B07A1">
            <w:pPr>
              <w:spacing w:after="0" w:line="240" w:lineRule="auto"/>
              <w:jc w:val="right"/>
              <w:rPr>
                <w:rFonts w:eastAsia="Times New Roman"/>
                <w:spacing w:val="0"/>
                <w:lang w:val="es-DO" w:eastAsia="es-DO"/>
              </w:rPr>
            </w:pPr>
            <w:r w:rsidRPr="000C3458">
              <w:rPr>
                <w:rFonts w:eastAsia="Times New Roman"/>
                <w:spacing w:val="0"/>
                <w:lang w:val="es-DO" w:eastAsia="es-DO"/>
              </w:rPr>
              <w:t>-</w:t>
            </w:r>
          </w:p>
        </w:tc>
        <w:tc>
          <w:tcPr>
            <w:tcW w:w="160" w:type="dxa"/>
            <w:vAlign w:val="center"/>
            <w:hideMark/>
          </w:tcPr>
          <w:p w14:paraId="558C30CC" w14:textId="77777777" w:rsidR="005B07A1" w:rsidRPr="000C3458" w:rsidRDefault="005B07A1" w:rsidP="005B07A1">
            <w:pPr>
              <w:spacing w:after="0" w:line="240" w:lineRule="auto"/>
              <w:rPr>
                <w:rFonts w:eastAsia="Times New Roman"/>
                <w:color w:val="auto"/>
                <w:spacing w:val="0"/>
                <w:lang w:val="es-DO" w:eastAsia="es-DO"/>
              </w:rPr>
            </w:pPr>
          </w:p>
        </w:tc>
      </w:tr>
      <w:tr w:rsidR="005B07A1" w:rsidRPr="000C3458" w14:paraId="7F500364" w14:textId="77777777" w:rsidTr="005B07A1">
        <w:trPr>
          <w:trHeight w:val="495"/>
          <w:jc w:val="center"/>
        </w:trPr>
        <w:tc>
          <w:tcPr>
            <w:tcW w:w="4037" w:type="dxa"/>
            <w:tcBorders>
              <w:top w:val="nil"/>
              <w:left w:val="single" w:sz="8" w:space="0" w:color="auto"/>
              <w:bottom w:val="single" w:sz="8" w:space="0" w:color="auto"/>
              <w:right w:val="nil"/>
            </w:tcBorders>
            <w:vAlign w:val="center"/>
            <w:hideMark/>
          </w:tcPr>
          <w:p w14:paraId="65D970C4"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xml:space="preserve">Compras y contratación de combustible </w:t>
            </w:r>
          </w:p>
        </w:tc>
        <w:tc>
          <w:tcPr>
            <w:tcW w:w="185" w:type="dxa"/>
            <w:tcBorders>
              <w:top w:val="nil"/>
              <w:left w:val="nil"/>
              <w:bottom w:val="single" w:sz="8" w:space="0" w:color="auto"/>
              <w:right w:val="nil"/>
            </w:tcBorders>
            <w:noWrap/>
            <w:vAlign w:val="bottom"/>
            <w:hideMark/>
          </w:tcPr>
          <w:p w14:paraId="61C808A9"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185" w:type="dxa"/>
            <w:tcBorders>
              <w:top w:val="nil"/>
              <w:left w:val="nil"/>
              <w:bottom w:val="single" w:sz="8" w:space="0" w:color="auto"/>
              <w:right w:val="nil"/>
            </w:tcBorders>
            <w:noWrap/>
            <w:vAlign w:val="bottom"/>
            <w:hideMark/>
          </w:tcPr>
          <w:p w14:paraId="52012617" w14:textId="77777777" w:rsidR="005B07A1" w:rsidRPr="000C3458" w:rsidRDefault="005B07A1" w:rsidP="005B07A1">
            <w:pPr>
              <w:spacing w:after="0" w:line="240" w:lineRule="auto"/>
              <w:rPr>
                <w:rFonts w:eastAsia="Times New Roman"/>
                <w:spacing w:val="0"/>
                <w:lang w:val="es-DO" w:eastAsia="es-DO"/>
              </w:rPr>
            </w:pPr>
            <w:r w:rsidRPr="000C3458">
              <w:rPr>
                <w:rFonts w:eastAsia="Times New Roman"/>
                <w:spacing w:val="0"/>
                <w:lang w:val="es-DO" w:eastAsia="es-DO"/>
              </w:rPr>
              <w:t> </w:t>
            </w:r>
          </w:p>
        </w:tc>
        <w:tc>
          <w:tcPr>
            <w:tcW w:w="2679" w:type="dxa"/>
            <w:tcBorders>
              <w:top w:val="nil"/>
              <w:left w:val="nil"/>
              <w:bottom w:val="single" w:sz="8" w:space="0" w:color="auto"/>
              <w:right w:val="single" w:sz="8" w:space="0" w:color="auto"/>
            </w:tcBorders>
            <w:noWrap/>
            <w:vAlign w:val="bottom"/>
            <w:hideMark/>
          </w:tcPr>
          <w:p w14:paraId="111F3360" w14:textId="77777777" w:rsidR="005B07A1" w:rsidRPr="000C3458" w:rsidRDefault="005B07A1" w:rsidP="005B07A1">
            <w:pPr>
              <w:spacing w:after="0" w:line="240" w:lineRule="auto"/>
              <w:jc w:val="right"/>
              <w:rPr>
                <w:rFonts w:eastAsia="Times New Roman"/>
                <w:spacing w:val="0"/>
                <w:lang w:val="es-DO" w:eastAsia="es-DO"/>
              </w:rPr>
            </w:pPr>
            <w:r w:rsidRPr="000C3458">
              <w:rPr>
                <w:rFonts w:eastAsia="Times New Roman"/>
                <w:spacing w:val="0"/>
                <w:lang w:val="es-DO" w:eastAsia="es-DO"/>
              </w:rPr>
              <w:t>6,750,000.00</w:t>
            </w:r>
          </w:p>
        </w:tc>
        <w:tc>
          <w:tcPr>
            <w:tcW w:w="160" w:type="dxa"/>
            <w:vAlign w:val="center"/>
            <w:hideMark/>
          </w:tcPr>
          <w:p w14:paraId="75029661" w14:textId="77777777" w:rsidR="005B07A1" w:rsidRPr="000C3458" w:rsidRDefault="005B07A1" w:rsidP="005B07A1">
            <w:pPr>
              <w:spacing w:after="0" w:line="240" w:lineRule="auto"/>
              <w:rPr>
                <w:rFonts w:eastAsia="Times New Roman"/>
                <w:color w:val="auto"/>
                <w:spacing w:val="0"/>
                <w:lang w:val="es-DO" w:eastAsia="es-DO"/>
              </w:rPr>
            </w:pPr>
          </w:p>
        </w:tc>
      </w:tr>
    </w:tbl>
    <w:p w14:paraId="2466AE03" w14:textId="77777777" w:rsidR="005B07A1" w:rsidRPr="008209E2" w:rsidRDefault="005B07A1" w:rsidP="00D64261">
      <w:pPr>
        <w:spacing w:line="360" w:lineRule="auto"/>
        <w:rPr>
          <w:color w:val="4C4747"/>
          <w:lang w:val="es-DO"/>
        </w:rPr>
      </w:pPr>
    </w:p>
    <w:sectPr w:rsidR="005B07A1" w:rsidRPr="008209E2" w:rsidSect="00C64CEF">
      <w:headerReference w:type="default" r:id="rId68"/>
      <w:footerReference w:type="default" r:id="rId69"/>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1D11D" w14:textId="77777777" w:rsidR="00A80DAB" w:rsidRDefault="00A80DAB" w:rsidP="00E84651">
      <w:pPr>
        <w:spacing w:after="0" w:line="240" w:lineRule="auto"/>
      </w:pPr>
      <w:r>
        <w:separator/>
      </w:r>
    </w:p>
  </w:endnote>
  <w:endnote w:type="continuationSeparator" w:id="0">
    <w:p w14:paraId="22C9577A" w14:textId="77777777" w:rsidR="00A80DAB" w:rsidRDefault="00A80DAB"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tifex CF Extra Light">
    <w:altName w:val="Courier New"/>
    <w:panose1 w:val="00000000000000000000"/>
    <w:charset w:val="00"/>
    <w:family w:val="modern"/>
    <w:notTrueType/>
    <w:pitch w:val="variable"/>
    <w:sig w:usb0="00000007" w:usb1="00000000" w:usb2="00000000" w:usb3="00000000" w:csb0="00000093"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3220740"/>
      <w:docPartObj>
        <w:docPartGallery w:val="Page Numbers (Bottom of Page)"/>
        <w:docPartUnique/>
      </w:docPartObj>
    </w:sdtPr>
    <w:sdtEndPr>
      <w:rPr>
        <w:noProof/>
      </w:rPr>
    </w:sdtEndPr>
    <w:sdtContent>
      <w:p w14:paraId="40010675" w14:textId="77777777" w:rsidR="00D951F2" w:rsidRDefault="00D951F2" w:rsidP="0021106F">
        <w:pPr>
          <w:pStyle w:val="Piedepgina"/>
          <w:jc w:val="center"/>
        </w:pPr>
        <w:r>
          <w:rPr>
            <w:noProof/>
          </w:rPr>
          <w:drawing>
            <wp:anchor distT="0" distB="0" distL="114300" distR="114300" simplePos="0" relativeHeight="251660288" behindDoc="1" locked="0" layoutInCell="1" allowOverlap="1" wp14:anchorId="1FC33BC5" wp14:editId="01345F8B">
              <wp:simplePos x="0" y="0"/>
              <wp:positionH relativeFrom="column">
                <wp:posOffset>1035050</wp:posOffset>
              </wp:positionH>
              <wp:positionV relativeFrom="paragraph">
                <wp:posOffset>-26670</wp:posOffset>
              </wp:positionV>
              <wp:extent cx="2995930" cy="408305"/>
              <wp:effectExtent l="0" t="0" r="0" b="0"/>
              <wp:wrapNone/>
              <wp:docPr id="1637618507" name="Picture 163761850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0261815D" w14:textId="77777777" w:rsidR="00D951F2" w:rsidRDefault="00D951F2" w:rsidP="0021106F">
        <w:pPr>
          <w:pStyle w:val="Piedepgina"/>
          <w:jc w:val="center"/>
          <w:rPr>
            <w:color w:val="7F7F7F" w:themeColor="text1" w:themeTint="80"/>
          </w:rPr>
        </w:pPr>
      </w:p>
      <w:p w14:paraId="71AC6B81" w14:textId="77777777" w:rsidR="00D951F2" w:rsidRDefault="00D951F2"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lang w:val="es-DO" w:eastAsia="es-DO"/>
          </w:rPr>
          <w:drawing>
            <wp:anchor distT="0" distB="0" distL="114300" distR="114300" simplePos="0" relativeHeight="251658240" behindDoc="0" locked="0" layoutInCell="1" allowOverlap="1" wp14:anchorId="54F82055" wp14:editId="72E4D594">
              <wp:simplePos x="0" y="0"/>
              <wp:positionH relativeFrom="margin">
                <wp:align>center</wp:align>
              </wp:positionH>
              <wp:positionV relativeFrom="paragraph">
                <wp:posOffset>4887</wp:posOffset>
              </wp:positionV>
              <wp:extent cx="2480310" cy="337820"/>
              <wp:effectExtent l="0" t="0" r="0" b="508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0310" cy="337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9C570F" w14:textId="3C5D1A63" w:rsidR="007C6071" w:rsidRDefault="007C6071" w:rsidP="0021106F">
        <w:pPr>
          <w:pStyle w:val="Piedepgina"/>
          <w:jc w:val="center"/>
          <w:rPr>
            <w:color w:val="7F7F7F" w:themeColor="text1" w:themeTint="80"/>
          </w:rPr>
        </w:pPr>
      </w:p>
      <w:p w14:paraId="2B095E5E" w14:textId="5F82400D"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986FE7">
          <w:rPr>
            <w:noProof/>
            <w:color w:val="7F7F7F" w:themeColor="text1" w:themeTint="80"/>
          </w:rPr>
          <w:t>11</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1871F" w14:textId="77777777" w:rsidR="00A80DAB" w:rsidRDefault="00A80DAB" w:rsidP="00E84651">
      <w:pPr>
        <w:spacing w:after="0" w:line="240" w:lineRule="auto"/>
      </w:pPr>
      <w:r>
        <w:separator/>
      </w:r>
    </w:p>
  </w:footnote>
  <w:footnote w:type="continuationSeparator" w:id="0">
    <w:p w14:paraId="7F29AF90" w14:textId="77777777" w:rsidR="00A80DAB" w:rsidRDefault="00A80DAB"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17398" w14:textId="77777777" w:rsidR="00D951F2" w:rsidRDefault="00D951F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759B"/>
    <w:multiLevelType w:val="multilevel"/>
    <w:tmpl w:val="3E080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34D39"/>
    <w:multiLevelType w:val="hybridMultilevel"/>
    <w:tmpl w:val="6C28C846"/>
    <w:lvl w:ilvl="0" w:tplc="B0AE84A2">
      <w:start w:val="1"/>
      <w:numFmt w:val="decimal"/>
      <w:lvlText w:val="%1."/>
      <w:lvlJc w:val="left"/>
      <w:pPr>
        <w:ind w:left="720" w:hanging="360"/>
      </w:pPr>
      <w:rPr>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A2B3817"/>
    <w:multiLevelType w:val="hybridMultilevel"/>
    <w:tmpl w:val="205A7E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855F2D"/>
    <w:multiLevelType w:val="hybridMultilevel"/>
    <w:tmpl w:val="2834BA2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129D3F38"/>
    <w:multiLevelType w:val="hybridMultilevel"/>
    <w:tmpl w:val="23F017D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4150EAD"/>
    <w:multiLevelType w:val="hybridMultilevel"/>
    <w:tmpl w:val="395CE5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B2F0FB2"/>
    <w:multiLevelType w:val="hybridMultilevel"/>
    <w:tmpl w:val="34A06C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CB27E56"/>
    <w:multiLevelType w:val="multilevel"/>
    <w:tmpl w:val="D52E0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1E516D"/>
    <w:multiLevelType w:val="hybridMultilevel"/>
    <w:tmpl w:val="6624D2E2"/>
    <w:lvl w:ilvl="0" w:tplc="AD4A7074">
      <w:start w:val="1"/>
      <w:numFmt w:val="decimal"/>
      <w:lvlText w:val="%1."/>
      <w:lvlJc w:val="left"/>
      <w:pPr>
        <w:ind w:left="360" w:hanging="360"/>
      </w:pPr>
      <w:rPr>
        <w:b/>
        <w:bCs/>
        <w:sz w:val="18"/>
        <w:szCs w:val="18"/>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9" w15:restartNumberingAfterBreak="0">
    <w:nsid w:val="2126610C"/>
    <w:multiLevelType w:val="multilevel"/>
    <w:tmpl w:val="90582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642024"/>
    <w:multiLevelType w:val="multilevel"/>
    <w:tmpl w:val="59F2F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C22565"/>
    <w:multiLevelType w:val="multilevel"/>
    <w:tmpl w:val="AA8EA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7963DC"/>
    <w:multiLevelType w:val="hybridMultilevel"/>
    <w:tmpl w:val="6F245A3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4DC4CF6"/>
    <w:multiLevelType w:val="hybridMultilevel"/>
    <w:tmpl w:val="9DCADEC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5817BD0"/>
    <w:multiLevelType w:val="multilevel"/>
    <w:tmpl w:val="D574568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4942A9"/>
    <w:multiLevelType w:val="hybridMultilevel"/>
    <w:tmpl w:val="1E6C6B08"/>
    <w:lvl w:ilvl="0" w:tplc="1C0A0001">
      <w:start w:val="1"/>
      <w:numFmt w:val="bullet"/>
      <w:lvlText w:val=""/>
      <w:lvlJc w:val="left"/>
      <w:pPr>
        <w:ind w:left="1428" w:hanging="360"/>
      </w:pPr>
      <w:rPr>
        <w:rFonts w:ascii="Symbol" w:hAnsi="Symbol"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16" w15:restartNumberingAfterBreak="0">
    <w:nsid w:val="2DAA036A"/>
    <w:multiLevelType w:val="multilevel"/>
    <w:tmpl w:val="3FC02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EF73C2"/>
    <w:multiLevelType w:val="hybridMultilevel"/>
    <w:tmpl w:val="3D7E658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335B5E2A"/>
    <w:multiLevelType w:val="hybridMultilevel"/>
    <w:tmpl w:val="71FE7EF8"/>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3A3F400B"/>
    <w:multiLevelType w:val="multilevel"/>
    <w:tmpl w:val="6206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A9623C"/>
    <w:multiLevelType w:val="multilevel"/>
    <w:tmpl w:val="B8948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996556"/>
    <w:multiLevelType w:val="multilevel"/>
    <w:tmpl w:val="B818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5203AA"/>
    <w:multiLevelType w:val="hybridMultilevel"/>
    <w:tmpl w:val="7BB2E50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473C1422"/>
    <w:multiLevelType w:val="multilevel"/>
    <w:tmpl w:val="1CCA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2E163F"/>
    <w:multiLevelType w:val="hybridMultilevel"/>
    <w:tmpl w:val="34202BD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4D753419"/>
    <w:multiLevelType w:val="hybridMultilevel"/>
    <w:tmpl w:val="CB66C516"/>
    <w:lvl w:ilvl="0" w:tplc="1C0A0001">
      <w:start w:val="1"/>
      <w:numFmt w:val="bullet"/>
      <w:lvlText w:val=""/>
      <w:lvlJc w:val="left"/>
      <w:pPr>
        <w:ind w:left="1428" w:hanging="360"/>
      </w:pPr>
      <w:rPr>
        <w:rFonts w:ascii="Symbol" w:hAnsi="Symbol" w:hint="default"/>
      </w:rPr>
    </w:lvl>
    <w:lvl w:ilvl="1" w:tplc="1C0A0003">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26" w15:restartNumberingAfterBreak="0">
    <w:nsid w:val="51810DFE"/>
    <w:multiLevelType w:val="hybridMultilevel"/>
    <w:tmpl w:val="1122A7B8"/>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56CD4F38"/>
    <w:multiLevelType w:val="multilevel"/>
    <w:tmpl w:val="BE44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865D70"/>
    <w:multiLevelType w:val="multilevel"/>
    <w:tmpl w:val="C31E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7F235A"/>
    <w:multiLevelType w:val="hybridMultilevel"/>
    <w:tmpl w:val="F24C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6D6060"/>
    <w:multiLevelType w:val="hybridMultilevel"/>
    <w:tmpl w:val="B0C27222"/>
    <w:lvl w:ilvl="0" w:tplc="1A685134">
      <w:start w:val="1"/>
      <w:numFmt w:val="decimal"/>
      <w:lvlText w:val="%1."/>
      <w:lvlJc w:val="left"/>
      <w:pPr>
        <w:ind w:left="360" w:hanging="360"/>
      </w:pPr>
      <w:rPr>
        <w:color w:val="767171"/>
        <w:sz w:val="22"/>
        <w:szCs w:val="22"/>
      </w:rPr>
    </w:lvl>
    <w:lvl w:ilvl="1" w:tplc="FFFFFFFF" w:tentative="1">
      <w:start w:val="1"/>
      <w:numFmt w:val="lowerLetter"/>
      <w:lvlText w:val="%2."/>
      <w:lvlJc w:val="left"/>
      <w:pPr>
        <w:ind w:left="512" w:hanging="360"/>
      </w:pPr>
    </w:lvl>
    <w:lvl w:ilvl="2" w:tplc="FFFFFFFF" w:tentative="1">
      <w:start w:val="1"/>
      <w:numFmt w:val="lowerRoman"/>
      <w:lvlText w:val="%3."/>
      <w:lvlJc w:val="right"/>
      <w:pPr>
        <w:ind w:left="1232" w:hanging="180"/>
      </w:pPr>
    </w:lvl>
    <w:lvl w:ilvl="3" w:tplc="FFFFFFFF" w:tentative="1">
      <w:start w:val="1"/>
      <w:numFmt w:val="decimal"/>
      <w:lvlText w:val="%4."/>
      <w:lvlJc w:val="left"/>
      <w:pPr>
        <w:ind w:left="1952" w:hanging="360"/>
      </w:pPr>
    </w:lvl>
    <w:lvl w:ilvl="4" w:tplc="FFFFFFFF" w:tentative="1">
      <w:start w:val="1"/>
      <w:numFmt w:val="lowerLetter"/>
      <w:lvlText w:val="%5."/>
      <w:lvlJc w:val="left"/>
      <w:pPr>
        <w:ind w:left="2672" w:hanging="360"/>
      </w:pPr>
    </w:lvl>
    <w:lvl w:ilvl="5" w:tplc="FFFFFFFF" w:tentative="1">
      <w:start w:val="1"/>
      <w:numFmt w:val="lowerRoman"/>
      <w:lvlText w:val="%6."/>
      <w:lvlJc w:val="right"/>
      <w:pPr>
        <w:ind w:left="3392" w:hanging="180"/>
      </w:pPr>
    </w:lvl>
    <w:lvl w:ilvl="6" w:tplc="FFFFFFFF" w:tentative="1">
      <w:start w:val="1"/>
      <w:numFmt w:val="decimal"/>
      <w:lvlText w:val="%7."/>
      <w:lvlJc w:val="left"/>
      <w:pPr>
        <w:ind w:left="4112" w:hanging="360"/>
      </w:pPr>
    </w:lvl>
    <w:lvl w:ilvl="7" w:tplc="FFFFFFFF" w:tentative="1">
      <w:start w:val="1"/>
      <w:numFmt w:val="lowerLetter"/>
      <w:lvlText w:val="%8."/>
      <w:lvlJc w:val="left"/>
      <w:pPr>
        <w:ind w:left="4832" w:hanging="360"/>
      </w:pPr>
    </w:lvl>
    <w:lvl w:ilvl="8" w:tplc="FFFFFFFF" w:tentative="1">
      <w:start w:val="1"/>
      <w:numFmt w:val="lowerRoman"/>
      <w:lvlText w:val="%9."/>
      <w:lvlJc w:val="right"/>
      <w:pPr>
        <w:ind w:left="5552" w:hanging="180"/>
      </w:pPr>
    </w:lvl>
  </w:abstractNum>
  <w:abstractNum w:abstractNumId="31" w15:restartNumberingAfterBreak="0">
    <w:nsid w:val="5A814ADF"/>
    <w:multiLevelType w:val="multilevel"/>
    <w:tmpl w:val="205CCF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5C5451D1"/>
    <w:multiLevelType w:val="hybridMultilevel"/>
    <w:tmpl w:val="19867D96"/>
    <w:lvl w:ilvl="0" w:tplc="080A000F">
      <w:start w:val="1"/>
      <w:numFmt w:val="decimal"/>
      <w:lvlText w:val="%1."/>
      <w:lvlJc w:val="left"/>
      <w:pPr>
        <w:ind w:left="720" w:hanging="360"/>
      </w:pPr>
      <w:rPr>
        <w:rFonts w:hint="default"/>
      </w:rPr>
    </w:lvl>
    <w:lvl w:ilvl="1" w:tplc="779AB13A">
      <w:start w:val="1"/>
      <w:numFmt w:val="lowerLetter"/>
      <w:lvlText w:val="%2."/>
      <w:lvlJc w:val="left"/>
      <w:pPr>
        <w:ind w:left="1440" w:hanging="360"/>
      </w:pPr>
      <w:rPr>
        <w:b w:val="0"/>
        <w:bCs w:val="0"/>
        <w:color w:val="767171" w:themeColor="background2" w:themeShade="80"/>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FA91F71"/>
    <w:multiLevelType w:val="multilevel"/>
    <w:tmpl w:val="B98E2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4A666B"/>
    <w:multiLevelType w:val="multilevel"/>
    <w:tmpl w:val="A27E5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8C379E"/>
    <w:multiLevelType w:val="hybridMultilevel"/>
    <w:tmpl w:val="BE822E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8C1FAB"/>
    <w:multiLevelType w:val="multilevel"/>
    <w:tmpl w:val="2C18E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FC576B"/>
    <w:multiLevelType w:val="hybridMultilevel"/>
    <w:tmpl w:val="D50CC726"/>
    <w:lvl w:ilvl="0" w:tplc="618C91FA">
      <w:start w:val="1"/>
      <w:numFmt w:val="bullet"/>
      <w:lvlText w:val="­"/>
      <w:lvlJc w:val="left"/>
      <w:pPr>
        <w:ind w:left="720" w:hanging="360"/>
      </w:pPr>
      <w:rPr>
        <w:rFonts w:ascii="Aptos" w:hAnsi="Apto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7B0701E7"/>
    <w:multiLevelType w:val="hybridMultilevel"/>
    <w:tmpl w:val="42FC2B6A"/>
    <w:lvl w:ilvl="0" w:tplc="1C0A0001">
      <w:start w:val="1"/>
      <w:numFmt w:val="bullet"/>
      <w:lvlText w:val=""/>
      <w:lvlJc w:val="left"/>
      <w:pPr>
        <w:ind w:left="1318" w:hanging="360"/>
      </w:pPr>
      <w:rPr>
        <w:rFonts w:ascii="Symbol" w:hAnsi="Symbol" w:hint="default"/>
      </w:rPr>
    </w:lvl>
    <w:lvl w:ilvl="1" w:tplc="1C0A0003" w:tentative="1">
      <w:start w:val="1"/>
      <w:numFmt w:val="bullet"/>
      <w:lvlText w:val="o"/>
      <w:lvlJc w:val="left"/>
      <w:pPr>
        <w:ind w:left="2038" w:hanging="360"/>
      </w:pPr>
      <w:rPr>
        <w:rFonts w:ascii="Courier New" w:hAnsi="Courier New" w:cs="Courier New" w:hint="default"/>
      </w:rPr>
    </w:lvl>
    <w:lvl w:ilvl="2" w:tplc="1C0A0005" w:tentative="1">
      <w:start w:val="1"/>
      <w:numFmt w:val="bullet"/>
      <w:lvlText w:val=""/>
      <w:lvlJc w:val="left"/>
      <w:pPr>
        <w:ind w:left="2758" w:hanging="360"/>
      </w:pPr>
      <w:rPr>
        <w:rFonts w:ascii="Wingdings" w:hAnsi="Wingdings" w:hint="default"/>
      </w:rPr>
    </w:lvl>
    <w:lvl w:ilvl="3" w:tplc="1C0A0001" w:tentative="1">
      <w:start w:val="1"/>
      <w:numFmt w:val="bullet"/>
      <w:lvlText w:val=""/>
      <w:lvlJc w:val="left"/>
      <w:pPr>
        <w:ind w:left="3478" w:hanging="360"/>
      </w:pPr>
      <w:rPr>
        <w:rFonts w:ascii="Symbol" w:hAnsi="Symbol" w:hint="default"/>
      </w:rPr>
    </w:lvl>
    <w:lvl w:ilvl="4" w:tplc="1C0A0003" w:tentative="1">
      <w:start w:val="1"/>
      <w:numFmt w:val="bullet"/>
      <w:lvlText w:val="o"/>
      <w:lvlJc w:val="left"/>
      <w:pPr>
        <w:ind w:left="4198" w:hanging="360"/>
      </w:pPr>
      <w:rPr>
        <w:rFonts w:ascii="Courier New" w:hAnsi="Courier New" w:cs="Courier New" w:hint="default"/>
      </w:rPr>
    </w:lvl>
    <w:lvl w:ilvl="5" w:tplc="1C0A0005" w:tentative="1">
      <w:start w:val="1"/>
      <w:numFmt w:val="bullet"/>
      <w:lvlText w:val=""/>
      <w:lvlJc w:val="left"/>
      <w:pPr>
        <w:ind w:left="4918" w:hanging="360"/>
      </w:pPr>
      <w:rPr>
        <w:rFonts w:ascii="Wingdings" w:hAnsi="Wingdings" w:hint="default"/>
      </w:rPr>
    </w:lvl>
    <w:lvl w:ilvl="6" w:tplc="1C0A0001" w:tentative="1">
      <w:start w:val="1"/>
      <w:numFmt w:val="bullet"/>
      <w:lvlText w:val=""/>
      <w:lvlJc w:val="left"/>
      <w:pPr>
        <w:ind w:left="5638" w:hanging="360"/>
      </w:pPr>
      <w:rPr>
        <w:rFonts w:ascii="Symbol" w:hAnsi="Symbol" w:hint="default"/>
      </w:rPr>
    </w:lvl>
    <w:lvl w:ilvl="7" w:tplc="1C0A0003" w:tentative="1">
      <w:start w:val="1"/>
      <w:numFmt w:val="bullet"/>
      <w:lvlText w:val="o"/>
      <w:lvlJc w:val="left"/>
      <w:pPr>
        <w:ind w:left="6358" w:hanging="360"/>
      </w:pPr>
      <w:rPr>
        <w:rFonts w:ascii="Courier New" w:hAnsi="Courier New" w:cs="Courier New" w:hint="default"/>
      </w:rPr>
    </w:lvl>
    <w:lvl w:ilvl="8" w:tplc="1C0A0005" w:tentative="1">
      <w:start w:val="1"/>
      <w:numFmt w:val="bullet"/>
      <w:lvlText w:val=""/>
      <w:lvlJc w:val="left"/>
      <w:pPr>
        <w:ind w:left="7078" w:hanging="360"/>
      </w:pPr>
      <w:rPr>
        <w:rFonts w:ascii="Wingdings" w:hAnsi="Wingdings" w:hint="default"/>
      </w:rPr>
    </w:lvl>
  </w:abstractNum>
  <w:abstractNum w:abstractNumId="39" w15:restartNumberingAfterBreak="0">
    <w:nsid w:val="7FDA22F8"/>
    <w:multiLevelType w:val="multilevel"/>
    <w:tmpl w:val="73ACF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1986058">
    <w:abstractNumId w:val="31"/>
  </w:num>
  <w:num w:numId="2" w16cid:durableId="919097532">
    <w:abstractNumId w:val="2"/>
  </w:num>
  <w:num w:numId="3" w16cid:durableId="215316408">
    <w:abstractNumId w:val="13"/>
  </w:num>
  <w:num w:numId="4" w16cid:durableId="79717871">
    <w:abstractNumId w:val="26"/>
  </w:num>
  <w:num w:numId="5" w16cid:durableId="246311102">
    <w:abstractNumId w:val="1"/>
  </w:num>
  <w:num w:numId="6" w16cid:durableId="510337397">
    <w:abstractNumId w:val="24"/>
  </w:num>
  <w:num w:numId="7" w16cid:durableId="1273393927">
    <w:abstractNumId w:val="18"/>
  </w:num>
  <w:num w:numId="8" w16cid:durableId="990061593">
    <w:abstractNumId w:val="10"/>
  </w:num>
  <w:num w:numId="9" w16cid:durableId="1480537462">
    <w:abstractNumId w:val="32"/>
  </w:num>
  <w:num w:numId="10" w16cid:durableId="1367635234">
    <w:abstractNumId w:val="37"/>
  </w:num>
  <w:num w:numId="11" w16cid:durableId="77949495">
    <w:abstractNumId w:val="3"/>
  </w:num>
  <w:num w:numId="12" w16cid:durableId="1653366684">
    <w:abstractNumId w:val="8"/>
  </w:num>
  <w:num w:numId="13" w16cid:durableId="293561079">
    <w:abstractNumId w:val="30"/>
  </w:num>
  <w:num w:numId="14" w16cid:durableId="1267234830">
    <w:abstractNumId w:val="5"/>
  </w:num>
  <w:num w:numId="15" w16cid:durableId="1066880625">
    <w:abstractNumId w:val="6"/>
  </w:num>
  <w:num w:numId="16" w16cid:durableId="934246809">
    <w:abstractNumId w:val="22"/>
  </w:num>
  <w:num w:numId="17" w16cid:durableId="286619176">
    <w:abstractNumId w:val="17"/>
  </w:num>
  <w:num w:numId="18" w16cid:durableId="727001189">
    <w:abstractNumId w:val="27"/>
  </w:num>
  <w:num w:numId="19" w16cid:durableId="664627436">
    <w:abstractNumId w:val="35"/>
  </w:num>
  <w:num w:numId="20" w16cid:durableId="841316178">
    <w:abstractNumId w:val="29"/>
  </w:num>
  <w:num w:numId="21" w16cid:durableId="467284322">
    <w:abstractNumId w:val="15"/>
  </w:num>
  <w:num w:numId="22" w16cid:durableId="570047950">
    <w:abstractNumId w:val="25"/>
  </w:num>
  <w:num w:numId="23" w16cid:durableId="1316377732">
    <w:abstractNumId w:val="4"/>
  </w:num>
  <w:num w:numId="24" w16cid:durableId="2092923152">
    <w:abstractNumId w:val="12"/>
  </w:num>
  <w:num w:numId="25" w16cid:durableId="1892500493">
    <w:abstractNumId w:val="21"/>
  </w:num>
  <w:num w:numId="26" w16cid:durableId="2032103897">
    <w:abstractNumId w:val="36"/>
  </w:num>
  <w:num w:numId="27" w16cid:durableId="204832136">
    <w:abstractNumId w:val="28"/>
  </w:num>
  <w:num w:numId="28" w16cid:durableId="1584417256">
    <w:abstractNumId w:val="9"/>
  </w:num>
  <w:num w:numId="29" w16cid:durableId="438329854">
    <w:abstractNumId w:val="7"/>
  </w:num>
  <w:num w:numId="30" w16cid:durableId="1794666758">
    <w:abstractNumId w:val="14"/>
  </w:num>
  <w:num w:numId="31" w16cid:durableId="810950092">
    <w:abstractNumId w:val="19"/>
  </w:num>
  <w:num w:numId="32" w16cid:durableId="1562322691">
    <w:abstractNumId w:val="34"/>
  </w:num>
  <w:num w:numId="33" w16cid:durableId="1096561955">
    <w:abstractNumId w:val="20"/>
  </w:num>
  <w:num w:numId="34" w16cid:durableId="1029527859">
    <w:abstractNumId w:val="11"/>
  </w:num>
  <w:num w:numId="35" w16cid:durableId="845706690">
    <w:abstractNumId w:val="23"/>
  </w:num>
  <w:num w:numId="36" w16cid:durableId="475726708">
    <w:abstractNumId w:val="39"/>
  </w:num>
  <w:num w:numId="37" w16cid:durableId="1501198672">
    <w:abstractNumId w:val="16"/>
  </w:num>
  <w:num w:numId="38" w16cid:durableId="321659972">
    <w:abstractNumId w:val="38"/>
  </w:num>
  <w:num w:numId="39" w16cid:durableId="50809782">
    <w:abstractNumId w:val="0"/>
  </w:num>
  <w:num w:numId="40" w16cid:durableId="1264725535">
    <w:abstractNumId w:val="3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DEE"/>
    <w:rsid w:val="000010F7"/>
    <w:rsid w:val="000025D4"/>
    <w:rsid w:val="00003793"/>
    <w:rsid w:val="0000396B"/>
    <w:rsid w:val="00015AF8"/>
    <w:rsid w:val="0001792D"/>
    <w:rsid w:val="00032423"/>
    <w:rsid w:val="0007427A"/>
    <w:rsid w:val="000960E2"/>
    <w:rsid w:val="000A4BAD"/>
    <w:rsid w:val="000C3458"/>
    <w:rsid w:val="000D143C"/>
    <w:rsid w:val="000F38E8"/>
    <w:rsid w:val="00114F2A"/>
    <w:rsid w:val="001240D0"/>
    <w:rsid w:val="00125D46"/>
    <w:rsid w:val="00130144"/>
    <w:rsid w:val="00154646"/>
    <w:rsid w:val="00162A94"/>
    <w:rsid w:val="00167F3C"/>
    <w:rsid w:val="00177CFE"/>
    <w:rsid w:val="00184374"/>
    <w:rsid w:val="001D608D"/>
    <w:rsid w:val="001E07B9"/>
    <w:rsid w:val="001F7D7D"/>
    <w:rsid w:val="00200B6E"/>
    <w:rsid w:val="00204D76"/>
    <w:rsid w:val="0021106F"/>
    <w:rsid w:val="0021331F"/>
    <w:rsid w:val="00243FED"/>
    <w:rsid w:val="002449F9"/>
    <w:rsid w:val="00251503"/>
    <w:rsid w:val="00252F59"/>
    <w:rsid w:val="002716A2"/>
    <w:rsid w:val="0027530D"/>
    <w:rsid w:val="00281B34"/>
    <w:rsid w:val="00285FD4"/>
    <w:rsid w:val="002A762D"/>
    <w:rsid w:val="002B4451"/>
    <w:rsid w:val="002C762F"/>
    <w:rsid w:val="002F1221"/>
    <w:rsid w:val="003302B8"/>
    <w:rsid w:val="00330BBF"/>
    <w:rsid w:val="00332964"/>
    <w:rsid w:val="0034224F"/>
    <w:rsid w:val="00355FE2"/>
    <w:rsid w:val="00384591"/>
    <w:rsid w:val="003B15A3"/>
    <w:rsid w:val="003B1C1B"/>
    <w:rsid w:val="003D6E9C"/>
    <w:rsid w:val="003E7C79"/>
    <w:rsid w:val="003E7EAF"/>
    <w:rsid w:val="00406103"/>
    <w:rsid w:val="0040659D"/>
    <w:rsid w:val="00424996"/>
    <w:rsid w:val="00425CF6"/>
    <w:rsid w:val="00443736"/>
    <w:rsid w:val="00443BFC"/>
    <w:rsid w:val="00451CDF"/>
    <w:rsid w:val="00460CDF"/>
    <w:rsid w:val="00463A18"/>
    <w:rsid w:val="004657B9"/>
    <w:rsid w:val="004671B7"/>
    <w:rsid w:val="004711A1"/>
    <w:rsid w:val="004C0D17"/>
    <w:rsid w:val="004C2709"/>
    <w:rsid w:val="004E2803"/>
    <w:rsid w:val="004F2DD5"/>
    <w:rsid w:val="005028B7"/>
    <w:rsid w:val="00510050"/>
    <w:rsid w:val="00513790"/>
    <w:rsid w:val="0052297B"/>
    <w:rsid w:val="005273D1"/>
    <w:rsid w:val="005421D6"/>
    <w:rsid w:val="00544419"/>
    <w:rsid w:val="00545797"/>
    <w:rsid w:val="00572D53"/>
    <w:rsid w:val="005805BA"/>
    <w:rsid w:val="005944A4"/>
    <w:rsid w:val="005972B3"/>
    <w:rsid w:val="005A44A8"/>
    <w:rsid w:val="005B07A1"/>
    <w:rsid w:val="005B1AED"/>
    <w:rsid w:val="005B38D8"/>
    <w:rsid w:val="005C548C"/>
    <w:rsid w:val="005C75D9"/>
    <w:rsid w:val="005D3C4E"/>
    <w:rsid w:val="005E28BD"/>
    <w:rsid w:val="005F72E4"/>
    <w:rsid w:val="00600744"/>
    <w:rsid w:val="0061095C"/>
    <w:rsid w:val="006160B6"/>
    <w:rsid w:val="0062498E"/>
    <w:rsid w:val="00631F6E"/>
    <w:rsid w:val="00643486"/>
    <w:rsid w:val="00644BF9"/>
    <w:rsid w:val="00650B1B"/>
    <w:rsid w:val="00654164"/>
    <w:rsid w:val="00654EFA"/>
    <w:rsid w:val="006779D3"/>
    <w:rsid w:val="006A4564"/>
    <w:rsid w:val="006A76E5"/>
    <w:rsid w:val="006B23C7"/>
    <w:rsid w:val="006B3787"/>
    <w:rsid w:val="006D3422"/>
    <w:rsid w:val="006D506C"/>
    <w:rsid w:val="006E3F08"/>
    <w:rsid w:val="006E74D8"/>
    <w:rsid w:val="00753EC5"/>
    <w:rsid w:val="00763CE1"/>
    <w:rsid w:val="00772EBD"/>
    <w:rsid w:val="0078170D"/>
    <w:rsid w:val="00786C60"/>
    <w:rsid w:val="00795A16"/>
    <w:rsid w:val="00796C22"/>
    <w:rsid w:val="007A267B"/>
    <w:rsid w:val="007B3FD1"/>
    <w:rsid w:val="007C6071"/>
    <w:rsid w:val="007D1F20"/>
    <w:rsid w:val="007D7EBC"/>
    <w:rsid w:val="007F0A9B"/>
    <w:rsid w:val="008209E2"/>
    <w:rsid w:val="0082260F"/>
    <w:rsid w:val="00823DC1"/>
    <w:rsid w:val="008328E2"/>
    <w:rsid w:val="00834FB7"/>
    <w:rsid w:val="008417DC"/>
    <w:rsid w:val="00860389"/>
    <w:rsid w:val="00861F62"/>
    <w:rsid w:val="00876ABC"/>
    <w:rsid w:val="0087772C"/>
    <w:rsid w:val="00881874"/>
    <w:rsid w:val="0089273D"/>
    <w:rsid w:val="008A3AF3"/>
    <w:rsid w:val="008A7B3E"/>
    <w:rsid w:val="008C22C6"/>
    <w:rsid w:val="008D7279"/>
    <w:rsid w:val="008D7F4E"/>
    <w:rsid w:val="008F7F36"/>
    <w:rsid w:val="009000C6"/>
    <w:rsid w:val="00911D04"/>
    <w:rsid w:val="009122F8"/>
    <w:rsid w:val="00916F88"/>
    <w:rsid w:val="00920A80"/>
    <w:rsid w:val="0094521B"/>
    <w:rsid w:val="00947360"/>
    <w:rsid w:val="009558E4"/>
    <w:rsid w:val="0097291D"/>
    <w:rsid w:val="009829C6"/>
    <w:rsid w:val="0098576A"/>
    <w:rsid w:val="00986FE7"/>
    <w:rsid w:val="009904DB"/>
    <w:rsid w:val="00992D02"/>
    <w:rsid w:val="00995128"/>
    <w:rsid w:val="009A0D0D"/>
    <w:rsid w:val="009B239B"/>
    <w:rsid w:val="009B649B"/>
    <w:rsid w:val="009B6D31"/>
    <w:rsid w:val="009C655C"/>
    <w:rsid w:val="009F3D54"/>
    <w:rsid w:val="00A04B5B"/>
    <w:rsid w:val="00A44089"/>
    <w:rsid w:val="00A5647B"/>
    <w:rsid w:val="00A60E1B"/>
    <w:rsid w:val="00A630BC"/>
    <w:rsid w:val="00A63A00"/>
    <w:rsid w:val="00A80DAB"/>
    <w:rsid w:val="00AA5F0C"/>
    <w:rsid w:val="00AB1A1D"/>
    <w:rsid w:val="00AB5715"/>
    <w:rsid w:val="00AC7AC2"/>
    <w:rsid w:val="00AD4B79"/>
    <w:rsid w:val="00AD6032"/>
    <w:rsid w:val="00AF719F"/>
    <w:rsid w:val="00B00075"/>
    <w:rsid w:val="00B046C6"/>
    <w:rsid w:val="00B15A8A"/>
    <w:rsid w:val="00B16EF5"/>
    <w:rsid w:val="00B26AAB"/>
    <w:rsid w:val="00B35429"/>
    <w:rsid w:val="00B45B38"/>
    <w:rsid w:val="00B47076"/>
    <w:rsid w:val="00B56CA4"/>
    <w:rsid w:val="00BA2267"/>
    <w:rsid w:val="00BA56DF"/>
    <w:rsid w:val="00BB7662"/>
    <w:rsid w:val="00BD1CC7"/>
    <w:rsid w:val="00BE2AB6"/>
    <w:rsid w:val="00BE3668"/>
    <w:rsid w:val="00C02322"/>
    <w:rsid w:val="00C06D41"/>
    <w:rsid w:val="00C10543"/>
    <w:rsid w:val="00C37700"/>
    <w:rsid w:val="00C61C4D"/>
    <w:rsid w:val="00C64CEF"/>
    <w:rsid w:val="00CA0390"/>
    <w:rsid w:val="00CA5433"/>
    <w:rsid w:val="00CA5D56"/>
    <w:rsid w:val="00CB0CB6"/>
    <w:rsid w:val="00CD032F"/>
    <w:rsid w:val="00CD09D8"/>
    <w:rsid w:val="00CD0F92"/>
    <w:rsid w:val="00CD431C"/>
    <w:rsid w:val="00CD4C41"/>
    <w:rsid w:val="00CD73A3"/>
    <w:rsid w:val="00CF3544"/>
    <w:rsid w:val="00CF6646"/>
    <w:rsid w:val="00D068A9"/>
    <w:rsid w:val="00D2018B"/>
    <w:rsid w:val="00D223FD"/>
    <w:rsid w:val="00D22567"/>
    <w:rsid w:val="00D23481"/>
    <w:rsid w:val="00D24CB4"/>
    <w:rsid w:val="00D3574F"/>
    <w:rsid w:val="00D51DB9"/>
    <w:rsid w:val="00D61780"/>
    <w:rsid w:val="00D64261"/>
    <w:rsid w:val="00D72826"/>
    <w:rsid w:val="00D75115"/>
    <w:rsid w:val="00D7672E"/>
    <w:rsid w:val="00D82521"/>
    <w:rsid w:val="00D837AC"/>
    <w:rsid w:val="00D9261F"/>
    <w:rsid w:val="00D93BC5"/>
    <w:rsid w:val="00D951F2"/>
    <w:rsid w:val="00DA0BD4"/>
    <w:rsid w:val="00DA3488"/>
    <w:rsid w:val="00DB12AA"/>
    <w:rsid w:val="00DD2E56"/>
    <w:rsid w:val="00DD7615"/>
    <w:rsid w:val="00DE5246"/>
    <w:rsid w:val="00DF0B54"/>
    <w:rsid w:val="00E0749D"/>
    <w:rsid w:val="00E12DDE"/>
    <w:rsid w:val="00E14734"/>
    <w:rsid w:val="00E15B7D"/>
    <w:rsid w:val="00E24477"/>
    <w:rsid w:val="00E33931"/>
    <w:rsid w:val="00E55841"/>
    <w:rsid w:val="00E739F8"/>
    <w:rsid w:val="00E80BF2"/>
    <w:rsid w:val="00E84651"/>
    <w:rsid w:val="00E87313"/>
    <w:rsid w:val="00EB4D43"/>
    <w:rsid w:val="00EC62CA"/>
    <w:rsid w:val="00EF3542"/>
    <w:rsid w:val="00F05DF4"/>
    <w:rsid w:val="00F11748"/>
    <w:rsid w:val="00F12263"/>
    <w:rsid w:val="00F177DE"/>
    <w:rsid w:val="00F21DBA"/>
    <w:rsid w:val="00F23DCD"/>
    <w:rsid w:val="00F2440C"/>
    <w:rsid w:val="00F36012"/>
    <w:rsid w:val="00F55EF4"/>
    <w:rsid w:val="00F56299"/>
    <w:rsid w:val="00F74112"/>
    <w:rsid w:val="00F94808"/>
    <w:rsid w:val="00FB444B"/>
    <w:rsid w:val="00FB745E"/>
    <w:rsid w:val="00FB7EE3"/>
    <w:rsid w:val="00FD4901"/>
    <w:rsid w:val="00FD5077"/>
    <w:rsid w:val="00FF35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semiHidden/>
    <w:unhideWhenUsed/>
    <w:qFormat/>
    <w:rsid w:val="00D951F2"/>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aliases w:val="Compomente,RMSI bulle Style,List Paragraph1,Bullet  Paragraph,Heading3,titulo 5,Paragraphe de liste PBLH,Graph &amp; Table tite,Bullet Points,Liste Paragraf,Llista Nivell1,Lista de nivel 1,Listenabsatz1,Lettre d'introduction"/>
    <w:basedOn w:val="Normal"/>
    <w:link w:val="PrrafodelistaCar"/>
    <w:uiPriority w:val="34"/>
    <w:qFormat/>
    <w:rsid w:val="008209E2"/>
    <w:pPr>
      <w:spacing w:line="456" w:lineRule="auto"/>
      <w:ind w:left="720" w:firstLine="357"/>
      <w:contextualSpacing/>
      <w:jc w:val="both"/>
    </w:pPr>
    <w:rPr>
      <w:rFonts w:ascii="Artifex CF Extra Light" w:eastAsia="Calibri" w:hAnsi="Artifex CF Extra Light"/>
      <w:color w:val="1F4E79"/>
      <w:spacing w:val="0"/>
      <w:sz w:val="18"/>
      <w:szCs w:val="22"/>
      <w:lang w:val="es-DO"/>
    </w:rPr>
  </w:style>
  <w:style w:type="character" w:customStyle="1" w:styleId="PrrafodelistaCar">
    <w:name w:val="Párrafo de lista Car"/>
    <w:aliases w:val="Compomente Car,RMSI bulle Style Car,List Paragraph1 Car,Bullet  Paragraph Car,Heading3 Car,titulo 5 Car,Paragraphe de liste PBLH Car,Graph &amp; Table tite Car,Bullet Points Car,Liste Paragraf Car,Llista Nivell1 Car,Lista de nivel 1 Car"/>
    <w:link w:val="Prrafodelista"/>
    <w:uiPriority w:val="34"/>
    <w:qFormat/>
    <w:rsid w:val="008209E2"/>
    <w:rPr>
      <w:rFonts w:ascii="Artifex CF Extra Light" w:eastAsia="Calibri" w:hAnsi="Artifex CF Extra Light"/>
      <w:color w:val="1F4E79"/>
      <w:spacing w:val="0"/>
      <w:sz w:val="18"/>
      <w:szCs w:val="22"/>
      <w:lang w:val="es-DO"/>
    </w:rPr>
  </w:style>
  <w:style w:type="character" w:customStyle="1" w:styleId="Ttulo3Car">
    <w:name w:val="Título 3 Car"/>
    <w:basedOn w:val="Fuentedeprrafopredeter"/>
    <w:link w:val="Ttulo3"/>
    <w:uiPriority w:val="9"/>
    <w:semiHidden/>
    <w:rsid w:val="00D951F2"/>
    <w:rPr>
      <w:rFonts w:asciiTheme="majorHAnsi" w:eastAsiaTheme="majorEastAsia" w:hAnsiTheme="majorHAnsi" w:cstheme="majorBidi"/>
      <w:color w:val="1F3763" w:themeColor="accent1" w:themeShade="7F"/>
    </w:rPr>
  </w:style>
  <w:style w:type="table" w:styleId="Tablaconcuadrcula1clara-nfasis1">
    <w:name w:val="Grid Table 1 Light Accent 1"/>
    <w:basedOn w:val="Tablanormal"/>
    <w:uiPriority w:val="46"/>
    <w:rsid w:val="00D951F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concuadrcula">
    <w:name w:val="Table Grid"/>
    <w:basedOn w:val="Tablanormal"/>
    <w:uiPriority w:val="39"/>
    <w:rsid w:val="00D951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1"/>
    <w:rsid w:val="00D951F2"/>
    <w:rPr>
      <w:rFonts w:eastAsia="Calibri"/>
      <w:color w:val="595959" w:themeColor="text1" w:themeTint="A6"/>
    </w:rPr>
  </w:style>
  <w:style w:type="table" w:styleId="Tablaconcuadrcula4-nfasis1">
    <w:name w:val="Grid Table 4 Accent 1"/>
    <w:basedOn w:val="Tablanormal"/>
    <w:uiPriority w:val="49"/>
    <w:rsid w:val="00D951F2"/>
    <w:pPr>
      <w:spacing w:after="0" w:line="240" w:lineRule="auto"/>
    </w:pPr>
    <w:rPr>
      <w:rFonts w:asciiTheme="minorHAnsi" w:hAnsiTheme="minorHAnsi" w:cstheme="minorBidi"/>
      <w:color w:val="auto"/>
      <w:spacing w:val="0"/>
      <w:sz w:val="22"/>
      <w:szCs w:val="22"/>
      <w:lang w:val="es-419"/>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Descripcin">
    <w:name w:val="caption"/>
    <w:basedOn w:val="Normal"/>
    <w:next w:val="Normal"/>
    <w:uiPriority w:val="35"/>
    <w:unhideWhenUsed/>
    <w:qFormat/>
    <w:rsid w:val="00D951F2"/>
    <w:pPr>
      <w:spacing w:after="200" w:line="240" w:lineRule="auto"/>
    </w:pPr>
    <w:rPr>
      <w:i/>
      <w:iCs/>
      <w:color w:val="44546A" w:themeColor="text2"/>
      <w:sz w:val="18"/>
      <w:szCs w:val="18"/>
    </w:rPr>
  </w:style>
  <w:style w:type="paragraph" w:styleId="Textodeglobo">
    <w:name w:val="Balloon Text"/>
    <w:basedOn w:val="Normal"/>
    <w:link w:val="TextodegloboCar"/>
    <w:uiPriority w:val="99"/>
    <w:semiHidden/>
    <w:unhideWhenUsed/>
    <w:rsid w:val="00D951F2"/>
    <w:pPr>
      <w:spacing w:after="0" w:line="240" w:lineRule="auto"/>
    </w:pPr>
    <w:rPr>
      <w:rFonts w:ascii="Lucida Grande" w:eastAsia="MS Mincho" w:hAnsi="Lucida Grande" w:cs="Lucida Grande"/>
      <w:color w:val="auto"/>
      <w:spacing w:val="0"/>
      <w:sz w:val="18"/>
      <w:szCs w:val="18"/>
      <w:lang w:eastAsia="es-ES"/>
    </w:rPr>
  </w:style>
  <w:style w:type="character" w:customStyle="1" w:styleId="TextodegloboCar">
    <w:name w:val="Texto de globo Car"/>
    <w:basedOn w:val="Fuentedeprrafopredeter"/>
    <w:link w:val="Textodeglobo"/>
    <w:uiPriority w:val="99"/>
    <w:semiHidden/>
    <w:rsid w:val="00D951F2"/>
    <w:rPr>
      <w:rFonts w:ascii="Lucida Grande" w:eastAsia="MS Mincho" w:hAnsi="Lucida Grande" w:cs="Lucida Grande"/>
      <w:color w:val="auto"/>
      <w:spacing w:val="0"/>
      <w:sz w:val="18"/>
      <w:szCs w:val="18"/>
      <w:lang w:eastAsia="es-ES"/>
    </w:rPr>
  </w:style>
  <w:style w:type="paragraph" w:customStyle="1" w:styleId="Prrafodelista1">
    <w:name w:val="Párrafo de lista1"/>
    <w:basedOn w:val="Normal"/>
    <w:uiPriority w:val="34"/>
    <w:qFormat/>
    <w:rsid w:val="00D951F2"/>
    <w:pPr>
      <w:spacing w:after="200" w:line="276" w:lineRule="auto"/>
      <w:ind w:left="720"/>
      <w:contextualSpacing/>
    </w:pPr>
    <w:rPr>
      <w:rFonts w:ascii="Calibri" w:eastAsia="Times New Roman" w:hAnsi="Calibri"/>
      <w:color w:val="auto"/>
      <w:spacing w:val="0"/>
      <w:sz w:val="22"/>
      <w:szCs w:val="22"/>
    </w:rPr>
  </w:style>
  <w:style w:type="paragraph" w:styleId="NormalWeb">
    <w:name w:val="Normal (Web)"/>
    <w:basedOn w:val="Normal"/>
    <w:uiPriority w:val="99"/>
    <w:unhideWhenUsed/>
    <w:rsid w:val="00D951F2"/>
    <w:pPr>
      <w:spacing w:before="100" w:beforeAutospacing="1" w:after="100" w:afterAutospacing="1" w:line="240" w:lineRule="auto"/>
    </w:pPr>
    <w:rPr>
      <w:rFonts w:eastAsia="Times New Roman"/>
      <w:color w:val="auto"/>
      <w:spacing w:val="0"/>
      <w:lang w:val="es-DO" w:eastAsia="es-DO"/>
    </w:rPr>
  </w:style>
  <w:style w:type="paragraph" w:styleId="Textocomentario">
    <w:name w:val="annotation text"/>
    <w:basedOn w:val="Normal"/>
    <w:link w:val="TextocomentarioCar"/>
    <w:uiPriority w:val="99"/>
    <w:unhideWhenUsed/>
    <w:rsid w:val="00D951F2"/>
    <w:pPr>
      <w:spacing w:after="0" w:line="240" w:lineRule="auto"/>
    </w:pPr>
    <w:rPr>
      <w:rFonts w:ascii="Cambria" w:eastAsia="MS Mincho" w:hAnsi="Cambria"/>
      <w:color w:val="auto"/>
      <w:spacing w:val="0"/>
      <w:sz w:val="20"/>
      <w:szCs w:val="20"/>
      <w:lang w:eastAsia="es-ES"/>
    </w:rPr>
  </w:style>
  <w:style w:type="character" w:customStyle="1" w:styleId="TextocomentarioCar">
    <w:name w:val="Texto comentario Car"/>
    <w:basedOn w:val="Fuentedeprrafopredeter"/>
    <w:link w:val="Textocomentario"/>
    <w:uiPriority w:val="99"/>
    <w:rsid w:val="00D951F2"/>
    <w:rPr>
      <w:rFonts w:ascii="Cambria" w:eastAsia="MS Mincho" w:hAnsi="Cambria"/>
      <w:color w:val="auto"/>
      <w:spacing w:val="0"/>
      <w:sz w:val="20"/>
      <w:szCs w:val="20"/>
      <w:lang w:eastAsia="es-ES"/>
    </w:rPr>
  </w:style>
  <w:style w:type="character" w:styleId="Refdecomentario">
    <w:name w:val="annotation reference"/>
    <w:basedOn w:val="Fuentedeprrafopredeter"/>
    <w:uiPriority w:val="99"/>
    <w:semiHidden/>
    <w:unhideWhenUsed/>
    <w:rsid w:val="00D951F2"/>
    <w:rPr>
      <w:sz w:val="16"/>
      <w:szCs w:val="16"/>
    </w:rPr>
  </w:style>
  <w:style w:type="paragraph" w:styleId="Asuntodelcomentario">
    <w:name w:val="annotation subject"/>
    <w:basedOn w:val="Textocomentario"/>
    <w:next w:val="Textocomentario"/>
    <w:link w:val="AsuntodelcomentarioCar"/>
    <w:uiPriority w:val="99"/>
    <w:semiHidden/>
    <w:unhideWhenUsed/>
    <w:rsid w:val="00D951F2"/>
    <w:rPr>
      <w:b/>
      <w:bCs/>
    </w:rPr>
  </w:style>
  <w:style w:type="character" w:customStyle="1" w:styleId="AsuntodelcomentarioCar">
    <w:name w:val="Asunto del comentario Car"/>
    <w:basedOn w:val="TextocomentarioCar"/>
    <w:link w:val="Asuntodelcomentario"/>
    <w:uiPriority w:val="99"/>
    <w:semiHidden/>
    <w:rsid w:val="00D951F2"/>
    <w:rPr>
      <w:rFonts w:ascii="Cambria" w:eastAsia="MS Mincho" w:hAnsi="Cambria"/>
      <w:b/>
      <w:bCs/>
      <w:color w:val="auto"/>
      <w:spacing w:val="0"/>
      <w:sz w:val="20"/>
      <w:szCs w:val="20"/>
      <w:lang w:eastAsia="es-ES"/>
    </w:rPr>
  </w:style>
  <w:style w:type="paragraph" w:customStyle="1" w:styleId="Default">
    <w:name w:val="Default"/>
    <w:rsid w:val="00D951F2"/>
    <w:pPr>
      <w:autoSpaceDE w:val="0"/>
      <w:autoSpaceDN w:val="0"/>
      <w:adjustRightInd w:val="0"/>
      <w:spacing w:after="0" w:line="240" w:lineRule="auto"/>
      <w:jc w:val="both"/>
    </w:pPr>
    <w:rPr>
      <w:rFonts w:eastAsiaTheme="minorEastAsia"/>
      <w:color w:val="000000"/>
      <w:spacing w:val="0"/>
      <w:lang w:val="es-DO"/>
    </w:rPr>
  </w:style>
  <w:style w:type="character" w:styleId="Mencinsinresolver">
    <w:name w:val="Unresolved Mention"/>
    <w:basedOn w:val="Fuentedeprrafopredeter"/>
    <w:uiPriority w:val="99"/>
    <w:semiHidden/>
    <w:unhideWhenUsed/>
    <w:rsid w:val="00D951F2"/>
    <w:rPr>
      <w:color w:val="605E5C"/>
      <w:shd w:val="clear" w:color="auto" w:fill="E1DFDD"/>
    </w:rPr>
  </w:style>
  <w:style w:type="paragraph" w:styleId="TDC2">
    <w:name w:val="toc 2"/>
    <w:basedOn w:val="Normal"/>
    <w:next w:val="Normal"/>
    <w:autoRedefine/>
    <w:uiPriority w:val="39"/>
    <w:unhideWhenUsed/>
    <w:rsid w:val="00D951F2"/>
    <w:pPr>
      <w:spacing w:after="100"/>
      <w:ind w:left="240"/>
    </w:pPr>
  </w:style>
  <w:style w:type="paragraph" w:customStyle="1" w:styleId="xmsonormal">
    <w:name w:val="x_msonormal"/>
    <w:basedOn w:val="Normal"/>
    <w:rsid w:val="00D951F2"/>
    <w:pPr>
      <w:spacing w:after="0" w:line="240" w:lineRule="auto"/>
    </w:pPr>
    <w:rPr>
      <w:rFonts w:ascii="Calibri" w:hAnsi="Calibri" w:cs="Calibri"/>
      <w:color w:val="auto"/>
      <w:spacing w:val="0"/>
      <w:sz w:val="22"/>
      <w:szCs w:val="22"/>
      <w:lang w:val="es-DO" w:eastAsia="es-DO"/>
    </w:rPr>
  </w:style>
  <w:style w:type="character" w:styleId="Refdenotaalpie">
    <w:name w:val="footnote reference"/>
    <w:basedOn w:val="Fuentedeprrafopredeter"/>
    <w:uiPriority w:val="99"/>
    <w:semiHidden/>
    <w:unhideWhenUsed/>
    <w:rsid w:val="00D951F2"/>
    <w:rPr>
      <w:vertAlign w:val="superscript"/>
    </w:rPr>
  </w:style>
  <w:style w:type="table" w:styleId="Tablaconcuadrculaclara">
    <w:name w:val="Grid Table Light"/>
    <w:basedOn w:val="Tablanormal"/>
    <w:uiPriority w:val="40"/>
    <w:rsid w:val="00D951F2"/>
    <w:pPr>
      <w:spacing w:after="0" w:line="240" w:lineRule="auto"/>
    </w:pPr>
    <w:rPr>
      <w:rFonts w:asciiTheme="minorHAnsi" w:hAnsiTheme="minorHAnsi" w:cstheme="minorBidi"/>
      <w:color w:val="auto"/>
      <w:spacing w:val="0"/>
      <w:sz w:val="22"/>
      <w:szCs w:val="22"/>
      <w:lang w:val="es-D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Estilo1">
    <w:name w:val="Estilo1"/>
    <w:basedOn w:val="Tablanormal"/>
    <w:uiPriority w:val="99"/>
    <w:rsid w:val="00D951F2"/>
    <w:pPr>
      <w:spacing w:after="0" w:line="240" w:lineRule="auto"/>
    </w:pPr>
    <w:rPr>
      <w:color w:val="D9D9D9"/>
    </w:rPr>
    <w:tblPr/>
  </w:style>
  <w:style w:type="character" w:styleId="Textoennegrita">
    <w:name w:val="Strong"/>
    <w:basedOn w:val="Fuentedeprrafopredeter"/>
    <w:uiPriority w:val="22"/>
    <w:qFormat/>
    <w:rsid w:val="00B354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1.xml"/><Relationship Id="rId26" Type="http://schemas.openxmlformats.org/officeDocument/2006/relationships/image" Target="media/image11.emf"/><Relationship Id="rId39" Type="http://schemas.openxmlformats.org/officeDocument/2006/relationships/image" Target="media/image18.png"/><Relationship Id="rId21" Type="http://schemas.openxmlformats.org/officeDocument/2006/relationships/chart" Target="charts/chart5.xml"/><Relationship Id="rId34" Type="http://schemas.openxmlformats.org/officeDocument/2006/relationships/chart" Target="charts/chart9.xml"/><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8.png"/><Relationship Id="rId55" Type="http://schemas.openxmlformats.org/officeDocument/2006/relationships/image" Target="media/image32.png"/><Relationship Id="rId63" Type="http://schemas.openxmlformats.org/officeDocument/2006/relationships/image" Target="media/image36.emf"/><Relationship Id="rId68"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9.emf"/><Relationship Id="rId32" Type="http://schemas.openxmlformats.org/officeDocument/2006/relationships/chart" Target="charts/chart7.xml"/><Relationship Id="rId37" Type="http://schemas.openxmlformats.org/officeDocument/2006/relationships/chart" Target="charts/chart12.xml"/><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image" Target="media/image39.png"/><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8.png"/><Relationship Id="rId28" Type="http://schemas.openxmlformats.org/officeDocument/2006/relationships/image" Target="media/image13.emf"/><Relationship Id="rId36" Type="http://schemas.openxmlformats.org/officeDocument/2006/relationships/chart" Target="charts/chart11.xml"/><Relationship Id="rId49" Type="http://schemas.openxmlformats.org/officeDocument/2006/relationships/chart" Target="charts/chart13.xml"/><Relationship Id="rId57" Type="http://schemas.openxmlformats.org/officeDocument/2006/relationships/image" Target="media/image34.png"/><Relationship Id="rId61" Type="http://schemas.openxmlformats.org/officeDocument/2006/relationships/chart" Target="charts/chart17.xml"/><Relationship Id="rId10" Type="http://schemas.openxmlformats.org/officeDocument/2006/relationships/image" Target="media/image3.png"/><Relationship Id="rId19" Type="http://schemas.openxmlformats.org/officeDocument/2006/relationships/footer" Target="footer2.xml"/><Relationship Id="rId31" Type="http://schemas.openxmlformats.org/officeDocument/2006/relationships/image" Target="media/image16.emf"/><Relationship Id="rId44" Type="http://schemas.openxmlformats.org/officeDocument/2006/relationships/image" Target="media/image23.png"/><Relationship Id="rId52" Type="http://schemas.openxmlformats.org/officeDocument/2006/relationships/chart" Target="charts/chart14.xml"/><Relationship Id="rId60" Type="http://schemas.openxmlformats.org/officeDocument/2006/relationships/chart" Target="charts/chart16.xml"/><Relationship Id="rId65" Type="http://schemas.openxmlformats.org/officeDocument/2006/relationships/image" Target="media/image3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chart" Target="charts/chart6.xml"/><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chart" Target="charts/chart10.xml"/><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3.png"/><Relationship Id="rId64" Type="http://schemas.openxmlformats.org/officeDocument/2006/relationships/image" Target="media/image37.emf"/><Relationship Id="rId69"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image" Target="media/image29.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chart" Target="charts/chart3.xml"/><Relationship Id="rId25" Type="http://schemas.openxmlformats.org/officeDocument/2006/relationships/image" Target="media/image10.emf"/><Relationship Id="rId33" Type="http://schemas.openxmlformats.org/officeDocument/2006/relationships/chart" Target="charts/chart8.xml"/><Relationship Id="rId38" Type="http://schemas.openxmlformats.org/officeDocument/2006/relationships/image" Target="media/image17.png"/><Relationship Id="rId46" Type="http://schemas.openxmlformats.org/officeDocument/2006/relationships/image" Target="media/image25.png"/><Relationship Id="rId59" Type="http://schemas.openxmlformats.org/officeDocument/2006/relationships/chart" Target="charts/chart15.xml"/><Relationship Id="rId67" Type="http://schemas.openxmlformats.org/officeDocument/2006/relationships/image" Target="media/image40.png"/><Relationship Id="rId20" Type="http://schemas.openxmlformats.org/officeDocument/2006/relationships/chart" Target="charts/chart4.xml"/><Relationship Id="rId41" Type="http://schemas.openxmlformats.org/officeDocument/2006/relationships/image" Target="media/image20.png"/><Relationship Id="rId54" Type="http://schemas.openxmlformats.org/officeDocument/2006/relationships/image" Target="media/image31.png"/><Relationship Id="rId62" Type="http://schemas.openxmlformats.org/officeDocument/2006/relationships/hyperlink" Target="http://www.tesoreria" TargetMode="External"/><Relationship Id="rId7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footer3.xml.rels><?xml version="1.0" encoding="UTF-8" standalone="yes"?>
<Relationships xmlns="http://schemas.openxmlformats.org/package/2006/relationships"><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oleObject" Target="file:///\\FSTNP01\Normas%20y%20Procedimientos\A&#241;o%202025\1-NORMAS\1.13%20Informe%20Semestral\Memoria%202025\Gr&#225;ficos%20Vinculados%20a%20Actividades%20DNyATI%202025.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fstnp01\Analisis%20y%20Evaluaci&#243;n\2025\MEMORIA\Gr&#225;ficos%20memoria%20enero%20-%20octubre%20%202025%20proy%20nov%20y%20dic%20Planificaci&#243;n.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fstnp01\Analisis%20y%20Evaluaci&#243;n\2025\MEMORIA\Gr&#225;ficos%20memoria%20enero%20-%20octubre%20%202025%20proy%20nov%20y%20dic%20Planificaci&#243;n.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fstnp01\Analisis%20y%20Evaluaci&#243;n\2025\MEMORIA\Gr&#225;ficos%20memoria%20enero%20-%20octubre%20%202025%20proy%20nov%20y%20dic%20Planificaci&#243;n.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https://tesoreriagovdo-my.sharepoint.com/personal/ecanela_tesoreria_gov_do/Documents/Escritorio/CUADRO%20DEL%202025.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embeddings/oleObject2.bin"/></Relationships>
</file>

<file path=word/charts/_rels/chart16.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file:///\\FSTNP01\Normas%20y%20Procedimientos\A&#241;o%202025\1-NORMAS\1.13%20Informe%20Semestral\Memoria%202025\Gr&#225;ficos%20Vinculados%20a%20Actividades%20DNyATI%2020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STNP01\Normas%20y%20Procedimientos\A&#241;o%202025\1-NORMAS\1.13%20Informe%20Semestral\Memoria%202025\Gr&#225;ficos%20Vinculados%20a%20Actividades%20DNyATI%2020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STNP01\Normas%20y%20Procedimientos\A&#241;o%202025\1-NORMAS\1.13%20Informe%20Semestral\Memoria%202025\Gr&#225;ficos%20Vinculados%20a%20Actividades%20DNyATI%2020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STNP01\Normas%20y%20Procedimientos\A&#241;o%202025\1-NORMAS\1.13%20Informe%20Semestral\Memoria%202025\Gr&#225;ficos%20Vinculados%20a%20Actividades%20DNyATI%20202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STNP01\Normas%20y%20Procedimientos\A&#241;o%202025\1-NORMAS\1.13%20Informe%20Semestral\Memoria%202025\Gr&#225;ficos%20Vinculados%20a%20Actividades%20DNyATI%20202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stnp01\Analisis%20y%20Evaluaci&#243;n\2025\MEMORIA\Gr&#225;ficos%20memoria%20enero%20-%20octubre%20%202025%20proy%20nov%20y%20dic%20Planificaci&#243;n.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stnp01\Analisis%20y%20Evaluaci&#243;n\2025\MEMORIA\Gr&#225;ficos%20memoria%20enero%20-%20octubre%20%202025%20proy%20nov%20y%20dic%20Planificaci&#243;n.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fstnp01\Analisis%20y%20Evaluaci&#243;n\2025\MEMORIA\Gr&#225;ficos%20memoria%20enero%20-%20octubre%20%202025%20proy%20nov%20y%20dic%20Planificaci&#243;n.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5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es-DO" sz="1200" b="1"/>
              <a:t>Entrenamientos enero-diciembre 2025</a:t>
            </a:r>
          </a:p>
        </c:rich>
      </c:tx>
      <c:layout>
        <c:manualLayout>
          <c:xMode val="edge"/>
          <c:yMode val="edge"/>
          <c:x val="0.23046707229778096"/>
          <c:y val="2.243534164970952E-2"/>
        </c:manualLayout>
      </c:layout>
      <c:overlay val="0"/>
      <c:spPr>
        <a:noFill/>
        <a:ln>
          <a:noFill/>
        </a:ln>
        <a:effectLst/>
      </c:spPr>
      <c:txPr>
        <a:bodyPr rot="0" spcFirstLastPara="1" vertOverflow="ellipsis" vert="horz" wrap="square" anchor="ctr" anchorCtr="1"/>
        <a:lstStyle/>
        <a:p>
          <a:pPr>
            <a:defRPr sz="1200" b="1" i="0" u="none" strike="noStrike" kern="1200" cap="none" spc="5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es-DO"/>
        </a:p>
      </c:txPr>
    </c:title>
    <c:autoTitleDeleted val="0"/>
    <c:plotArea>
      <c:layout>
        <c:manualLayout>
          <c:layoutTarget val="inner"/>
          <c:xMode val="edge"/>
          <c:yMode val="edge"/>
          <c:x val="5.9665145311726474E-2"/>
          <c:y val="0.15685030232275313"/>
          <c:w val="0.90304413886844459"/>
          <c:h val="0.60259749960621811"/>
        </c:manualLayout>
      </c:layout>
      <c:barChart>
        <c:barDir val="col"/>
        <c:grouping val="clustered"/>
        <c:varyColors val="0"/>
        <c:ser>
          <c:idx val="0"/>
          <c:order val="0"/>
          <c:tx>
            <c:strRef>
              <c:f>'Detalle Entrenamientos'!$I$43</c:f>
              <c:strCache>
                <c:ptCount val="1"/>
                <c:pt idx="0">
                  <c:v>Entrenamientos enero-diciembre 2025</c:v>
                </c:pt>
              </c:strCache>
            </c:strRef>
          </c:tx>
          <c:spPr>
            <a:solidFill>
              <a:srgbClr val="011C50"/>
            </a:solidFill>
            <a:ln>
              <a:noFill/>
            </a:ln>
            <a:effectLst/>
          </c:spPr>
          <c:invertIfNegative val="0"/>
          <c:dLbls>
            <c:delete val="1"/>
          </c:dLbls>
          <c:cat>
            <c:strRef>
              <c:f>'Detalle Entrenamientos'!$I$45:$T$45</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'Detalle Entrenamientos'!$I$46:$T$46</c:f>
              <c:numCache>
                <c:formatCode>General</c:formatCode>
                <c:ptCount val="12"/>
                <c:pt idx="0">
                  <c:v>3</c:v>
                </c:pt>
                <c:pt idx="1">
                  <c:v>4</c:v>
                </c:pt>
                <c:pt idx="2">
                  <c:v>1</c:v>
                </c:pt>
                <c:pt idx="3">
                  <c:v>0</c:v>
                </c:pt>
                <c:pt idx="4">
                  <c:v>0</c:v>
                </c:pt>
                <c:pt idx="5">
                  <c:v>1</c:v>
                </c:pt>
                <c:pt idx="6">
                  <c:v>2</c:v>
                </c:pt>
                <c:pt idx="7">
                  <c:v>0</c:v>
                </c:pt>
                <c:pt idx="8">
                  <c:v>0</c:v>
                </c:pt>
                <c:pt idx="9">
                  <c:v>0</c:v>
                </c:pt>
                <c:pt idx="10">
                  <c:v>0</c:v>
                </c:pt>
                <c:pt idx="11">
                  <c:v>0</c:v>
                </c:pt>
              </c:numCache>
            </c:numRef>
          </c:val>
          <c:extLst>
            <c:ext xmlns:c16="http://schemas.microsoft.com/office/drawing/2014/chart" uri="{C3380CC4-5D6E-409C-BE32-E72D297353CC}">
              <c16:uniqueId val="{00000000-2F7F-4DAB-B759-400266DC15E5}"/>
            </c:ext>
          </c:extLst>
        </c:ser>
        <c:dLbls>
          <c:dLblPos val="ctr"/>
          <c:showLegendKey val="0"/>
          <c:showVal val="1"/>
          <c:showCatName val="0"/>
          <c:showSerName val="0"/>
          <c:showPercent val="0"/>
          <c:showBubbleSize val="0"/>
        </c:dLbls>
        <c:gapWidth val="80"/>
        <c:overlap val="25"/>
        <c:axId val="443366648"/>
        <c:axId val="443362056"/>
      </c:barChart>
      <c:catAx>
        <c:axId val="443366648"/>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443362056"/>
        <c:crosses val="autoZero"/>
        <c:auto val="1"/>
        <c:lblAlgn val="ctr"/>
        <c:lblOffset val="100"/>
        <c:noMultiLvlLbl val="0"/>
      </c:catAx>
      <c:valAx>
        <c:axId val="443362056"/>
        <c:scaling>
          <c:orientation val="minMax"/>
        </c:scaling>
        <c:delete val="1"/>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crossAx val="443366648"/>
        <c:crosses val="autoZero"/>
        <c:crossBetween val="between"/>
      </c:valAx>
      <c:spPr>
        <a:noFill/>
        <a:ln>
          <a:noFill/>
        </a:ln>
        <a:effectLst/>
      </c:spPr>
    </c:plotArea>
    <c:legend>
      <c:legendPos val="b"/>
      <c:layout>
        <c:manualLayout>
          <c:xMode val="edge"/>
          <c:yMode val="edge"/>
          <c:x val="0.27741072138709932"/>
          <c:y val="0.9263132426038001"/>
          <c:w val="0.4451785572258013"/>
          <c:h val="6.543763386557500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lang="en-US" sz="1800" b="1" i="0" u="none" strike="noStrike" kern="1200" cap="none" spc="20" baseline="0">
                <a:solidFill>
                  <a:srgbClr val="767171"/>
                </a:solidFill>
                <a:latin typeface="+mn-lt"/>
                <a:ea typeface="+mn-ea"/>
                <a:cs typeface="+mn-cs"/>
              </a:defRPr>
            </a:pPr>
            <a:r>
              <a:rPr lang="en-US" sz="1400" b="1" i="0" u="none" strike="noStrike" kern="1200" cap="none" spc="20" baseline="0">
                <a:solidFill>
                  <a:srgbClr val="767171"/>
                </a:solidFill>
                <a:latin typeface="Times New Roman" panose="02020603050405020304" pitchFamily="18" charset="0"/>
                <a:ea typeface="+mn-ea"/>
                <a:cs typeface="Times New Roman" panose="02020603050405020304" pitchFamily="18" charset="0"/>
              </a:rPr>
              <a:t>Saldo de Caja  </a:t>
            </a:r>
            <a:br>
              <a:rPr lang="en-US" sz="1200" b="1" i="0" u="none" strike="noStrike" kern="1200" cap="none" spc="20" baseline="0">
                <a:solidFill>
                  <a:srgbClr val="767171"/>
                </a:solidFill>
                <a:latin typeface="Times New Roman" panose="02020603050405020304" pitchFamily="18" charset="0"/>
                <a:ea typeface="+mn-ea"/>
                <a:cs typeface="Times New Roman" panose="02020603050405020304" pitchFamily="18" charset="0"/>
              </a:rPr>
            </a:br>
            <a:r>
              <a:rPr lang="en-US" sz="1200" b="0" i="0" u="none" strike="noStrike" kern="1200" cap="none" spc="20" baseline="0">
                <a:solidFill>
                  <a:srgbClr val="767171"/>
                </a:solidFill>
                <a:latin typeface="Times New Roman" panose="02020603050405020304" pitchFamily="18" charset="0"/>
                <a:ea typeface="+mn-ea"/>
                <a:cs typeface="Times New Roman" panose="02020603050405020304" pitchFamily="18" charset="0"/>
              </a:rPr>
              <a:t>del</a:t>
            </a:r>
            <a:r>
              <a:rPr lang="en-US" sz="1200" b="1" i="0" u="none" strike="noStrike" kern="1200" cap="none" spc="20" baseline="0">
                <a:solidFill>
                  <a:srgbClr val="767171"/>
                </a:solidFill>
                <a:latin typeface="Times New Roman" panose="02020603050405020304" pitchFamily="18" charset="0"/>
                <a:ea typeface="+mn-ea"/>
                <a:cs typeface="Times New Roman" panose="02020603050405020304" pitchFamily="18" charset="0"/>
              </a:rPr>
              <a:t> </a:t>
            </a:r>
            <a:r>
              <a:rPr lang="en-US" sz="1200" b="0" i="0" u="none" strike="noStrike" kern="1200" cap="none" spc="20" baseline="0">
                <a:solidFill>
                  <a:srgbClr val="767171"/>
                </a:solidFill>
                <a:latin typeface="Times New Roman" panose="02020603050405020304" pitchFamily="18" charset="0"/>
                <a:ea typeface="+mn-ea"/>
                <a:cs typeface="Times New Roman" panose="02020603050405020304" pitchFamily="18" charset="0"/>
              </a:rPr>
              <a:t>1ero de enero al 31 de diciembre  2025</a:t>
            </a:r>
            <a:br>
              <a:rPr lang="en-US" sz="1200" b="0" i="0" u="none" strike="noStrike" kern="1200" cap="none" spc="20" baseline="0">
                <a:solidFill>
                  <a:srgbClr val="767171"/>
                </a:solidFill>
                <a:latin typeface="Times New Roman" panose="02020603050405020304" pitchFamily="18" charset="0"/>
                <a:ea typeface="+mn-ea"/>
                <a:cs typeface="Times New Roman" panose="02020603050405020304" pitchFamily="18" charset="0"/>
              </a:rPr>
            </a:br>
            <a:r>
              <a:rPr lang="en-US" sz="1200" b="0" i="0" u="none" strike="noStrike" kern="1200" cap="none" spc="20" baseline="0">
                <a:solidFill>
                  <a:srgbClr val="767171"/>
                </a:solidFill>
                <a:latin typeface="Times New Roman" panose="02020603050405020304" pitchFamily="18" charset="0"/>
                <a:ea typeface="+mn-ea"/>
                <a:cs typeface="Times New Roman" panose="02020603050405020304" pitchFamily="18" charset="0"/>
              </a:rPr>
              <a:t>Valores en millones de RD$</a:t>
            </a:r>
          </a:p>
        </c:rich>
      </c:tx>
      <c:layout>
        <c:manualLayout>
          <c:xMode val="edge"/>
          <c:yMode val="edge"/>
          <c:x val="0.23511098273564215"/>
          <c:y val="4.4704203143765137E-2"/>
        </c:manualLayout>
      </c:layout>
      <c:overlay val="0"/>
      <c:spPr>
        <a:noFill/>
        <a:ln>
          <a:noFill/>
        </a:ln>
        <a:effectLst/>
      </c:spPr>
      <c:txPr>
        <a:bodyPr rot="0" spcFirstLastPara="1" vertOverflow="ellipsis" vert="horz" wrap="square" anchor="ctr" anchorCtr="1"/>
        <a:lstStyle/>
        <a:p>
          <a:pPr algn="ctr" rtl="0">
            <a:defRPr lang="en-US" sz="1800" b="1" i="0" u="none" strike="noStrike" kern="1200" cap="none" spc="20" baseline="0">
              <a:solidFill>
                <a:srgbClr val="767171"/>
              </a:solidFill>
              <a:latin typeface="+mn-lt"/>
              <a:ea typeface="+mn-ea"/>
              <a:cs typeface="+mn-cs"/>
            </a:defRPr>
          </a:pPr>
          <a:endParaRPr lang="es-DO"/>
        </a:p>
      </c:txPr>
    </c:title>
    <c:autoTitleDeleted val="0"/>
    <c:plotArea>
      <c:layout>
        <c:manualLayout>
          <c:layoutTarget val="inner"/>
          <c:xMode val="edge"/>
          <c:yMode val="edge"/>
          <c:x val="0.15303623411680267"/>
          <c:y val="0.2576694164292162"/>
          <c:w val="0.82173270389930986"/>
          <c:h val="0.63521058952467391"/>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1"/>
            <c:invertIfNegative val="0"/>
            <c:bubble3D val="0"/>
            <c:spPr>
              <a:solidFill>
                <a:srgbClr val="142F62"/>
              </a:solidFill>
              <a:ln>
                <a:noFill/>
              </a:ln>
              <a:effectLst/>
            </c:spPr>
            <c:extLst>
              <c:ext xmlns:c16="http://schemas.microsoft.com/office/drawing/2014/chart" uri="{C3380CC4-5D6E-409C-BE32-E72D297353CC}">
                <c16:uniqueId val="{00000001-B7E1-4B0E-8D66-FF40BC0651F9}"/>
              </c:ext>
            </c:extLst>
          </c:dPt>
          <c:dLbls>
            <c:dLbl>
              <c:idx val="0"/>
              <c:layout>
                <c:manualLayout>
                  <c:x val="-3.3032168390191578E-3"/>
                  <c:y val="1.65755196034044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7E1-4B0E-8D66-FF40BC0651F9}"/>
                </c:ext>
              </c:extLst>
            </c:dLbl>
            <c:dLbl>
              <c:idx val="1"/>
              <c:layout>
                <c:manualLayout>
                  <c:x val="-5.7767280310720866E-4"/>
                  <c:y val="1.709295593565508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7E1-4B0E-8D66-FF40BC0651F9}"/>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'Ejecución y Gráficos'!$A$71:$A$72</c:f>
              <c:strCache>
                <c:ptCount val="2"/>
                <c:pt idx="0">
                  <c:v>Total de Recursos
 (Balance Inicial +Ingresos + Financiamiento)</c:v>
                </c:pt>
                <c:pt idx="1">
                  <c:v>Total de Egresos 
(Gastos + Aplicaciones)</c:v>
                </c:pt>
              </c:strCache>
            </c:strRef>
          </c:cat>
          <c:val>
            <c:numRef>
              <c:f>'Ejecución y Gráficos'!$B$71:$B$72</c:f>
              <c:numCache>
                <c:formatCode>_(* #,##0.00_);_(* \(#,##0.00\);_(* "-"??_);_(@_)</c:formatCode>
                <c:ptCount val="2"/>
                <c:pt idx="0">
                  <c:v>2107330.7725910344</c:v>
                </c:pt>
                <c:pt idx="1">
                  <c:v>1869643.3116744307</c:v>
                </c:pt>
              </c:numCache>
            </c:numRef>
          </c:val>
          <c:extLst>
            <c:ext xmlns:c16="http://schemas.microsoft.com/office/drawing/2014/chart" uri="{C3380CC4-5D6E-409C-BE32-E72D297353CC}">
              <c16:uniqueId val="{00000003-B7E1-4B0E-8D66-FF40BC0651F9}"/>
            </c:ext>
          </c:extLst>
        </c:ser>
        <c:dLbls>
          <c:dLblPos val="inEnd"/>
          <c:showLegendKey val="0"/>
          <c:showVal val="1"/>
          <c:showCatName val="0"/>
          <c:showSerName val="0"/>
          <c:showPercent val="0"/>
          <c:showBubbleSize val="0"/>
        </c:dLbls>
        <c:gapWidth val="100"/>
        <c:overlap val="-24"/>
        <c:axId val="576959776"/>
        <c:axId val="576962728"/>
      </c:barChart>
      <c:catAx>
        <c:axId val="57695977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576962728"/>
        <c:crosses val="autoZero"/>
        <c:auto val="1"/>
        <c:lblAlgn val="ctr"/>
        <c:lblOffset val="100"/>
        <c:noMultiLvlLbl val="0"/>
      </c:catAx>
      <c:valAx>
        <c:axId val="576962728"/>
        <c:scaling>
          <c:orientation val="minMax"/>
        </c:scaling>
        <c:delete val="0"/>
        <c:axPos val="l"/>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lumMod val="50000"/>
                  </a:schemeClr>
                </a:solidFill>
                <a:latin typeface="+mn-lt"/>
                <a:ea typeface="+mn-ea"/>
                <a:cs typeface="+mn-cs"/>
              </a:defRPr>
            </a:pPr>
            <a:endParaRPr lang="es-DO"/>
          </a:p>
        </c:txPr>
        <c:crossAx val="576959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alpha val="94000"/>
        </a:schemeClr>
      </a:solidFill>
      <a:round/>
    </a:ln>
    <a:effectLst/>
  </c:spPr>
  <c:txPr>
    <a:bodyPr/>
    <a:lstStyle/>
    <a:p>
      <a:pPr>
        <a:defRPr/>
      </a:pPr>
      <a:endParaRPr lang="es-D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sz="1400" b="1">
                <a:latin typeface="Times New Roman" panose="02020603050405020304" pitchFamily="18" charset="0"/>
                <a:cs typeface="Times New Roman" panose="02020603050405020304" pitchFamily="18" charset="0"/>
              </a:rPr>
              <a:t>Financiamiento</a:t>
            </a:r>
            <a:br>
              <a:rPr lang="en-US" sz="1200" b="0">
                <a:latin typeface="Times New Roman" panose="02020603050405020304" pitchFamily="18" charset="0"/>
                <a:cs typeface="Times New Roman" panose="02020603050405020304" pitchFamily="18" charset="0"/>
              </a:rPr>
            </a:br>
            <a:r>
              <a:rPr lang="en-US" sz="1200" b="0">
                <a:latin typeface="Times New Roman" panose="02020603050405020304" pitchFamily="18" charset="0"/>
                <a:cs typeface="Times New Roman" panose="02020603050405020304" pitchFamily="18" charset="0"/>
              </a:rPr>
              <a:t>del 1ero de enero al 31 de diciembre</a:t>
            </a:r>
            <a:r>
              <a:rPr lang="en-US" sz="1200" b="0">
                <a:solidFill>
                  <a:srgbClr val="7F7F7F"/>
                </a:solidFill>
                <a:latin typeface="Times New Roman" panose="02020603050405020304" pitchFamily="18" charset="0"/>
                <a:cs typeface="Times New Roman" panose="02020603050405020304" pitchFamily="18" charset="0"/>
              </a:rPr>
              <a:t> 2025</a:t>
            </a:r>
            <a:br>
              <a:rPr lang="en-US" sz="1200" b="0">
                <a:solidFill>
                  <a:srgbClr val="7F7F7F"/>
                </a:solidFill>
                <a:latin typeface="Times New Roman" panose="02020603050405020304" pitchFamily="18" charset="0"/>
                <a:cs typeface="Times New Roman" panose="02020603050405020304" pitchFamily="18" charset="0"/>
              </a:rPr>
            </a:br>
            <a:r>
              <a:rPr lang="en-US" sz="1200" b="0">
                <a:solidFill>
                  <a:srgbClr val="7F7F7F"/>
                </a:solidFill>
                <a:latin typeface="Times New Roman" panose="02020603050405020304" pitchFamily="18" charset="0"/>
                <a:cs typeface="Times New Roman" panose="02020603050405020304" pitchFamily="18" charset="0"/>
              </a:rPr>
              <a:t>Valores en millones de RD$</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DO"/>
        </a:p>
      </c:txPr>
    </c:title>
    <c:autoTitleDeleted val="0"/>
    <c:plotArea>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Pt>
            <c:idx val="0"/>
            <c:invertIfNegative val="0"/>
            <c:bubble3D val="0"/>
            <c:spPr>
              <a:solidFill>
                <a:srgbClr val="7D8589"/>
              </a:solidFill>
              <a:ln w="9525" cap="flat" cmpd="sng" algn="ctr">
                <a:solidFill>
                  <a:schemeClr val="accent1">
                    <a:shade val="95000"/>
                  </a:schemeClr>
                </a:solidFill>
                <a:round/>
              </a:ln>
              <a:effectLst/>
            </c:spPr>
            <c:extLst>
              <c:ext xmlns:c16="http://schemas.microsoft.com/office/drawing/2014/chart" uri="{C3380CC4-5D6E-409C-BE32-E72D297353CC}">
                <c16:uniqueId val="{00000001-30C7-4A97-ACF7-05008E66FF5A}"/>
              </c:ext>
            </c:extLst>
          </c:dPt>
          <c:dPt>
            <c:idx val="1"/>
            <c:invertIfNegative val="0"/>
            <c:bubble3D val="0"/>
            <c:spPr>
              <a:solidFill>
                <a:srgbClr val="436EBE"/>
              </a:solidFill>
              <a:ln w="9525" cap="flat" cmpd="sng" algn="ctr">
                <a:solidFill>
                  <a:schemeClr val="accent1">
                    <a:shade val="95000"/>
                  </a:schemeClr>
                </a:solidFill>
                <a:round/>
              </a:ln>
              <a:effectLst/>
            </c:spPr>
            <c:extLst>
              <c:ext xmlns:c16="http://schemas.microsoft.com/office/drawing/2014/chart" uri="{C3380CC4-5D6E-409C-BE32-E72D297353CC}">
                <c16:uniqueId val="{00000003-30C7-4A97-ACF7-05008E66FF5A}"/>
              </c:ext>
            </c:extLst>
          </c:dPt>
          <c:dPt>
            <c:idx val="2"/>
            <c:invertIfNegative val="0"/>
            <c:bubble3D val="0"/>
            <c:spPr>
              <a:solidFill>
                <a:srgbClr val="142F62"/>
              </a:solidFill>
              <a:ln w="9525" cap="flat" cmpd="sng" algn="ctr">
                <a:solidFill>
                  <a:schemeClr val="accent1">
                    <a:shade val="95000"/>
                  </a:schemeClr>
                </a:solidFill>
                <a:round/>
              </a:ln>
              <a:effectLst/>
            </c:spPr>
            <c:extLst>
              <c:ext xmlns:c16="http://schemas.microsoft.com/office/drawing/2014/chart" uri="{C3380CC4-5D6E-409C-BE32-E72D297353CC}">
                <c16:uniqueId val="{00000005-30C7-4A97-ACF7-05008E66FF5A}"/>
              </c:ext>
            </c:extLst>
          </c:dPt>
          <c:dPt>
            <c:idx val="3"/>
            <c:invertIfNegative val="0"/>
            <c:bubble3D val="0"/>
            <c:spPr>
              <a:solidFill>
                <a:srgbClr val="41CEDA"/>
              </a:solidFill>
              <a:ln w="9525" cap="flat" cmpd="sng" algn="ctr">
                <a:solidFill>
                  <a:schemeClr val="accent1">
                    <a:shade val="95000"/>
                  </a:schemeClr>
                </a:solidFill>
                <a:round/>
              </a:ln>
              <a:effectLst/>
            </c:spPr>
            <c:extLst>
              <c:ext xmlns:c16="http://schemas.microsoft.com/office/drawing/2014/chart" uri="{C3380CC4-5D6E-409C-BE32-E72D297353CC}">
                <c16:uniqueId val="{00000007-30C7-4A97-ACF7-05008E66FF5A}"/>
              </c:ext>
            </c:extLst>
          </c:dPt>
          <c:dLbls>
            <c:dLbl>
              <c:idx val="0"/>
              <c:layout>
                <c:manualLayout>
                  <c:x val="-1.2731334408019993E-17"/>
                  <c:y val="1.27792359288422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C7-4A97-ACF7-05008E66FF5A}"/>
                </c:ext>
              </c:extLst>
            </c:dLbl>
            <c:dLbl>
              <c:idx val="1"/>
              <c:layout>
                <c:manualLayout>
                  <c:x val="-6.4618842956368034E-3"/>
                  <c:y val="1.00053311968884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0C7-4A97-ACF7-05008E66FF5A}"/>
                </c:ext>
              </c:extLst>
            </c:dLbl>
            <c:dLbl>
              <c:idx val="2"/>
              <c:layout>
                <c:manualLayout>
                  <c:x val="-6.4618842956368624E-3"/>
                  <c:y val="5.27302114411182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0C7-4A97-ACF7-05008E66FF5A}"/>
                </c:ext>
              </c:extLst>
            </c:dLbl>
            <c:dLbl>
              <c:idx val="3"/>
              <c:layout>
                <c:manualLayout>
                  <c:x val="-3.2309421478185201E-3"/>
                  <c:y val="5.27302635819095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0C7-4A97-ACF7-05008E66FF5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'Ejecución y Gráficos'!$A$78:$A$81</c:f>
              <c:strCache>
                <c:ptCount val="4"/>
                <c:pt idx="0">
                  <c:v>Fondos de Terceros</c:v>
                </c:pt>
                <c:pt idx="1">
                  <c:v>Bonos Locales</c:v>
                </c:pt>
                <c:pt idx="2">
                  <c:v>Multilaterales</c:v>
                </c:pt>
                <c:pt idx="3">
                  <c:v>Bonos Globales</c:v>
                </c:pt>
              </c:strCache>
            </c:strRef>
          </c:cat>
          <c:val>
            <c:numRef>
              <c:f>'Ejecución y Gráficos'!$B$78:$B$81</c:f>
              <c:numCache>
                <c:formatCode>_(* #,##0.00_);_(* \(#,##0.00\);_(* "-"??_);_(@_)</c:formatCode>
                <c:ptCount val="4"/>
                <c:pt idx="0">
                  <c:v>12551.621831840001</c:v>
                </c:pt>
                <c:pt idx="1">
                  <c:v>20736.46</c:v>
                </c:pt>
                <c:pt idx="2">
                  <c:v>70334.209006560006</c:v>
                </c:pt>
                <c:pt idx="3">
                  <c:v>260040.68334357999</c:v>
                </c:pt>
              </c:numCache>
            </c:numRef>
          </c:val>
          <c:extLst>
            <c:ext xmlns:c16="http://schemas.microsoft.com/office/drawing/2014/chart" uri="{C3380CC4-5D6E-409C-BE32-E72D297353CC}">
              <c16:uniqueId val="{00000008-30C7-4A97-ACF7-05008E66FF5A}"/>
            </c:ext>
          </c:extLst>
        </c:ser>
        <c:dLbls>
          <c:dLblPos val="inEnd"/>
          <c:showLegendKey val="0"/>
          <c:showVal val="1"/>
          <c:showCatName val="0"/>
          <c:showSerName val="0"/>
          <c:showPercent val="0"/>
          <c:showBubbleSize val="0"/>
        </c:dLbls>
        <c:gapWidth val="100"/>
        <c:overlap val="-24"/>
        <c:axId val="837359112"/>
        <c:axId val="837361080"/>
      </c:barChart>
      <c:catAx>
        <c:axId val="837359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crossAx val="837361080"/>
        <c:crosses val="autoZero"/>
        <c:auto val="1"/>
        <c:lblAlgn val="ctr"/>
        <c:lblOffset val="100"/>
        <c:noMultiLvlLbl val="0"/>
      </c:catAx>
      <c:valAx>
        <c:axId val="837361080"/>
        <c:scaling>
          <c:orientation val="minMax"/>
        </c:scaling>
        <c:delete val="0"/>
        <c:axPos val="l"/>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DO"/>
          </a:p>
        </c:txPr>
        <c:crossAx val="837359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s-D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lang="en-US" sz="1600" b="0" i="0" u="none" strike="noStrike" kern="1200" baseline="0">
                <a:solidFill>
                  <a:schemeClr val="tx1"/>
                </a:solidFill>
                <a:effectLst/>
                <a:latin typeface="+mn-lt"/>
                <a:ea typeface="+mn-ea"/>
                <a:cs typeface="+mn-cs"/>
              </a:defRPr>
            </a:pPr>
            <a:r>
              <a:rPr lang="en-US" sz="1400" b="1" i="0" u="none" strike="noStrike" kern="1200" baseline="0">
                <a:solidFill>
                  <a:srgbClr val="767171"/>
                </a:solidFill>
                <a:effectLst/>
                <a:latin typeface="Times New Roman" panose="02020603050405020304" pitchFamily="18" charset="0"/>
                <a:ea typeface="+mn-ea"/>
                <a:cs typeface="Times New Roman" panose="02020603050405020304" pitchFamily="18" charset="0"/>
              </a:rPr>
              <a:t>Saldo de la Caja</a:t>
            </a:r>
            <a:br>
              <a:rPr lang="en-US" sz="1200" b="1" i="0" u="none" strike="noStrike" kern="1200" baseline="0">
                <a:solidFill>
                  <a:srgbClr val="767171"/>
                </a:solidFill>
                <a:effectLst/>
                <a:latin typeface="Times New Roman" panose="02020603050405020304" pitchFamily="18" charset="0"/>
                <a:ea typeface="+mn-ea"/>
                <a:cs typeface="Times New Roman" panose="02020603050405020304" pitchFamily="18" charset="0"/>
              </a:rPr>
            </a:br>
            <a:r>
              <a:rPr lang="en-US" sz="1200" b="0" i="0" u="none" strike="noStrike" kern="1200" baseline="0">
                <a:solidFill>
                  <a:srgbClr val="767171"/>
                </a:solidFill>
                <a:effectLst/>
                <a:latin typeface="Times New Roman" panose="02020603050405020304" pitchFamily="18" charset="0"/>
                <a:ea typeface="+mn-ea"/>
                <a:cs typeface="Times New Roman" panose="02020603050405020304" pitchFamily="18" charset="0"/>
              </a:rPr>
              <a:t>del 1ero de enero al 31 de diciembre 2025</a:t>
            </a:r>
            <a:br>
              <a:rPr lang="en-US" sz="1200" b="0" i="0" u="none" strike="noStrike" kern="1200" baseline="0">
                <a:solidFill>
                  <a:srgbClr val="767171"/>
                </a:solidFill>
                <a:effectLst/>
                <a:latin typeface="Times New Roman" panose="02020603050405020304" pitchFamily="18" charset="0"/>
                <a:ea typeface="+mn-ea"/>
                <a:cs typeface="Times New Roman" panose="02020603050405020304" pitchFamily="18" charset="0"/>
              </a:rPr>
            </a:br>
            <a:r>
              <a:rPr lang="en-US" sz="1200" b="0" i="0" u="none" strike="noStrike" kern="1200" baseline="0">
                <a:solidFill>
                  <a:srgbClr val="767171"/>
                </a:solidFill>
                <a:effectLst/>
                <a:latin typeface="Times New Roman" panose="02020603050405020304" pitchFamily="18" charset="0"/>
                <a:ea typeface="+mn-ea"/>
                <a:cs typeface="Times New Roman" panose="02020603050405020304" pitchFamily="18" charset="0"/>
              </a:rPr>
              <a:t>Valores en millones de RD$</a:t>
            </a:r>
          </a:p>
        </c:rich>
      </c:tx>
      <c:layout>
        <c:manualLayout>
          <c:xMode val="edge"/>
          <c:yMode val="edge"/>
          <c:x val="0.19758964839415286"/>
          <c:y val="5.0925831719114821E-2"/>
        </c:manualLayout>
      </c:layout>
      <c:overlay val="0"/>
      <c:spPr>
        <a:noFill/>
        <a:ln>
          <a:noFill/>
        </a:ln>
        <a:effectLst/>
      </c:spPr>
      <c:txPr>
        <a:bodyPr rot="0" spcFirstLastPara="1" vertOverflow="ellipsis" vert="horz" wrap="square" anchor="ctr" anchorCtr="1"/>
        <a:lstStyle/>
        <a:p>
          <a:pPr algn="ctr" rtl="0">
            <a:defRPr lang="en-US" sz="1600" b="0" i="0" u="none" strike="noStrike" kern="1200" baseline="0">
              <a:solidFill>
                <a:schemeClr val="tx1"/>
              </a:solidFill>
              <a:effectLst/>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'Ejecución y Gráficos'!$A$73</c:f>
              <c:strCache>
                <c:ptCount val="1"/>
                <c:pt idx="0">
                  <c:v>Saldo de la Caja</c:v>
                </c:pt>
              </c:strCache>
            </c:strRef>
          </c:tx>
          <c:spPr>
            <a:solidFill>
              <a:schemeClr val="accent1">
                <a:lumMod val="75000"/>
              </a:schemeClr>
            </a:solidFill>
            <a:ln>
              <a:noFill/>
            </a:ln>
            <a:effectLst>
              <a:outerShdw blurRad="57150" dist="19050" dir="5400000" algn="ctr" rotWithShape="0">
                <a:srgbClr val="000000">
                  <a:alpha val="63000"/>
                </a:srgbClr>
              </a:outerShdw>
            </a:effectLst>
            <a:sp3d/>
          </c:spPr>
          <c:invertIfNegative val="0"/>
          <c:dPt>
            <c:idx val="0"/>
            <c:invertIfNegative val="0"/>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94F3-409A-AF26-49C72C2FCC4D}"/>
              </c:ext>
            </c:extLst>
          </c:dPt>
          <c:dLbls>
            <c:dLbl>
              <c:idx val="0"/>
              <c:layout>
                <c:manualLayout>
                  <c:x val="3.7097654756372105E-3"/>
                  <c:y val="0.14351851851851852"/>
                </c:manualLayout>
              </c:layout>
              <c:tx>
                <c:rich>
                  <a:bodyPr/>
                  <a:lstStyle/>
                  <a:p>
                    <a:fld id="{88E77950-9453-46B8-A16D-0E531660CCED}" type="VALUE">
                      <a:rPr lang="en-US">
                        <a:solidFill>
                          <a:schemeClr val="bg1"/>
                        </a:solidFill>
                        <a:latin typeface="Times New Roman" panose="02020603050405020304" pitchFamily="18" charset="0"/>
                        <a:cs typeface="Times New Roman" panose="02020603050405020304" pitchFamily="18" charset="0"/>
                      </a:rPr>
                      <a:pPr/>
                      <a:t>[VALOR]</a:t>
                    </a:fld>
                    <a:endParaRPr lang="es-DO"/>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4F3-409A-AF26-49C72C2FCC4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'Ejecución y Gráficos'!$B$73</c:f>
              <c:numCache>
                <c:formatCode>_(* #,##0.00_);_(* \(#,##0.00\);_(* "-"??_);_(@_)</c:formatCode>
                <c:ptCount val="1"/>
                <c:pt idx="0">
                  <c:v>237687.46091660368</c:v>
                </c:pt>
              </c:numCache>
            </c:numRef>
          </c:val>
          <c:extLst>
            <c:ext xmlns:c16="http://schemas.microsoft.com/office/drawing/2014/chart" uri="{C3380CC4-5D6E-409C-BE32-E72D297353CC}">
              <c16:uniqueId val="{00000002-94F3-409A-AF26-49C72C2FCC4D}"/>
            </c:ext>
          </c:extLst>
        </c:ser>
        <c:dLbls>
          <c:showLegendKey val="0"/>
          <c:showVal val="0"/>
          <c:showCatName val="0"/>
          <c:showSerName val="0"/>
          <c:showPercent val="0"/>
          <c:showBubbleSize val="0"/>
        </c:dLbls>
        <c:gapWidth val="150"/>
        <c:shape val="box"/>
        <c:axId val="567934664"/>
        <c:axId val="567934992"/>
        <c:axId val="577318040"/>
      </c:bar3DChart>
      <c:catAx>
        <c:axId val="567934664"/>
        <c:scaling>
          <c:orientation val="minMax"/>
        </c:scaling>
        <c:delete val="1"/>
        <c:axPos val="b"/>
        <c:majorTickMark val="none"/>
        <c:minorTickMark val="none"/>
        <c:tickLblPos val="nextTo"/>
        <c:crossAx val="567934992"/>
        <c:crosses val="autoZero"/>
        <c:auto val="1"/>
        <c:lblAlgn val="ctr"/>
        <c:lblOffset val="100"/>
        <c:noMultiLvlLbl val="0"/>
      </c:catAx>
      <c:valAx>
        <c:axId val="567934992"/>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67934664"/>
        <c:crosses val="autoZero"/>
        <c:crossBetween val="between"/>
      </c:valAx>
      <c:serAx>
        <c:axId val="577318040"/>
        <c:scaling>
          <c:orientation val="minMax"/>
        </c:scaling>
        <c:delete val="1"/>
        <c:axPos val="b"/>
        <c:majorTickMark val="none"/>
        <c:minorTickMark val="none"/>
        <c:tickLblPos val="nextTo"/>
        <c:crossAx val="567934992"/>
        <c:crosses val="autoZero"/>
      </c:ser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s-D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8085050817988958"/>
          <c:y val="0.18203680981595091"/>
          <c:w val="0.58480146819448564"/>
          <c:h val="0.70449929955074631"/>
        </c:manualLayout>
      </c:layout>
      <c:barChart>
        <c:barDir val="bar"/>
        <c:grouping val="stacked"/>
        <c:varyColors val="0"/>
        <c:ser>
          <c:idx val="0"/>
          <c:order val="0"/>
          <c:spPr>
            <a:solidFill>
              <a:schemeClr val="accent1"/>
            </a:solidFill>
            <a:ln>
              <a:noFill/>
            </a:ln>
            <a:effectLst/>
          </c:spPr>
          <c:invertIfNegative val="0"/>
          <c:cat>
            <c:strRef>
              <c:f>Hoja1!$A$5:$A$19</c:f>
              <c:strCache>
                <c:ptCount val="15"/>
                <c:pt idx="0">
                  <c:v>Opinión de Registro de Cesión de Crédito</c:v>
                </c:pt>
                <c:pt idx="1">
                  <c:v>Opinión de Levantamiento de Cesión de Crédito</c:v>
                </c:pt>
                <c:pt idx="2">
                  <c:v>Opinión de Registro de Embargos</c:v>
                </c:pt>
                <c:pt idx="3">
                  <c:v>Opinión de Levantamiento de Embargos</c:v>
                </c:pt>
                <c:pt idx="4">
                  <c:v>Fianzas Aduanales recibidas y custodiadas</c:v>
                </c:pt>
                <c:pt idx="5">
                  <c:v>Solicitud de certificación de Fianza Aduanales recibida y entregada</c:v>
                </c:pt>
                <c:pt idx="6">
                  <c:v>Solicitud de Reimpresión de Cheques</c:v>
                </c:pt>
                <c:pt idx="7">
                  <c:v>Carta Compromiso de Servicios Personales </c:v>
                </c:pt>
                <c:pt idx="8">
                  <c:v>Contratos de Bienes y Servicios</c:v>
                </c:pt>
                <c:pt idx="9">
                  <c:v>Acuerdo De Confidencialidad</c:v>
                </c:pt>
                <c:pt idx="10">
                  <c:v>Convenio Interinstitucional</c:v>
                </c:pt>
                <c:pt idx="11">
                  <c:v>Opinión para Cambio y Registro de Firmas y Aperturas de Cuentas de los Ayuntamientos y Bomberos</c:v>
                </c:pt>
                <c:pt idx="12">
                  <c:v>Litis Judiciales (presentación a audiencia) </c:v>
                </c:pt>
                <c:pt idx="13">
                  <c:v>Acta de Proceso de compras</c:v>
                </c:pt>
                <c:pt idx="14">
                  <c:v>Repuestas Legales</c:v>
                </c:pt>
              </c:strCache>
            </c:strRef>
          </c:cat>
          <c:val>
            <c:numRef>
              <c:f>Hoja1!$B$5:$B$19</c:f>
              <c:numCache>
                <c:formatCode>General</c:formatCode>
                <c:ptCount val="15"/>
                <c:pt idx="0">
                  <c:v>8</c:v>
                </c:pt>
                <c:pt idx="1">
                  <c:v>2</c:v>
                </c:pt>
                <c:pt idx="2">
                  <c:v>4</c:v>
                </c:pt>
                <c:pt idx="3">
                  <c:v>4</c:v>
                </c:pt>
                <c:pt idx="4">
                  <c:v>9</c:v>
                </c:pt>
                <c:pt idx="5">
                  <c:v>1</c:v>
                </c:pt>
                <c:pt idx="6">
                  <c:v>23</c:v>
                </c:pt>
                <c:pt idx="7">
                  <c:v>0</c:v>
                </c:pt>
                <c:pt idx="8">
                  <c:v>2</c:v>
                </c:pt>
                <c:pt idx="9">
                  <c:v>0</c:v>
                </c:pt>
                <c:pt idx="10">
                  <c:v>0</c:v>
                </c:pt>
                <c:pt idx="11">
                  <c:v>1</c:v>
                </c:pt>
                <c:pt idx="12">
                  <c:v>0</c:v>
                </c:pt>
                <c:pt idx="13">
                  <c:v>2</c:v>
                </c:pt>
                <c:pt idx="14">
                  <c:v>31</c:v>
                </c:pt>
              </c:numCache>
            </c:numRef>
          </c:val>
          <c:extLst>
            <c:ext xmlns:c16="http://schemas.microsoft.com/office/drawing/2014/chart" uri="{C3380CC4-5D6E-409C-BE32-E72D297353CC}">
              <c16:uniqueId val="{00000000-6564-4CE7-A4E3-BA3E02CBD350}"/>
            </c:ext>
          </c:extLst>
        </c:ser>
        <c:ser>
          <c:idx val="1"/>
          <c:order val="1"/>
          <c:spPr>
            <a:solidFill>
              <a:schemeClr val="accent2"/>
            </a:solidFill>
            <a:ln>
              <a:noFill/>
            </a:ln>
            <a:effectLst/>
          </c:spPr>
          <c:invertIfNegative val="0"/>
          <c:cat>
            <c:strRef>
              <c:f>Hoja1!$A$5:$A$19</c:f>
              <c:strCache>
                <c:ptCount val="15"/>
                <c:pt idx="0">
                  <c:v>Opinión de Registro de Cesión de Crédito</c:v>
                </c:pt>
                <c:pt idx="1">
                  <c:v>Opinión de Levantamiento de Cesión de Crédito</c:v>
                </c:pt>
                <c:pt idx="2">
                  <c:v>Opinión de Registro de Embargos</c:v>
                </c:pt>
                <c:pt idx="3">
                  <c:v>Opinión de Levantamiento de Embargos</c:v>
                </c:pt>
                <c:pt idx="4">
                  <c:v>Fianzas Aduanales recibidas y custodiadas</c:v>
                </c:pt>
                <c:pt idx="5">
                  <c:v>Solicitud de certificación de Fianza Aduanales recibida y entregada</c:v>
                </c:pt>
                <c:pt idx="6">
                  <c:v>Solicitud de Reimpresión de Cheques</c:v>
                </c:pt>
                <c:pt idx="7">
                  <c:v>Carta Compromiso de Servicios Personales </c:v>
                </c:pt>
                <c:pt idx="8">
                  <c:v>Contratos de Bienes y Servicios</c:v>
                </c:pt>
                <c:pt idx="9">
                  <c:v>Acuerdo De Confidencialidad</c:v>
                </c:pt>
                <c:pt idx="10">
                  <c:v>Convenio Interinstitucional</c:v>
                </c:pt>
                <c:pt idx="11">
                  <c:v>Opinión para Cambio y Registro de Firmas y Aperturas de Cuentas de los Ayuntamientos y Bomberos</c:v>
                </c:pt>
                <c:pt idx="12">
                  <c:v>Litis Judiciales (presentación a audiencia) </c:v>
                </c:pt>
                <c:pt idx="13">
                  <c:v>Acta de Proceso de compras</c:v>
                </c:pt>
                <c:pt idx="14">
                  <c:v>Repuestas Legales</c:v>
                </c:pt>
              </c:strCache>
            </c:strRef>
          </c:cat>
          <c:val>
            <c:numRef>
              <c:f>Hoja1!$C$5:$C$19</c:f>
              <c:numCache>
                <c:formatCode>General</c:formatCode>
                <c:ptCount val="15"/>
                <c:pt idx="0">
                  <c:v>3</c:v>
                </c:pt>
                <c:pt idx="1">
                  <c:v>5</c:v>
                </c:pt>
                <c:pt idx="2">
                  <c:v>2</c:v>
                </c:pt>
                <c:pt idx="3">
                  <c:v>0</c:v>
                </c:pt>
                <c:pt idx="4">
                  <c:v>2</c:v>
                </c:pt>
                <c:pt idx="5">
                  <c:v>3</c:v>
                </c:pt>
                <c:pt idx="6">
                  <c:v>148</c:v>
                </c:pt>
                <c:pt idx="7">
                  <c:v>0</c:v>
                </c:pt>
                <c:pt idx="8">
                  <c:v>6</c:v>
                </c:pt>
                <c:pt idx="9">
                  <c:v>0</c:v>
                </c:pt>
                <c:pt idx="10">
                  <c:v>0</c:v>
                </c:pt>
                <c:pt idx="11">
                  <c:v>2</c:v>
                </c:pt>
                <c:pt idx="12">
                  <c:v>0</c:v>
                </c:pt>
                <c:pt idx="13">
                  <c:v>0</c:v>
                </c:pt>
                <c:pt idx="14">
                  <c:v>9</c:v>
                </c:pt>
              </c:numCache>
            </c:numRef>
          </c:val>
          <c:extLst>
            <c:ext xmlns:c16="http://schemas.microsoft.com/office/drawing/2014/chart" uri="{C3380CC4-5D6E-409C-BE32-E72D297353CC}">
              <c16:uniqueId val="{00000001-6564-4CE7-A4E3-BA3E02CBD350}"/>
            </c:ext>
          </c:extLst>
        </c:ser>
        <c:ser>
          <c:idx val="2"/>
          <c:order val="2"/>
          <c:spPr>
            <a:solidFill>
              <a:schemeClr val="accent3"/>
            </a:solidFill>
            <a:ln>
              <a:noFill/>
            </a:ln>
            <a:effectLst/>
          </c:spPr>
          <c:invertIfNegative val="0"/>
          <c:cat>
            <c:strRef>
              <c:f>Hoja1!$A$5:$A$19</c:f>
              <c:strCache>
                <c:ptCount val="15"/>
                <c:pt idx="0">
                  <c:v>Opinión de Registro de Cesión de Crédito</c:v>
                </c:pt>
                <c:pt idx="1">
                  <c:v>Opinión de Levantamiento de Cesión de Crédito</c:v>
                </c:pt>
                <c:pt idx="2">
                  <c:v>Opinión de Registro de Embargos</c:v>
                </c:pt>
                <c:pt idx="3">
                  <c:v>Opinión de Levantamiento de Embargos</c:v>
                </c:pt>
                <c:pt idx="4">
                  <c:v>Fianzas Aduanales recibidas y custodiadas</c:v>
                </c:pt>
                <c:pt idx="5">
                  <c:v>Solicitud de certificación de Fianza Aduanales recibida y entregada</c:v>
                </c:pt>
                <c:pt idx="6">
                  <c:v>Solicitud de Reimpresión de Cheques</c:v>
                </c:pt>
                <c:pt idx="7">
                  <c:v>Carta Compromiso de Servicios Personales </c:v>
                </c:pt>
                <c:pt idx="8">
                  <c:v>Contratos de Bienes y Servicios</c:v>
                </c:pt>
                <c:pt idx="9">
                  <c:v>Acuerdo De Confidencialidad</c:v>
                </c:pt>
                <c:pt idx="10">
                  <c:v>Convenio Interinstitucional</c:v>
                </c:pt>
                <c:pt idx="11">
                  <c:v>Opinión para Cambio y Registro de Firmas y Aperturas de Cuentas de los Ayuntamientos y Bomberos</c:v>
                </c:pt>
                <c:pt idx="12">
                  <c:v>Litis Judiciales (presentación a audiencia) </c:v>
                </c:pt>
                <c:pt idx="13">
                  <c:v>Acta de Proceso de compras</c:v>
                </c:pt>
                <c:pt idx="14">
                  <c:v>Repuestas Legales</c:v>
                </c:pt>
              </c:strCache>
            </c:strRef>
          </c:cat>
          <c:val>
            <c:numRef>
              <c:f>Hoja1!$D$5:$D$19</c:f>
              <c:numCache>
                <c:formatCode>General</c:formatCode>
                <c:ptCount val="15"/>
                <c:pt idx="0">
                  <c:v>4</c:v>
                </c:pt>
                <c:pt idx="1">
                  <c:v>2</c:v>
                </c:pt>
                <c:pt idx="2">
                  <c:v>136</c:v>
                </c:pt>
                <c:pt idx="3">
                  <c:v>5</c:v>
                </c:pt>
                <c:pt idx="4">
                  <c:v>2</c:v>
                </c:pt>
                <c:pt idx="5">
                  <c:v>0</c:v>
                </c:pt>
                <c:pt idx="6" formatCode="#,##0">
                  <c:v>16</c:v>
                </c:pt>
                <c:pt idx="7">
                  <c:v>0</c:v>
                </c:pt>
                <c:pt idx="8">
                  <c:v>0</c:v>
                </c:pt>
                <c:pt idx="9">
                  <c:v>0</c:v>
                </c:pt>
                <c:pt idx="10">
                  <c:v>0</c:v>
                </c:pt>
                <c:pt idx="11">
                  <c:v>3</c:v>
                </c:pt>
                <c:pt idx="12">
                  <c:v>1</c:v>
                </c:pt>
                <c:pt idx="13">
                  <c:v>2</c:v>
                </c:pt>
                <c:pt idx="14">
                  <c:v>6</c:v>
                </c:pt>
              </c:numCache>
            </c:numRef>
          </c:val>
          <c:extLst>
            <c:ext xmlns:c16="http://schemas.microsoft.com/office/drawing/2014/chart" uri="{C3380CC4-5D6E-409C-BE32-E72D297353CC}">
              <c16:uniqueId val="{00000002-6564-4CE7-A4E3-BA3E02CBD350}"/>
            </c:ext>
          </c:extLst>
        </c:ser>
        <c:ser>
          <c:idx val="3"/>
          <c:order val="3"/>
          <c:spPr>
            <a:solidFill>
              <a:schemeClr val="accent4"/>
            </a:solidFill>
            <a:ln>
              <a:noFill/>
            </a:ln>
            <a:effectLst/>
          </c:spPr>
          <c:invertIfNegative val="0"/>
          <c:cat>
            <c:strRef>
              <c:f>Hoja1!$A$5:$A$19</c:f>
              <c:strCache>
                <c:ptCount val="15"/>
                <c:pt idx="0">
                  <c:v>Opinión de Registro de Cesión de Crédito</c:v>
                </c:pt>
                <c:pt idx="1">
                  <c:v>Opinión de Levantamiento de Cesión de Crédito</c:v>
                </c:pt>
                <c:pt idx="2">
                  <c:v>Opinión de Registro de Embargos</c:v>
                </c:pt>
                <c:pt idx="3">
                  <c:v>Opinión de Levantamiento de Embargos</c:v>
                </c:pt>
                <c:pt idx="4">
                  <c:v>Fianzas Aduanales recibidas y custodiadas</c:v>
                </c:pt>
                <c:pt idx="5">
                  <c:v>Solicitud de certificación de Fianza Aduanales recibida y entregada</c:v>
                </c:pt>
                <c:pt idx="6">
                  <c:v>Solicitud de Reimpresión de Cheques</c:v>
                </c:pt>
                <c:pt idx="7">
                  <c:v>Carta Compromiso de Servicios Personales </c:v>
                </c:pt>
                <c:pt idx="8">
                  <c:v>Contratos de Bienes y Servicios</c:v>
                </c:pt>
                <c:pt idx="9">
                  <c:v>Acuerdo De Confidencialidad</c:v>
                </c:pt>
                <c:pt idx="10">
                  <c:v>Convenio Interinstitucional</c:v>
                </c:pt>
                <c:pt idx="11">
                  <c:v>Opinión para Cambio y Registro de Firmas y Aperturas de Cuentas de los Ayuntamientos y Bomberos</c:v>
                </c:pt>
                <c:pt idx="12">
                  <c:v>Litis Judiciales (presentación a audiencia) </c:v>
                </c:pt>
                <c:pt idx="13">
                  <c:v>Acta de Proceso de compras</c:v>
                </c:pt>
                <c:pt idx="14">
                  <c:v>Repuestas Legales</c:v>
                </c:pt>
              </c:strCache>
            </c:strRef>
          </c:cat>
          <c:val>
            <c:numRef>
              <c:f>Hoja1!$E$5:$E$19</c:f>
              <c:numCache>
                <c:formatCode>General</c:formatCode>
                <c:ptCount val="15"/>
                <c:pt idx="0">
                  <c:v>3</c:v>
                </c:pt>
                <c:pt idx="1">
                  <c:v>2</c:v>
                </c:pt>
                <c:pt idx="2">
                  <c:v>0</c:v>
                </c:pt>
                <c:pt idx="3">
                  <c:v>52</c:v>
                </c:pt>
                <c:pt idx="4">
                  <c:v>1</c:v>
                </c:pt>
                <c:pt idx="5">
                  <c:v>1</c:v>
                </c:pt>
                <c:pt idx="6" formatCode="#,##0">
                  <c:v>13</c:v>
                </c:pt>
                <c:pt idx="7">
                  <c:v>0</c:v>
                </c:pt>
                <c:pt idx="8">
                  <c:v>6</c:v>
                </c:pt>
                <c:pt idx="9">
                  <c:v>0</c:v>
                </c:pt>
                <c:pt idx="10">
                  <c:v>0</c:v>
                </c:pt>
                <c:pt idx="11">
                  <c:v>7</c:v>
                </c:pt>
                <c:pt idx="12">
                  <c:v>0</c:v>
                </c:pt>
                <c:pt idx="13">
                  <c:v>1</c:v>
                </c:pt>
                <c:pt idx="14">
                  <c:v>52</c:v>
                </c:pt>
              </c:numCache>
            </c:numRef>
          </c:val>
          <c:extLst>
            <c:ext xmlns:c16="http://schemas.microsoft.com/office/drawing/2014/chart" uri="{C3380CC4-5D6E-409C-BE32-E72D297353CC}">
              <c16:uniqueId val="{00000003-6564-4CE7-A4E3-BA3E02CBD350}"/>
            </c:ext>
          </c:extLst>
        </c:ser>
        <c:ser>
          <c:idx val="4"/>
          <c:order val="4"/>
          <c:spPr>
            <a:solidFill>
              <a:schemeClr val="accent5"/>
            </a:solidFill>
            <a:ln>
              <a:noFill/>
            </a:ln>
            <a:effectLst/>
          </c:spPr>
          <c:invertIfNegative val="0"/>
          <c:cat>
            <c:strRef>
              <c:f>Hoja1!$A$5:$A$19</c:f>
              <c:strCache>
                <c:ptCount val="15"/>
                <c:pt idx="0">
                  <c:v>Opinión de Registro de Cesión de Crédito</c:v>
                </c:pt>
                <c:pt idx="1">
                  <c:v>Opinión de Levantamiento de Cesión de Crédito</c:v>
                </c:pt>
                <c:pt idx="2">
                  <c:v>Opinión de Registro de Embargos</c:v>
                </c:pt>
                <c:pt idx="3">
                  <c:v>Opinión de Levantamiento de Embargos</c:v>
                </c:pt>
                <c:pt idx="4">
                  <c:v>Fianzas Aduanales recibidas y custodiadas</c:v>
                </c:pt>
                <c:pt idx="5">
                  <c:v>Solicitud de certificación de Fianza Aduanales recibida y entregada</c:v>
                </c:pt>
                <c:pt idx="6">
                  <c:v>Solicitud de Reimpresión de Cheques</c:v>
                </c:pt>
                <c:pt idx="7">
                  <c:v>Carta Compromiso de Servicios Personales </c:v>
                </c:pt>
                <c:pt idx="8">
                  <c:v>Contratos de Bienes y Servicios</c:v>
                </c:pt>
                <c:pt idx="9">
                  <c:v>Acuerdo De Confidencialidad</c:v>
                </c:pt>
                <c:pt idx="10">
                  <c:v>Convenio Interinstitucional</c:v>
                </c:pt>
                <c:pt idx="11">
                  <c:v>Opinión para Cambio y Registro de Firmas y Aperturas de Cuentas de los Ayuntamientos y Bomberos</c:v>
                </c:pt>
                <c:pt idx="12">
                  <c:v>Litis Judiciales (presentación a audiencia) </c:v>
                </c:pt>
                <c:pt idx="13">
                  <c:v>Acta de Proceso de compras</c:v>
                </c:pt>
                <c:pt idx="14">
                  <c:v>Repuestas Legales</c:v>
                </c:pt>
              </c:strCache>
            </c:strRef>
          </c:cat>
          <c:val>
            <c:numRef>
              <c:f>Hoja1!$F$5:$F$19</c:f>
              <c:numCache>
                <c:formatCode>General</c:formatCode>
                <c:ptCount val="15"/>
                <c:pt idx="0">
                  <c:v>9</c:v>
                </c:pt>
                <c:pt idx="1">
                  <c:v>2</c:v>
                </c:pt>
                <c:pt idx="2">
                  <c:v>30</c:v>
                </c:pt>
                <c:pt idx="3">
                  <c:v>9</c:v>
                </c:pt>
                <c:pt idx="4">
                  <c:v>1</c:v>
                </c:pt>
                <c:pt idx="5">
                  <c:v>1</c:v>
                </c:pt>
                <c:pt idx="6">
                  <c:v>143</c:v>
                </c:pt>
                <c:pt idx="7">
                  <c:v>0</c:v>
                </c:pt>
                <c:pt idx="8">
                  <c:v>0</c:v>
                </c:pt>
                <c:pt idx="9">
                  <c:v>0</c:v>
                </c:pt>
                <c:pt idx="10">
                  <c:v>0</c:v>
                </c:pt>
                <c:pt idx="11">
                  <c:v>8</c:v>
                </c:pt>
                <c:pt idx="12">
                  <c:v>0</c:v>
                </c:pt>
                <c:pt idx="13">
                  <c:v>1</c:v>
                </c:pt>
                <c:pt idx="14">
                  <c:v>46</c:v>
                </c:pt>
              </c:numCache>
            </c:numRef>
          </c:val>
          <c:extLst>
            <c:ext xmlns:c16="http://schemas.microsoft.com/office/drawing/2014/chart" uri="{C3380CC4-5D6E-409C-BE32-E72D297353CC}">
              <c16:uniqueId val="{00000004-6564-4CE7-A4E3-BA3E02CBD350}"/>
            </c:ext>
          </c:extLst>
        </c:ser>
        <c:ser>
          <c:idx val="5"/>
          <c:order val="5"/>
          <c:spPr>
            <a:solidFill>
              <a:schemeClr val="accent6"/>
            </a:solidFill>
            <a:ln>
              <a:noFill/>
            </a:ln>
            <a:effectLst/>
          </c:spPr>
          <c:invertIfNegative val="0"/>
          <c:cat>
            <c:strRef>
              <c:f>Hoja1!$A$5:$A$19</c:f>
              <c:strCache>
                <c:ptCount val="15"/>
                <c:pt idx="0">
                  <c:v>Opinión de Registro de Cesión de Crédito</c:v>
                </c:pt>
                <c:pt idx="1">
                  <c:v>Opinión de Levantamiento de Cesión de Crédito</c:v>
                </c:pt>
                <c:pt idx="2">
                  <c:v>Opinión de Registro de Embargos</c:v>
                </c:pt>
                <c:pt idx="3">
                  <c:v>Opinión de Levantamiento de Embargos</c:v>
                </c:pt>
                <c:pt idx="4">
                  <c:v>Fianzas Aduanales recibidas y custodiadas</c:v>
                </c:pt>
                <c:pt idx="5">
                  <c:v>Solicitud de certificación de Fianza Aduanales recibida y entregada</c:v>
                </c:pt>
                <c:pt idx="6">
                  <c:v>Solicitud de Reimpresión de Cheques</c:v>
                </c:pt>
                <c:pt idx="7">
                  <c:v>Carta Compromiso de Servicios Personales </c:v>
                </c:pt>
                <c:pt idx="8">
                  <c:v>Contratos de Bienes y Servicios</c:v>
                </c:pt>
                <c:pt idx="9">
                  <c:v>Acuerdo De Confidencialidad</c:v>
                </c:pt>
                <c:pt idx="10">
                  <c:v>Convenio Interinstitucional</c:v>
                </c:pt>
                <c:pt idx="11">
                  <c:v>Opinión para Cambio y Registro de Firmas y Aperturas de Cuentas de los Ayuntamientos y Bomberos</c:v>
                </c:pt>
                <c:pt idx="12">
                  <c:v>Litis Judiciales (presentación a audiencia) </c:v>
                </c:pt>
                <c:pt idx="13">
                  <c:v>Acta de Proceso de compras</c:v>
                </c:pt>
                <c:pt idx="14">
                  <c:v>Repuestas Legales</c:v>
                </c:pt>
              </c:strCache>
            </c:strRef>
          </c:cat>
          <c:val>
            <c:numRef>
              <c:f>Hoja1!$G$5:$G$19</c:f>
              <c:numCache>
                <c:formatCode>General</c:formatCode>
                <c:ptCount val="15"/>
                <c:pt idx="0">
                  <c:v>0</c:v>
                </c:pt>
                <c:pt idx="1">
                  <c:v>4</c:v>
                </c:pt>
                <c:pt idx="2">
                  <c:v>9</c:v>
                </c:pt>
                <c:pt idx="3">
                  <c:v>9</c:v>
                </c:pt>
                <c:pt idx="4" formatCode="#,##0">
                  <c:v>0</c:v>
                </c:pt>
                <c:pt idx="5">
                  <c:v>0</c:v>
                </c:pt>
                <c:pt idx="6" formatCode="#,##0">
                  <c:v>211</c:v>
                </c:pt>
                <c:pt idx="7">
                  <c:v>0</c:v>
                </c:pt>
                <c:pt idx="8">
                  <c:v>1</c:v>
                </c:pt>
                <c:pt idx="9">
                  <c:v>0</c:v>
                </c:pt>
                <c:pt idx="10">
                  <c:v>0</c:v>
                </c:pt>
                <c:pt idx="11">
                  <c:v>3</c:v>
                </c:pt>
                <c:pt idx="12">
                  <c:v>2</c:v>
                </c:pt>
                <c:pt idx="13">
                  <c:v>2</c:v>
                </c:pt>
                <c:pt idx="14">
                  <c:v>21</c:v>
                </c:pt>
              </c:numCache>
            </c:numRef>
          </c:val>
          <c:extLst>
            <c:ext xmlns:c16="http://schemas.microsoft.com/office/drawing/2014/chart" uri="{C3380CC4-5D6E-409C-BE32-E72D297353CC}">
              <c16:uniqueId val="{00000005-6564-4CE7-A4E3-BA3E02CBD350}"/>
            </c:ext>
          </c:extLst>
        </c:ser>
        <c:ser>
          <c:idx val="6"/>
          <c:order val="6"/>
          <c:spPr>
            <a:solidFill>
              <a:schemeClr val="accent1">
                <a:lumMod val="60000"/>
              </a:schemeClr>
            </a:solidFill>
            <a:ln>
              <a:noFill/>
            </a:ln>
            <a:effectLst/>
          </c:spPr>
          <c:invertIfNegative val="0"/>
          <c:cat>
            <c:strRef>
              <c:f>Hoja1!$A$5:$A$19</c:f>
              <c:strCache>
                <c:ptCount val="15"/>
                <c:pt idx="0">
                  <c:v>Opinión de Registro de Cesión de Crédito</c:v>
                </c:pt>
                <c:pt idx="1">
                  <c:v>Opinión de Levantamiento de Cesión de Crédito</c:v>
                </c:pt>
                <c:pt idx="2">
                  <c:v>Opinión de Registro de Embargos</c:v>
                </c:pt>
                <c:pt idx="3">
                  <c:v>Opinión de Levantamiento de Embargos</c:v>
                </c:pt>
                <c:pt idx="4">
                  <c:v>Fianzas Aduanales recibidas y custodiadas</c:v>
                </c:pt>
                <c:pt idx="5">
                  <c:v>Solicitud de certificación de Fianza Aduanales recibida y entregada</c:v>
                </c:pt>
                <c:pt idx="6">
                  <c:v>Solicitud de Reimpresión de Cheques</c:v>
                </c:pt>
                <c:pt idx="7">
                  <c:v>Carta Compromiso de Servicios Personales </c:v>
                </c:pt>
                <c:pt idx="8">
                  <c:v>Contratos de Bienes y Servicios</c:v>
                </c:pt>
                <c:pt idx="9">
                  <c:v>Acuerdo De Confidencialidad</c:v>
                </c:pt>
                <c:pt idx="10">
                  <c:v>Convenio Interinstitucional</c:v>
                </c:pt>
                <c:pt idx="11">
                  <c:v>Opinión para Cambio y Registro de Firmas y Aperturas de Cuentas de los Ayuntamientos y Bomberos</c:v>
                </c:pt>
                <c:pt idx="12">
                  <c:v>Litis Judiciales (presentación a audiencia) </c:v>
                </c:pt>
                <c:pt idx="13">
                  <c:v>Acta de Proceso de compras</c:v>
                </c:pt>
                <c:pt idx="14">
                  <c:v>Repuestas Legales</c:v>
                </c:pt>
              </c:strCache>
            </c:strRef>
          </c:cat>
          <c:val>
            <c:numRef>
              <c:f>Hoja1!$H$5:$H$19</c:f>
              <c:numCache>
                <c:formatCode>General</c:formatCode>
                <c:ptCount val="15"/>
                <c:pt idx="0">
                  <c:v>1</c:v>
                </c:pt>
                <c:pt idx="1">
                  <c:v>1</c:v>
                </c:pt>
                <c:pt idx="2">
                  <c:v>0</c:v>
                </c:pt>
                <c:pt idx="3">
                  <c:v>29</c:v>
                </c:pt>
                <c:pt idx="4">
                  <c:v>3</c:v>
                </c:pt>
                <c:pt idx="5">
                  <c:v>4</c:v>
                </c:pt>
                <c:pt idx="6">
                  <c:v>76</c:v>
                </c:pt>
                <c:pt idx="7">
                  <c:v>0</c:v>
                </c:pt>
                <c:pt idx="8">
                  <c:v>2</c:v>
                </c:pt>
                <c:pt idx="9">
                  <c:v>0</c:v>
                </c:pt>
                <c:pt idx="10">
                  <c:v>1</c:v>
                </c:pt>
                <c:pt idx="11">
                  <c:v>4</c:v>
                </c:pt>
                <c:pt idx="12">
                  <c:v>3</c:v>
                </c:pt>
                <c:pt idx="13">
                  <c:v>1</c:v>
                </c:pt>
                <c:pt idx="14">
                  <c:v>43</c:v>
                </c:pt>
              </c:numCache>
            </c:numRef>
          </c:val>
          <c:extLst>
            <c:ext xmlns:c16="http://schemas.microsoft.com/office/drawing/2014/chart" uri="{C3380CC4-5D6E-409C-BE32-E72D297353CC}">
              <c16:uniqueId val="{00000006-6564-4CE7-A4E3-BA3E02CBD350}"/>
            </c:ext>
          </c:extLst>
        </c:ser>
        <c:ser>
          <c:idx val="7"/>
          <c:order val="7"/>
          <c:spPr>
            <a:solidFill>
              <a:schemeClr val="accent2">
                <a:lumMod val="60000"/>
              </a:schemeClr>
            </a:solidFill>
            <a:ln>
              <a:noFill/>
            </a:ln>
            <a:effectLst/>
          </c:spPr>
          <c:invertIfNegative val="0"/>
          <c:cat>
            <c:strRef>
              <c:f>Hoja1!$A$5:$A$19</c:f>
              <c:strCache>
                <c:ptCount val="15"/>
                <c:pt idx="0">
                  <c:v>Opinión de Registro de Cesión de Crédito</c:v>
                </c:pt>
                <c:pt idx="1">
                  <c:v>Opinión de Levantamiento de Cesión de Crédito</c:v>
                </c:pt>
                <c:pt idx="2">
                  <c:v>Opinión de Registro de Embargos</c:v>
                </c:pt>
                <c:pt idx="3">
                  <c:v>Opinión de Levantamiento de Embargos</c:v>
                </c:pt>
                <c:pt idx="4">
                  <c:v>Fianzas Aduanales recibidas y custodiadas</c:v>
                </c:pt>
                <c:pt idx="5">
                  <c:v>Solicitud de certificación de Fianza Aduanales recibida y entregada</c:v>
                </c:pt>
                <c:pt idx="6">
                  <c:v>Solicitud de Reimpresión de Cheques</c:v>
                </c:pt>
                <c:pt idx="7">
                  <c:v>Carta Compromiso de Servicios Personales </c:v>
                </c:pt>
                <c:pt idx="8">
                  <c:v>Contratos de Bienes y Servicios</c:v>
                </c:pt>
                <c:pt idx="9">
                  <c:v>Acuerdo De Confidencialidad</c:v>
                </c:pt>
                <c:pt idx="10">
                  <c:v>Convenio Interinstitucional</c:v>
                </c:pt>
                <c:pt idx="11">
                  <c:v>Opinión para Cambio y Registro de Firmas y Aperturas de Cuentas de los Ayuntamientos y Bomberos</c:v>
                </c:pt>
                <c:pt idx="12">
                  <c:v>Litis Judiciales (presentación a audiencia) </c:v>
                </c:pt>
                <c:pt idx="13">
                  <c:v>Acta de Proceso de compras</c:v>
                </c:pt>
                <c:pt idx="14">
                  <c:v>Repuestas Legales</c:v>
                </c:pt>
              </c:strCache>
            </c:strRef>
          </c:cat>
          <c:val>
            <c:numRef>
              <c:f>Hoja1!$I$5:$I$19</c:f>
              <c:numCache>
                <c:formatCode>General</c:formatCode>
                <c:ptCount val="15"/>
                <c:pt idx="0">
                  <c:v>5</c:v>
                </c:pt>
                <c:pt idx="1">
                  <c:v>2</c:v>
                </c:pt>
                <c:pt idx="2">
                  <c:v>0</c:v>
                </c:pt>
                <c:pt idx="3">
                  <c:v>4</c:v>
                </c:pt>
                <c:pt idx="4">
                  <c:v>0</c:v>
                </c:pt>
                <c:pt idx="5">
                  <c:v>0</c:v>
                </c:pt>
                <c:pt idx="6">
                  <c:v>93</c:v>
                </c:pt>
                <c:pt idx="7">
                  <c:v>0</c:v>
                </c:pt>
                <c:pt idx="8">
                  <c:v>4</c:v>
                </c:pt>
                <c:pt idx="9">
                  <c:v>0</c:v>
                </c:pt>
                <c:pt idx="10">
                  <c:v>0</c:v>
                </c:pt>
                <c:pt idx="11">
                  <c:v>8</c:v>
                </c:pt>
                <c:pt idx="12">
                  <c:v>2</c:v>
                </c:pt>
                <c:pt idx="13">
                  <c:v>0</c:v>
                </c:pt>
                <c:pt idx="14">
                  <c:v>7</c:v>
                </c:pt>
              </c:numCache>
            </c:numRef>
          </c:val>
          <c:extLst>
            <c:ext xmlns:c16="http://schemas.microsoft.com/office/drawing/2014/chart" uri="{C3380CC4-5D6E-409C-BE32-E72D297353CC}">
              <c16:uniqueId val="{00000007-6564-4CE7-A4E3-BA3E02CBD350}"/>
            </c:ext>
          </c:extLst>
        </c:ser>
        <c:ser>
          <c:idx val="8"/>
          <c:order val="8"/>
          <c:spPr>
            <a:solidFill>
              <a:schemeClr val="accent3">
                <a:lumMod val="60000"/>
              </a:schemeClr>
            </a:solidFill>
            <a:ln>
              <a:noFill/>
            </a:ln>
            <a:effectLst/>
          </c:spPr>
          <c:invertIfNegative val="0"/>
          <c:cat>
            <c:strRef>
              <c:f>Hoja1!$A$5:$A$19</c:f>
              <c:strCache>
                <c:ptCount val="15"/>
                <c:pt idx="0">
                  <c:v>Opinión de Registro de Cesión de Crédito</c:v>
                </c:pt>
                <c:pt idx="1">
                  <c:v>Opinión de Levantamiento de Cesión de Crédito</c:v>
                </c:pt>
                <c:pt idx="2">
                  <c:v>Opinión de Registro de Embargos</c:v>
                </c:pt>
                <c:pt idx="3">
                  <c:v>Opinión de Levantamiento de Embargos</c:v>
                </c:pt>
                <c:pt idx="4">
                  <c:v>Fianzas Aduanales recibidas y custodiadas</c:v>
                </c:pt>
                <c:pt idx="5">
                  <c:v>Solicitud de certificación de Fianza Aduanales recibida y entregada</c:v>
                </c:pt>
                <c:pt idx="6">
                  <c:v>Solicitud de Reimpresión de Cheques</c:v>
                </c:pt>
                <c:pt idx="7">
                  <c:v>Carta Compromiso de Servicios Personales </c:v>
                </c:pt>
                <c:pt idx="8">
                  <c:v>Contratos de Bienes y Servicios</c:v>
                </c:pt>
                <c:pt idx="9">
                  <c:v>Acuerdo De Confidencialidad</c:v>
                </c:pt>
                <c:pt idx="10">
                  <c:v>Convenio Interinstitucional</c:v>
                </c:pt>
                <c:pt idx="11">
                  <c:v>Opinión para Cambio y Registro de Firmas y Aperturas de Cuentas de los Ayuntamientos y Bomberos</c:v>
                </c:pt>
                <c:pt idx="12">
                  <c:v>Litis Judiciales (presentación a audiencia) </c:v>
                </c:pt>
                <c:pt idx="13">
                  <c:v>Acta de Proceso de compras</c:v>
                </c:pt>
                <c:pt idx="14">
                  <c:v>Repuestas Legales</c:v>
                </c:pt>
              </c:strCache>
            </c:strRef>
          </c:cat>
          <c:val>
            <c:numRef>
              <c:f>Hoja1!$J$5:$J$19</c:f>
              <c:numCache>
                <c:formatCode>General</c:formatCode>
                <c:ptCount val="15"/>
                <c:pt idx="0">
                  <c:v>7</c:v>
                </c:pt>
                <c:pt idx="1">
                  <c:v>3</c:v>
                </c:pt>
                <c:pt idx="2">
                  <c:v>143</c:v>
                </c:pt>
                <c:pt idx="3">
                  <c:v>16</c:v>
                </c:pt>
                <c:pt idx="4">
                  <c:v>0</c:v>
                </c:pt>
                <c:pt idx="5">
                  <c:v>0</c:v>
                </c:pt>
                <c:pt idx="6">
                  <c:v>8</c:v>
                </c:pt>
                <c:pt idx="7">
                  <c:v>0</c:v>
                </c:pt>
                <c:pt idx="8">
                  <c:v>0</c:v>
                </c:pt>
                <c:pt idx="9">
                  <c:v>0</c:v>
                </c:pt>
                <c:pt idx="10">
                  <c:v>0</c:v>
                </c:pt>
                <c:pt idx="11">
                  <c:v>2</c:v>
                </c:pt>
                <c:pt idx="12">
                  <c:v>0</c:v>
                </c:pt>
                <c:pt idx="13">
                  <c:v>1</c:v>
                </c:pt>
                <c:pt idx="14">
                  <c:v>16</c:v>
                </c:pt>
              </c:numCache>
            </c:numRef>
          </c:val>
          <c:extLst>
            <c:ext xmlns:c16="http://schemas.microsoft.com/office/drawing/2014/chart" uri="{C3380CC4-5D6E-409C-BE32-E72D297353CC}">
              <c16:uniqueId val="{00000008-6564-4CE7-A4E3-BA3E02CBD350}"/>
            </c:ext>
          </c:extLst>
        </c:ser>
        <c:ser>
          <c:idx val="9"/>
          <c:order val="9"/>
          <c:spPr>
            <a:solidFill>
              <a:schemeClr val="accent4">
                <a:lumMod val="60000"/>
              </a:schemeClr>
            </a:solidFill>
            <a:ln>
              <a:noFill/>
            </a:ln>
            <a:effectLst/>
          </c:spPr>
          <c:invertIfNegative val="0"/>
          <c:cat>
            <c:strRef>
              <c:f>Hoja1!$A$5:$A$19</c:f>
              <c:strCache>
                <c:ptCount val="15"/>
                <c:pt idx="0">
                  <c:v>Opinión de Registro de Cesión de Crédito</c:v>
                </c:pt>
                <c:pt idx="1">
                  <c:v>Opinión de Levantamiento de Cesión de Crédito</c:v>
                </c:pt>
                <c:pt idx="2">
                  <c:v>Opinión de Registro de Embargos</c:v>
                </c:pt>
                <c:pt idx="3">
                  <c:v>Opinión de Levantamiento de Embargos</c:v>
                </c:pt>
                <c:pt idx="4">
                  <c:v>Fianzas Aduanales recibidas y custodiadas</c:v>
                </c:pt>
                <c:pt idx="5">
                  <c:v>Solicitud de certificación de Fianza Aduanales recibida y entregada</c:v>
                </c:pt>
                <c:pt idx="6">
                  <c:v>Solicitud de Reimpresión de Cheques</c:v>
                </c:pt>
                <c:pt idx="7">
                  <c:v>Carta Compromiso de Servicios Personales </c:v>
                </c:pt>
                <c:pt idx="8">
                  <c:v>Contratos de Bienes y Servicios</c:v>
                </c:pt>
                <c:pt idx="9">
                  <c:v>Acuerdo De Confidencialidad</c:v>
                </c:pt>
                <c:pt idx="10">
                  <c:v>Convenio Interinstitucional</c:v>
                </c:pt>
                <c:pt idx="11">
                  <c:v>Opinión para Cambio y Registro de Firmas y Aperturas de Cuentas de los Ayuntamientos y Bomberos</c:v>
                </c:pt>
                <c:pt idx="12">
                  <c:v>Litis Judiciales (presentación a audiencia) </c:v>
                </c:pt>
                <c:pt idx="13">
                  <c:v>Acta de Proceso de compras</c:v>
                </c:pt>
                <c:pt idx="14">
                  <c:v>Repuestas Legales</c:v>
                </c:pt>
              </c:strCache>
            </c:strRef>
          </c:cat>
          <c:val>
            <c:numRef>
              <c:f>Hoja1!$K$5:$K$19</c:f>
              <c:numCache>
                <c:formatCode>General</c:formatCode>
                <c:ptCount val="15"/>
                <c:pt idx="0">
                  <c:v>5</c:v>
                </c:pt>
                <c:pt idx="1">
                  <c:v>4</c:v>
                </c:pt>
                <c:pt idx="2">
                  <c:v>0</c:v>
                </c:pt>
                <c:pt idx="3">
                  <c:v>81</c:v>
                </c:pt>
                <c:pt idx="4">
                  <c:v>4</c:v>
                </c:pt>
                <c:pt idx="5">
                  <c:v>1</c:v>
                </c:pt>
                <c:pt idx="6">
                  <c:v>108</c:v>
                </c:pt>
                <c:pt idx="7">
                  <c:v>1</c:v>
                </c:pt>
                <c:pt idx="8">
                  <c:v>2</c:v>
                </c:pt>
                <c:pt idx="9">
                  <c:v>0</c:v>
                </c:pt>
                <c:pt idx="10">
                  <c:v>1</c:v>
                </c:pt>
                <c:pt idx="11">
                  <c:v>9</c:v>
                </c:pt>
                <c:pt idx="12">
                  <c:v>3</c:v>
                </c:pt>
                <c:pt idx="13">
                  <c:v>2</c:v>
                </c:pt>
                <c:pt idx="14">
                  <c:v>15</c:v>
                </c:pt>
              </c:numCache>
            </c:numRef>
          </c:val>
          <c:extLst>
            <c:ext xmlns:c16="http://schemas.microsoft.com/office/drawing/2014/chart" uri="{C3380CC4-5D6E-409C-BE32-E72D297353CC}">
              <c16:uniqueId val="{00000009-6564-4CE7-A4E3-BA3E02CBD350}"/>
            </c:ext>
          </c:extLst>
        </c:ser>
        <c:ser>
          <c:idx val="10"/>
          <c:order val="10"/>
          <c:spPr>
            <a:solidFill>
              <a:schemeClr val="accent5">
                <a:lumMod val="60000"/>
              </a:schemeClr>
            </a:solidFill>
            <a:ln>
              <a:noFill/>
            </a:ln>
            <a:effectLst/>
          </c:spPr>
          <c:invertIfNegative val="0"/>
          <c:cat>
            <c:strRef>
              <c:f>Hoja1!$A$5:$A$19</c:f>
              <c:strCache>
                <c:ptCount val="15"/>
                <c:pt idx="0">
                  <c:v>Opinión de Registro de Cesión de Crédito</c:v>
                </c:pt>
                <c:pt idx="1">
                  <c:v>Opinión de Levantamiento de Cesión de Crédito</c:v>
                </c:pt>
                <c:pt idx="2">
                  <c:v>Opinión de Registro de Embargos</c:v>
                </c:pt>
                <c:pt idx="3">
                  <c:v>Opinión de Levantamiento de Embargos</c:v>
                </c:pt>
                <c:pt idx="4">
                  <c:v>Fianzas Aduanales recibidas y custodiadas</c:v>
                </c:pt>
                <c:pt idx="5">
                  <c:v>Solicitud de certificación de Fianza Aduanales recibida y entregada</c:v>
                </c:pt>
                <c:pt idx="6">
                  <c:v>Solicitud de Reimpresión de Cheques</c:v>
                </c:pt>
                <c:pt idx="7">
                  <c:v>Carta Compromiso de Servicios Personales </c:v>
                </c:pt>
                <c:pt idx="8">
                  <c:v>Contratos de Bienes y Servicios</c:v>
                </c:pt>
                <c:pt idx="9">
                  <c:v>Acuerdo De Confidencialidad</c:v>
                </c:pt>
                <c:pt idx="10">
                  <c:v>Convenio Interinstitucional</c:v>
                </c:pt>
                <c:pt idx="11">
                  <c:v>Opinión para Cambio y Registro de Firmas y Aperturas de Cuentas de los Ayuntamientos y Bomberos</c:v>
                </c:pt>
                <c:pt idx="12">
                  <c:v>Litis Judiciales (presentación a audiencia) </c:v>
                </c:pt>
                <c:pt idx="13">
                  <c:v>Acta de Proceso de compras</c:v>
                </c:pt>
                <c:pt idx="14">
                  <c:v>Repuestas Legales</c:v>
                </c:pt>
              </c:strCache>
            </c:strRef>
          </c:cat>
          <c:val>
            <c:numRef>
              <c:f>Hoja1!$L$5:$L$19</c:f>
              <c:numCache>
                <c:formatCode>General</c:formatCode>
                <c:ptCount val="15"/>
                <c:pt idx="0">
                  <c:v>8</c:v>
                </c:pt>
                <c:pt idx="1">
                  <c:v>8</c:v>
                </c:pt>
                <c:pt idx="2">
                  <c:v>5</c:v>
                </c:pt>
                <c:pt idx="3">
                  <c:v>50</c:v>
                </c:pt>
                <c:pt idx="4">
                  <c:v>2</c:v>
                </c:pt>
                <c:pt idx="5">
                  <c:v>5</c:v>
                </c:pt>
                <c:pt idx="6">
                  <c:v>70</c:v>
                </c:pt>
                <c:pt idx="7">
                  <c:v>1</c:v>
                </c:pt>
                <c:pt idx="8">
                  <c:v>2</c:v>
                </c:pt>
                <c:pt idx="9">
                  <c:v>0</c:v>
                </c:pt>
                <c:pt idx="10">
                  <c:v>1</c:v>
                </c:pt>
                <c:pt idx="11">
                  <c:v>3</c:v>
                </c:pt>
                <c:pt idx="12">
                  <c:v>2</c:v>
                </c:pt>
                <c:pt idx="13">
                  <c:v>2</c:v>
                </c:pt>
                <c:pt idx="14">
                  <c:v>15</c:v>
                </c:pt>
              </c:numCache>
            </c:numRef>
          </c:val>
          <c:extLst>
            <c:ext xmlns:c16="http://schemas.microsoft.com/office/drawing/2014/chart" uri="{C3380CC4-5D6E-409C-BE32-E72D297353CC}">
              <c16:uniqueId val="{0000000A-6564-4CE7-A4E3-BA3E02CBD350}"/>
            </c:ext>
          </c:extLst>
        </c:ser>
        <c:ser>
          <c:idx val="11"/>
          <c:order val="11"/>
          <c:spPr>
            <a:solidFill>
              <a:schemeClr val="accent6">
                <a:lumMod val="60000"/>
              </a:schemeClr>
            </a:solidFill>
            <a:ln>
              <a:noFill/>
            </a:ln>
            <a:effectLst/>
          </c:spPr>
          <c:invertIfNegative val="0"/>
          <c:cat>
            <c:strRef>
              <c:f>Hoja1!$A$5:$A$19</c:f>
              <c:strCache>
                <c:ptCount val="15"/>
                <c:pt idx="0">
                  <c:v>Opinión de Registro de Cesión de Crédito</c:v>
                </c:pt>
                <c:pt idx="1">
                  <c:v>Opinión de Levantamiento de Cesión de Crédito</c:v>
                </c:pt>
                <c:pt idx="2">
                  <c:v>Opinión de Registro de Embargos</c:v>
                </c:pt>
                <c:pt idx="3">
                  <c:v>Opinión de Levantamiento de Embargos</c:v>
                </c:pt>
                <c:pt idx="4">
                  <c:v>Fianzas Aduanales recibidas y custodiadas</c:v>
                </c:pt>
                <c:pt idx="5">
                  <c:v>Solicitud de certificación de Fianza Aduanales recibida y entregada</c:v>
                </c:pt>
                <c:pt idx="6">
                  <c:v>Solicitud de Reimpresión de Cheques</c:v>
                </c:pt>
                <c:pt idx="7">
                  <c:v>Carta Compromiso de Servicios Personales </c:v>
                </c:pt>
                <c:pt idx="8">
                  <c:v>Contratos de Bienes y Servicios</c:v>
                </c:pt>
                <c:pt idx="9">
                  <c:v>Acuerdo De Confidencialidad</c:v>
                </c:pt>
                <c:pt idx="10">
                  <c:v>Convenio Interinstitucional</c:v>
                </c:pt>
                <c:pt idx="11">
                  <c:v>Opinión para Cambio y Registro de Firmas y Aperturas de Cuentas de los Ayuntamientos y Bomberos</c:v>
                </c:pt>
                <c:pt idx="12">
                  <c:v>Litis Judiciales (presentación a audiencia) </c:v>
                </c:pt>
                <c:pt idx="13">
                  <c:v>Acta de Proceso de compras</c:v>
                </c:pt>
                <c:pt idx="14">
                  <c:v>Repuestas Legales</c:v>
                </c:pt>
              </c:strCache>
            </c:strRef>
          </c:cat>
          <c:val>
            <c:numRef>
              <c:f>Hoja1!$M$5:$M$19</c:f>
              <c:numCache>
                <c:formatCode>General</c:formatCode>
                <c:ptCount val="15"/>
                <c:pt idx="0">
                  <c:v>2</c:v>
                </c:pt>
                <c:pt idx="1">
                  <c:v>4</c:v>
                </c:pt>
                <c:pt idx="2">
                  <c:v>5</c:v>
                </c:pt>
                <c:pt idx="3">
                  <c:v>50</c:v>
                </c:pt>
                <c:pt idx="4">
                  <c:v>2</c:v>
                </c:pt>
                <c:pt idx="5">
                  <c:v>4</c:v>
                </c:pt>
                <c:pt idx="6">
                  <c:v>94</c:v>
                </c:pt>
                <c:pt idx="7">
                  <c:v>1</c:v>
                </c:pt>
                <c:pt idx="8">
                  <c:v>1</c:v>
                </c:pt>
                <c:pt idx="9">
                  <c:v>0</c:v>
                </c:pt>
                <c:pt idx="10">
                  <c:v>1</c:v>
                </c:pt>
                <c:pt idx="11">
                  <c:v>3</c:v>
                </c:pt>
                <c:pt idx="12">
                  <c:v>2</c:v>
                </c:pt>
                <c:pt idx="13">
                  <c:v>1</c:v>
                </c:pt>
                <c:pt idx="14">
                  <c:v>15</c:v>
                </c:pt>
              </c:numCache>
            </c:numRef>
          </c:val>
          <c:extLst>
            <c:ext xmlns:c16="http://schemas.microsoft.com/office/drawing/2014/chart" uri="{C3380CC4-5D6E-409C-BE32-E72D297353CC}">
              <c16:uniqueId val="{0000000B-6564-4CE7-A4E3-BA3E02CBD350}"/>
            </c:ext>
          </c:extLst>
        </c:ser>
        <c:ser>
          <c:idx val="12"/>
          <c:order val="12"/>
          <c:spPr>
            <a:solidFill>
              <a:schemeClr val="accent1">
                <a:lumMod val="80000"/>
                <a:lumOff val="20000"/>
              </a:schemeClr>
            </a:solidFill>
            <a:ln>
              <a:noFill/>
            </a:ln>
            <a:effectLst/>
          </c:spPr>
          <c:invertIfNegative val="0"/>
          <c:cat>
            <c:strRef>
              <c:f>Hoja1!$A$5:$A$19</c:f>
              <c:strCache>
                <c:ptCount val="15"/>
                <c:pt idx="0">
                  <c:v>Opinión de Registro de Cesión de Crédito</c:v>
                </c:pt>
                <c:pt idx="1">
                  <c:v>Opinión de Levantamiento de Cesión de Crédito</c:v>
                </c:pt>
                <c:pt idx="2">
                  <c:v>Opinión de Registro de Embargos</c:v>
                </c:pt>
                <c:pt idx="3">
                  <c:v>Opinión de Levantamiento de Embargos</c:v>
                </c:pt>
                <c:pt idx="4">
                  <c:v>Fianzas Aduanales recibidas y custodiadas</c:v>
                </c:pt>
                <c:pt idx="5">
                  <c:v>Solicitud de certificación de Fianza Aduanales recibida y entregada</c:v>
                </c:pt>
                <c:pt idx="6">
                  <c:v>Solicitud de Reimpresión de Cheques</c:v>
                </c:pt>
                <c:pt idx="7">
                  <c:v>Carta Compromiso de Servicios Personales </c:v>
                </c:pt>
                <c:pt idx="8">
                  <c:v>Contratos de Bienes y Servicios</c:v>
                </c:pt>
                <c:pt idx="9">
                  <c:v>Acuerdo De Confidencialidad</c:v>
                </c:pt>
                <c:pt idx="10">
                  <c:v>Convenio Interinstitucional</c:v>
                </c:pt>
                <c:pt idx="11">
                  <c:v>Opinión para Cambio y Registro de Firmas y Aperturas de Cuentas de los Ayuntamientos y Bomberos</c:v>
                </c:pt>
                <c:pt idx="12">
                  <c:v>Litis Judiciales (presentación a audiencia) </c:v>
                </c:pt>
                <c:pt idx="13">
                  <c:v>Acta de Proceso de compras</c:v>
                </c:pt>
                <c:pt idx="14">
                  <c:v>Repuestas Legales</c:v>
                </c:pt>
              </c:strCache>
            </c:strRef>
          </c:cat>
          <c:val>
            <c:numRef>
              <c:f>Hoja1!#REF!</c:f>
              <c:numCache>
                <c:formatCode>General</c:formatCode>
                <c:ptCount val="1"/>
                <c:pt idx="0">
                  <c:v>1</c:v>
                </c:pt>
              </c:numCache>
            </c:numRef>
          </c:val>
          <c:extLst>
            <c:ext xmlns:c16="http://schemas.microsoft.com/office/drawing/2014/chart" uri="{C3380CC4-5D6E-409C-BE32-E72D297353CC}">
              <c16:uniqueId val="{0000000C-6564-4CE7-A4E3-BA3E02CBD350}"/>
            </c:ext>
          </c:extLst>
        </c:ser>
        <c:ser>
          <c:idx val="13"/>
          <c:order val="13"/>
          <c:spPr>
            <a:solidFill>
              <a:schemeClr val="accent2">
                <a:lumMod val="80000"/>
                <a:lumOff val="20000"/>
              </a:schemeClr>
            </a:solidFill>
            <a:ln>
              <a:noFill/>
            </a:ln>
            <a:effectLst/>
          </c:spPr>
          <c:invertIfNegative val="0"/>
          <c:cat>
            <c:strRef>
              <c:f>Hoja1!$A$5:$A$19</c:f>
              <c:strCache>
                <c:ptCount val="15"/>
                <c:pt idx="0">
                  <c:v>Opinión de Registro de Cesión de Crédito</c:v>
                </c:pt>
                <c:pt idx="1">
                  <c:v>Opinión de Levantamiento de Cesión de Crédito</c:v>
                </c:pt>
                <c:pt idx="2">
                  <c:v>Opinión de Registro de Embargos</c:v>
                </c:pt>
                <c:pt idx="3">
                  <c:v>Opinión de Levantamiento de Embargos</c:v>
                </c:pt>
                <c:pt idx="4">
                  <c:v>Fianzas Aduanales recibidas y custodiadas</c:v>
                </c:pt>
                <c:pt idx="5">
                  <c:v>Solicitud de certificación de Fianza Aduanales recibida y entregada</c:v>
                </c:pt>
                <c:pt idx="6">
                  <c:v>Solicitud de Reimpresión de Cheques</c:v>
                </c:pt>
                <c:pt idx="7">
                  <c:v>Carta Compromiso de Servicios Personales </c:v>
                </c:pt>
                <c:pt idx="8">
                  <c:v>Contratos de Bienes y Servicios</c:v>
                </c:pt>
                <c:pt idx="9">
                  <c:v>Acuerdo De Confidencialidad</c:v>
                </c:pt>
                <c:pt idx="10">
                  <c:v>Convenio Interinstitucional</c:v>
                </c:pt>
                <c:pt idx="11">
                  <c:v>Opinión para Cambio y Registro de Firmas y Aperturas de Cuentas de los Ayuntamientos y Bomberos</c:v>
                </c:pt>
                <c:pt idx="12">
                  <c:v>Litis Judiciales (presentación a audiencia) </c:v>
                </c:pt>
                <c:pt idx="13">
                  <c:v>Acta de Proceso de compras</c:v>
                </c:pt>
                <c:pt idx="14">
                  <c:v>Repuestas Legales</c:v>
                </c:pt>
              </c:strCache>
            </c:strRef>
          </c:cat>
          <c:val>
            <c:numRef>
              <c:f>Hoja1!#REF!</c:f>
              <c:numCache>
                <c:formatCode>General</c:formatCode>
                <c:ptCount val="1"/>
                <c:pt idx="0">
                  <c:v>1</c:v>
                </c:pt>
              </c:numCache>
            </c:numRef>
          </c:val>
          <c:extLst>
            <c:ext xmlns:c16="http://schemas.microsoft.com/office/drawing/2014/chart" uri="{C3380CC4-5D6E-409C-BE32-E72D297353CC}">
              <c16:uniqueId val="{0000000D-6564-4CE7-A4E3-BA3E02CBD350}"/>
            </c:ext>
          </c:extLst>
        </c:ser>
        <c:dLbls>
          <c:showLegendKey val="0"/>
          <c:showVal val="0"/>
          <c:showCatName val="0"/>
          <c:showSerName val="0"/>
          <c:showPercent val="0"/>
          <c:showBubbleSize val="0"/>
        </c:dLbls>
        <c:gapWidth val="150"/>
        <c:overlap val="100"/>
        <c:axId val="739617000"/>
        <c:axId val="739622400"/>
      </c:barChart>
      <c:catAx>
        <c:axId val="739617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739622400"/>
        <c:crosses val="autoZero"/>
        <c:auto val="1"/>
        <c:lblAlgn val="ctr"/>
        <c:lblOffset val="100"/>
        <c:noMultiLvlLbl val="0"/>
      </c:catAx>
      <c:valAx>
        <c:axId val="7396224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739617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1">
                <a:solidFill>
                  <a:srgbClr val="787171"/>
                </a:solidFill>
              </a:defRPr>
            </a:pPr>
            <a:r>
              <a:rPr lang="es-ES" b="1">
                <a:solidFill>
                  <a:srgbClr val="787171"/>
                </a:solidFill>
              </a:rPr>
              <a:t>Consumo de Energía Eléctrica de la Tesorería Nacional (kW)</a:t>
            </a:r>
          </a:p>
        </c:rich>
      </c:tx>
      <c:overlay val="0"/>
    </c:title>
    <c:autoTitleDeleted val="0"/>
    <c:plotArea>
      <c:layout>
        <c:manualLayout>
          <c:layoutTarget val="inner"/>
          <c:xMode val="edge"/>
          <c:yMode val="edge"/>
          <c:x val="1.3002365276369136E-2"/>
          <c:y val="0.19064373880217114"/>
          <c:w val="0.98064777276678006"/>
          <c:h val="0.50485350524037897"/>
        </c:manualLayout>
      </c:layout>
      <c:barChart>
        <c:barDir val="col"/>
        <c:grouping val="clustered"/>
        <c:varyColors val="0"/>
        <c:ser>
          <c:idx val="12"/>
          <c:order val="12"/>
          <c:tx>
            <c:strRef>
              <c:f>'[2022-2025 Registro consumo energia eléctrica v1.5.xlsx]Hoja1'!$A$22</c:f>
              <c:strCache>
                <c:ptCount val="1"/>
                <c:pt idx="0">
                  <c:v>TOTAL</c:v>
                </c:pt>
              </c:strCache>
            </c:strRef>
          </c:tx>
          <c:spPr>
            <a:solidFill>
              <a:srgbClr val="47A8EA"/>
            </a:solidFill>
          </c:spPr>
          <c:invertIfNegative val="0"/>
          <c:dLbls>
            <c:spPr>
              <a:noFill/>
              <a:ln>
                <a:noFill/>
              </a:ln>
              <a:effectLst/>
            </c:spPr>
            <c:txPr>
              <a:bodyPr wrap="square" lIns="38100" tIns="19050" rIns="38100" bIns="19050" anchor="ctr">
                <a:spAutoFit/>
              </a:bodyPr>
              <a:lstStyle/>
              <a:p>
                <a:pPr>
                  <a:defRPr>
                    <a:solidFill>
                      <a:srgbClr val="767171"/>
                    </a:solidFill>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'[2022-2025 Registro consumo energia eléctrica v1.5.xlsx]Hoja1'!$B$9:$I$9</c:f>
              <c:strCache>
                <c:ptCount val="6"/>
                <c:pt idx="0">
                  <c:v>2022</c:v>
                </c:pt>
                <c:pt idx="1">
                  <c:v>2023</c:v>
                </c:pt>
                <c:pt idx="2">
                  <c:v>2024</c:v>
                </c:pt>
                <c:pt idx="3">
                  <c:v>2025</c:v>
                </c:pt>
                <c:pt idx="4">
                  <c:v>Variación Absoluta</c:v>
                </c:pt>
                <c:pt idx="5">
                  <c:v>Variación %</c:v>
                </c:pt>
              </c:strCache>
              <c:extLst/>
            </c:strRef>
          </c:cat>
          <c:val>
            <c:numRef>
              <c:f>'[2022-2025 Registro consumo energia eléctrica v1.5.xlsx]Hoja1'!$B$22:$I$22</c:f>
              <c:numCache>
                <c:formatCode>_(* #,##0.00_);_(* \(#,##0.00\);_(* "-"??_);_(@_)</c:formatCode>
                <c:ptCount val="6"/>
                <c:pt idx="0">
                  <c:v>291840</c:v>
                </c:pt>
                <c:pt idx="1">
                  <c:v>208680</c:v>
                </c:pt>
                <c:pt idx="2">
                  <c:v>212400</c:v>
                </c:pt>
                <c:pt idx="3">
                  <c:v>286080</c:v>
                </c:pt>
                <c:pt idx="4">
                  <c:v>-5760</c:v>
                </c:pt>
                <c:pt idx="5">
                  <c:v>-2.5013027618551327</c:v>
                </c:pt>
              </c:numCache>
              <c:extLst/>
            </c:numRef>
          </c:val>
          <c:extLst>
            <c:ext xmlns:c16="http://schemas.microsoft.com/office/drawing/2014/chart" uri="{C3380CC4-5D6E-409C-BE32-E72D297353CC}">
              <c16:uniqueId val="{00000000-BE7C-4308-8D9C-A5B900D18466}"/>
            </c:ext>
          </c:extLst>
        </c:ser>
        <c:dLbls>
          <c:showLegendKey val="0"/>
          <c:showVal val="0"/>
          <c:showCatName val="0"/>
          <c:showSerName val="0"/>
          <c:showPercent val="0"/>
          <c:showBubbleSize val="0"/>
        </c:dLbls>
        <c:gapWidth val="150"/>
        <c:axId val="513386224"/>
        <c:axId val="513386648"/>
        <c:extLst>
          <c:ext xmlns:c15="http://schemas.microsoft.com/office/drawing/2012/chart" uri="{02D57815-91ED-43cb-92C2-25804820EDAC}">
            <c15:filteredBarSeries>
              <c15:ser>
                <c:idx val="0"/>
                <c:order val="0"/>
                <c:tx>
                  <c:strRef>
                    <c:extLst>
                      <c:ext uri="{02D57815-91ED-43cb-92C2-25804820EDAC}">
                        <c15:formulaRef>
                          <c15:sqref>'[2022-2025 Registro consumo energia eléctrica v1.5.xlsx]Hoja1'!$A$10</c15:sqref>
                        </c15:formulaRef>
                      </c:ext>
                    </c:extLst>
                    <c:strCache>
                      <c:ptCount val="1"/>
                      <c:pt idx="0">
                        <c:v>Enero</c:v>
                      </c:pt>
                    </c:strCache>
                  </c:strRef>
                </c:tx>
                <c:spPr>
                  <a:solidFill>
                    <a:srgbClr val="47A8EA"/>
                  </a:solidFill>
                </c:spPr>
                <c:invertIfNegative val="0"/>
                <c:dLbls>
                  <c:spPr>
                    <a:noFill/>
                    <a:ln>
                      <a:noFill/>
                    </a:ln>
                    <a:effectLst/>
                  </c:spPr>
                  <c:txPr>
                    <a:bodyPr wrap="square" lIns="38100" tIns="19050" rIns="38100" bIns="19050" anchor="ctr">
                      <a:spAutoFit/>
                    </a:bodyPr>
                    <a:lstStyle/>
                    <a:p>
                      <a:pPr>
                        <a:defRPr>
                          <a:solidFill>
                            <a:srgbClr val="002060"/>
                          </a:solidFill>
                        </a:defRPr>
                      </a:pPr>
                      <a:endParaRPr lang="es-DO"/>
                    </a:p>
                  </c:txPr>
                  <c:showLegendKey val="0"/>
                  <c:showVal val="1"/>
                  <c:showCatName val="0"/>
                  <c:showSerName val="0"/>
                  <c:showPercent val="0"/>
                  <c:showBubbleSize val="0"/>
                  <c:showLeaderLines val="0"/>
                  <c:extLst>
                    <c:ext uri="{CE6537A1-D6FC-4f65-9D91-7224C49458BB}">
                      <c15:showLeaderLines val="1"/>
                    </c:ext>
                  </c:extLst>
                </c:dLbls>
                <c:cat>
                  <c:strRef>
                    <c:extLst>
                      <c:ext uri="{02D57815-91ED-43cb-92C2-25804820EDAC}">
                        <c15:formulaRef>
                          <c15:sqref>'[2022-2025 Registro consumo energia eléctrica v1.5.xlsx]Hoja1'!$B$9:$I$9</c15:sqref>
                        </c15:formulaRef>
                      </c:ext>
                    </c:extLst>
                    <c:strCache>
                      <c:ptCount val="6"/>
                      <c:pt idx="0">
                        <c:v>2022</c:v>
                      </c:pt>
                      <c:pt idx="1">
                        <c:v>2023</c:v>
                      </c:pt>
                      <c:pt idx="2">
                        <c:v>2024</c:v>
                      </c:pt>
                      <c:pt idx="3">
                        <c:v>2025</c:v>
                      </c:pt>
                      <c:pt idx="4">
                        <c:v>Variación Absoluta</c:v>
                      </c:pt>
                      <c:pt idx="5">
                        <c:v>Variación %</c:v>
                      </c:pt>
                    </c:strCache>
                  </c:strRef>
                </c:cat>
                <c:val>
                  <c:numRef>
                    <c:extLst>
                      <c:ext uri="{02D57815-91ED-43cb-92C2-25804820EDAC}">
                        <c15:formulaRef>
                          <c15:sqref>'[2022-2025 Registro consumo energia eléctrica v1.5.xlsx]Hoja1'!$B$10:$I$10</c15:sqref>
                        </c15:formulaRef>
                      </c:ext>
                    </c:extLst>
                    <c:numCache>
                      <c:formatCode>#,##0</c:formatCode>
                      <c:ptCount val="6"/>
                      <c:pt idx="0">
                        <c:v>23760</c:v>
                      </c:pt>
                      <c:pt idx="1">
                        <c:v>16320</c:v>
                      </c:pt>
                      <c:pt idx="2">
                        <c:v>15120</c:v>
                      </c:pt>
                      <c:pt idx="3">
                        <c:v>20760</c:v>
                      </c:pt>
                      <c:pt idx="4">
                        <c:v>-3000</c:v>
                      </c:pt>
                      <c:pt idx="5">
                        <c:v>-16.556291390728479</c:v>
                      </c:pt>
                    </c:numCache>
                  </c:numRef>
                </c:val>
                <c:extLst>
                  <c:ext xmlns:c16="http://schemas.microsoft.com/office/drawing/2014/chart" uri="{C3380CC4-5D6E-409C-BE32-E72D297353CC}">
                    <c16:uniqueId val="{00000007-BE7C-4308-8D9C-A5B900D18466}"/>
                  </c:ext>
                </c:extLst>
              </c15:ser>
            </c15:filteredBarSeries>
          </c:ext>
        </c:extLst>
      </c:barChart>
      <c:lineChart>
        <c:grouping val="standard"/>
        <c:varyColors val="0"/>
        <c:ser>
          <c:idx val="13"/>
          <c:order val="13"/>
          <c:tx>
            <c:strRef>
              <c:f>'[2022-2025 Registro consumo energia eléctrica v1.5.xlsx]Hoja1'!$A$23</c:f>
              <c:strCache>
                <c:ptCount val="1"/>
                <c:pt idx="0">
                  <c:v>PROMEDIO</c:v>
                </c:pt>
              </c:strCache>
            </c:strRef>
          </c:tx>
          <c:spPr>
            <a:ln>
              <a:solidFill>
                <a:srgbClr val="142F62"/>
              </a:solidFill>
            </a:ln>
          </c:spPr>
          <c:marker>
            <c:symbol val="none"/>
          </c:marker>
          <c:dLbls>
            <c:dLbl>
              <c:idx val="0"/>
              <c:layout>
                <c:manualLayout>
                  <c:x val="-4.7023143580158508E-2"/>
                  <c:y val="-2.85035629453681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E7C-4308-8D9C-A5B900D18466}"/>
                </c:ext>
              </c:extLst>
            </c:dLbl>
            <c:dLbl>
              <c:idx val="1"/>
              <c:layout>
                <c:manualLayout>
                  <c:x val="-4.3989392381438668E-2"/>
                  <c:y val="-2.53365003958829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E7C-4308-8D9C-A5B900D18466}"/>
                </c:ext>
              </c:extLst>
            </c:dLbl>
            <c:dLbl>
              <c:idx val="2"/>
              <c:layout>
                <c:manualLayout>
                  <c:x val="-4.7023143580158452E-2"/>
                  <c:y val="-2.85035629453681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E7C-4308-8D9C-A5B900D18466}"/>
                </c:ext>
              </c:extLst>
            </c:dLbl>
            <c:dLbl>
              <c:idx val="3"/>
              <c:layout>
                <c:manualLayout>
                  <c:x val="-7.584377996799751E-3"/>
                  <c:y val="-2.21694378463975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E7C-4308-8D9C-A5B900D18466}"/>
                </c:ext>
              </c:extLst>
            </c:dLbl>
            <c:dLbl>
              <c:idx val="4"/>
              <c:layout>
                <c:manualLayout>
                  <c:x val="-4.5506267980797389E-3"/>
                  <c:y val="-1.90023752969121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E7C-4308-8D9C-A5B900D18466}"/>
                </c:ext>
              </c:extLst>
            </c:dLbl>
            <c:spPr>
              <a:noFill/>
              <a:ln>
                <a:noFill/>
              </a:ln>
              <a:effectLst/>
            </c:spPr>
            <c:txPr>
              <a:bodyPr wrap="square" lIns="38100" tIns="19050" rIns="38100" bIns="19050" anchor="ctr">
                <a:spAutoFit/>
              </a:bodyPr>
              <a:lstStyle/>
              <a:p>
                <a:pPr>
                  <a:defRPr>
                    <a:solidFill>
                      <a:srgbClr val="767171"/>
                    </a:solidFill>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'[2022-2025 Registro consumo energia eléctrica v1.5.xlsx]Hoja1'!$B$9:$I$9</c:f>
              <c:strCache>
                <c:ptCount val="6"/>
                <c:pt idx="0">
                  <c:v>2022</c:v>
                </c:pt>
                <c:pt idx="1">
                  <c:v>2023</c:v>
                </c:pt>
                <c:pt idx="2">
                  <c:v>2024</c:v>
                </c:pt>
                <c:pt idx="3">
                  <c:v>2025</c:v>
                </c:pt>
                <c:pt idx="4">
                  <c:v>Variación Absoluta</c:v>
                </c:pt>
                <c:pt idx="5">
                  <c:v>Variación %</c:v>
                </c:pt>
              </c:strCache>
              <c:extLst/>
            </c:strRef>
          </c:cat>
          <c:val>
            <c:numRef>
              <c:f>'[2022-2025 Registro consumo energia eléctrica v1.5.xlsx]Hoja1'!$B$23:$I$23</c:f>
              <c:numCache>
                <c:formatCode>_(* #,##0.00_);_(* \(#,##0.00\);_(* "-"??_);_(@_)</c:formatCode>
                <c:ptCount val="6"/>
                <c:pt idx="0">
                  <c:v>24320</c:v>
                </c:pt>
                <c:pt idx="1">
                  <c:v>17390</c:v>
                </c:pt>
                <c:pt idx="2">
                  <c:v>17700</c:v>
                </c:pt>
                <c:pt idx="3">
                  <c:v>23840</c:v>
                </c:pt>
                <c:pt idx="4">
                  <c:v>-480</c:v>
                </c:pt>
                <c:pt idx="5">
                  <c:v>-2.5013027618551327</c:v>
                </c:pt>
              </c:numCache>
              <c:extLst/>
            </c:numRef>
          </c:val>
          <c:smooth val="0"/>
          <c:extLst>
            <c:ext xmlns:c16="http://schemas.microsoft.com/office/drawing/2014/chart" uri="{C3380CC4-5D6E-409C-BE32-E72D297353CC}">
              <c16:uniqueId val="{00000006-BE7C-4308-8D9C-A5B900D18466}"/>
            </c:ext>
          </c:extLst>
        </c:ser>
        <c:dLbls>
          <c:showLegendKey val="0"/>
          <c:showVal val="1"/>
          <c:showCatName val="0"/>
          <c:showSerName val="0"/>
          <c:showPercent val="0"/>
          <c:showBubbleSize val="0"/>
        </c:dLbls>
        <c:marker val="1"/>
        <c:smooth val="0"/>
        <c:axId val="513386224"/>
        <c:axId val="513386648"/>
        <c:extLst>
          <c:ext xmlns:c15="http://schemas.microsoft.com/office/drawing/2012/chart" uri="{02D57815-91ED-43cb-92C2-25804820EDAC}">
            <c15:filteredLineSeries>
              <c15:ser>
                <c:idx val="1"/>
                <c:order val="1"/>
                <c:tx>
                  <c:strRef>
                    <c:extLst>
                      <c:ext uri="{02D57815-91ED-43cb-92C2-25804820EDAC}">
                        <c15:formulaRef>
                          <c15:sqref>'[2022-2025 Registro consumo energia eléctrica v1.5.xlsx]Hoja1'!$A$11</c15:sqref>
                        </c15:formulaRef>
                      </c:ext>
                    </c:extLst>
                    <c:strCache>
                      <c:ptCount val="1"/>
                      <c:pt idx="0">
                        <c:v>Febrero</c:v>
                      </c:pt>
                    </c:strCache>
                  </c:strRef>
                </c:tx>
                <c:marker>
                  <c:symbol val="none"/>
                </c:marker>
                <c:dLbls>
                  <c:spPr>
                    <a:noFill/>
                    <a:ln>
                      <a:noFill/>
                    </a:ln>
                    <a:effectLst/>
                  </c:spPr>
                  <c:txPr>
                    <a:bodyPr wrap="square" lIns="38100" tIns="19050" rIns="38100" bIns="19050" anchor="ctr">
                      <a:spAutoFit/>
                    </a:bodyPr>
                    <a:lstStyle/>
                    <a:p>
                      <a:pPr>
                        <a:defRPr>
                          <a:solidFill>
                            <a:srgbClr val="002060"/>
                          </a:solidFill>
                        </a:defRPr>
                      </a:pPr>
                      <a:endParaRPr lang="es-DO"/>
                    </a:p>
                  </c:txPr>
                  <c:showLegendKey val="0"/>
                  <c:showVal val="1"/>
                  <c:showCatName val="0"/>
                  <c:showSerName val="0"/>
                  <c:showPercent val="0"/>
                  <c:showBubbleSize val="0"/>
                  <c:showLeaderLines val="0"/>
                  <c:extLst>
                    <c:ext uri="{CE6537A1-D6FC-4f65-9D91-7224C49458BB}">
                      <c15:showLeaderLines val="1"/>
                    </c:ext>
                  </c:extLst>
                </c:dLbls>
                <c:cat>
                  <c:strRef>
                    <c:extLst>
                      <c:ext uri="{02D57815-91ED-43cb-92C2-25804820EDAC}">
                        <c15:formulaRef>
                          <c15:sqref>'[2022-2025 Registro consumo energia eléctrica v1.5.xlsx]Hoja1'!$B$9:$I$9</c15:sqref>
                        </c15:formulaRef>
                      </c:ext>
                    </c:extLst>
                    <c:strCache>
                      <c:ptCount val="6"/>
                      <c:pt idx="0">
                        <c:v>2022</c:v>
                      </c:pt>
                      <c:pt idx="1">
                        <c:v>2023</c:v>
                      </c:pt>
                      <c:pt idx="2">
                        <c:v>2024</c:v>
                      </c:pt>
                      <c:pt idx="3">
                        <c:v>2025</c:v>
                      </c:pt>
                      <c:pt idx="4">
                        <c:v>Variación Absoluta</c:v>
                      </c:pt>
                      <c:pt idx="5">
                        <c:v>Variación %</c:v>
                      </c:pt>
                    </c:strCache>
                  </c:strRef>
                </c:cat>
                <c:val>
                  <c:numRef>
                    <c:extLst>
                      <c:ext uri="{02D57815-91ED-43cb-92C2-25804820EDAC}">
                        <c15:formulaRef>
                          <c15:sqref>'[2022-2025 Registro consumo energia eléctrica v1.5.xlsx]Hoja1'!$B$11:$I$11</c15:sqref>
                        </c15:formulaRef>
                      </c:ext>
                    </c:extLst>
                    <c:numCache>
                      <c:formatCode>#,##0</c:formatCode>
                      <c:ptCount val="6"/>
                      <c:pt idx="0">
                        <c:v>21720</c:v>
                      </c:pt>
                      <c:pt idx="1">
                        <c:v>15000</c:v>
                      </c:pt>
                      <c:pt idx="2">
                        <c:v>13080</c:v>
                      </c:pt>
                      <c:pt idx="3">
                        <c:v>20760</c:v>
                      </c:pt>
                      <c:pt idx="4">
                        <c:v>-5520</c:v>
                      </c:pt>
                      <c:pt idx="5">
                        <c:v>-29.677419354838708</c:v>
                      </c:pt>
                    </c:numCache>
                  </c:numRef>
                </c:val>
                <c:smooth val="0"/>
                <c:extLst>
                  <c:ext xmlns:c16="http://schemas.microsoft.com/office/drawing/2014/chart" uri="{C3380CC4-5D6E-409C-BE32-E72D297353CC}">
                    <c16:uniqueId val="{00000008-BE7C-4308-8D9C-A5B900D18466}"/>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'[2022-2025 Registro consumo energia eléctrica v1.5.xlsx]Hoja1'!$A$12</c15:sqref>
                        </c15:formulaRef>
                      </c:ext>
                    </c:extLst>
                    <c:strCache>
                      <c:ptCount val="1"/>
                      <c:pt idx="0">
                        <c:v>Marzo</c:v>
                      </c:pt>
                    </c:strCache>
                  </c:strRef>
                </c:tx>
                <c:marker>
                  <c:symbol val="none"/>
                </c:marker>
                <c:dLbls>
                  <c:spPr>
                    <a:noFill/>
                    <a:ln>
                      <a:noFill/>
                    </a:ln>
                    <a:effectLst/>
                  </c:sp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ext>
                  </c:extLst>
                </c:dLbls>
                <c:cat>
                  <c:strRef>
                    <c:extLst xmlns:c15="http://schemas.microsoft.com/office/drawing/2012/chart">
                      <c:ext xmlns:c15="http://schemas.microsoft.com/office/drawing/2012/chart" uri="{02D57815-91ED-43cb-92C2-25804820EDAC}">
                        <c15:formulaRef>
                          <c15:sqref>'[2022-2025 Registro consumo energia eléctrica v1.5.xlsx]Hoja1'!$B$9:$I$9</c15:sqref>
                        </c15:formulaRef>
                      </c:ext>
                    </c:extLst>
                    <c:strCache>
                      <c:ptCount val="6"/>
                      <c:pt idx="0">
                        <c:v>2022</c:v>
                      </c:pt>
                      <c:pt idx="1">
                        <c:v>2023</c:v>
                      </c:pt>
                      <c:pt idx="2">
                        <c:v>2024</c:v>
                      </c:pt>
                      <c:pt idx="3">
                        <c:v>2025</c:v>
                      </c:pt>
                      <c:pt idx="4">
                        <c:v>Variación Absoluta</c:v>
                      </c:pt>
                      <c:pt idx="5">
                        <c:v>Variación %</c:v>
                      </c:pt>
                    </c:strCache>
                  </c:strRef>
                </c:cat>
                <c:val>
                  <c:numRef>
                    <c:extLst xmlns:c15="http://schemas.microsoft.com/office/drawing/2012/chart">
                      <c:ext xmlns:c15="http://schemas.microsoft.com/office/drawing/2012/chart" uri="{02D57815-91ED-43cb-92C2-25804820EDAC}">
                        <c15:formulaRef>
                          <c15:sqref>'[2022-2025 Registro consumo energia eléctrica v1.5.xlsx]Hoja1'!$B$12:$I$12</c15:sqref>
                        </c15:formulaRef>
                      </c:ext>
                    </c:extLst>
                    <c:numCache>
                      <c:formatCode>#,##0</c:formatCode>
                      <c:ptCount val="6"/>
                      <c:pt idx="0">
                        <c:v>23040</c:v>
                      </c:pt>
                      <c:pt idx="1">
                        <c:v>18360</c:v>
                      </c:pt>
                      <c:pt idx="2">
                        <c:v>13560</c:v>
                      </c:pt>
                      <c:pt idx="3">
                        <c:v>22920</c:v>
                      </c:pt>
                      <c:pt idx="4">
                        <c:v>-8400</c:v>
                      </c:pt>
                      <c:pt idx="5">
                        <c:v>-38.251366120218577</c:v>
                      </c:pt>
                    </c:numCache>
                  </c:numRef>
                </c:val>
                <c:smooth val="0"/>
                <c:extLst xmlns:c15="http://schemas.microsoft.com/office/drawing/2012/chart">
                  <c:ext xmlns:c16="http://schemas.microsoft.com/office/drawing/2014/chart" uri="{C3380CC4-5D6E-409C-BE32-E72D297353CC}">
                    <c16:uniqueId val="{00000009-BE7C-4308-8D9C-A5B900D18466}"/>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'[2022-2025 Registro consumo energia eléctrica v1.5.xlsx]Hoja1'!$A$13</c15:sqref>
                        </c15:formulaRef>
                      </c:ext>
                    </c:extLst>
                    <c:strCache>
                      <c:ptCount val="1"/>
                      <c:pt idx="0">
                        <c:v>Abril</c:v>
                      </c:pt>
                    </c:strCache>
                  </c:strRef>
                </c:tx>
                <c:marker>
                  <c:symbol val="none"/>
                </c:marker>
                <c:dLbls>
                  <c:spPr>
                    <a:noFill/>
                    <a:ln>
                      <a:noFill/>
                    </a:ln>
                    <a:effectLst/>
                  </c:sp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ext>
                  </c:extLst>
                </c:dLbls>
                <c:cat>
                  <c:strRef>
                    <c:extLst xmlns:c15="http://schemas.microsoft.com/office/drawing/2012/chart">
                      <c:ext xmlns:c15="http://schemas.microsoft.com/office/drawing/2012/chart" uri="{02D57815-91ED-43cb-92C2-25804820EDAC}">
                        <c15:formulaRef>
                          <c15:sqref>'[2022-2025 Registro consumo energia eléctrica v1.5.xlsx]Hoja1'!$B$9:$I$9</c15:sqref>
                        </c15:formulaRef>
                      </c:ext>
                    </c:extLst>
                    <c:strCache>
                      <c:ptCount val="6"/>
                      <c:pt idx="0">
                        <c:v>2022</c:v>
                      </c:pt>
                      <c:pt idx="1">
                        <c:v>2023</c:v>
                      </c:pt>
                      <c:pt idx="2">
                        <c:v>2024</c:v>
                      </c:pt>
                      <c:pt idx="3">
                        <c:v>2025</c:v>
                      </c:pt>
                      <c:pt idx="4">
                        <c:v>Variación Absoluta</c:v>
                      </c:pt>
                      <c:pt idx="5">
                        <c:v>Variación %</c:v>
                      </c:pt>
                    </c:strCache>
                  </c:strRef>
                </c:cat>
                <c:val>
                  <c:numRef>
                    <c:extLst xmlns:c15="http://schemas.microsoft.com/office/drawing/2012/chart">
                      <c:ext xmlns:c15="http://schemas.microsoft.com/office/drawing/2012/chart" uri="{02D57815-91ED-43cb-92C2-25804820EDAC}">
                        <c15:formulaRef>
                          <c15:sqref>'[2022-2025 Registro consumo energia eléctrica v1.5.xlsx]Hoja1'!$B$13:$I$13</c15:sqref>
                        </c15:formulaRef>
                      </c:ext>
                    </c:extLst>
                    <c:numCache>
                      <c:formatCode>#,##0</c:formatCode>
                      <c:ptCount val="6"/>
                      <c:pt idx="0">
                        <c:v>22680</c:v>
                      </c:pt>
                      <c:pt idx="1">
                        <c:v>19080</c:v>
                      </c:pt>
                      <c:pt idx="2">
                        <c:v>14040</c:v>
                      </c:pt>
                      <c:pt idx="3">
                        <c:v>22800</c:v>
                      </c:pt>
                      <c:pt idx="4">
                        <c:v>-960</c:v>
                      </c:pt>
                      <c:pt idx="5">
                        <c:v>-6.4</c:v>
                      </c:pt>
                    </c:numCache>
                  </c:numRef>
                </c:val>
                <c:smooth val="0"/>
                <c:extLst xmlns:c15="http://schemas.microsoft.com/office/drawing/2012/chart">
                  <c:ext xmlns:c16="http://schemas.microsoft.com/office/drawing/2014/chart" uri="{C3380CC4-5D6E-409C-BE32-E72D297353CC}">
                    <c16:uniqueId val="{0000000A-BE7C-4308-8D9C-A5B900D18466}"/>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'[2022-2025 Registro consumo energia eléctrica v1.5.xlsx]Hoja1'!$A$14</c15:sqref>
                        </c15:formulaRef>
                      </c:ext>
                    </c:extLst>
                    <c:strCache>
                      <c:ptCount val="1"/>
                      <c:pt idx="0">
                        <c:v>Mayo</c:v>
                      </c:pt>
                    </c:strCache>
                  </c:strRef>
                </c:tx>
                <c:marker>
                  <c:symbol val="none"/>
                </c:marker>
                <c:dLbls>
                  <c:spPr>
                    <a:noFill/>
                    <a:ln>
                      <a:noFill/>
                    </a:ln>
                    <a:effectLst/>
                  </c:sp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ext>
                  </c:extLst>
                </c:dLbls>
                <c:cat>
                  <c:strRef>
                    <c:extLst xmlns:c15="http://schemas.microsoft.com/office/drawing/2012/chart">
                      <c:ext xmlns:c15="http://schemas.microsoft.com/office/drawing/2012/chart" uri="{02D57815-91ED-43cb-92C2-25804820EDAC}">
                        <c15:formulaRef>
                          <c15:sqref>'[2022-2025 Registro consumo energia eléctrica v1.5.xlsx]Hoja1'!$B$9:$I$9</c15:sqref>
                        </c15:formulaRef>
                      </c:ext>
                    </c:extLst>
                    <c:strCache>
                      <c:ptCount val="6"/>
                      <c:pt idx="0">
                        <c:v>2022</c:v>
                      </c:pt>
                      <c:pt idx="1">
                        <c:v>2023</c:v>
                      </c:pt>
                      <c:pt idx="2">
                        <c:v>2024</c:v>
                      </c:pt>
                      <c:pt idx="3">
                        <c:v>2025</c:v>
                      </c:pt>
                      <c:pt idx="4">
                        <c:v>Variación Absoluta</c:v>
                      </c:pt>
                      <c:pt idx="5">
                        <c:v>Variación %</c:v>
                      </c:pt>
                    </c:strCache>
                  </c:strRef>
                </c:cat>
                <c:val>
                  <c:numRef>
                    <c:extLst xmlns:c15="http://schemas.microsoft.com/office/drawing/2012/chart">
                      <c:ext xmlns:c15="http://schemas.microsoft.com/office/drawing/2012/chart" uri="{02D57815-91ED-43cb-92C2-25804820EDAC}">
                        <c15:formulaRef>
                          <c15:sqref>'[2022-2025 Registro consumo energia eléctrica v1.5.xlsx]Hoja1'!$B$14:$I$14</c15:sqref>
                        </c15:formulaRef>
                      </c:ext>
                    </c:extLst>
                    <c:numCache>
                      <c:formatCode>#,##0</c:formatCode>
                      <c:ptCount val="6"/>
                      <c:pt idx="0">
                        <c:v>24360</c:v>
                      </c:pt>
                      <c:pt idx="1">
                        <c:v>19560</c:v>
                      </c:pt>
                      <c:pt idx="2">
                        <c:v>14160</c:v>
                      </c:pt>
                      <c:pt idx="3">
                        <c:v>22080</c:v>
                      </c:pt>
                      <c:pt idx="4">
                        <c:v>-840</c:v>
                      </c:pt>
                      <c:pt idx="5">
                        <c:v>-5.6000000000000005</c:v>
                      </c:pt>
                    </c:numCache>
                  </c:numRef>
                </c:val>
                <c:smooth val="0"/>
                <c:extLst xmlns:c15="http://schemas.microsoft.com/office/drawing/2012/chart">
                  <c:ext xmlns:c16="http://schemas.microsoft.com/office/drawing/2014/chart" uri="{C3380CC4-5D6E-409C-BE32-E72D297353CC}">
                    <c16:uniqueId val="{0000000B-BE7C-4308-8D9C-A5B900D18466}"/>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'[2022-2025 Registro consumo energia eléctrica v1.5.xlsx]Hoja1'!$A$15</c15:sqref>
                        </c15:formulaRef>
                      </c:ext>
                    </c:extLst>
                    <c:strCache>
                      <c:ptCount val="1"/>
                      <c:pt idx="0">
                        <c:v>Junio</c:v>
                      </c:pt>
                    </c:strCache>
                  </c:strRef>
                </c:tx>
                <c:marker>
                  <c:symbol val="none"/>
                </c:marker>
                <c:dLbls>
                  <c:spPr>
                    <a:noFill/>
                    <a:ln>
                      <a:noFill/>
                    </a:ln>
                    <a:effectLst/>
                  </c:sp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ext>
                  </c:extLst>
                </c:dLbls>
                <c:cat>
                  <c:strRef>
                    <c:extLst xmlns:c15="http://schemas.microsoft.com/office/drawing/2012/chart">
                      <c:ext xmlns:c15="http://schemas.microsoft.com/office/drawing/2012/chart" uri="{02D57815-91ED-43cb-92C2-25804820EDAC}">
                        <c15:formulaRef>
                          <c15:sqref>'[2022-2025 Registro consumo energia eléctrica v1.5.xlsx]Hoja1'!$B$9:$I$9</c15:sqref>
                        </c15:formulaRef>
                      </c:ext>
                    </c:extLst>
                    <c:strCache>
                      <c:ptCount val="6"/>
                      <c:pt idx="0">
                        <c:v>2022</c:v>
                      </c:pt>
                      <c:pt idx="1">
                        <c:v>2023</c:v>
                      </c:pt>
                      <c:pt idx="2">
                        <c:v>2024</c:v>
                      </c:pt>
                      <c:pt idx="3">
                        <c:v>2025</c:v>
                      </c:pt>
                      <c:pt idx="4">
                        <c:v>Variación Absoluta</c:v>
                      </c:pt>
                      <c:pt idx="5">
                        <c:v>Variación %</c:v>
                      </c:pt>
                    </c:strCache>
                  </c:strRef>
                </c:cat>
                <c:val>
                  <c:numRef>
                    <c:extLst xmlns:c15="http://schemas.microsoft.com/office/drawing/2012/chart">
                      <c:ext xmlns:c15="http://schemas.microsoft.com/office/drawing/2012/chart" uri="{02D57815-91ED-43cb-92C2-25804820EDAC}">
                        <c15:formulaRef>
                          <c15:sqref>'[2022-2025 Registro consumo energia eléctrica v1.5.xlsx]Hoja1'!$B$15:$I$15</c15:sqref>
                        </c15:formulaRef>
                      </c:ext>
                    </c:extLst>
                    <c:numCache>
                      <c:formatCode>#,##0</c:formatCode>
                      <c:ptCount val="6"/>
                      <c:pt idx="0">
                        <c:v>29880</c:v>
                      </c:pt>
                      <c:pt idx="1">
                        <c:v>18960</c:v>
                      </c:pt>
                      <c:pt idx="2">
                        <c:v>14160</c:v>
                      </c:pt>
                      <c:pt idx="3">
                        <c:v>24120</c:v>
                      </c:pt>
                      <c:pt idx="4">
                        <c:v>-3840</c:v>
                      </c:pt>
                      <c:pt idx="5">
                        <c:v>-21.333333333333336</c:v>
                      </c:pt>
                    </c:numCache>
                  </c:numRef>
                </c:val>
                <c:smooth val="0"/>
                <c:extLst xmlns:c15="http://schemas.microsoft.com/office/drawing/2012/chart">
                  <c:ext xmlns:c16="http://schemas.microsoft.com/office/drawing/2014/chart" uri="{C3380CC4-5D6E-409C-BE32-E72D297353CC}">
                    <c16:uniqueId val="{0000000C-BE7C-4308-8D9C-A5B900D18466}"/>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'[2022-2025 Registro consumo energia eléctrica v1.5.xlsx]Hoja1'!$A$16</c15:sqref>
                        </c15:formulaRef>
                      </c:ext>
                    </c:extLst>
                    <c:strCache>
                      <c:ptCount val="1"/>
                      <c:pt idx="0">
                        <c:v>Julio</c:v>
                      </c:pt>
                    </c:strCache>
                  </c:strRef>
                </c:tx>
                <c:marker>
                  <c:symbol val="none"/>
                </c:marker>
                <c:dLbls>
                  <c:spPr>
                    <a:noFill/>
                    <a:ln>
                      <a:noFill/>
                    </a:ln>
                    <a:effectLst/>
                  </c:sp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ext>
                  </c:extLst>
                </c:dLbls>
                <c:cat>
                  <c:strRef>
                    <c:extLst xmlns:c15="http://schemas.microsoft.com/office/drawing/2012/chart">
                      <c:ext xmlns:c15="http://schemas.microsoft.com/office/drawing/2012/chart" uri="{02D57815-91ED-43cb-92C2-25804820EDAC}">
                        <c15:formulaRef>
                          <c15:sqref>'[2022-2025 Registro consumo energia eléctrica v1.5.xlsx]Hoja1'!$B$9:$I$9</c15:sqref>
                        </c15:formulaRef>
                      </c:ext>
                    </c:extLst>
                    <c:strCache>
                      <c:ptCount val="6"/>
                      <c:pt idx="0">
                        <c:v>2022</c:v>
                      </c:pt>
                      <c:pt idx="1">
                        <c:v>2023</c:v>
                      </c:pt>
                      <c:pt idx="2">
                        <c:v>2024</c:v>
                      </c:pt>
                      <c:pt idx="3">
                        <c:v>2025</c:v>
                      </c:pt>
                      <c:pt idx="4">
                        <c:v>Variación Absoluta</c:v>
                      </c:pt>
                      <c:pt idx="5">
                        <c:v>Variación %</c:v>
                      </c:pt>
                    </c:strCache>
                  </c:strRef>
                </c:cat>
                <c:val>
                  <c:numRef>
                    <c:extLst xmlns:c15="http://schemas.microsoft.com/office/drawing/2012/chart">
                      <c:ext xmlns:c15="http://schemas.microsoft.com/office/drawing/2012/chart" uri="{02D57815-91ED-43cb-92C2-25804820EDAC}">
                        <c15:formulaRef>
                          <c15:sqref>'[2022-2025 Registro consumo energia eléctrica v1.5.xlsx]Hoja1'!$B$16:$I$16</c15:sqref>
                        </c15:formulaRef>
                      </c:ext>
                    </c:extLst>
                    <c:numCache>
                      <c:formatCode>#,##0</c:formatCode>
                      <c:ptCount val="6"/>
                      <c:pt idx="0">
                        <c:v>27360</c:v>
                      </c:pt>
                      <c:pt idx="1">
                        <c:v>18240</c:v>
                      </c:pt>
                      <c:pt idx="2">
                        <c:v>16560</c:v>
                      </c:pt>
                      <c:pt idx="3">
                        <c:v>25920</c:v>
                      </c:pt>
                      <c:pt idx="4">
                        <c:v>-4080</c:v>
                      </c:pt>
                      <c:pt idx="5">
                        <c:v>-19.767441860465116</c:v>
                      </c:pt>
                    </c:numCache>
                  </c:numRef>
                </c:val>
                <c:smooth val="0"/>
                <c:extLst xmlns:c15="http://schemas.microsoft.com/office/drawing/2012/chart">
                  <c:ext xmlns:c16="http://schemas.microsoft.com/office/drawing/2014/chart" uri="{C3380CC4-5D6E-409C-BE32-E72D297353CC}">
                    <c16:uniqueId val="{0000000D-BE7C-4308-8D9C-A5B900D18466}"/>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'[2022-2025 Registro consumo energia eléctrica v1.5.xlsx]Hoja1'!$A$17</c15:sqref>
                        </c15:formulaRef>
                      </c:ext>
                    </c:extLst>
                    <c:strCache>
                      <c:ptCount val="1"/>
                      <c:pt idx="0">
                        <c:v>Agosto</c:v>
                      </c:pt>
                    </c:strCache>
                  </c:strRef>
                </c:tx>
                <c:marker>
                  <c:symbol val="none"/>
                </c:marker>
                <c:dLbls>
                  <c:spPr>
                    <a:noFill/>
                    <a:ln>
                      <a:noFill/>
                    </a:ln>
                    <a:effectLst/>
                  </c:sp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ext>
                  </c:extLst>
                </c:dLbls>
                <c:cat>
                  <c:strRef>
                    <c:extLst xmlns:c15="http://schemas.microsoft.com/office/drawing/2012/chart">
                      <c:ext xmlns:c15="http://schemas.microsoft.com/office/drawing/2012/chart" uri="{02D57815-91ED-43cb-92C2-25804820EDAC}">
                        <c15:formulaRef>
                          <c15:sqref>'[2022-2025 Registro consumo energia eléctrica v1.5.xlsx]Hoja1'!$B$9:$I$9</c15:sqref>
                        </c15:formulaRef>
                      </c:ext>
                    </c:extLst>
                    <c:strCache>
                      <c:ptCount val="6"/>
                      <c:pt idx="0">
                        <c:v>2022</c:v>
                      </c:pt>
                      <c:pt idx="1">
                        <c:v>2023</c:v>
                      </c:pt>
                      <c:pt idx="2">
                        <c:v>2024</c:v>
                      </c:pt>
                      <c:pt idx="3">
                        <c:v>2025</c:v>
                      </c:pt>
                      <c:pt idx="4">
                        <c:v>Variación Absoluta</c:v>
                      </c:pt>
                      <c:pt idx="5">
                        <c:v>Variación %</c:v>
                      </c:pt>
                    </c:strCache>
                  </c:strRef>
                </c:cat>
                <c:val>
                  <c:numRef>
                    <c:extLst xmlns:c15="http://schemas.microsoft.com/office/drawing/2012/chart">
                      <c:ext xmlns:c15="http://schemas.microsoft.com/office/drawing/2012/chart" uri="{02D57815-91ED-43cb-92C2-25804820EDAC}">
                        <c15:formulaRef>
                          <c15:sqref>'[2022-2025 Registro consumo energia eléctrica v1.5.xlsx]Hoja1'!$B$17:$I$17</c15:sqref>
                        </c15:formulaRef>
                      </c:ext>
                    </c:extLst>
                    <c:numCache>
                      <c:formatCode>#,##0</c:formatCode>
                      <c:ptCount val="6"/>
                      <c:pt idx="0">
                        <c:v>27000</c:v>
                      </c:pt>
                      <c:pt idx="1">
                        <c:v>16800</c:v>
                      </c:pt>
                      <c:pt idx="2">
                        <c:v>18000</c:v>
                      </c:pt>
                      <c:pt idx="3">
                        <c:v>26760</c:v>
                      </c:pt>
                      <c:pt idx="4">
                        <c:v>-2280</c:v>
                      </c:pt>
                      <c:pt idx="5">
                        <c:v>-11.242603550295858</c:v>
                      </c:pt>
                    </c:numCache>
                  </c:numRef>
                </c:val>
                <c:smooth val="0"/>
                <c:extLst xmlns:c15="http://schemas.microsoft.com/office/drawing/2012/chart">
                  <c:ext xmlns:c16="http://schemas.microsoft.com/office/drawing/2014/chart" uri="{C3380CC4-5D6E-409C-BE32-E72D297353CC}">
                    <c16:uniqueId val="{0000000E-BE7C-4308-8D9C-A5B900D18466}"/>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'[2022-2025 Registro consumo energia eléctrica v1.5.xlsx]Hoja1'!$A$18</c15:sqref>
                        </c15:formulaRef>
                      </c:ext>
                    </c:extLst>
                    <c:strCache>
                      <c:ptCount val="1"/>
                      <c:pt idx="0">
                        <c:v>Septiembre</c:v>
                      </c:pt>
                    </c:strCache>
                  </c:strRef>
                </c:tx>
                <c:marker>
                  <c:symbol val="none"/>
                </c:marker>
                <c:dLbls>
                  <c:spPr>
                    <a:noFill/>
                    <a:ln>
                      <a:noFill/>
                    </a:ln>
                    <a:effectLst/>
                  </c:sp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ext>
                  </c:extLst>
                </c:dLbls>
                <c:cat>
                  <c:strRef>
                    <c:extLst xmlns:c15="http://schemas.microsoft.com/office/drawing/2012/chart">
                      <c:ext xmlns:c15="http://schemas.microsoft.com/office/drawing/2012/chart" uri="{02D57815-91ED-43cb-92C2-25804820EDAC}">
                        <c15:formulaRef>
                          <c15:sqref>'[2022-2025 Registro consumo energia eléctrica v1.5.xlsx]Hoja1'!$B$9:$I$9</c15:sqref>
                        </c15:formulaRef>
                      </c:ext>
                    </c:extLst>
                    <c:strCache>
                      <c:ptCount val="6"/>
                      <c:pt idx="0">
                        <c:v>2022</c:v>
                      </c:pt>
                      <c:pt idx="1">
                        <c:v>2023</c:v>
                      </c:pt>
                      <c:pt idx="2">
                        <c:v>2024</c:v>
                      </c:pt>
                      <c:pt idx="3">
                        <c:v>2025</c:v>
                      </c:pt>
                      <c:pt idx="4">
                        <c:v>Variación Absoluta</c:v>
                      </c:pt>
                      <c:pt idx="5">
                        <c:v>Variación %</c:v>
                      </c:pt>
                    </c:strCache>
                  </c:strRef>
                </c:cat>
                <c:val>
                  <c:numRef>
                    <c:extLst xmlns:c15="http://schemas.microsoft.com/office/drawing/2012/chart">
                      <c:ext xmlns:c15="http://schemas.microsoft.com/office/drawing/2012/chart" uri="{02D57815-91ED-43cb-92C2-25804820EDAC}">
                        <c15:formulaRef>
                          <c15:sqref>'[2022-2025 Registro consumo energia eléctrica v1.5.xlsx]Hoja1'!$B$18:$I$18</c15:sqref>
                        </c15:formulaRef>
                      </c:ext>
                    </c:extLst>
                    <c:numCache>
                      <c:formatCode>#,##0</c:formatCode>
                      <c:ptCount val="6"/>
                      <c:pt idx="0">
                        <c:v>26520</c:v>
                      </c:pt>
                      <c:pt idx="1">
                        <c:v>15600</c:v>
                      </c:pt>
                      <c:pt idx="2">
                        <c:v>20160</c:v>
                      </c:pt>
                      <c:pt idx="3">
                        <c:v>28440</c:v>
                      </c:pt>
                      <c:pt idx="4">
                        <c:v>960</c:v>
                      </c:pt>
                      <c:pt idx="5">
                        <c:v>5</c:v>
                      </c:pt>
                    </c:numCache>
                  </c:numRef>
                </c:val>
                <c:smooth val="0"/>
                <c:extLst xmlns:c15="http://schemas.microsoft.com/office/drawing/2012/chart">
                  <c:ext xmlns:c16="http://schemas.microsoft.com/office/drawing/2014/chart" uri="{C3380CC4-5D6E-409C-BE32-E72D297353CC}">
                    <c16:uniqueId val="{0000000F-BE7C-4308-8D9C-A5B900D18466}"/>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'[2022-2025 Registro consumo energia eléctrica v1.5.xlsx]Hoja1'!$A$19</c15:sqref>
                        </c15:formulaRef>
                      </c:ext>
                    </c:extLst>
                    <c:strCache>
                      <c:ptCount val="1"/>
                      <c:pt idx="0">
                        <c:v>Octubre</c:v>
                      </c:pt>
                    </c:strCache>
                  </c:strRef>
                </c:tx>
                <c:marker>
                  <c:symbol val="none"/>
                </c:marker>
                <c:dLbls>
                  <c:spPr>
                    <a:noFill/>
                    <a:ln>
                      <a:noFill/>
                    </a:ln>
                    <a:effectLst/>
                  </c:sp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ext>
                  </c:extLst>
                </c:dLbls>
                <c:cat>
                  <c:strRef>
                    <c:extLst xmlns:c15="http://schemas.microsoft.com/office/drawing/2012/chart">
                      <c:ext xmlns:c15="http://schemas.microsoft.com/office/drawing/2012/chart" uri="{02D57815-91ED-43cb-92C2-25804820EDAC}">
                        <c15:formulaRef>
                          <c15:sqref>'[2022-2025 Registro consumo energia eléctrica v1.5.xlsx]Hoja1'!$B$9:$I$9</c15:sqref>
                        </c15:formulaRef>
                      </c:ext>
                    </c:extLst>
                    <c:strCache>
                      <c:ptCount val="6"/>
                      <c:pt idx="0">
                        <c:v>2022</c:v>
                      </c:pt>
                      <c:pt idx="1">
                        <c:v>2023</c:v>
                      </c:pt>
                      <c:pt idx="2">
                        <c:v>2024</c:v>
                      </c:pt>
                      <c:pt idx="3">
                        <c:v>2025</c:v>
                      </c:pt>
                      <c:pt idx="4">
                        <c:v>Variación Absoluta</c:v>
                      </c:pt>
                      <c:pt idx="5">
                        <c:v>Variación %</c:v>
                      </c:pt>
                    </c:strCache>
                  </c:strRef>
                </c:cat>
                <c:val>
                  <c:numRef>
                    <c:extLst xmlns:c15="http://schemas.microsoft.com/office/drawing/2012/chart">
                      <c:ext xmlns:c15="http://schemas.microsoft.com/office/drawing/2012/chart" uri="{02D57815-91ED-43cb-92C2-25804820EDAC}">
                        <c15:formulaRef>
                          <c15:sqref>'[2022-2025 Registro consumo energia eléctrica v1.5.xlsx]Hoja1'!$B$19:$I$19</c15:sqref>
                        </c15:formulaRef>
                      </c:ext>
                    </c:extLst>
                    <c:numCache>
                      <c:formatCode>#,##0</c:formatCode>
                      <c:ptCount val="6"/>
                      <c:pt idx="0">
                        <c:v>26160</c:v>
                      </c:pt>
                      <c:pt idx="1">
                        <c:v>17640</c:v>
                      </c:pt>
                      <c:pt idx="2">
                        <c:v>23880</c:v>
                      </c:pt>
                      <c:pt idx="3">
                        <c:v>25680</c:v>
                      </c:pt>
                      <c:pt idx="4">
                        <c:v>2040</c:v>
                      </c:pt>
                      <c:pt idx="5">
                        <c:v>9.3406593406593412</c:v>
                      </c:pt>
                    </c:numCache>
                  </c:numRef>
                </c:val>
                <c:smooth val="0"/>
                <c:extLst xmlns:c15="http://schemas.microsoft.com/office/drawing/2012/chart">
                  <c:ext xmlns:c16="http://schemas.microsoft.com/office/drawing/2014/chart" uri="{C3380CC4-5D6E-409C-BE32-E72D297353CC}">
                    <c16:uniqueId val="{00000010-BE7C-4308-8D9C-A5B900D18466}"/>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'[2022-2025 Registro consumo energia eléctrica v1.5.xlsx]Hoja1'!$A$20</c15:sqref>
                        </c15:formulaRef>
                      </c:ext>
                    </c:extLst>
                    <c:strCache>
                      <c:ptCount val="1"/>
                      <c:pt idx="0">
                        <c:v>Noviembre</c:v>
                      </c:pt>
                    </c:strCache>
                  </c:strRef>
                </c:tx>
                <c:marker>
                  <c:symbol val="none"/>
                </c:marker>
                <c:dLbls>
                  <c:spPr>
                    <a:noFill/>
                    <a:ln>
                      <a:noFill/>
                    </a:ln>
                    <a:effectLst/>
                  </c:sp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ext>
                  </c:extLst>
                </c:dLbls>
                <c:cat>
                  <c:strRef>
                    <c:extLst xmlns:c15="http://schemas.microsoft.com/office/drawing/2012/chart">
                      <c:ext xmlns:c15="http://schemas.microsoft.com/office/drawing/2012/chart" uri="{02D57815-91ED-43cb-92C2-25804820EDAC}">
                        <c15:formulaRef>
                          <c15:sqref>'[2022-2025 Registro consumo energia eléctrica v1.5.xlsx]Hoja1'!$B$9:$I$9</c15:sqref>
                        </c15:formulaRef>
                      </c:ext>
                    </c:extLst>
                    <c:strCache>
                      <c:ptCount val="6"/>
                      <c:pt idx="0">
                        <c:v>2022</c:v>
                      </c:pt>
                      <c:pt idx="1">
                        <c:v>2023</c:v>
                      </c:pt>
                      <c:pt idx="2">
                        <c:v>2024</c:v>
                      </c:pt>
                      <c:pt idx="3">
                        <c:v>2025</c:v>
                      </c:pt>
                      <c:pt idx="4">
                        <c:v>Variación Absoluta</c:v>
                      </c:pt>
                      <c:pt idx="5">
                        <c:v>Variación %</c:v>
                      </c:pt>
                    </c:strCache>
                  </c:strRef>
                </c:cat>
                <c:val>
                  <c:numRef>
                    <c:extLst xmlns:c15="http://schemas.microsoft.com/office/drawing/2012/chart">
                      <c:ext xmlns:c15="http://schemas.microsoft.com/office/drawing/2012/chart" uri="{02D57815-91ED-43cb-92C2-25804820EDAC}">
                        <c15:formulaRef>
                          <c15:sqref>'[2022-2025 Registro consumo energia eléctrica v1.5.xlsx]Hoja1'!$B$20:$I$20</c15:sqref>
                        </c15:formulaRef>
                      </c:ext>
                    </c:extLst>
                    <c:numCache>
                      <c:formatCode>#,##0</c:formatCode>
                      <c:ptCount val="6"/>
                      <c:pt idx="0">
                        <c:v>22800</c:v>
                      </c:pt>
                      <c:pt idx="1">
                        <c:v>18000</c:v>
                      </c:pt>
                      <c:pt idx="2">
                        <c:v>24360</c:v>
                      </c:pt>
                      <c:pt idx="3">
                        <c:v>22920</c:v>
                      </c:pt>
                      <c:pt idx="4">
                        <c:v>2160</c:v>
                      </c:pt>
                      <c:pt idx="5">
                        <c:v>9.7297297297297298</c:v>
                      </c:pt>
                    </c:numCache>
                  </c:numRef>
                </c:val>
                <c:smooth val="0"/>
                <c:extLst xmlns:c15="http://schemas.microsoft.com/office/drawing/2012/chart">
                  <c:ext xmlns:c16="http://schemas.microsoft.com/office/drawing/2014/chart" uri="{C3380CC4-5D6E-409C-BE32-E72D297353CC}">
                    <c16:uniqueId val="{00000011-BE7C-4308-8D9C-A5B900D18466}"/>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'[2022-2025 Registro consumo energia eléctrica v1.5.xlsx]Hoja1'!$A$21</c15:sqref>
                        </c15:formulaRef>
                      </c:ext>
                    </c:extLst>
                    <c:strCache>
                      <c:ptCount val="1"/>
                      <c:pt idx="0">
                        <c:v>Diciembre</c:v>
                      </c:pt>
                    </c:strCache>
                  </c:strRef>
                </c:tx>
                <c:marker>
                  <c:symbol val="none"/>
                </c:marker>
                <c:dLbls>
                  <c:spPr>
                    <a:noFill/>
                    <a:ln>
                      <a:noFill/>
                    </a:ln>
                    <a:effectLst/>
                  </c:sp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ext>
                  </c:extLst>
                </c:dLbls>
                <c:cat>
                  <c:strRef>
                    <c:extLst xmlns:c15="http://schemas.microsoft.com/office/drawing/2012/chart">
                      <c:ext xmlns:c15="http://schemas.microsoft.com/office/drawing/2012/chart" uri="{02D57815-91ED-43cb-92C2-25804820EDAC}">
                        <c15:formulaRef>
                          <c15:sqref>'[2022-2025 Registro consumo energia eléctrica v1.5.xlsx]Hoja1'!$B$9:$I$9</c15:sqref>
                        </c15:formulaRef>
                      </c:ext>
                    </c:extLst>
                    <c:strCache>
                      <c:ptCount val="6"/>
                      <c:pt idx="0">
                        <c:v>2022</c:v>
                      </c:pt>
                      <c:pt idx="1">
                        <c:v>2023</c:v>
                      </c:pt>
                      <c:pt idx="2">
                        <c:v>2024</c:v>
                      </c:pt>
                      <c:pt idx="3">
                        <c:v>2025</c:v>
                      </c:pt>
                      <c:pt idx="4">
                        <c:v>Variación Absoluta</c:v>
                      </c:pt>
                      <c:pt idx="5">
                        <c:v>Variación %</c:v>
                      </c:pt>
                    </c:strCache>
                  </c:strRef>
                </c:cat>
                <c:val>
                  <c:numRef>
                    <c:extLst xmlns:c15="http://schemas.microsoft.com/office/drawing/2012/chart">
                      <c:ext xmlns:c15="http://schemas.microsoft.com/office/drawing/2012/chart" uri="{02D57815-91ED-43cb-92C2-25804820EDAC}">
                        <c15:formulaRef>
                          <c15:sqref>'[2022-2025 Registro consumo energia eléctrica v1.5.xlsx]Hoja1'!$B$21:$I$21</c15:sqref>
                        </c15:formulaRef>
                      </c:ext>
                    </c:extLst>
                    <c:numCache>
                      <c:formatCode>#,##0</c:formatCode>
                      <c:ptCount val="6"/>
                      <c:pt idx="0">
                        <c:v>16560</c:v>
                      </c:pt>
                      <c:pt idx="1">
                        <c:v>15120</c:v>
                      </c:pt>
                      <c:pt idx="2">
                        <c:v>25320</c:v>
                      </c:pt>
                      <c:pt idx="3">
                        <c:v>22920</c:v>
                      </c:pt>
                      <c:pt idx="4">
                        <c:v>5880</c:v>
                      </c:pt>
                      <c:pt idx="5">
                        <c:v>30.246913580246915</c:v>
                      </c:pt>
                    </c:numCache>
                  </c:numRef>
                </c:val>
                <c:smooth val="0"/>
                <c:extLst xmlns:c15="http://schemas.microsoft.com/office/drawing/2012/chart">
                  <c:ext xmlns:c16="http://schemas.microsoft.com/office/drawing/2014/chart" uri="{C3380CC4-5D6E-409C-BE32-E72D297353CC}">
                    <c16:uniqueId val="{00000012-BE7C-4308-8D9C-A5B900D18466}"/>
                  </c:ext>
                </c:extLst>
              </c15:ser>
            </c15:filteredLineSeries>
          </c:ext>
        </c:extLst>
      </c:lineChart>
      <c:catAx>
        <c:axId val="513386224"/>
        <c:scaling>
          <c:orientation val="minMax"/>
        </c:scaling>
        <c:delete val="0"/>
        <c:axPos val="b"/>
        <c:numFmt formatCode="General" sourceLinked="0"/>
        <c:majorTickMark val="none"/>
        <c:minorTickMark val="none"/>
        <c:tickLblPos val="low"/>
        <c:txPr>
          <a:bodyPr rot="-5400000" vert="horz"/>
          <a:lstStyle/>
          <a:p>
            <a:pPr>
              <a:defRPr>
                <a:solidFill>
                  <a:srgbClr val="767171"/>
                </a:solidFill>
              </a:defRPr>
            </a:pPr>
            <a:endParaRPr lang="es-DO"/>
          </a:p>
        </c:txPr>
        <c:crossAx val="513386648"/>
        <c:crosses val="autoZero"/>
        <c:auto val="1"/>
        <c:lblAlgn val="ctr"/>
        <c:lblOffset val="100"/>
        <c:noMultiLvlLbl val="0"/>
      </c:catAx>
      <c:valAx>
        <c:axId val="513386648"/>
        <c:scaling>
          <c:orientation val="minMax"/>
        </c:scaling>
        <c:delete val="1"/>
        <c:axPos val="l"/>
        <c:numFmt formatCode="_(* #,##0.00_);_(* \(#,##0.00\);_(* &quot;-&quot;??_);_(@_)" sourceLinked="1"/>
        <c:majorTickMark val="out"/>
        <c:minorTickMark val="none"/>
        <c:tickLblPos val="nextTo"/>
        <c:crossAx val="513386224"/>
        <c:crosses val="autoZero"/>
        <c:crossBetween val="between"/>
      </c:valAx>
    </c:plotArea>
    <c:legend>
      <c:legendPos val="t"/>
      <c:layout>
        <c:manualLayout>
          <c:xMode val="edge"/>
          <c:yMode val="edge"/>
          <c:x val="0.33043904710113725"/>
          <c:y val="0.91606137118845876"/>
          <c:w val="0.24207507148724156"/>
          <c:h val="5.3726597714478089E-2"/>
        </c:manualLayout>
      </c:layout>
      <c:overlay val="0"/>
      <c:txPr>
        <a:bodyPr/>
        <a:lstStyle/>
        <a:p>
          <a:pPr>
            <a:defRPr>
              <a:solidFill>
                <a:srgbClr val="767171"/>
              </a:solidFill>
            </a:defRPr>
          </a:pPr>
          <a:endParaRPr lang="es-DO"/>
        </a:p>
      </c:txPr>
    </c:legend>
    <c:plotVisOnly val="1"/>
    <c:dispBlanksAs val="gap"/>
    <c:showDLblsOverMax val="0"/>
  </c:chart>
  <c:spPr>
    <a:noFill/>
    <a:ln>
      <a:noFill/>
    </a:ln>
  </c:spPr>
  <c:txPr>
    <a:bodyPr/>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es-DO"/>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sz="900">
                <a:solidFill>
                  <a:srgbClr val="767171"/>
                </a:solidFill>
                <a:latin typeface="Times New Roman" panose="02020603050405020304" pitchFamily="18" charset="0"/>
                <a:cs typeface="Times New Roman" panose="02020603050405020304" pitchFamily="18" charset="0"/>
              </a:rPr>
              <a:t>Mercadito Agrícola y Artesanal </a:t>
            </a:r>
          </a:p>
          <a:p>
            <a:pPr marL="0" marR="0" lvl="0" indent="0" algn="ctr" defTabSz="914400" rtl="0" eaLnBrk="1" fontAlgn="auto" latinLnBrk="0" hangingPunct="1">
              <a:lnSpc>
                <a:spcPct val="100000"/>
              </a:lnSpc>
              <a:spcBef>
                <a:spcPts val="0"/>
              </a:spcBef>
              <a:spcAft>
                <a:spcPts val="0"/>
              </a:spcAft>
              <a:buClrTx/>
              <a:buSzTx/>
              <a:buFontTx/>
              <a:buNone/>
              <a:tabLst/>
              <a:defRPr sz="900">
                <a:solidFill>
                  <a:sysClr val="windowText" lastClr="000000"/>
                </a:solidFill>
                <a:latin typeface="Times New Roman" panose="02020603050405020304" pitchFamily="18" charset="0"/>
                <a:cs typeface="Times New Roman" panose="02020603050405020304" pitchFamily="18" charset="0"/>
              </a:defRPr>
            </a:pPr>
            <a:r>
              <a:rPr lang="es-DO" sz="900">
                <a:solidFill>
                  <a:srgbClr val="767171"/>
                </a:solidFill>
                <a:latin typeface="Times New Roman" panose="02020603050405020304" pitchFamily="18" charset="0"/>
                <a:cs typeface="Times New Roman" panose="02020603050405020304" pitchFamily="18" charset="0"/>
              </a:rPr>
              <a:t>Relación de Ventas en RD$</a:t>
            </a:r>
          </a:p>
        </c:rich>
      </c:tx>
      <c:layout>
        <c:manualLayout>
          <c:xMode val="edge"/>
          <c:yMode val="edge"/>
          <c:x val="0.34982351982577903"/>
          <c:y val="6.1230169774561645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2.9554992284721627E-2"/>
          <c:y val="0.19294591596023136"/>
          <c:w val="0.95936188560850777"/>
          <c:h val="0.60299379538688402"/>
        </c:manualLayout>
      </c:layout>
      <c:barChart>
        <c:barDir val="col"/>
        <c:grouping val="clustered"/>
        <c:varyColors val="0"/>
        <c:ser>
          <c:idx val="0"/>
          <c:order val="0"/>
          <c:tx>
            <c:strRef>
              <c:f>'[2022-2025 Relación de Ventas Mercadito.xlsx]Año 2022-2025'!$B$20</c:f>
              <c:strCache>
                <c:ptCount val="1"/>
                <c:pt idx="0">
                  <c:v> Supérate </c:v>
                </c:pt>
              </c:strCache>
            </c:strRef>
          </c:tx>
          <c:spPr>
            <a:solidFill>
              <a:srgbClr val="00ADDD"/>
            </a:solidFill>
            <a:ln>
              <a:noFill/>
            </a:ln>
            <a:effectLst>
              <a:outerShdw blurRad="40000" dist="23000" dir="5400000" rotWithShape="0">
                <a:srgbClr val="000000">
                  <a:alpha val="35000"/>
                </a:srgbClr>
              </a:outerShdw>
            </a:effectLst>
          </c:spPr>
          <c:invertIfNegative val="0"/>
          <c:dLbls>
            <c:dLbl>
              <c:idx val="1"/>
              <c:layout>
                <c:manualLayout>
                  <c:x val="-5.0235924178339421E-2"/>
                  <c:y val="0.3197238962448129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C4-43E0-85A0-D8844D5D9CD0}"/>
                </c:ext>
              </c:extLst>
            </c:dLbl>
            <c:spPr>
              <a:noFill/>
              <a:ln>
                <a:noFill/>
              </a:ln>
              <a:effectLst/>
            </c:spPr>
            <c:txPr>
              <a:bodyPr rot="-5400000" spcFirstLastPara="1" vertOverflow="overflow" horzOverflow="overflow"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noFill/>
                    </a:ln>
                    <a:effectLst/>
                  </c:spPr>
                </c15:leaderLines>
              </c:ext>
            </c:extLst>
          </c:dLbls>
          <c:cat>
            <c:strRef>
              <c:f>'[2022-2025 Relación de Ventas Mercadito.xlsx]Año 2022-2025'!$C$19:$K$19</c:f>
              <c:strCache>
                <c:ptCount val="2"/>
                <c:pt idx="0">
                  <c:v>Año 2025</c:v>
                </c:pt>
                <c:pt idx="1">
                  <c:v> Total RD$ </c:v>
                </c:pt>
              </c:strCache>
              <c:extLst/>
            </c:strRef>
          </c:cat>
          <c:val>
            <c:numRef>
              <c:f>'[2022-2025 Relación de Ventas Mercadito.xlsx]Año 2022-2025'!$C$20:$K$20</c:f>
              <c:numCache>
                <c:formatCode>#,##0.00_);\(#,##0.00\)</c:formatCode>
                <c:ptCount val="2"/>
                <c:pt idx="0" formatCode="#,##0_);\(#,##0\)">
                  <c:v>310423.45999999996</c:v>
                </c:pt>
                <c:pt idx="1">
                  <c:v>1679555.12</c:v>
                </c:pt>
              </c:numCache>
              <c:extLst/>
            </c:numRef>
          </c:val>
          <c:extLst>
            <c:ext xmlns:c16="http://schemas.microsoft.com/office/drawing/2014/chart" uri="{C3380CC4-5D6E-409C-BE32-E72D297353CC}">
              <c16:uniqueId val="{00000001-75C4-43E0-85A0-D8844D5D9CD0}"/>
            </c:ext>
          </c:extLst>
        </c:ser>
        <c:ser>
          <c:idx val="1"/>
          <c:order val="1"/>
          <c:tx>
            <c:strRef>
              <c:f>'[2022-2025 Relación de Ventas Mercadito.xlsx]Año 2022-2025'!$B$21</c:f>
              <c:strCache>
                <c:ptCount val="1"/>
                <c:pt idx="0">
                  <c:v> Productores FAO </c:v>
                </c:pt>
              </c:strCache>
            </c:strRef>
          </c:tx>
          <c:spPr>
            <a:solidFill>
              <a:srgbClr val="73D3DD"/>
            </a:solidFill>
            <a:ln>
              <a:noFill/>
            </a:ln>
            <a:effectLst>
              <a:outerShdw blurRad="40000" dist="23000" dir="5400000" rotWithShape="0">
                <a:srgbClr val="000000">
                  <a:alpha val="35000"/>
                </a:srgbClr>
              </a:outerShdw>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'[2022-2025 Relación de Ventas Mercadito.xlsx]Año 2022-2025'!$C$19:$K$19</c:f>
              <c:strCache>
                <c:ptCount val="2"/>
                <c:pt idx="0">
                  <c:v>Año 2025</c:v>
                </c:pt>
                <c:pt idx="1">
                  <c:v> Total RD$ </c:v>
                </c:pt>
              </c:strCache>
              <c:extLst/>
            </c:strRef>
          </c:cat>
          <c:val>
            <c:numRef>
              <c:f>'[2022-2025 Relación de Ventas Mercadito.xlsx]Año 2022-2025'!$C$21:$K$21</c:f>
              <c:numCache>
                <c:formatCode>#,##0_);\(#,##0\)</c:formatCode>
                <c:ptCount val="2"/>
                <c:pt idx="0">
                  <c:v>69700</c:v>
                </c:pt>
                <c:pt idx="1">
                  <c:v>87750.040000000008</c:v>
                </c:pt>
              </c:numCache>
              <c:extLst/>
            </c:numRef>
          </c:val>
          <c:extLst>
            <c:ext xmlns:c16="http://schemas.microsoft.com/office/drawing/2014/chart" uri="{C3380CC4-5D6E-409C-BE32-E72D297353CC}">
              <c16:uniqueId val="{00000002-75C4-43E0-85A0-D8844D5D9CD0}"/>
            </c:ext>
          </c:extLst>
        </c:ser>
        <c:ser>
          <c:idx val="2"/>
          <c:order val="2"/>
          <c:tx>
            <c:strRef>
              <c:f>'[2022-2025 Relación de Ventas Mercadito.xlsx]Año 2022-2025'!$B$22</c:f>
              <c:strCache>
                <c:ptCount val="1"/>
                <c:pt idx="0">
                  <c:v> Productores PMA </c:v>
                </c:pt>
              </c:strCache>
            </c:strRef>
          </c:tx>
          <c:spPr>
            <a:solidFill>
              <a:srgbClr val="436EBE"/>
            </a:solidFill>
            <a:ln>
              <a:noFill/>
            </a:ln>
            <a:effectLst>
              <a:outerShdw blurRad="40000" dist="23000" dir="5400000" rotWithShape="0">
                <a:srgbClr val="000000">
                  <a:alpha val="35000"/>
                </a:srgbClr>
              </a:outerShdw>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75C4-43E0-85A0-D8844D5D9CD0}"/>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'[2022-2025 Relación de Ventas Mercadito.xlsx]Año 2022-2025'!$C$19:$K$19</c:f>
              <c:strCache>
                <c:ptCount val="2"/>
                <c:pt idx="0">
                  <c:v>Año 2025</c:v>
                </c:pt>
                <c:pt idx="1">
                  <c:v> Total RD$ </c:v>
                </c:pt>
              </c:strCache>
              <c:extLst/>
            </c:strRef>
          </c:cat>
          <c:val>
            <c:numRef>
              <c:f>'[2022-2025 Relación de Ventas Mercadito.xlsx]Año 2022-2025'!$C$22:$K$22</c:f>
              <c:numCache>
                <c:formatCode>#,##0_);\(#,##0\)</c:formatCode>
                <c:ptCount val="2"/>
                <c:pt idx="0">
                  <c:v>0</c:v>
                </c:pt>
                <c:pt idx="1">
                  <c:v>6245</c:v>
                </c:pt>
              </c:numCache>
              <c:extLst/>
            </c:numRef>
          </c:val>
          <c:extLst>
            <c:ext xmlns:c16="http://schemas.microsoft.com/office/drawing/2014/chart" uri="{C3380CC4-5D6E-409C-BE32-E72D297353CC}">
              <c16:uniqueId val="{00000004-75C4-43E0-85A0-D8844D5D9CD0}"/>
            </c:ext>
          </c:extLst>
        </c:ser>
        <c:ser>
          <c:idx val="3"/>
          <c:order val="3"/>
          <c:tx>
            <c:strRef>
              <c:f>'[2022-2025 Relación de Ventas Mercadito.xlsx]Año 2022-2025'!$B$23</c:f>
              <c:strCache>
                <c:ptCount val="1"/>
                <c:pt idx="0">
                  <c:v> Artesanos PNUD </c:v>
                </c:pt>
              </c:strCache>
            </c:strRef>
          </c:tx>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5-75C4-43E0-85A0-D8844D5D9CD0}"/>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'[2022-2025 Relación de Ventas Mercadito.xlsx]Año 2022-2025'!$C$19:$K$19</c:f>
              <c:strCache>
                <c:ptCount val="2"/>
                <c:pt idx="0">
                  <c:v>Año 2025</c:v>
                </c:pt>
                <c:pt idx="1">
                  <c:v> Total RD$ </c:v>
                </c:pt>
              </c:strCache>
              <c:extLst/>
            </c:strRef>
          </c:cat>
          <c:val>
            <c:numRef>
              <c:f>'[2022-2025 Relación de Ventas Mercadito.xlsx]Año 2022-2025'!$C$23:$K$23</c:f>
              <c:numCache>
                <c:formatCode>#,##0_);\(#,##0\)</c:formatCode>
                <c:ptCount val="2"/>
                <c:pt idx="0">
                  <c:v>0</c:v>
                </c:pt>
                <c:pt idx="1">
                  <c:v>1065</c:v>
                </c:pt>
              </c:numCache>
              <c:extLst/>
            </c:numRef>
          </c:val>
          <c:extLst>
            <c:ext xmlns:c16="http://schemas.microsoft.com/office/drawing/2014/chart" uri="{C3380CC4-5D6E-409C-BE32-E72D297353CC}">
              <c16:uniqueId val="{00000006-75C4-43E0-85A0-D8844D5D9CD0}"/>
            </c:ext>
          </c:extLst>
        </c:ser>
        <c:ser>
          <c:idx val="4"/>
          <c:order val="4"/>
          <c:tx>
            <c:strRef>
              <c:f>'[2022-2025 Relación de Ventas Mercadito.xlsx]Año 2022-2025'!$B$24</c:f>
              <c:strCache>
                <c:ptCount val="1"/>
                <c:pt idx="0">
                  <c:v> Cooperativa de Monte Plata </c:v>
                </c:pt>
              </c:strCache>
            </c:strRef>
          </c:tx>
          <c:spPr>
            <a:solidFill>
              <a:srgbClr val="7D8589"/>
            </a:solidFill>
            <a:ln>
              <a:noFill/>
            </a:ln>
            <a:effectLst>
              <a:outerShdw blurRad="40000" dist="23000" dir="5400000" rotWithShape="0">
                <a:srgbClr val="000000">
                  <a:alpha val="35000"/>
                </a:srgbClr>
              </a:outerShdw>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7-75C4-43E0-85A0-D8844D5D9CD0}"/>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'[2022-2025 Relación de Ventas Mercadito.xlsx]Año 2022-2025'!$C$19:$K$19</c:f>
              <c:strCache>
                <c:ptCount val="2"/>
                <c:pt idx="0">
                  <c:v>Año 2025</c:v>
                </c:pt>
                <c:pt idx="1">
                  <c:v> Total RD$ </c:v>
                </c:pt>
              </c:strCache>
              <c:extLst/>
            </c:strRef>
          </c:cat>
          <c:val>
            <c:numRef>
              <c:f>'[2022-2025 Relación de Ventas Mercadito.xlsx]Año 2022-2025'!$C$24:$K$24</c:f>
              <c:numCache>
                <c:formatCode>#,##0_);\(#,##0\)</c:formatCode>
                <c:ptCount val="2"/>
                <c:pt idx="0">
                  <c:v>0</c:v>
                </c:pt>
                <c:pt idx="1">
                  <c:v>198635</c:v>
                </c:pt>
              </c:numCache>
              <c:extLst/>
            </c:numRef>
          </c:val>
          <c:extLst xmlns:c15="http://schemas.microsoft.com/office/drawing/2012/chart">
            <c:ext xmlns:c16="http://schemas.microsoft.com/office/drawing/2014/chart" uri="{C3380CC4-5D6E-409C-BE32-E72D297353CC}">
              <c16:uniqueId val="{00000008-75C4-43E0-85A0-D8844D5D9CD0}"/>
            </c:ext>
          </c:extLst>
        </c:ser>
        <c:ser>
          <c:idx val="5"/>
          <c:order val="5"/>
          <c:tx>
            <c:strRef>
              <c:f>'[2022-2025 Relación de Ventas Mercadito.xlsx]Año 2022-2025'!$B$25</c:f>
              <c:strCache>
                <c:ptCount val="1"/>
                <c:pt idx="0">
                  <c:v> Mipymes y Emprendedores </c:v>
                </c:pt>
              </c:strCache>
            </c:strRef>
          </c:tx>
          <c:spPr>
            <a:solidFill>
              <a:srgbClr val="FFDE59"/>
            </a:solidFill>
            <a:ln>
              <a:noFill/>
            </a:ln>
            <a:effectLst>
              <a:outerShdw blurRad="40000" dist="23000" dir="5400000" rotWithShape="0">
                <a:srgbClr val="000000">
                  <a:alpha val="35000"/>
                </a:srgbClr>
              </a:outerShdw>
            </a:effectLst>
          </c:spPr>
          <c:invertIfNegative val="0"/>
          <c:dPt>
            <c:idx val="1"/>
            <c:invertIfNegative val="0"/>
            <c:bubble3D val="0"/>
            <c:extLst>
              <c:ext xmlns:c16="http://schemas.microsoft.com/office/drawing/2014/chart" uri="{C3380CC4-5D6E-409C-BE32-E72D297353CC}">
                <c16:uniqueId val="{00000009-75C4-43E0-85A0-D8844D5D9CD0}"/>
              </c:ext>
            </c:extLst>
          </c:dPt>
          <c:dLbls>
            <c:dLbl>
              <c:idx val="0"/>
              <c:layout>
                <c:manualLayout>
                  <c:x val="2.3518344308560246E-3"/>
                  <c:y val="2.82581122890364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5C4-43E0-85A0-D8844D5D9CD0}"/>
                </c:ext>
              </c:extLst>
            </c:dLbl>
            <c:numFmt formatCode="&quot;$&quot;#,##0.00" sourceLinked="0"/>
            <c:spPr>
              <a:noFill/>
              <a:ln>
                <a:noFill/>
              </a:ln>
              <a:effectLst/>
            </c:spPr>
            <c:txPr>
              <a:bodyPr rot="-5400000" spcFirstLastPara="1" vertOverflow="ellipsis" wrap="square" lIns="38100" tIns="19050" rIns="38100" bIns="19050" anchor="ctr" anchorCtr="0">
                <a:spAutoFit/>
              </a:bodyPr>
              <a:lstStyle/>
              <a:p>
                <a:pPr algn="ctr">
                  <a:defRPr lang="en-US" sz="9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'[2022-2025 Relación de Ventas Mercadito.xlsx]Año 2022-2025'!$C$19:$K$19</c:f>
              <c:strCache>
                <c:ptCount val="2"/>
                <c:pt idx="0">
                  <c:v>Año 2025</c:v>
                </c:pt>
                <c:pt idx="1">
                  <c:v> Total RD$ </c:v>
                </c:pt>
              </c:strCache>
              <c:extLst/>
            </c:strRef>
          </c:cat>
          <c:val>
            <c:numRef>
              <c:f>'[2022-2025 Relación de Ventas Mercadito.xlsx]Año 2022-2025'!$C$25:$K$25</c:f>
              <c:numCache>
                <c:formatCode>#,##0_);\(#,##0\)</c:formatCode>
                <c:ptCount val="2"/>
                <c:pt idx="0">
                  <c:v>89128</c:v>
                </c:pt>
                <c:pt idx="1">
                  <c:v>542773</c:v>
                </c:pt>
              </c:numCache>
              <c:extLst/>
            </c:numRef>
          </c:val>
          <c:extLst>
            <c:ext xmlns:c16="http://schemas.microsoft.com/office/drawing/2014/chart" uri="{C3380CC4-5D6E-409C-BE32-E72D297353CC}">
              <c16:uniqueId val="{0000000B-75C4-43E0-85A0-D8844D5D9CD0}"/>
            </c:ext>
          </c:extLst>
        </c:ser>
        <c:ser>
          <c:idx val="6"/>
          <c:order val="6"/>
          <c:tx>
            <c:strRef>
              <c:f>'[2022-2025 Relación de Ventas Mercadito.xlsx]Año 2022-2025'!$B$26</c:f>
              <c:strCache>
                <c:ptCount val="1"/>
                <c:pt idx="0">
                  <c:v> ASFL/Compras Inclusivas </c:v>
                </c:pt>
              </c:strCache>
            </c:strRef>
          </c:tx>
          <c:spPr>
            <a:solidFill>
              <a:srgbClr val="E0E6ED"/>
            </a:solidFill>
            <a:ln>
              <a:noFill/>
            </a:ln>
            <a:effectLst>
              <a:outerShdw blurRad="40000" dist="23000" dir="5400000" rotWithShape="0">
                <a:srgbClr val="000000">
                  <a:alpha val="35000"/>
                </a:srgbClr>
              </a:outerShdw>
            </a:effectLst>
          </c:spPr>
          <c:invertIfNegative val="0"/>
          <c:dLbls>
            <c:dLbl>
              <c:idx val="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C-75C4-43E0-85A0-D8844D5D9CD0}"/>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'[2022-2025 Relación de Ventas Mercadito.xlsx]Año 2022-2025'!$C$19:$K$19</c:f>
              <c:strCache>
                <c:ptCount val="2"/>
                <c:pt idx="0">
                  <c:v>Año 2025</c:v>
                </c:pt>
                <c:pt idx="1">
                  <c:v> Total RD$ </c:v>
                </c:pt>
              </c:strCache>
              <c:extLst/>
            </c:strRef>
          </c:cat>
          <c:val>
            <c:numRef>
              <c:f>'[2022-2025 Relación de Ventas Mercadito.xlsx]Año 2022-2025'!$C$26:$K$26</c:f>
              <c:numCache>
                <c:formatCode>#,##0_);\(#,##0\)</c:formatCode>
                <c:ptCount val="2"/>
                <c:pt idx="0">
                  <c:v>5700</c:v>
                </c:pt>
                <c:pt idx="1">
                  <c:v>33250</c:v>
                </c:pt>
              </c:numCache>
              <c:extLst/>
            </c:numRef>
          </c:val>
          <c:extLst>
            <c:ext xmlns:c16="http://schemas.microsoft.com/office/drawing/2014/chart" uri="{C3380CC4-5D6E-409C-BE32-E72D297353CC}">
              <c16:uniqueId val="{0000000D-75C4-43E0-85A0-D8844D5D9CD0}"/>
            </c:ext>
          </c:extLst>
        </c:ser>
        <c:dLbls>
          <c:showLegendKey val="0"/>
          <c:showVal val="0"/>
          <c:showCatName val="0"/>
          <c:showSerName val="0"/>
          <c:showPercent val="0"/>
          <c:showBubbleSize val="0"/>
        </c:dLbls>
        <c:gapWidth val="150"/>
        <c:axId val="1006544616"/>
        <c:axId val="1006545272"/>
      </c:barChart>
      <c:lineChart>
        <c:grouping val="standard"/>
        <c:varyColors val="0"/>
        <c:ser>
          <c:idx val="7"/>
          <c:order val="7"/>
          <c:tx>
            <c:strRef>
              <c:f>'[2022-2025 Relación de Ventas Mercadito.xlsx]Año 2022-2025'!$B$27</c:f>
              <c:strCache>
                <c:ptCount val="1"/>
                <c:pt idx="0">
                  <c:v> Total 2022-2024 </c:v>
                </c:pt>
              </c:strCache>
            </c:strRef>
          </c:tx>
          <c:spPr>
            <a:ln w="12700" cap="rnd">
              <a:solidFill>
                <a:srgbClr val="EE2A24"/>
              </a:solidFill>
              <a:round/>
            </a:ln>
            <a:effectLst>
              <a:outerShdw blurRad="40000" dist="23000" dir="5400000" rotWithShape="0">
                <a:srgbClr val="000000">
                  <a:alpha val="35000"/>
                </a:srgbClr>
              </a:outerShdw>
            </a:effectLst>
          </c:spPr>
          <c:marker>
            <c:symbol val="none"/>
          </c:marker>
          <c:dLbls>
            <c:dLbl>
              <c:idx val="0"/>
              <c:layout>
                <c:manualLayout>
                  <c:x val="-5.8795860771401691E-2"/>
                  <c:y val="-5.58659217877095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5C4-43E0-85A0-D8844D5D9CD0}"/>
                </c:ext>
              </c:extLst>
            </c:dLbl>
            <c:dLbl>
              <c:idx val="1"/>
              <c:layout>
                <c:manualLayout>
                  <c:x val="-1.8814675446848627E-2"/>
                  <c:y val="-4.65549348230916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5C4-43E0-85A0-D8844D5D9CD0}"/>
                </c:ext>
              </c:extLst>
            </c:dLbl>
            <c:spPr>
              <a:noFill/>
              <a:ln>
                <a:noFill/>
              </a:ln>
              <a:effectLst/>
            </c:spPr>
            <c:txPr>
              <a:bodyPr rot="0" spcFirstLastPara="1" vertOverflow="ellipsis" vert="horz" wrap="square" lIns="38100" tIns="19050" rIns="38100" bIns="19050" anchor="t" anchorCtr="0">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'[2022-2025 Relación de Ventas Mercadito.xlsx]Año 2022-2025'!$C$19:$K$19</c:f>
              <c:strCache>
                <c:ptCount val="2"/>
                <c:pt idx="0">
                  <c:v>Año 2025</c:v>
                </c:pt>
                <c:pt idx="1">
                  <c:v> Total RD$ </c:v>
                </c:pt>
              </c:strCache>
              <c:extLst/>
            </c:strRef>
          </c:cat>
          <c:val>
            <c:numRef>
              <c:f>'[2022-2025 Relación de Ventas Mercadito.xlsx]Año 2022-2025'!$C$27:$K$27</c:f>
              <c:numCache>
                <c:formatCode>"$"#,##0.00</c:formatCode>
                <c:ptCount val="2"/>
                <c:pt idx="0" formatCode="#,##0_);\(#,##0\)">
                  <c:v>474951.45999999996</c:v>
                </c:pt>
                <c:pt idx="1">
                  <c:v>2549273.16</c:v>
                </c:pt>
              </c:numCache>
              <c:extLst/>
            </c:numRef>
          </c:val>
          <c:smooth val="0"/>
          <c:extLst>
            <c:ext xmlns:c16="http://schemas.microsoft.com/office/drawing/2014/chart" uri="{C3380CC4-5D6E-409C-BE32-E72D297353CC}">
              <c16:uniqueId val="{00000010-75C4-43E0-85A0-D8844D5D9CD0}"/>
            </c:ext>
          </c:extLst>
        </c:ser>
        <c:dLbls>
          <c:showLegendKey val="0"/>
          <c:showVal val="1"/>
          <c:showCatName val="0"/>
          <c:showSerName val="0"/>
          <c:showPercent val="0"/>
          <c:showBubbleSize val="0"/>
        </c:dLbls>
        <c:marker val="1"/>
        <c:smooth val="0"/>
        <c:axId val="1006544616"/>
        <c:axId val="1006545272"/>
      </c:lineChart>
      <c:catAx>
        <c:axId val="1006544616"/>
        <c:scaling>
          <c:orientation val="minMax"/>
        </c:scaling>
        <c:delete val="0"/>
        <c:axPos val="b"/>
        <c:numFmt formatCode="General" sourceLinked="1"/>
        <c:majorTickMark val="none"/>
        <c:minorTickMark val="none"/>
        <c:tickLblPos val="low"/>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006545272"/>
        <c:crosses val="autoZero"/>
        <c:auto val="1"/>
        <c:lblAlgn val="ctr"/>
        <c:lblOffset val="100"/>
        <c:noMultiLvlLbl val="0"/>
      </c:catAx>
      <c:valAx>
        <c:axId val="1006545272"/>
        <c:scaling>
          <c:orientation val="minMax"/>
        </c:scaling>
        <c:delete val="1"/>
        <c:axPos val="l"/>
        <c:numFmt formatCode="#,##0_);\(#,##0\)" sourceLinked="1"/>
        <c:majorTickMark val="out"/>
        <c:minorTickMark val="none"/>
        <c:tickLblPos val="nextTo"/>
        <c:crossAx val="1006544616"/>
        <c:crosses val="autoZero"/>
        <c:crossBetween val="between"/>
      </c:valAx>
      <c:spPr>
        <a:noFill/>
        <a:ln w="25400">
          <a:noFill/>
        </a:ln>
        <a:effectLst/>
      </c:spPr>
    </c:plotArea>
    <c:legend>
      <c:legendPos val="t"/>
      <c:layout>
        <c:manualLayout>
          <c:xMode val="edge"/>
          <c:yMode val="edge"/>
          <c:x val="3.4196231476677657E-3"/>
          <c:y val="0.85501701213705239"/>
          <c:w val="0.99131356668686932"/>
          <c:h val="0.12791139237740567"/>
        </c:manualLayout>
      </c:layout>
      <c:overlay val="0"/>
      <c:spPr>
        <a:noFill/>
        <a:ln>
          <a:noFill/>
        </a:ln>
        <a:effectLst/>
      </c:spPr>
      <c:txPr>
        <a:bodyPr rot="0" spcFirstLastPara="1" vertOverflow="ellipsis" vert="horz" wrap="square" anchor="ctr" anchorCtr="1"/>
        <a:lstStyle/>
        <a:p>
          <a:pPr rtl="0">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noFill/>
    <a:ln w="9525" cap="flat" cmpd="sng" algn="ctr">
      <a:noFill/>
      <a:round/>
    </a:ln>
    <a:effectLst/>
  </c:spPr>
  <c:txPr>
    <a:bodyPr/>
    <a:lstStyle/>
    <a:p>
      <a:pPr>
        <a:defRPr/>
      </a:pPr>
      <a:endParaRPr lang="es-DO"/>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[Lista de Colaboradores Capacitados en Accesibilidad y Discapacidad - VERSION FINAL.xlsx]% de Capacitación!Dinámica_AccesibilidadP</c:name>
    <c:fmtId val="-1"/>
  </c:pivotSource>
  <c:chart>
    <c:title>
      <c:tx>
        <c:rich>
          <a:bodyPr rot="0" spcFirstLastPara="1" vertOverflow="ellipsis" vert="horz" wrap="square" anchor="ctr" anchorCtr="1"/>
          <a:lstStyle/>
          <a:p>
            <a:pPr>
              <a:defRPr sz="9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900" b="1"/>
              <a:t>Capacitación: Accesibilidad Universal  (por Área)</a:t>
            </a: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 de Capacitación'!$H$1:$H$2</c:f>
              <c:strCache>
                <c:ptCount val="1"/>
                <c:pt idx="0">
                  <c:v>Capacitado</c:v>
                </c:pt>
              </c:strCache>
            </c:strRef>
          </c:tx>
          <c:spPr>
            <a:solidFill>
              <a:srgbClr val="00ADDD"/>
            </a:solidFill>
            <a:ln>
              <a:solidFill>
                <a:srgbClr val="00ADDD"/>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 de Capacitación'!$G$3:$G$6</c:f>
              <c:strCache>
                <c:ptCount val="3"/>
                <c:pt idx="0">
                  <c:v>Departamento Administrativo y Financiero</c:v>
                </c:pt>
                <c:pt idx="1">
                  <c:v>Departamento de Planificación y Desarrollo</c:v>
                </c:pt>
                <c:pt idx="2">
                  <c:v>Departamento de Recursos Humanos</c:v>
                </c:pt>
              </c:strCache>
            </c:strRef>
          </c:cat>
          <c:val>
            <c:numRef>
              <c:f>'% de Capacitación'!$H$3:$H$6</c:f>
              <c:numCache>
                <c:formatCode>0.00%</c:formatCode>
                <c:ptCount val="3"/>
                <c:pt idx="0">
                  <c:v>0.51851851851851849</c:v>
                </c:pt>
                <c:pt idx="1">
                  <c:v>0.6</c:v>
                </c:pt>
                <c:pt idx="2">
                  <c:v>0.9</c:v>
                </c:pt>
              </c:numCache>
            </c:numRef>
          </c:val>
          <c:extLst>
            <c:ext xmlns:c16="http://schemas.microsoft.com/office/drawing/2014/chart" uri="{C3380CC4-5D6E-409C-BE32-E72D297353CC}">
              <c16:uniqueId val="{00000000-85A1-42B2-B8FD-50BF2B191190}"/>
            </c:ext>
          </c:extLst>
        </c:ser>
        <c:ser>
          <c:idx val="1"/>
          <c:order val="1"/>
          <c:tx>
            <c:strRef>
              <c:f>'% de Capacitación'!$I$1:$I$2</c:f>
              <c:strCache>
                <c:ptCount val="1"/>
                <c:pt idx="0">
                  <c:v>No Capacitado</c:v>
                </c:pt>
              </c:strCache>
            </c:strRef>
          </c:tx>
          <c:spPr>
            <a:solidFill>
              <a:srgbClr val="73D3D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 de Capacitación'!$G$3:$G$6</c:f>
              <c:strCache>
                <c:ptCount val="3"/>
                <c:pt idx="0">
                  <c:v>Departamento Administrativo y Financiero</c:v>
                </c:pt>
                <c:pt idx="1">
                  <c:v>Departamento de Planificación y Desarrollo</c:v>
                </c:pt>
                <c:pt idx="2">
                  <c:v>Departamento de Recursos Humanos</c:v>
                </c:pt>
              </c:strCache>
            </c:strRef>
          </c:cat>
          <c:val>
            <c:numRef>
              <c:f>'% de Capacitación'!$I$3:$I$6</c:f>
              <c:numCache>
                <c:formatCode>0.00%</c:formatCode>
                <c:ptCount val="3"/>
                <c:pt idx="0">
                  <c:v>0.48148148148148145</c:v>
                </c:pt>
                <c:pt idx="1">
                  <c:v>0.4</c:v>
                </c:pt>
                <c:pt idx="2">
                  <c:v>0.1</c:v>
                </c:pt>
              </c:numCache>
            </c:numRef>
          </c:val>
          <c:extLst>
            <c:ext xmlns:c16="http://schemas.microsoft.com/office/drawing/2014/chart" uri="{C3380CC4-5D6E-409C-BE32-E72D297353CC}">
              <c16:uniqueId val="{00000001-85A1-42B2-B8FD-50BF2B191190}"/>
            </c:ext>
          </c:extLst>
        </c:ser>
        <c:dLbls>
          <c:dLblPos val="ctr"/>
          <c:showLegendKey val="0"/>
          <c:showVal val="1"/>
          <c:showCatName val="0"/>
          <c:showSerName val="0"/>
          <c:showPercent val="0"/>
          <c:showBubbleSize val="0"/>
        </c:dLbls>
        <c:gapWidth val="150"/>
        <c:overlap val="100"/>
        <c:axId val="720253184"/>
        <c:axId val="720253544"/>
      </c:barChart>
      <c:catAx>
        <c:axId val="720253184"/>
        <c:scaling>
          <c:orientation val="minMax"/>
        </c:scaling>
        <c:delete val="0"/>
        <c:axPos val="l"/>
        <c:numFmt formatCode="General" sourceLinked="1"/>
        <c:majorTickMark val="none"/>
        <c:minorTickMark val="none"/>
        <c:tickLblPos val="nextTo"/>
        <c:spPr>
          <a:noFill/>
          <a:ln w="1270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720253544"/>
        <c:crosses val="autoZero"/>
        <c:auto val="1"/>
        <c:lblAlgn val="ctr"/>
        <c:lblOffset val="100"/>
        <c:noMultiLvlLbl val="0"/>
      </c:catAx>
      <c:valAx>
        <c:axId val="720253544"/>
        <c:scaling>
          <c:orientation val="minMax"/>
        </c:scaling>
        <c:delete val="1"/>
        <c:axPos val="b"/>
        <c:numFmt formatCode="0%" sourceLinked="1"/>
        <c:majorTickMark val="none"/>
        <c:minorTickMark val="none"/>
        <c:tickLblPos val="nextTo"/>
        <c:crossAx val="720253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900">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[Lista de Colaboradores Capacitados en Accesibilidad y Discapacidad - VERSION FINAL.xlsx]% de Capacitación!Dinámica_DyEP</c:name>
    <c:fmtId val="-1"/>
  </c:pivotSource>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900" b="1" i="0" u="none" strike="noStrike" kern="1200" spc="0" baseline="0">
                <a:solidFill>
                  <a:srgbClr val="767171"/>
                </a:solidFill>
                <a:latin typeface="Times New Roman" panose="02020603050405020304" pitchFamily="18" charset="0"/>
                <a:cs typeface="Times New Roman" panose="02020603050405020304" pitchFamily="18" charset="0"/>
              </a:rPr>
              <a:t>Capacitación: Discapacidad y Empleo (por Área)</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 de Capacitación'!$H$17:$H$18</c:f>
              <c:strCache>
                <c:ptCount val="1"/>
                <c:pt idx="0">
                  <c:v>Capacitado</c:v>
                </c:pt>
              </c:strCache>
            </c:strRef>
          </c:tx>
          <c:spPr>
            <a:solidFill>
              <a:srgbClr val="00ADD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 de Capacitación'!$G$19:$G$22</c:f>
              <c:strCache>
                <c:ptCount val="3"/>
                <c:pt idx="0">
                  <c:v>Departamento Administrativo y Financiero</c:v>
                </c:pt>
                <c:pt idx="1">
                  <c:v>Departamento de Planificación y Desarrollo</c:v>
                </c:pt>
                <c:pt idx="2">
                  <c:v>Departamento de Recursos Humanos</c:v>
                </c:pt>
              </c:strCache>
            </c:strRef>
          </c:cat>
          <c:val>
            <c:numRef>
              <c:f>'% de Capacitación'!$H$19:$H$22</c:f>
              <c:numCache>
                <c:formatCode>0.00%</c:formatCode>
                <c:ptCount val="3"/>
                <c:pt idx="0">
                  <c:v>0.51851851851851849</c:v>
                </c:pt>
                <c:pt idx="1">
                  <c:v>0.7</c:v>
                </c:pt>
                <c:pt idx="2">
                  <c:v>0.9</c:v>
                </c:pt>
              </c:numCache>
            </c:numRef>
          </c:val>
          <c:extLst>
            <c:ext xmlns:c16="http://schemas.microsoft.com/office/drawing/2014/chart" uri="{C3380CC4-5D6E-409C-BE32-E72D297353CC}">
              <c16:uniqueId val="{00000000-479B-4794-9AF5-A6210D0C8DD3}"/>
            </c:ext>
          </c:extLst>
        </c:ser>
        <c:ser>
          <c:idx val="1"/>
          <c:order val="1"/>
          <c:tx>
            <c:strRef>
              <c:f>'% de Capacitación'!$I$17:$I$18</c:f>
              <c:strCache>
                <c:ptCount val="1"/>
                <c:pt idx="0">
                  <c:v>No Capacitado</c:v>
                </c:pt>
              </c:strCache>
            </c:strRef>
          </c:tx>
          <c:spPr>
            <a:solidFill>
              <a:srgbClr val="73D3D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 de Capacitación'!$G$19:$G$22</c:f>
              <c:strCache>
                <c:ptCount val="3"/>
                <c:pt idx="0">
                  <c:v>Departamento Administrativo y Financiero</c:v>
                </c:pt>
                <c:pt idx="1">
                  <c:v>Departamento de Planificación y Desarrollo</c:v>
                </c:pt>
                <c:pt idx="2">
                  <c:v>Departamento de Recursos Humanos</c:v>
                </c:pt>
              </c:strCache>
            </c:strRef>
          </c:cat>
          <c:val>
            <c:numRef>
              <c:f>'% de Capacitación'!$I$19:$I$22</c:f>
              <c:numCache>
                <c:formatCode>0.00%</c:formatCode>
                <c:ptCount val="3"/>
                <c:pt idx="0">
                  <c:v>0.48148148148148145</c:v>
                </c:pt>
                <c:pt idx="1">
                  <c:v>0.3</c:v>
                </c:pt>
                <c:pt idx="2">
                  <c:v>0.1</c:v>
                </c:pt>
              </c:numCache>
            </c:numRef>
          </c:val>
          <c:extLst>
            <c:ext xmlns:c16="http://schemas.microsoft.com/office/drawing/2014/chart" uri="{C3380CC4-5D6E-409C-BE32-E72D297353CC}">
              <c16:uniqueId val="{00000001-479B-4794-9AF5-A6210D0C8DD3}"/>
            </c:ext>
          </c:extLst>
        </c:ser>
        <c:dLbls>
          <c:dLblPos val="ctr"/>
          <c:showLegendKey val="0"/>
          <c:showVal val="1"/>
          <c:showCatName val="0"/>
          <c:showSerName val="0"/>
          <c:showPercent val="0"/>
          <c:showBubbleSize val="0"/>
        </c:dLbls>
        <c:gapWidth val="150"/>
        <c:overlap val="100"/>
        <c:axId val="717842664"/>
        <c:axId val="721609072"/>
      </c:barChart>
      <c:catAx>
        <c:axId val="717842664"/>
        <c:scaling>
          <c:orientation val="minMax"/>
        </c:scaling>
        <c:delete val="0"/>
        <c:axPos val="l"/>
        <c:numFmt formatCode="General" sourceLinked="1"/>
        <c:majorTickMark val="none"/>
        <c:minorTickMark val="none"/>
        <c:tickLblPos val="nextTo"/>
        <c:spPr>
          <a:noFill/>
          <a:ln w="1270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721609072"/>
        <c:crosses val="autoZero"/>
        <c:auto val="1"/>
        <c:lblAlgn val="ctr"/>
        <c:lblOffset val="100"/>
        <c:noMultiLvlLbl val="0"/>
      </c:catAx>
      <c:valAx>
        <c:axId val="721609072"/>
        <c:scaling>
          <c:orientation val="minMax"/>
        </c:scaling>
        <c:delete val="1"/>
        <c:axPos val="b"/>
        <c:numFmt formatCode="0%" sourceLinked="1"/>
        <c:majorTickMark val="none"/>
        <c:minorTickMark val="none"/>
        <c:tickLblPos val="nextTo"/>
        <c:crossAx val="717842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a:latin typeface="Times New Roman" panose="02020603050405020304" pitchFamily="18" charset="0"/>
                <a:cs typeface="Times New Roman" panose="02020603050405020304" pitchFamily="18" charset="0"/>
              </a:rPr>
              <a:t>Capacitaciones</a:t>
            </a:r>
          </a:p>
          <a:p>
            <a:pPr>
              <a:defRPr sz="1200">
                <a:latin typeface="Times New Roman" panose="02020603050405020304" pitchFamily="18" charset="0"/>
                <a:cs typeface="Times New Roman" panose="02020603050405020304" pitchFamily="18" charset="0"/>
              </a:defRPr>
            </a:pPr>
            <a:r>
              <a:rPr lang="es-DO" sz="1200">
                <a:latin typeface="Times New Roman" panose="02020603050405020304" pitchFamily="18" charset="0"/>
                <a:cs typeface="Times New Roman" panose="02020603050405020304" pitchFamily="18" charset="0"/>
              </a:rPr>
              <a:t>Especialización</a:t>
            </a:r>
            <a:r>
              <a:rPr lang="es-DO" sz="1200" baseline="0">
                <a:latin typeface="Times New Roman" panose="02020603050405020304" pitchFamily="18" charset="0"/>
                <a:cs typeface="Times New Roman" panose="02020603050405020304" pitchFamily="18" charset="0"/>
              </a:rPr>
              <a:t> Técnica en Tesorería</a:t>
            </a:r>
            <a:endParaRPr lang="es-DO"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1"/>
          <c:order val="0"/>
          <c:tx>
            <c:strRef>
              <c:f>'Cap y Entr.'!$E$30:$F$30</c:f>
              <c:strCache>
                <c:ptCount val="1"/>
                <c:pt idx="0">
                  <c:v>Cant. Instituciones</c:v>
                </c:pt>
              </c:strCache>
            </c:strRef>
          </c:tx>
          <c:spPr>
            <a:solidFill>
              <a:srgbClr val="011C50"/>
            </a:solidFill>
            <a:ln>
              <a:noFill/>
            </a:ln>
            <a:effectLst/>
            <a:sp3d/>
          </c:spPr>
          <c:invertIfNegative val="0"/>
          <c:dLbls>
            <c:dLbl>
              <c:idx val="0"/>
              <c:layout>
                <c:manualLayout>
                  <c:x val="8.194772528433944E-2"/>
                  <c:y val="-7.1379598254553969E-3"/>
                </c:manualLayout>
              </c:layout>
              <c:tx>
                <c:rich>
                  <a:bodyPr rot="0" spcFirstLastPara="1" vertOverflow="ellipsis" vert="horz" wrap="square" lIns="38100" tIns="19050" rIns="38100" bIns="19050" anchor="ctr" anchorCtr="1">
                    <a:no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E1CDE38B-08EF-42AF-BDFA-5AED8F392B28}" type="VALUE">
                      <a:rPr lang="en-US" sz="1000">
                        <a:solidFill>
                          <a:schemeClr val="bg1"/>
                        </a:solidFill>
                        <a:latin typeface="Times New Roman" panose="02020603050405020304" pitchFamily="18" charset="0"/>
                        <a:cs typeface="Times New Roman" panose="02020603050405020304" pitchFamily="18" charset="0"/>
                      </a:rPr>
                      <a:pPr>
                        <a:defRPr sz="1000">
                          <a:latin typeface="Times New Roman" panose="02020603050405020304" pitchFamily="18" charset="0"/>
                          <a:cs typeface="Times New Roman" panose="02020603050405020304" pitchFamily="18" charset="0"/>
                        </a:defRPr>
                      </a:pPr>
                      <a:t>[VALOR]</a:t>
                    </a:fld>
                    <a:r>
                      <a:rPr lang="en-US" sz="1000">
                        <a:solidFill>
                          <a:schemeClr val="bg1"/>
                        </a:solidFill>
                        <a:latin typeface="Times New Roman" panose="02020603050405020304" pitchFamily="18" charset="0"/>
                        <a:cs typeface="Times New Roman" panose="02020603050405020304" pitchFamily="18" charset="0"/>
                      </a:rPr>
                      <a:t> </a:t>
                    </a:r>
                    <a:r>
                      <a:rPr lang="en-US" sz="1000" baseline="0">
                        <a:solidFill>
                          <a:schemeClr val="bg1"/>
                        </a:solidFill>
                        <a:latin typeface="Times New Roman" panose="02020603050405020304" pitchFamily="18" charset="0"/>
                        <a:cs typeface="Times New Roman" panose="02020603050405020304" pitchFamily="18" charset="0"/>
                      </a:rPr>
                      <a:t> Instit</a:t>
                    </a:r>
                    <a:r>
                      <a:rPr lang="en-US" sz="1000" baseline="0">
                        <a:latin typeface="Times New Roman" panose="02020603050405020304" pitchFamily="18" charset="0"/>
                        <a:cs typeface="Times New Roman" panose="02020603050405020304" pitchFamily="18" charset="0"/>
                      </a:rPr>
                      <a:t>uciones</a:t>
                    </a:r>
                  </a:p>
                </c:rich>
              </c:tx>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15:layout>
                    <c:manualLayout>
                      <c:w val="0.19781734669529943"/>
                      <c:h val="4.664735667201346E-2"/>
                    </c:manualLayout>
                  </c15:layout>
                  <c15:dlblFieldTable/>
                  <c15:showDataLabelsRange val="0"/>
                </c:ext>
                <c:ext xmlns:c16="http://schemas.microsoft.com/office/drawing/2014/chart" uri="{C3380CC4-5D6E-409C-BE32-E72D297353CC}">
                  <c16:uniqueId val="{00000000-DF3E-4093-AD7D-633431F9BC53}"/>
                </c:ext>
              </c:extLst>
            </c:dLbl>
            <c:dLbl>
              <c:idx val="1"/>
              <c:layout>
                <c:manualLayout>
                  <c:x val="8.6162411516742227E-2"/>
                  <c:y val="-2.1493868993929938E-2"/>
                </c:manualLayout>
              </c:layout>
              <c:tx>
                <c:rich>
                  <a:bodyPr rot="0" spcFirstLastPara="1" vertOverflow="ellipsis" vert="horz"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75000"/>
                            <a:lumOff val="25000"/>
                          </a:sysClr>
                        </a:solidFill>
                        <a:latin typeface="Times New Roman" panose="02020603050405020304" pitchFamily="18" charset="0"/>
                        <a:ea typeface="+mn-ea"/>
                        <a:cs typeface="Times New Roman" panose="02020603050405020304" pitchFamily="18" charset="0"/>
                      </a:defRPr>
                    </a:pPr>
                    <a:fld id="{E1CDE38B-08EF-42AF-BDFA-5AED8F392B28}" type="VALUE">
                      <a:rPr lang="en-US" sz="1000" b="0" i="0" u="none" strike="noStrike" kern="1200" baseline="0">
                        <a:solidFill>
                          <a:schemeClr val="bg1"/>
                        </a:solidFill>
                        <a:latin typeface="Times New Roman" panose="02020603050405020304" pitchFamily="18" charset="0"/>
                        <a:cs typeface="Times New Roman" panose="02020603050405020304" pitchFamily="18" charset="0"/>
                      </a:rPr>
                      <a:pPr marL="0" marR="0" lvl="0" indent="0" algn="ctr" defTabSz="914400" rtl="0" eaLnBrk="1" fontAlgn="auto" latinLnBrk="0" hangingPunct="1">
                        <a:lnSpc>
                          <a:spcPct val="100000"/>
                        </a:lnSpc>
                        <a:spcBef>
                          <a:spcPts val="0"/>
                        </a:spcBef>
                        <a:spcAft>
                          <a:spcPts val="0"/>
                        </a:spcAft>
                        <a:buClrTx/>
                        <a:buSzTx/>
                        <a:buFontTx/>
                        <a:buNone/>
                        <a:tabLst/>
                        <a:defRPr sz="1000">
                          <a:solidFill>
                            <a:sysClr val="windowText" lastClr="000000">
                              <a:lumMod val="75000"/>
                              <a:lumOff val="25000"/>
                            </a:sysClr>
                          </a:solidFill>
                          <a:latin typeface="Times New Roman" panose="02020603050405020304" pitchFamily="18" charset="0"/>
                          <a:cs typeface="Times New Roman" panose="02020603050405020304" pitchFamily="18" charset="0"/>
                        </a:defRPr>
                      </a:pPr>
                      <a:t>[VALOR]</a:t>
                    </a:fld>
                    <a:r>
                      <a:rPr lang="en-US" sz="1000" b="0" i="0" u="none" strike="noStrike" kern="1200" baseline="0">
                        <a:solidFill>
                          <a:schemeClr val="bg1"/>
                        </a:solidFill>
                        <a:latin typeface="Times New Roman" panose="02020603050405020304" pitchFamily="18" charset="0"/>
                        <a:cs typeface="Times New Roman" panose="02020603050405020304" pitchFamily="18" charset="0"/>
                      </a:rPr>
                      <a:t> Instit</a:t>
                    </a:r>
                    <a:r>
                      <a:rPr lang="en-US" sz="1000" b="0" i="0" u="none" strike="noStrike" kern="1200" baseline="0">
                        <a:solidFill>
                          <a:sysClr val="windowText" lastClr="000000">
                            <a:lumMod val="75000"/>
                            <a:lumOff val="25000"/>
                          </a:sysClr>
                        </a:solidFill>
                        <a:latin typeface="Times New Roman" panose="02020603050405020304" pitchFamily="18" charset="0"/>
                        <a:cs typeface="Times New Roman" panose="02020603050405020304" pitchFamily="18" charset="0"/>
                      </a:rPr>
                      <a:t>uciones</a:t>
                    </a:r>
                  </a:p>
                </c:rich>
              </c:tx>
              <c:spPr>
                <a:noFill/>
                <a:ln>
                  <a:noFill/>
                </a:ln>
                <a:effectLst/>
              </c:spPr>
              <c:txPr>
                <a:bodyPr rot="0" spcFirstLastPara="1" vertOverflow="ellipsis" vert="horz"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75000"/>
                          <a:lumOff val="25000"/>
                        </a:sys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F3E-4093-AD7D-633431F9BC53}"/>
                </c:ext>
              </c:extLst>
            </c:dLbl>
            <c:dLbl>
              <c:idx val="2"/>
              <c:layout>
                <c:manualLayout>
                  <c:x val="6.7159985683607731E-2"/>
                  <c:y val="-2.6563833158626211E-2"/>
                </c:manualLayout>
              </c:layout>
              <c:tx>
                <c:rich>
                  <a:bodyPr rot="0" spcFirstLastPara="1" vertOverflow="ellipsis"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75000"/>
                            <a:lumOff val="25000"/>
                          </a:sysClr>
                        </a:solidFill>
                        <a:latin typeface="Times New Roman" panose="02020603050405020304" pitchFamily="18" charset="0"/>
                        <a:ea typeface="+mn-ea"/>
                        <a:cs typeface="Times New Roman" panose="02020603050405020304" pitchFamily="18" charset="0"/>
                      </a:defRPr>
                    </a:pPr>
                    <a:fld id="{E0530D8D-224F-4378-8FD5-C0C75DB61F6E}" type="VALUE">
                      <a:rPr lang="en-US" sz="1000">
                        <a:solidFill>
                          <a:schemeClr val="bg1"/>
                        </a:solidFill>
                        <a:latin typeface="Times New Roman" panose="02020603050405020304" pitchFamily="18" charset="0"/>
                        <a:cs typeface="Times New Roman" panose="02020603050405020304" pitchFamily="18" charset="0"/>
                      </a:rPr>
                      <a:pPr marL="0" marR="0" lvl="0" indent="0" algn="ctr" defTabSz="914400" rtl="0" eaLnBrk="1" fontAlgn="auto" latinLnBrk="0" hangingPunct="1">
                        <a:lnSpc>
                          <a:spcPct val="100000"/>
                        </a:lnSpc>
                        <a:spcBef>
                          <a:spcPts val="0"/>
                        </a:spcBef>
                        <a:spcAft>
                          <a:spcPts val="0"/>
                        </a:spcAft>
                        <a:buClrTx/>
                        <a:buSzTx/>
                        <a:buFontTx/>
                        <a:buNone/>
                        <a:tabLst/>
                        <a:defRPr sz="1000">
                          <a:solidFill>
                            <a:sysClr val="windowText" lastClr="000000">
                              <a:lumMod val="75000"/>
                              <a:lumOff val="25000"/>
                            </a:sysClr>
                          </a:solidFill>
                          <a:latin typeface="Times New Roman" panose="02020603050405020304" pitchFamily="18" charset="0"/>
                          <a:cs typeface="Times New Roman" panose="02020603050405020304" pitchFamily="18" charset="0"/>
                        </a:defRPr>
                      </a:pPr>
                      <a:t>[VALOR]</a:t>
                    </a:fld>
                    <a:r>
                      <a:rPr lang="en-US" sz="1000">
                        <a:solidFill>
                          <a:schemeClr val="bg1"/>
                        </a:solidFill>
                        <a:latin typeface="Times New Roman" panose="02020603050405020304" pitchFamily="18" charset="0"/>
                        <a:cs typeface="Times New Roman" panose="02020603050405020304" pitchFamily="18" charset="0"/>
                      </a:rPr>
                      <a:t> </a:t>
                    </a:r>
                    <a:r>
                      <a:rPr lang="en-US" sz="1000" b="0" i="0" u="none" strike="noStrike" kern="1200" baseline="0">
                        <a:solidFill>
                          <a:schemeClr val="bg1"/>
                        </a:solidFill>
                        <a:latin typeface="Times New Roman" panose="02020603050405020304" pitchFamily="18" charset="0"/>
                        <a:cs typeface="Times New Roman" panose="02020603050405020304" pitchFamily="18" charset="0"/>
                      </a:rPr>
                      <a:t>Instituc</a:t>
                    </a:r>
                    <a:r>
                      <a:rPr lang="en-US" sz="1000" b="0" i="0" u="none" strike="noStrike" kern="1200" baseline="0">
                        <a:solidFill>
                          <a:sysClr val="windowText" lastClr="000000">
                            <a:lumMod val="75000"/>
                            <a:lumOff val="25000"/>
                          </a:sysClr>
                        </a:solidFill>
                        <a:latin typeface="Times New Roman" panose="02020603050405020304" pitchFamily="18" charset="0"/>
                        <a:cs typeface="Times New Roman" panose="02020603050405020304" pitchFamily="18" charset="0"/>
                      </a:rPr>
                      <a:t>iones</a:t>
                    </a:r>
                  </a:p>
                </c:rich>
              </c:tx>
              <c:spPr>
                <a:noFill/>
                <a:ln>
                  <a:noFill/>
                </a:ln>
                <a:effectLst/>
              </c:spPr>
              <c:txPr>
                <a:bodyPr rot="0" spcFirstLastPara="1" vertOverflow="ellipsis" vert="horz" wrap="square" lIns="38100" tIns="19050" rIns="38100" bIns="19050" anchor="ctr" anchorCtr="0">
                  <a:noAutofit/>
                </a:bodyPr>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75000"/>
                          <a:lumOff val="25000"/>
                        </a:sys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15:layout>
                    <c:manualLayout>
                      <c:w val="0.24136761313926669"/>
                      <c:h val="5.0517417907900833E-2"/>
                    </c:manualLayout>
                  </c15:layout>
                  <c15:dlblFieldTable/>
                  <c15:showDataLabelsRange val="0"/>
                </c:ext>
                <c:ext xmlns:c16="http://schemas.microsoft.com/office/drawing/2014/chart" uri="{C3380CC4-5D6E-409C-BE32-E72D297353CC}">
                  <c16:uniqueId val="{00000002-DF3E-4093-AD7D-633431F9BC5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'Cap y Entr.'!$D$31:$D$33</c:f>
              <c:strCache>
                <c:ptCount val="3"/>
                <c:pt idx="0">
                  <c:v>GRUPO 1 Virtual</c:v>
                </c:pt>
                <c:pt idx="1">
                  <c:v>GRUPO 2 Virtual</c:v>
                </c:pt>
                <c:pt idx="2">
                  <c:v>GRUPO 1 Presencial</c:v>
                </c:pt>
              </c:strCache>
            </c:strRef>
          </c:cat>
          <c:val>
            <c:numRef>
              <c:f>'Cap y Entr.'!$E$31:$E$33</c:f>
              <c:numCache>
                <c:formatCode>General</c:formatCode>
                <c:ptCount val="3"/>
                <c:pt idx="0">
                  <c:v>14</c:v>
                </c:pt>
                <c:pt idx="1">
                  <c:v>14</c:v>
                </c:pt>
                <c:pt idx="2">
                  <c:v>7</c:v>
                </c:pt>
              </c:numCache>
            </c:numRef>
          </c:val>
          <c:extLst>
            <c:ext xmlns:c16="http://schemas.microsoft.com/office/drawing/2014/chart" uri="{C3380CC4-5D6E-409C-BE32-E72D297353CC}">
              <c16:uniqueId val="{00000003-DF3E-4093-AD7D-633431F9BC53}"/>
            </c:ext>
          </c:extLst>
        </c:ser>
        <c:ser>
          <c:idx val="3"/>
          <c:order val="2"/>
          <c:tx>
            <c:strRef>
              <c:f>'Cap y Entr.'!$G$30:$H$30</c:f>
              <c:strCache>
                <c:ptCount val="1"/>
                <c:pt idx="0">
                  <c:v>Cantidad de Colaboradores Capacitados</c:v>
                </c:pt>
              </c:strCache>
            </c:strRef>
          </c:tx>
          <c:spPr>
            <a:solidFill>
              <a:schemeClr val="accent4"/>
            </a:solidFill>
            <a:ln>
              <a:noFill/>
            </a:ln>
            <a:effectLst/>
            <a:sp3d/>
          </c:spPr>
          <c:invertIfNegative val="0"/>
          <c:dPt>
            <c:idx val="0"/>
            <c:invertIfNegative val="0"/>
            <c:bubble3D val="0"/>
            <c:spPr>
              <a:solidFill>
                <a:srgbClr val="D9D9D9"/>
              </a:solidFill>
              <a:ln>
                <a:noFill/>
              </a:ln>
              <a:effectLst/>
              <a:sp3d/>
            </c:spPr>
            <c:extLst>
              <c:ext xmlns:c16="http://schemas.microsoft.com/office/drawing/2014/chart" uri="{C3380CC4-5D6E-409C-BE32-E72D297353CC}">
                <c16:uniqueId val="{00000005-DF3E-4093-AD7D-633431F9BC53}"/>
              </c:ext>
            </c:extLst>
          </c:dPt>
          <c:dPt>
            <c:idx val="1"/>
            <c:invertIfNegative val="0"/>
            <c:bubble3D val="0"/>
            <c:spPr>
              <a:solidFill>
                <a:srgbClr val="D9D9D9"/>
              </a:solidFill>
              <a:ln>
                <a:noFill/>
              </a:ln>
              <a:effectLst/>
              <a:sp3d/>
            </c:spPr>
            <c:extLst>
              <c:ext xmlns:c16="http://schemas.microsoft.com/office/drawing/2014/chart" uri="{C3380CC4-5D6E-409C-BE32-E72D297353CC}">
                <c16:uniqueId val="{00000007-DF3E-4093-AD7D-633431F9BC53}"/>
              </c:ext>
            </c:extLst>
          </c:dPt>
          <c:dPt>
            <c:idx val="2"/>
            <c:invertIfNegative val="0"/>
            <c:bubble3D val="0"/>
            <c:spPr>
              <a:solidFill>
                <a:srgbClr val="D9D9D9"/>
              </a:solidFill>
              <a:ln>
                <a:noFill/>
              </a:ln>
              <a:effectLst/>
              <a:sp3d/>
            </c:spPr>
            <c:extLst>
              <c:ext xmlns:c16="http://schemas.microsoft.com/office/drawing/2014/chart" uri="{C3380CC4-5D6E-409C-BE32-E72D297353CC}">
                <c16:uniqueId val="{00000009-DF3E-4093-AD7D-633431F9BC53}"/>
              </c:ext>
            </c:extLst>
          </c:dPt>
          <c:dLbls>
            <c:dLbl>
              <c:idx val="0"/>
              <c:tx>
                <c:rich>
                  <a:bodyPr/>
                  <a:lstStyle/>
                  <a:p>
                    <a:fld id="{B4294573-99AC-4D03-973B-C0918AE13672}" type="VALUE">
                      <a:rPr lang="en-US"/>
                      <a:pPr/>
                      <a:t>[VALOR]</a:t>
                    </a:fld>
                    <a:r>
                      <a:rPr lang="en-US"/>
                      <a:t> Colaboradores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F3E-4093-AD7D-633431F9BC53}"/>
                </c:ext>
              </c:extLst>
            </c:dLbl>
            <c:dLbl>
              <c:idx val="1"/>
              <c:tx>
                <c:rich>
                  <a:bodyPr/>
                  <a:lstStyle/>
                  <a:p>
                    <a:fld id="{D524827C-2299-439D-A18A-E1B167276C72}" type="VALUE">
                      <a:rPr lang="en-US"/>
                      <a:pPr/>
                      <a:t>[VALOR]</a:t>
                    </a:fld>
                    <a:r>
                      <a:rPr lang="en-US"/>
                      <a:t> Colaboradores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DF3E-4093-AD7D-633431F9BC53}"/>
                </c:ext>
              </c:extLst>
            </c:dLbl>
            <c:dLbl>
              <c:idx val="2"/>
              <c:layout>
                <c:manualLayout>
                  <c:x val="-9.2591522967418133E-17"/>
                  <c:y val="-1.5479876160990712E-2"/>
                </c:manualLayout>
              </c:layout>
              <c:tx>
                <c:rich>
                  <a:bodyPr/>
                  <a:lstStyle/>
                  <a:p>
                    <a:fld id="{264FCAF2-0693-4322-BF78-6AAAE1B09FCB}" type="VALUE">
                      <a:rPr lang="en-US"/>
                      <a:pPr/>
                      <a:t>[VALOR]</a:t>
                    </a:fld>
                    <a:r>
                      <a:rPr lang="en-US"/>
                      <a:t> Colaboradores</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DF3E-4093-AD7D-633431F9BC5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'Cap y Entr.'!$D$31:$D$33</c:f>
              <c:strCache>
                <c:ptCount val="3"/>
                <c:pt idx="0">
                  <c:v>GRUPO 1 Virtual</c:v>
                </c:pt>
                <c:pt idx="1">
                  <c:v>GRUPO 2 Virtual</c:v>
                </c:pt>
                <c:pt idx="2">
                  <c:v>GRUPO 1 Presencial</c:v>
                </c:pt>
              </c:strCache>
            </c:strRef>
          </c:cat>
          <c:val>
            <c:numRef>
              <c:f>'Cap y Entr.'!$G$31:$G$33</c:f>
              <c:numCache>
                <c:formatCode>General</c:formatCode>
                <c:ptCount val="3"/>
                <c:pt idx="0">
                  <c:v>30</c:v>
                </c:pt>
                <c:pt idx="1">
                  <c:v>31</c:v>
                </c:pt>
                <c:pt idx="2">
                  <c:v>20</c:v>
                </c:pt>
              </c:numCache>
            </c:numRef>
          </c:val>
          <c:extLst>
            <c:ext xmlns:c16="http://schemas.microsoft.com/office/drawing/2014/chart" uri="{C3380CC4-5D6E-409C-BE32-E72D297353CC}">
              <c16:uniqueId val="{0000000A-DF3E-4093-AD7D-633431F9BC53}"/>
            </c:ext>
          </c:extLst>
        </c:ser>
        <c:dLbls>
          <c:showLegendKey val="0"/>
          <c:showVal val="0"/>
          <c:showCatName val="0"/>
          <c:showSerName val="0"/>
          <c:showPercent val="0"/>
          <c:showBubbleSize val="0"/>
        </c:dLbls>
        <c:gapWidth val="150"/>
        <c:shape val="box"/>
        <c:axId val="329157752"/>
        <c:axId val="329157032"/>
        <c:axId val="0"/>
        <c:extLst>
          <c:ext xmlns:c15="http://schemas.microsoft.com/office/drawing/2012/chart" uri="{02D57815-91ED-43cb-92C2-25804820EDAC}">
            <c15:filteredBarSeries>
              <c15:ser>
                <c:idx val="2"/>
                <c:order val="1"/>
                <c:tx>
                  <c:v>Series2</c:v>
                </c:tx>
                <c:spPr>
                  <a:solidFill>
                    <a:schemeClr val="accent3"/>
                  </a:solidFill>
                  <a:ln>
                    <a:noFill/>
                  </a:ln>
                  <a:effectLst/>
                  <a:sp3d/>
                </c:spPr>
                <c:invertIfNegative val="0"/>
                <c:cat>
                  <c:strRef>
                    <c:extLst>
                      <c:ext uri="{02D57815-91ED-43cb-92C2-25804820EDAC}">
                        <c15:formulaRef>
                          <c15:sqref>'Cap y Entr.'!$D$31:$D$33</c15:sqref>
                        </c15:formulaRef>
                      </c:ext>
                    </c:extLst>
                    <c:strCache>
                      <c:ptCount val="3"/>
                      <c:pt idx="0">
                        <c:v>GRUPO 1 Virtual</c:v>
                      </c:pt>
                      <c:pt idx="1">
                        <c:v>GRUPO 2 Virtual</c:v>
                      </c:pt>
                      <c:pt idx="2">
                        <c:v>GRUPO 1 Presencial</c:v>
                      </c:pt>
                    </c:strCache>
                  </c:strRef>
                </c:cat>
                <c:val>
                  <c:numRef>
                    <c:extLst>
                      <c:ext uri="{02D57815-91ED-43cb-92C2-25804820EDAC}">
                        <c15:formulaRef>
                          <c15:sqref>'Cap y Entr.'!$F$31:$F$33</c15:sqref>
                        </c15:formulaRef>
                      </c:ext>
                    </c:extLst>
                    <c:numCache>
                      <c:formatCode>General</c:formatCode>
                      <c:ptCount val="3"/>
                    </c:numCache>
                  </c:numRef>
                </c:val>
                <c:extLst>
                  <c:ext xmlns:c16="http://schemas.microsoft.com/office/drawing/2014/chart" uri="{C3380CC4-5D6E-409C-BE32-E72D297353CC}">
                    <c16:uniqueId val="{0000000B-DF3E-4093-AD7D-633431F9BC53}"/>
                  </c:ext>
                </c:extLst>
              </c15:ser>
            </c15:filteredBarSeries>
            <c15:filteredBarSeries>
              <c15:ser>
                <c:idx val="0"/>
                <c:order val="3"/>
                <c:spPr>
                  <a:solidFill>
                    <a:schemeClr val="accent1"/>
                  </a:solidFill>
                  <a:ln>
                    <a:noFill/>
                  </a:ln>
                  <a:effectLst/>
                  <a:sp3d/>
                </c:spPr>
                <c:invertIfNegative val="0"/>
                <c:cat>
                  <c:strRef>
                    <c:extLst xmlns:c15="http://schemas.microsoft.com/office/drawing/2012/chart">
                      <c:ext xmlns:c15="http://schemas.microsoft.com/office/drawing/2012/chart" uri="{02D57815-91ED-43cb-92C2-25804820EDAC}">
                        <c15:formulaRef>
                          <c15:sqref>'Cap y Entr.'!$D$31:$D$33</c15:sqref>
                        </c15:formulaRef>
                      </c:ext>
                    </c:extLst>
                    <c:strCache>
                      <c:ptCount val="3"/>
                      <c:pt idx="0">
                        <c:v>GRUPO 1 Virtual</c:v>
                      </c:pt>
                      <c:pt idx="1">
                        <c:v>GRUPO 2 Virtual</c:v>
                      </c:pt>
                      <c:pt idx="2">
                        <c:v>GRUPO 1 Presencial</c:v>
                      </c:pt>
                    </c:strCache>
                  </c:strRef>
                </c:cat>
                <c:val>
                  <c:numRef>
                    <c:extLst xmlns:c15="http://schemas.microsoft.com/office/drawing/2012/chart">
                      <c:ext xmlns:c15="http://schemas.microsoft.com/office/drawing/2012/chart" uri="{02D57815-91ED-43cb-92C2-25804820EDAC}">
                        <c15:formulaRef>
                          <c15:sqref>'Cap y Entr.'!$H$31:$H$33</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C-DF3E-4093-AD7D-633431F9BC53}"/>
                  </c:ext>
                </c:extLst>
              </c15:ser>
            </c15:filteredBarSeries>
          </c:ext>
        </c:extLst>
      </c:bar3DChart>
      <c:catAx>
        <c:axId val="3291577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329157032"/>
        <c:crosses val="autoZero"/>
        <c:auto val="1"/>
        <c:lblAlgn val="ctr"/>
        <c:lblOffset val="100"/>
        <c:noMultiLvlLbl val="0"/>
      </c:catAx>
      <c:valAx>
        <c:axId val="329157032"/>
        <c:scaling>
          <c:orientation val="minMax"/>
        </c:scaling>
        <c:delete val="1"/>
        <c:axPos val="l"/>
        <c:numFmt formatCode="0%" sourceLinked="1"/>
        <c:majorTickMark val="none"/>
        <c:minorTickMark val="none"/>
        <c:tickLblPos val="nextTo"/>
        <c:crossAx val="329157752"/>
        <c:crosses val="autoZero"/>
        <c:crossBetween val="between"/>
      </c:valAx>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cap="none" spc="5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es-DO">
                <a:solidFill>
                  <a:srgbClr val="767171"/>
                </a:solidFill>
              </a:rPr>
              <a:t>Actualizaciones de las Informaciones TI en el SATI</a:t>
            </a:r>
          </a:p>
          <a:p>
            <a:pPr>
              <a:defRPr/>
            </a:pPr>
            <a:r>
              <a:rPr lang="es-DO">
                <a:solidFill>
                  <a:srgbClr val="767171"/>
                </a:solidFill>
              </a:rPr>
              <a:t>ene-dic 2025 </a:t>
            </a:r>
          </a:p>
        </c:rich>
      </c:tx>
      <c:layout>
        <c:manualLayout>
          <c:xMode val="edge"/>
          <c:yMode val="edge"/>
          <c:x val="0.17521696791110195"/>
          <c:y val="1.9839485913647835E-2"/>
        </c:manualLayout>
      </c:layout>
      <c:overlay val="0"/>
      <c:spPr>
        <a:noFill/>
        <a:ln>
          <a:noFill/>
        </a:ln>
        <a:effectLst/>
      </c:spPr>
      <c:txPr>
        <a:bodyPr rot="0" spcFirstLastPara="1" vertOverflow="ellipsis" vert="horz" wrap="square" anchor="ctr" anchorCtr="1"/>
        <a:lstStyle/>
        <a:p>
          <a:pPr>
            <a:defRPr sz="1080" b="0" i="0" u="none" strike="noStrike" kern="1200" cap="none" spc="5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es-DO"/>
        </a:p>
      </c:txPr>
    </c:title>
    <c:autoTitleDeleted val="0"/>
    <c:plotArea>
      <c:layout>
        <c:manualLayout>
          <c:layoutTarget val="inner"/>
          <c:xMode val="edge"/>
          <c:yMode val="edge"/>
          <c:x val="5.9665145311726474E-2"/>
          <c:y val="0.15685030232275313"/>
          <c:w val="0.90304413886844459"/>
          <c:h val="0.48039826737260849"/>
        </c:manualLayout>
      </c:layout>
      <c:barChart>
        <c:barDir val="col"/>
        <c:grouping val="clustered"/>
        <c:varyColors val="0"/>
        <c:ser>
          <c:idx val="0"/>
          <c:order val="0"/>
          <c:tx>
            <c:strRef>
              <c:f>'Actualizaciones TI en SATI'!$B$14:$M$14</c:f>
              <c:strCache>
                <c:ptCount val="12"/>
                <c:pt idx="0">
                  <c:v>Actualizaciones de las Informaciones TI en el SATI</c:v>
                </c:pt>
              </c:strCache>
            </c:strRef>
          </c:tx>
          <c:spPr>
            <a:solidFill>
              <a:srgbClr val="41CEDA">
                <a:alpha val="69804"/>
              </a:srgbClr>
            </a:solidFill>
            <a:ln>
              <a:noFill/>
            </a:ln>
            <a:effectLst/>
          </c:spPr>
          <c:invertIfNegative val="0"/>
          <c:dLbls>
            <c:delete val="1"/>
          </c:dLbls>
          <c:cat>
            <c:multiLvlStrRef>
              <c:f>'Actualizaciones TI en SATI'!$B$16:$M$17</c:f>
              <c:multiLvlStrCache>
                <c:ptCount val="12"/>
                <c:lvl>
                  <c:pt idx="0">
                    <c:v>9</c:v>
                  </c:pt>
                  <c:pt idx="1">
                    <c:v>11</c:v>
                  </c:pt>
                  <c:pt idx="2">
                    <c:v>15</c:v>
                  </c:pt>
                  <c:pt idx="3">
                    <c:v>17</c:v>
                  </c:pt>
                  <c:pt idx="4">
                    <c:v>10</c:v>
                  </c:pt>
                  <c:pt idx="5">
                    <c:v>13</c:v>
                  </c:pt>
                  <c:pt idx="6">
                    <c:v>14</c:v>
                  </c:pt>
                  <c:pt idx="7">
                    <c:v>9</c:v>
                  </c:pt>
                  <c:pt idx="8">
                    <c:v>6</c:v>
                  </c:pt>
                  <c:pt idx="9">
                    <c:v>17</c:v>
                  </c:pt>
                  <c:pt idx="10">
                    <c:v>6</c:v>
                  </c:pt>
                  <c:pt idx="11">
                    <c:v>12</c:v>
                  </c:pt>
                </c:lvl>
                <c:lvl>
                  <c:pt idx="0">
                    <c:v>Ene.</c:v>
                  </c:pt>
                  <c:pt idx="1">
                    <c:v>Feb.</c:v>
                  </c:pt>
                  <c:pt idx="2">
                    <c:v>Mar</c:v>
                  </c:pt>
                  <c:pt idx="3">
                    <c:v>Abr</c:v>
                  </c:pt>
                  <c:pt idx="4">
                    <c:v>May</c:v>
                  </c:pt>
                  <c:pt idx="5">
                    <c:v>Jun</c:v>
                  </c:pt>
                  <c:pt idx="6">
                    <c:v>Jul</c:v>
                  </c:pt>
                  <c:pt idx="7">
                    <c:v>Ago.</c:v>
                  </c:pt>
                  <c:pt idx="8">
                    <c:v>Sep.</c:v>
                  </c:pt>
                  <c:pt idx="9">
                    <c:v>Oct.</c:v>
                  </c:pt>
                  <c:pt idx="10">
                    <c:v>Nov.</c:v>
                  </c:pt>
                  <c:pt idx="11">
                    <c:v>Dic</c:v>
                  </c:pt>
                </c:lvl>
              </c:multiLvlStrCache>
            </c:multiLvlStrRef>
          </c:cat>
          <c:val>
            <c:numRef>
              <c:f>'Actualizaciones TI en SATI'!$B$17:$M$17</c:f>
              <c:numCache>
                <c:formatCode>General</c:formatCode>
                <c:ptCount val="12"/>
                <c:pt idx="0">
                  <c:v>9</c:v>
                </c:pt>
                <c:pt idx="1">
                  <c:v>11</c:v>
                </c:pt>
                <c:pt idx="2">
                  <c:v>15</c:v>
                </c:pt>
                <c:pt idx="3">
                  <c:v>17</c:v>
                </c:pt>
                <c:pt idx="4">
                  <c:v>10</c:v>
                </c:pt>
                <c:pt idx="5">
                  <c:v>13</c:v>
                </c:pt>
                <c:pt idx="6">
                  <c:v>14</c:v>
                </c:pt>
                <c:pt idx="7">
                  <c:v>9</c:v>
                </c:pt>
                <c:pt idx="8">
                  <c:v>6</c:v>
                </c:pt>
                <c:pt idx="9">
                  <c:v>17</c:v>
                </c:pt>
                <c:pt idx="10">
                  <c:v>6</c:v>
                </c:pt>
                <c:pt idx="11">
                  <c:v>12</c:v>
                </c:pt>
              </c:numCache>
            </c:numRef>
          </c:val>
          <c:extLst>
            <c:ext xmlns:c16="http://schemas.microsoft.com/office/drawing/2014/chart" uri="{C3380CC4-5D6E-409C-BE32-E72D297353CC}">
              <c16:uniqueId val="{00000000-FFD8-4887-8ED7-E0C1CA96C234}"/>
            </c:ext>
          </c:extLst>
        </c:ser>
        <c:dLbls>
          <c:dLblPos val="ctr"/>
          <c:showLegendKey val="0"/>
          <c:showVal val="1"/>
          <c:showCatName val="0"/>
          <c:showSerName val="0"/>
          <c:showPercent val="0"/>
          <c:showBubbleSize val="0"/>
        </c:dLbls>
        <c:gapWidth val="80"/>
        <c:overlap val="25"/>
        <c:axId val="443366648"/>
        <c:axId val="443362056"/>
      </c:barChart>
      <c:catAx>
        <c:axId val="443366648"/>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443362056"/>
        <c:crosses val="autoZero"/>
        <c:auto val="1"/>
        <c:lblAlgn val="ctr"/>
        <c:lblOffset val="100"/>
        <c:noMultiLvlLbl val="0"/>
      </c:catAx>
      <c:valAx>
        <c:axId val="443362056"/>
        <c:scaling>
          <c:orientation val="minMax"/>
        </c:scaling>
        <c:delete val="1"/>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crossAx val="443366648"/>
        <c:crosses val="autoZero"/>
        <c:crossBetween val="between"/>
      </c:valAx>
      <c:spPr>
        <a:noFill/>
        <a:ln>
          <a:noFill/>
        </a:ln>
        <a:effectLst/>
      </c:spPr>
    </c:plotArea>
    <c:legend>
      <c:legendPos val="b"/>
      <c:layout>
        <c:manualLayout>
          <c:xMode val="edge"/>
          <c:yMode val="edge"/>
          <c:x val="0.21443951819031754"/>
          <c:y val="0.9260384426542525"/>
          <c:w val="0.58099506877858487"/>
          <c:h val="4.9797094572218023E-2"/>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r>
              <a:rPr lang="es-DO" sz="1400" b="1" i="0" u="none" strike="noStrike" baseline="0">
                <a:solidFill>
                  <a:srgbClr val="767171"/>
                </a:solidFill>
                <a:effectLst/>
              </a:rPr>
              <a:t>Tramites de Gestión de Cuentas </a:t>
            </a:r>
            <a:r>
              <a:rPr lang="es-DO" sz="1400">
                <a:solidFill>
                  <a:srgbClr val="767171"/>
                </a:solidFill>
              </a:rPr>
              <a:t>ene-dic 2025 </a:t>
            </a:r>
          </a:p>
        </c:rich>
      </c:tx>
      <c:layout>
        <c:manualLayout>
          <c:xMode val="edge"/>
          <c:yMode val="edge"/>
          <c:x val="0.17438479280998964"/>
          <c:y val="1.3792991741293332E-2"/>
        </c:manualLayout>
      </c:layout>
      <c:overlay val="0"/>
      <c:spPr>
        <a:noFill/>
        <a:ln>
          <a:noFill/>
        </a:ln>
        <a:effectLst/>
      </c:spPr>
      <c:txPr>
        <a:bodyPr rot="0" spcFirstLastPara="1" vertOverflow="ellipsis" vert="horz" wrap="square" anchor="ctr" anchorCtr="1"/>
        <a:lstStyle/>
        <a:p>
          <a:pPr>
            <a:defRPr sz="14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5.9665145311726474E-2"/>
          <c:y val="0.15685030232275313"/>
          <c:w val="0.90304413886844459"/>
          <c:h val="0.61882812924246544"/>
        </c:manualLayout>
      </c:layout>
      <c:barChart>
        <c:barDir val="col"/>
        <c:grouping val="clustered"/>
        <c:varyColors val="0"/>
        <c:ser>
          <c:idx val="0"/>
          <c:order val="0"/>
          <c:tx>
            <c:strRef>
              <c:f>'Gestión de Cuentas 2020-2025'!$C$59</c:f>
              <c:strCache>
                <c:ptCount val="1"/>
                <c:pt idx="0">
                  <c:v>Aperturas</c:v>
                </c:pt>
              </c:strCache>
            </c:strRef>
          </c:tx>
          <c:spPr>
            <a:solidFill>
              <a:srgbClr val="00ADDD">
                <a:alpha val="84706"/>
              </a:srgbClr>
            </a:solidFill>
            <a:ln w="9525" cap="flat" cmpd="sng" algn="ctr">
              <a:solidFill>
                <a:schemeClr val="lt1">
                  <a:alpha val="50000"/>
                </a:schemeClr>
              </a:solidFill>
              <a:round/>
            </a:ln>
            <a:effectLst/>
          </c:spPr>
          <c:invertIfNegative val="0"/>
          <c:dLbls>
            <c:dLbl>
              <c:idx val="0"/>
              <c:layout>
                <c:manualLayout>
                  <c:x val="2.525252525252502E-3"/>
                  <c:y val="9.469349244689746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2CD-4141-B803-9BC5B2AF5F6E}"/>
                </c:ext>
              </c:extLst>
            </c:dLbl>
            <c:spPr>
              <a:noFill/>
              <a:ln>
                <a:noFill/>
              </a:ln>
              <a:effectLst/>
            </c:spPr>
            <c:txPr>
              <a:bodyPr rot="0" spcFirstLastPara="1" vertOverflow="ellipsis" vert="horz" wrap="square" anchor="ctr" anchorCtr="1"/>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'Gestión de Cuentas 2020-2025'!$P$58</c:f>
              <c:strCache>
                <c:ptCount val="1"/>
                <c:pt idx="0">
                  <c:v>Total</c:v>
                </c:pt>
              </c:strCache>
            </c:strRef>
          </c:cat>
          <c:val>
            <c:numRef>
              <c:f>'Gestión de Cuentas 2020-2025'!$P$59</c:f>
              <c:numCache>
                <c:formatCode>#,##0</c:formatCode>
                <c:ptCount val="1"/>
                <c:pt idx="0">
                  <c:v>341</c:v>
                </c:pt>
              </c:numCache>
            </c:numRef>
          </c:val>
          <c:extLst>
            <c:ext xmlns:c16="http://schemas.microsoft.com/office/drawing/2014/chart" uri="{C3380CC4-5D6E-409C-BE32-E72D297353CC}">
              <c16:uniqueId val="{00000001-02CD-4141-B803-9BC5B2AF5F6E}"/>
            </c:ext>
          </c:extLst>
        </c:ser>
        <c:ser>
          <c:idx val="1"/>
          <c:order val="1"/>
          <c:tx>
            <c:strRef>
              <c:f>'Gestión de Cuentas 2020-2025'!$C$60</c:f>
              <c:strCache>
                <c:ptCount val="1"/>
                <c:pt idx="0">
                  <c:v>Registro y Sustitución de firma</c:v>
                </c:pt>
              </c:strCache>
            </c:strRef>
          </c:tx>
          <c:spPr>
            <a:solidFill>
              <a:schemeClr val="accent2">
                <a:alpha val="85000"/>
              </a:schemeClr>
            </a:solidFill>
            <a:ln w="9525" cap="flat" cmpd="sng" algn="ctr">
              <a:solidFill>
                <a:schemeClr val="lt1">
                  <a:alpha val="50000"/>
                </a:schemeClr>
              </a:solidFill>
              <a:round/>
            </a:ln>
            <a:effectLst/>
          </c:spPr>
          <c:invertIfNegative val="0"/>
          <c:dPt>
            <c:idx val="0"/>
            <c:invertIfNegative val="0"/>
            <c:bubble3D val="0"/>
            <c:spPr>
              <a:solidFill>
                <a:srgbClr val="47A8EA">
                  <a:alpha val="84706"/>
                </a:srgbClr>
              </a:solidFill>
              <a:ln w="9525" cap="flat" cmpd="sng" algn="ctr">
                <a:solidFill>
                  <a:schemeClr val="lt1">
                    <a:alpha val="50000"/>
                  </a:schemeClr>
                </a:solidFill>
                <a:round/>
              </a:ln>
              <a:effectLst/>
            </c:spPr>
            <c:extLst>
              <c:ext xmlns:c16="http://schemas.microsoft.com/office/drawing/2014/chart" uri="{C3380CC4-5D6E-409C-BE32-E72D297353CC}">
                <c16:uniqueId val="{00000003-02CD-4141-B803-9BC5B2AF5F6E}"/>
              </c:ext>
            </c:extLst>
          </c:dPt>
          <c:dLbls>
            <c:dLbl>
              <c:idx val="0"/>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2CD-4141-B803-9BC5B2AF5F6E}"/>
                </c:ext>
              </c:extLst>
            </c:dLbl>
            <c:spPr>
              <a:noFill/>
              <a:ln>
                <a:noFill/>
              </a:ln>
              <a:effectLst/>
            </c:spPr>
            <c:txPr>
              <a:bodyPr rot="0" spcFirstLastPara="1" vertOverflow="ellipsis" vert="horz" wrap="square" anchor="ctr" anchorCtr="1"/>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'Gestión de Cuentas 2020-2025'!$P$58</c:f>
              <c:strCache>
                <c:ptCount val="1"/>
                <c:pt idx="0">
                  <c:v>Total</c:v>
                </c:pt>
              </c:strCache>
            </c:strRef>
          </c:cat>
          <c:val>
            <c:numRef>
              <c:f>'Gestión de Cuentas 2020-2025'!$P$60</c:f>
              <c:numCache>
                <c:formatCode>#,##0</c:formatCode>
                <c:ptCount val="1"/>
                <c:pt idx="0">
                  <c:v>1512</c:v>
                </c:pt>
              </c:numCache>
            </c:numRef>
          </c:val>
          <c:extLst>
            <c:ext xmlns:c16="http://schemas.microsoft.com/office/drawing/2014/chart" uri="{C3380CC4-5D6E-409C-BE32-E72D297353CC}">
              <c16:uniqueId val="{00000004-02CD-4141-B803-9BC5B2AF5F6E}"/>
            </c:ext>
          </c:extLst>
        </c:ser>
        <c:ser>
          <c:idx val="2"/>
          <c:order val="2"/>
          <c:tx>
            <c:strRef>
              <c:f>'Gestión de Cuentas 2020-2025'!$C$61</c:f>
              <c:strCache>
                <c:ptCount val="1"/>
                <c:pt idx="0">
                  <c:v>Cierre</c:v>
                </c:pt>
              </c:strCache>
            </c:strRef>
          </c:tx>
          <c:spPr>
            <a:solidFill>
              <a:srgbClr val="436EBE">
                <a:alpha val="84706"/>
              </a:srgbClr>
            </a:solidFill>
            <a:ln w="9525" cap="flat" cmpd="sng" algn="ctr">
              <a:solidFill>
                <a:schemeClr val="lt1">
                  <a:alpha val="50000"/>
                </a:schemeClr>
              </a:solidFill>
              <a:round/>
            </a:ln>
            <a:effectLst/>
          </c:spPr>
          <c:invertIfNegative val="0"/>
          <c:dLbls>
            <c:dLbl>
              <c:idx val="0"/>
              <c:layout>
                <c:manualLayout>
                  <c:x val="-9.2591522967418133E-17"/>
                  <c:y val="1.0687664041994751E-2"/>
                </c:manualLayout>
              </c:layout>
              <c:spPr>
                <a:noFill/>
                <a:ln>
                  <a:noFill/>
                </a:ln>
                <a:effectLst/>
              </c:spPr>
              <c:txPr>
                <a:bodyPr rot="0" spcFirstLastPara="1" vertOverflow="ellipsis" vert="horz" wrap="square" anchor="ctr" anchorCtr="1"/>
                <a:lstStyle/>
                <a:p>
                  <a:pPr>
                    <a:defRPr sz="12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2CD-4141-B803-9BC5B2AF5F6E}"/>
                </c:ext>
              </c:extLst>
            </c:dLbl>
            <c:spPr>
              <a:noFill/>
              <a:ln>
                <a:noFill/>
              </a:ln>
              <a:effectLst/>
            </c:spPr>
            <c:txPr>
              <a:bodyPr rot="0" spcFirstLastPara="1" vertOverflow="ellipsis" vert="horz" wrap="square" anchor="ctr" anchorCtr="1"/>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'Gestión de Cuentas 2020-2025'!$P$58</c:f>
              <c:strCache>
                <c:ptCount val="1"/>
                <c:pt idx="0">
                  <c:v>Total</c:v>
                </c:pt>
              </c:strCache>
            </c:strRef>
          </c:cat>
          <c:val>
            <c:numRef>
              <c:f>'Gestión de Cuentas 2020-2025'!$P$61</c:f>
              <c:numCache>
                <c:formatCode>#,##0</c:formatCode>
                <c:ptCount val="1"/>
                <c:pt idx="0">
                  <c:v>120</c:v>
                </c:pt>
              </c:numCache>
            </c:numRef>
          </c:val>
          <c:extLst>
            <c:ext xmlns:c16="http://schemas.microsoft.com/office/drawing/2014/chart" uri="{C3380CC4-5D6E-409C-BE32-E72D297353CC}">
              <c16:uniqueId val="{00000006-02CD-4141-B803-9BC5B2AF5F6E}"/>
            </c:ext>
          </c:extLst>
        </c:ser>
        <c:ser>
          <c:idx val="3"/>
          <c:order val="3"/>
          <c:tx>
            <c:strRef>
              <c:f>'Gestión de Cuentas 2020-2025'!$C$62</c:f>
              <c:strCache>
                <c:ptCount val="1"/>
                <c:pt idx="0">
                  <c:v>Cambio de RNC y/o RS</c:v>
                </c:pt>
              </c:strCache>
            </c:strRef>
          </c:tx>
          <c:spPr>
            <a:solidFill>
              <a:srgbClr val="FFDE59">
                <a:alpha val="84706"/>
              </a:srgb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'Gestión de Cuentas 2020-2025'!$P$58</c:f>
              <c:strCache>
                <c:ptCount val="1"/>
                <c:pt idx="0">
                  <c:v>Total</c:v>
                </c:pt>
              </c:strCache>
            </c:strRef>
          </c:cat>
          <c:val>
            <c:numRef>
              <c:f>'Gestión de Cuentas 2020-2025'!$P$62</c:f>
              <c:numCache>
                <c:formatCode>#,##0</c:formatCode>
                <c:ptCount val="1"/>
                <c:pt idx="0">
                  <c:v>21</c:v>
                </c:pt>
              </c:numCache>
            </c:numRef>
          </c:val>
          <c:extLst>
            <c:ext xmlns:c16="http://schemas.microsoft.com/office/drawing/2014/chart" uri="{C3380CC4-5D6E-409C-BE32-E72D297353CC}">
              <c16:uniqueId val="{00000007-02CD-4141-B803-9BC5B2AF5F6E}"/>
            </c:ext>
          </c:extLst>
        </c:ser>
        <c:ser>
          <c:idx val="4"/>
          <c:order val="4"/>
          <c:tx>
            <c:strRef>
              <c:f>'Gestión de Cuentas 2020-2025'!$C$63</c:f>
              <c:strCache>
                <c:ptCount val="1"/>
                <c:pt idx="0">
                  <c:v>Exclusión</c:v>
                </c:pt>
              </c:strCache>
            </c:strRef>
          </c:tx>
          <c:spPr>
            <a:solidFill>
              <a:srgbClr val="00ADDD">
                <a:alpha val="84706"/>
              </a:srgbClr>
            </a:solidFill>
            <a:ln w="9525" cap="flat" cmpd="sng" algn="ctr">
              <a:solidFill>
                <a:schemeClr val="lt1">
                  <a:alpha val="50000"/>
                </a:schemeClr>
              </a:solidFill>
              <a:round/>
            </a:ln>
            <a:effectLst/>
          </c:spPr>
          <c:invertIfNegative val="0"/>
          <c:dLbls>
            <c:dLbl>
              <c:idx val="0"/>
              <c:layout>
                <c:manualLayout>
                  <c:x val="1.0074026245218059E-3"/>
                  <c:y val="2.9030307353803872E-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2CD-4141-B803-9BC5B2AF5F6E}"/>
                </c:ext>
              </c:extLst>
            </c:dLbl>
            <c:spPr>
              <a:noFill/>
              <a:ln>
                <a:noFill/>
              </a:ln>
              <a:effectLst/>
            </c:spPr>
            <c:txPr>
              <a:bodyPr rot="0" spcFirstLastPara="1" vertOverflow="ellipsis" vert="horz" wrap="square" anchor="ctr" anchorCtr="1"/>
              <a:lstStyle/>
              <a:p>
                <a:pPr>
                  <a:defRPr sz="12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'Gestión de Cuentas 2020-2025'!$P$58</c:f>
              <c:strCache>
                <c:ptCount val="1"/>
                <c:pt idx="0">
                  <c:v>Total</c:v>
                </c:pt>
              </c:strCache>
            </c:strRef>
          </c:cat>
          <c:val>
            <c:numRef>
              <c:f>'Gestión de Cuentas 2020-2025'!$P$63</c:f>
              <c:numCache>
                <c:formatCode>#,##0</c:formatCode>
                <c:ptCount val="1"/>
                <c:pt idx="0">
                  <c:v>53</c:v>
                </c:pt>
              </c:numCache>
            </c:numRef>
          </c:val>
          <c:extLst>
            <c:ext xmlns:c16="http://schemas.microsoft.com/office/drawing/2014/chart" uri="{C3380CC4-5D6E-409C-BE32-E72D297353CC}">
              <c16:uniqueId val="{00000009-02CD-4141-B803-9BC5B2AF5F6E}"/>
            </c:ext>
          </c:extLst>
        </c:ser>
        <c:ser>
          <c:idx val="5"/>
          <c:order val="5"/>
          <c:tx>
            <c:strRef>
              <c:f>'Gestión de Cuentas 2020-2025'!$C$64</c:f>
              <c:strCache>
                <c:ptCount val="1"/>
                <c:pt idx="0">
                  <c:v>Total</c:v>
                </c:pt>
              </c:strCache>
            </c:strRef>
          </c:tx>
          <c:spPr>
            <a:solidFill>
              <a:srgbClr val="41CEDA">
                <a:alpha val="84706"/>
              </a:srgbClr>
            </a:solidFill>
            <a:ln w="9525" cap="flat" cmpd="sng" algn="ctr">
              <a:solidFill>
                <a:schemeClr val="lt1">
                  <a:alpha val="50000"/>
                </a:schemeClr>
              </a:solidFill>
              <a:round/>
            </a:ln>
            <a:effectLst/>
          </c:spPr>
          <c:invertIfNegative val="0"/>
          <c:dLbls>
            <c:dLbl>
              <c:idx val="0"/>
              <c:layout>
                <c:manualLayout>
                  <c:x val="-1.0074026245219538E-3"/>
                  <c:y val="0.2905018001661293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2CD-4141-B803-9BC5B2AF5F6E}"/>
                </c:ext>
              </c:extLst>
            </c:dLbl>
            <c:spPr>
              <a:noFill/>
              <a:ln>
                <a:noFill/>
              </a:ln>
              <a:effectLst/>
            </c:spPr>
            <c:txPr>
              <a:bodyPr rot="0" spcFirstLastPara="1" vertOverflow="ellipsis" vert="horz" wrap="square" anchor="ctr" anchorCtr="1"/>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'Gestión de Cuentas 2020-2025'!$P$58</c:f>
              <c:strCache>
                <c:ptCount val="1"/>
                <c:pt idx="0">
                  <c:v>Total</c:v>
                </c:pt>
              </c:strCache>
            </c:strRef>
          </c:cat>
          <c:val>
            <c:numRef>
              <c:f>'Gestión de Cuentas 2020-2025'!$P$64</c:f>
              <c:numCache>
                <c:formatCode>#,##0</c:formatCode>
                <c:ptCount val="1"/>
                <c:pt idx="0">
                  <c:v>2047</c:v>
                </c:pt>
              </c:numCache>
            </c:numRef>
          </c:val>
          <c:extLst>
            <c:ext xmlns:c16="http://schemas.microsoft.com/office/drawing/2014/chart" uri="{C3380CC4-5D6E-409C-BE32-E72D297353CC}">
              <c16:uniqueId val="{0000000B-02CD-4141-B803-9BC5B2AF5F6E}"/>
            </c:ext>
          </c:extLst>
        </c:ser>
        <c:dLbls>
          <c:showLegendKey val="0"/>
          <c:showVal val="0"/>
          <c:showCatName val="0"/>
          <c:showSerName val="0"/>
          <c:showPercent val="0"/>
          <c:showBubbleSize val="0"/>
        </c:dLbls>
        <c:gapWidth val="150"/>
        <c:axId val="443366648"/>
        <c:axId val="443362056"/>
      </c:barChart>
      <c:catAx>
        <c:axId val="443366648"/>
        <c:scaling>
          <c:orientation val="minMax"/>
        </c:scaling>
        <c:delete val="1"/>
        <c:axPos val="b"/>
        <c:numFmt formatCode="General" sourceLinked="1"/>
        <c:majorTickMark val="none"/>
        <c:minorTickMark val="none"/>
        <c:tickLblPos val="nextTo"/>
        <c:crossAx val="443362056"/>
        <c:crosses val="autoZero"/>
        <c:auto val="1"/>
        <c:lblAlgn val="ctr"/>
        <c:lblOffset val="100"/>
        <c:noMultiLvlLbl val="0"/>
      </c:catAx>
      <c:valAx>
        <c:axId val="44336205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443366648"/>
        <c:crosses val="autoZero"/>
        <c:crossBetween val="between"/>
      </c:valAx>
      <c:spPr>
        <a:noFill/>
        <a:ln>
          <a:noFill/>
        </a:ln>
        <a:effectLst/>
      </c:spPr>
    </c:plotArea>
    <c:legend>
      <c:legendPos val="b"/>
      <c:layout>
        <c:manualLayout>
          <c:xMode val="edge"/>
          <c:yMode val="edge"/>
          <c:x val="5.7575757575757579E-2"/>
          <c:y val="0.85203774830280443"/>
          <c:w val="0.9"/>
          <c:h val="7.5964308781278911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sz="7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200">
                <a:solidFill>
                  <a:srgbClr val="767171"/>
                </a:solidFill>
              </a:rPr>
              <a:t>Roles UEPEX Gestionados</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6.746987951807229E-2"/>
          <c:y val="0.27807058823529412"/>
          <c:w val="0.66272004553647657"/>
          <c:h val="0.4292316813339509"/>
        </c:manualLayout>
      </c:layout>
      <c:barChart>
        <c:barDir val="col"/>
        <c:grouping val="clustered"/>
        <c:varyColors val="0"/>
        <c:ser>
          <c:idx val="1"/>
          <c:order val="0"/>
          <c:tx>
            <c:strRef>
              <c:f>'Roles (TN-TI-T.UEPEX)'!$R$46:$R$47</c:f>
              <c:strCache>
                <c:ptCount val="2"/>
                <c:pt idx="0">
                  <c:v>2025</c:v>
                </c:pt>
                <c:pt idx="1">
                  <c:v>Ene</c:v>
                </c:pt>
              </c:strCache>
            </c:strRef>
          </c:tx>
          <c:spPr>
            <a:solidFill>
              <a:srgbClr val="7D8589"/>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'Roles (TN-TI-T.UEPEX)'!$Q$49</c:f>
              <c:strCache>
                <c:ptCount val="1"/>
                <c:pt idx="0">
                  <c:v>Roles Torero UEPEX</c:v>
                </c:pt>
              </c:strCache>
            </c:strRef>
          </c:cat>
          <c:val>
            <c:numRef>
              <c:f>'Roles (TN-TI-T.UEPEX)'!$R$49</c:f>
              <c:numCache>
                <c:formatCode>General</c:formatCode>
                <c:ptCount val="1"/>
                <c:pt idx="0">
                  <c:v>2</c:v>
                </c:pt>
              </c:numCache>
            </c:numRef>
          </c:val>
          <c:extLst>
            <c:ext xmlns:c16="http://schemas.microsoft.com/office/drawing/2014/chart" uri="{C3380CC4-5D6E-409C-BE32-E72D297353CC}">
              <c16:uniqueId val="{00000000-7FF2-419F-ACA0-2771F20F0A05}"/>
            </c:ext>
          </c:extLst>
        </c:ser>
        <c:ser>
          <c:idx val="2"/>
          <c:order val="1"/>
          <c:tx>
            <c:strRef>
              <c:f>'Roles (TN-TI-T.UEPEX)'!$S$46:$S$47</c:f>
              <c:strCache>
                <c:ptCount val="2"/>
                <c:pt idx="0">
                  <c:v>2025</c:v>
                </c:pt>
                <c:pt idx="1">
                  <c:v>Feb</c:v>
                </c:pt>
              </c:strCache>
            </c:strRef>
          </c:tx>
          <c:spPr>
            <a:solidFill>
              <a:srgbClr val="7D8589"/>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'Roles (TN-TI-T.UEPEX)'!$Q$49</c:f>
              <c:strCache>
                <c:ptCount val="1"/>
                <c:pt idx="0">
                  <c:v>Roles Torero UEPEX</c:v>
                </c:pt>
              </c:strCache>
            </c:strRef>
          </c:cat>
          <c:val>
            <c:numRef>
              <c:f>'Roles (TN-TI-T.UEPEX)'!$S$49</c:f>
              <c:numCache>
                <c:formatCode>General</c:formatCode>
                <c:ptCount val="1"/>
                <c:pt idx="0">
                  <c:v>1</c:v>
                </c:pt>
              </c:numCache>
            </c:numRef>
          </c:val>
          <c:extLst>
            <c:ext xmlns:c16="http://schemas.microsoft.com/office/drawing/2014/chart" uri="{C3380CC4-5D6E-409C-BE32-E72D297353CC}">
              <c16:uniqueId val="{00000001-7FF2-419F-ACA0-2771F20F0A05}"/>
            </c:ext>
          </c:extLst>
        </c:ser>
        <c:ser>
          <c:idx val="3"/>
          <c:order val="2"/>
          <c:tx>
            <c:strRef>
              <c:f>'Roles (TN-TI-T.UEPEX)'!$T$46:$T$47</c:f>
              <c:strCache>
                <c:ptCount val="2"/>
                <c:pt idx="0">
                  <c:v>2025</c:v>
                </c:pt>
                <c:pt idx="1">
                  <c:v>Mar</c:v>
                </c:pt>
              </c:strCache>
            </c:strRef>
          </c:tx>
          <c:spPr>
            <a:solidFill>
              <a:srgbClr val="7D8589"/>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'Roles (TN-TI-T.UEPEX)'!$Q$49</c:f>
              <c:strCache>
                <c:ptCount val="1"/>
                <c:pt idx="0">
                  <c:v>Roles Torero UEPEX</c:v>
                </c:pt>
              </c:strCache>
            </c:strRef>
          </c:cat>
          <c:val>
            <c:numRef>
              <c:f>'Roles (TN-TI-T.UEPEX)'!$T$49</c:f>
              <c:numCache>
                <c:formatCode>General</c:formatCode>
                <c:ptCount val="1"/>
                <c:pt idx="0">
                  <c:v>3</c:v>
                </c:pt>
              </c:numCache>
            </c:numRef>
          </c:val>
          <c:extLst>
            <c:ext xmlns:c16="http://schemas.microsoft.com/office/drawing/2014/chart" uri="{C3380CC4-5D6E-409C-BE32-E72D297353CC}">
              <c16:uniqueId val="{00000002-7FF2-419F-ACA0-2771F20F0A05}"/>
            </c:ext>
          </c:extLst>
        </c:ser>
        <c:ser>
          <c:idx val="0"/>
          <c:order val="3"/>
          <c:tx>
            <c:strRef>
              <c:f>'Roles (TN-TI-T.UEPEX)'!$U$46:$U$47</c:f>
              <c:strCache>
                <c:ptCount val="2"/>
                <c:pt idx="0">
                  <c:v>2025</c:v>
                </c:pt>
                <c:pt idx="1">
                  <c:v>Abr</c:v>
                </c:pt>
              </c:strCache>
            </c:strRef>
          </c:tx>
          <c:spPr>
            <a:solidFill>
              <a:srgbClr val="7D8589"/>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'Roles (TN-TI-T.UEPEX)'!$Q$49</c:f>
              <c:strCache>
                <c:ptCount val="1"/>
                <c:pt idx="0">
                  <c:v>Roles Torero UEPEX</c:v>
                </c:pt>
              </c:strCache>
            </c:strRef>
          </c:cat>
          <c:val>
            <c:numRef>
              <c:f>'Roles (TN-TI-T.UEPEX)'!$U$49</c:f>
              <c:numCache>
                <c:formatCode>General</c:formatCode>
                <c:ptCount val="1"/>
                <c:pt idx="0">
                  <c:v>3</c:v>
                </c:pt>
              </c:numCache>
            </c:numRef>
          </c:val>
          <c:extLst>
            <c:ext xmlns:c16="http://schemas.microsoft.com/office/drawing/2014/chart" uri="{C3380CC4-5D6E-409C-BE32-E72D297353CC}">
              <c16:uniqueId val="{00000003-7FF2-419F-ACA0-2771F20F0A05}"/>
            </c:ext>
          </c:extLst>
        </c:ser>
        <c:ser>
          <c:idx val="4"/>
          <c:order val="4"/>
          <c:tx>
            <c:strRef>
              <c:f>'Roles (TN-TI-T.UEPEX)'!$V$46:$V$47</c:f>
              <c:strCache>
                <c:ptCount val="2"/>
                <c:pt idx="0">
                  <c:v>2025</c:v>
                </c:pt>
                <c:pt idx="1">
                  <c:v>May</c:v>
                </c:pt>
              </c:strCache>
            </c:strRef>
          </c:tx>
          <c:spPr>
            <a:solidFill>
              <a:srgbClr val="7D8589"/>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'Roles (TN-TI-T.UEPEX)'!$Q$49</c:f>
              <c:strCache>
                <c:ptCount val="1"/>
                <c:pt idx="0">
                  <c:v>Roles Torero UEPEX</c:v>
                </c:pt>
              </c:strCache>
            </c:strRef>
          </c:cat>
          <c:val>
            <c:numRef>
              <c:f>'Roles (TN-TI-T.UEPEX)'!$V$49</c:f>
              <c:numCache>
                <c:formatCode>General</c:formatCode>
                <c:ptCount val="1"/>
                <c:pt idx="0">
                  <c:v>4</c:v>
                </c:pt>
              </c:numCache>
            </c:numRef>
          </c:val>
          <c:extLst>
            <c:ext xmlns:c16="http://schemas.microsoft.com/office/drawing/2014/chart" uri="{C3380CC4-5D6E-409C-BE32-E72D297353CC}">
              <c16:uniqueId val="{00000004-7FF2-419F-ACA0-2771F20F0A05}"/>
            </c:ext>
          </c:extLst>
        </c:ser>
        <c:ser>
          <c:idx val="5"/>
          <c:order val="5"/>
          <c:tx>
            <c:strRef>
              <c:f>'Roles (TN-TI-T.UEPEX)'!$W$46:$W$47</c:f>
              <c:strCache>
                <c:ptCount val="2"/>
                <c:pt idx="0">
                  <c:v>2025</c:v>
                </c:pt>
                <c:pt idx="1">
                  <c:v>Jun</c:v>
                </c:pt>
              </c:strCache>
            </c:strRef>
          </c:tx>
          <c:spPr>
            <a:solidFill>
              <a:srgbClr val="7D8589"/>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'Roles (TN-TI-T.UEPEX)'!$Q$49</c:f>
              <c:strCache>
                <c:ptCount val="1"/>
                <c:pt idx="0">
                  <c:v>Roles Torero UEPEX</c:v>
                </c:pt>
              </c:strCache>
            </c:strRef>
          </c:cat>
          <c:val>
            <c:numRef>
              <c:f>'Roles (TN-TI-T.UEPEX)'!$W$49</c:f>
              <c:numCache>
                <c:formatCode>General</c:formatCode>
                <c:ptCount val="1"/>
                <c:pt idx="0">
                  <c:v>5</c:v>
                </c:pt>
              </c:numCache>
            </c:numRef>
          </c:val>
          <c:extLst>
            <c:ext xmlns:c16="http://schemas.microsoft.com/office/drawing/2014/chart" uri="{C3380CC4-5D6E-409C-BE32-E72D297353CC}">
              <c16:uniqueId val="{00000005-7FF2-419F-ACA0-2771F20F0A05}"/>
            </c:ext>
          </c:extLst>
        </c:ser>
        <c:ser>
          <c:idx val="6"/>
          <c:order val="6"/>
          <c:tx>
            <c:strRef>
              <c:f>'Roles (TN-TI-T.UEPEX)'!$X$46:$X$47</c:f>
              <c:strCache>
                <c:ptCount val="2"/>
                <c:pt idx="0">
                  <c:v>2025</c:v>
                </c:pt>
                <c:pt idx="1">
                  <c:v>Jul</c:v>
                </c:pt>
              </c:strCache>
            </c:strRef>
          </c:tx>
          <c:spPr>
            <a:solidFill>
              <a:srgbClr val="7D8589"/>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'Roles (TN-TI-T.UEPEX)'!$Q$49</c:f>
              <c:strCache>
                <c:ptCount val="1"/>
                <c:pt idx="0">
                  <c:v>Roles Torero UEPEX</c:v>
                </c:pt>
              </c:strCache>
            </c:strRef>
          </c:cat>
          <c:val>
            <c:numRef>
              <c:f>'Roles (TN-TI-T.UEPEX)'!$X$49</c:f>
              <c:numCache>
                <c:formatCode>General</c:formatCode>
                <c:ptCount val="1"/>
                <c:pt idx="0">
                  <c:v>1</c:v>
                </c:pt>
              </c:numCache>
            </c:numRef>
          </c:val>
          <c:extLst>
            <c:ext xmlns:c16="http://schemas.microsoft.com/office/drawing/2014/chart" uri="{C3380CC4-5D6E-409C-BE32-E72D297353CC}">
              <c16:uniqueId val="{00000006-7FF2-419F-ACA0-2771F20F0A05}"/>
            </c:ext>
          </c:extLst>
        </c:ser>
        <c:ser>
          <c:idx val="7"/>
          <c:order val="7"/>
          <c:tx>
            <c:strRef>
              <c:f>'Roles (TN-TI-T.UEPEX)'!$Y$46:$Y$47</c:f>
              <c:strCache>
                <c:ptCount val="2"/>
                <c:pt idx="0">
                  <c:v>2025</c:v>
                </c:pt>
                <c:pt idx="1">
                  <c:v>Ago</c:v>
                </c:pt>
              </c:strCache>
            </c:strRef>
          </c:tx>
          <c:spPr>
            <a:solidFill>
              <a:srgbClr val="7D8589"/>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'Roles (TN-TI-T.UEPEX)'!$Q$49</c:f>
              <c:strCache>
                <c:ptCount val="1"/>
                <c:pt idx="0">
                  <c:v>Roles Torero UEPEX</c:v>
                </c:pt>
              </c:strCache>
            </c:strRef>
          </c:cat>
          <c:val>
            <c:numRef>
              <c:f>'Roles (TN-TI-T.UEPEX)'!$Y$49</c:f>
              <c:numCache>
                <c:formatCode>General</c:formatCode>
                <c:ptCount val="1"/>
                <c:pt idx="0">
                  <c:v>2</c:v>
                </c:pt>
              </c:numCache>
            </c:numRef>
          </c:val>
          <c:extLst>
            <c:ext xmlns:c16="http://schemas.microsoft.com/office/drawing/2014/chart" uri="{C3380CC4-5D6E-409C-BE32-E72D297353CC}">
              <c16:uniqueId val="{00000007-7FF2-419F-ACA0-2771F20F0A05}"/>
            </c:ext>
          </c:extLst>
        </c:ser>
        <c:ser>
          <c:idx val="8"/>
          <c:order val="8"/>
          <c:tx>
            <c:strRef>
              <c:f>'Roles (TN-TI-T.UEPEX)'!$Z$46:$Z$47</c:f>
              <c:strCache>
                <c:ptCount val="2"/>
                <c:pt idx="0">
                  <c:v>2025</c:v>
                </c:pt>
                <c:pt idx="1">
                  <c:v>Sep</c:v>
                </c:pt>
              </c:strCache>
            </c:strRef>
          </c:tx>
          <c:spPr>
            <a:solidFill>
              <a:srgbClr val="7D8589"/>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'Roles (TN-TI-T.UEPEX)'!$Q$49</c:f>
              <c:strCache>
                <c:ptCount val="1"/>
                <c:pt idx="0">
                  <c:v>Roles Torero UEPEX</c:v>
                </c:pt>
              </c:strCache>
            </c:strRef>
          </c:cat>
          <c:val>
            <c:numRef>
              <c:f>'Roles (TN-TI-T.UEPEX)'!$Z$49</c:f>
              <c:numCache>
                <c:formatCode>General</c:formatCode>
                <c:ptCount val="1"/>
                <c:pt idx="0">
                  <c:v>2</c:v>
                </c:pt>
              </c:numCache>
            </c:numRef>
          </c:val>
          <c:extLst>
            <c:ext xmlns:c16="http://schemas.microsoft.com/office/drawing/2014/chart" uri="{C3380CC4-5D6E-409C-BE32-E72D297353CC}">
              <c16:uniqueId val="{00000008-7FF2-419F-ACA0-2771F20F0A05}"/>
            </c:ext>
          </c:extLst>
        </c:ser>
        <c:ser>
          <c:idx val="9"/>
          <c:order val="9"/>
          <c:tx>
            <c:strRef>
              <c:f>'Roles (TN-TI-T.UEPEX)'!$AA$46:$AA$47</c:f>
              <c:strCache>
                <c:ptCount val="2"/>
                <c:pt idx="0">
                  <c:v>2025</c:v>
                </c:pt>
                <c:pt idx="1">
                  <c:v>Oct</c:v>
                </c:pt>
              </c:strCache>
            </c:strRef>
          </c:tx>
          <c:spPr>
            <a:solidFill>
              <a:srgbClr val="7D8589"/>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'Roles (TN-TI-T.UEPEX)'!$Q$49</c:f>
              <c:strCache>
                <c:ptCount val="1"/>
                <c:pt idx="0">
                  <c:v>Roles Torero UEPEX</c:v>
                </c:pt>
              </c:strCache>
            </c:strRef>
          </c:cat>
          <c:val>
            <c:numRef>
              <c:f>'Roles (TN-TI-T.UEPEX)'!$AA$49</c:f>
              <c:numCache>
                <c:formatCode>General</c:formatCode>
                <c:ptCount val="1"/>
                <c:pt idx="0">
                  <c:v>1</c:v>
                </c:pt>
              </c:numCache>
            </c:numRef>
          </c:val>
          <c:extLst>
            <c:ext xmlns:c16="http://schemas.microsoft.com/office/drawing/2014/chart" uri="{C3380CC4-5D6E-409C-BE32-E72D297353CC}">
              <c16:uniqueId val="{00000009-7FF2-419F-ACA0-2771F20F0A05}"/>
            </c:ext>
          </c:extLst>
        </c:ser>
        <c:ser>
          <c:idx val="10"/>
          <c:order val="10"/>
          <c:tx>
            <c:strRef>
              <c:f>'Roles (TN-TI-T.UEPEX)'!$AB$46:$AB$47</c:f>
              <c:strCache>
                <c:ptCount val="2"/>
                <c:pt idx="0">
                  <c:v>2025</c:v>
                </c:pt>
                <c:pt idx="1">
                  <c:v>Nov</c:v>
                </c:pt>
              </c:strCache>
            </c:strRef>
          </c:tx>
          <c:spPr>
            <a:solidFill>
              <a:srgbClr val="7D8589"/>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'Roles (TN-TI-T.UEPEX)'!$Q$49</c:f>
              <c:strCache>
                <c:ptCount val="1"/>
                <c:pt idx="0">
                  <c:v>Roles Torero UEPEX</c:v>
                </c:pt>
              </c:strCache>
            </c:strRef>
          </c:cat>
          <c:val>
            <c:numRef>
              <c:f>'Roles (TN-TI-T.UEPEX)'!$AB$49</c:f>
              <c:numCache>
                <c:formatCode>General</c:formatCode>
                <c:ptCount val="1"/>
                <c:pt idx="0">
                  <c:v>2</c:v>
                </c:pt>
              </c:numCache>
            </c:numRef>
          </c:val>
          <c:extLst>
            <c:ext xmlns:c16="http://schemas.microsoft.com/office/drawing/2014/chart" uri="{C3380CC4-5D6E-409C-BE32-E72D297353CC}">
              <c16:uniqueId val="{0000000A-7FF2-419F-ACA0-2771F20F0A05}"/>
            </c:ext>
          </c:extLst>
        </c:ser>
        <c:ser>
          <c:idx val="11"/>
          <c:order val="11"/>
          <c:tx>
            <c:strRef>
              <c:f>'Roles (TN-TI-T.UEPEX)'!$AC$46:$AC$47</c:f>
              <c:strCache>
                <c:ptCount val="2"/>
                <c:pt idx="0">
                  <c:v>2025</c:v>
                </c:pt>
                <c:pt idx="1">
                  <c:v>Dic</c:v>
                </c:pt>
              </c:strCache>
            </c:strRef>
          </c:tx>
          <c:spPr>
            <a:solidFill>
              <a:srgbClr val="7D8589"/>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'Roles (TN-TI-T.UEPEX)'!$Q$49</c:f>
              <c:strCache>
                <c:ptCount val="1"/>
                <c:pt idx="0">
                  <c:v>Roles Torero UEPEX</c:v>
                </c:pt>
              </c:strCache>
            </c:strRef>
          </c:cat>
          <c:val>
            <c:numRef>
              <c:f>'Roles (TN-TI-T.UEPEX)'!$AC$49</c:f>
              <c:numCache>
                <c:formatCode>General</c:formatCode>
                <c:ptCount val="1"/>
                <c:pt idx="0">
                  <c:v>5</c:v>
                </c:pt>
              </c:numCache>
            </c:numRef>
          </c:val>
          <c:extLst>
            <c:ext xmlns:c16="http://schemas.microsoft.com/office/drawing/2014/chart" uri="{C3380CC4-5D6E-409C-BE32-E72D297353CC}">
              <c16:uniqueId val="{0000000B-7FF2-419F-ACA0-2771F20F0A05}"/>
            </c:ext>
          </c:extLst>
        </c:ser>
        <c:dLbls>
          <c:showLegendKey val="0"/>
          <c:showVal val="0"/>
          <c:showCatName val="0"/>
          <c:showSerName val="0"/>
          <c:showPercent val="0"/>
          <c:showBubbleSize val="0"/>
        </c:dLbls>
        <c:gapWidth val="150"/>
        <c:axId val="329157752"/>
        <c:axId val="329157032"/>
      </c:barChart>
      <c:catAx>
        <c:axId val="3291577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329157032"/>
        <c:crosses val="autoZero"/>
        <c:auto val="1"/>
        <c:lblAlgn val="ctr"/>
        <c:lblOffset val="100"/>
        <c:noMultiLvlLbl val="0"/>
      </c:catAx>
      <c:valAx>
        <c:axId val="32915703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3291577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200">
                <a:solidFill>
                  <a:srgbClr val="767171"/>
                </a:solidFill>
              </a:rPr>
              <a:t>Roles TI Gestionados</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4.8458149779735685E-2"/>
          <c:y val="0.25101654846335697"/>
          <c:w val="0.69169343369523739"/>
          <c:h val="0.45490180748683012"/>
        </c:manualLayout>
      </c:layout>
      <c:barChart>
        <c:barDir val="col"/>
        <c:grouping val="clustered"/>
        <c:varyColors val="0"/>
        <c:ser>
          <c:idx val="1"/>
          <c:order val="0"/>
          <c:tx>
            <c:strRef>
              <c:f>'Roles (TN-TI-T.UEPEX)'!$R$46:$R$47</c:f>
              <c:strCache>
                <c:ptCount val="2"/>
                <c:pt idx="0">
                  <c:v>2025</c:v>
                </c:pt>
                <c:pt idx="1">
                  <c:v>Ene</c:v>
                </c:pt>
              </c:strCache>
            </c:strRef>
          </c:tx>
          <c:spPr>
            <a:solidFill>
              <a:srgbClr val="011C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'Roles (TN-TI-T.UEPEX)'!$Q$48</c:f>
              <c:strCache>
                <c:ptCount val="1"/>
                <c:pt idx="0">
                  <c:v>Roles Tesorero Institucional</c:v>
                </c:pt>
              </c:strCache>
            </c:strRef>
          </c:cat>
          <c:val>
            <c:numRef>
              <c:f>'Roles (TN-TI-T.UEPEX)'!$R$48</c:f>
              <c:numCache>
                <c:formatCode>General</c:formatCode>
                <c:ptCount val="1"/>
                <c:pt idx="0">
                  <c:v>8</c:v>
                </c:pt>
              </c:numCache>
            </c:numRef>
          </c:val>
          <c:extLst>
            <c:ext xmlns:c16="http://schemas.microsoft.com/office/drawing/2014/chart" uri="{C3380CC4-5D6E-409C-BE32-E72D297353CC}">
              <c16:uniqueId val="{00000000-4BCF-47AF-8ED3-8FF5A58E2596}"/>
            </c:ext>
          </c:extLst>
        </c:ser>
        <c:ser>
          <c:idx val="2"/>
          <c:order val="1"/>
          <c:tx>
            <c:strRef>
              <c:f>'Roles (TN-TI-T.UEPEX)'!$S$46:$S$47</c:f>
              <c:strCache>
                <c:ptCount val="2"/>
                <c:pt idx="0">
                  <c:v>2025</c:v>
                </c:pt>
                <c:pt idx="1">
                  <c:v>Feb</c:v>
                </c:pt>
              </c:strCache>
            </c:strRef>
          </c:tx>
          <c:spPr>
            <a:solidFill>
              <a:srgbClr val="011C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'Roles (TN-TI-T.UEPEX)'!$Q$48</c:f>
              <c:strCache>
                <c:ptCount val="1"/>
                <c:pt idx="0">
                  <c:v>Roles Tesorero Institucional</c:v>
                </c:pt>
              </c:strCache>
            </c:strRef>
          </c:cat>
          <c:val>
            <c:numRef>
              <c:f>'Roles (TN-TI-T.UEPEX)'!$S$48</c:f>
              <c:numCache>
                <c:formatCode>General</c:formatCode>
                <c:ptCount val="1"/>
                <c:pt idx="0">
                  <c:v>8</c:v>
                </c:pt>
              </c:numCache>
            </c:numRef>
          </c:val>
          <c:extLst>
            <c:ext xmlns:c16="http://schemas.microsoft.com/office/drawing/2014/chart" uri="{C3380CC4-5D6E-409C-BE32-E72D297353CC}">
              <c16:uniqueId val="{00000001-4BCF-47AF-8ED3-8FF5A58E2596}"/>
            </c:ext>
          </c:extLst>
        </c:ser>
        <c:ser>
          <c:idx val="3"/>
          <c:order val="2"/>
          <c:tx>
            <c:strRef>
              <c:f>'Roles (TN-TI-T.UEPEX)'!$T$46:$T$47</c:f>
              <c:strCache>
                <c:ptCount val="2"/>
                <c:pt idx="0">
                  <c:v>2025</c:v>
                </c:pt>
                <c:pt idx="1">
                  <c:v>Mar</c:v>
                </c:pt>
              </c:strCache>
            </c:strRef>
          </c:tx>
          <c:spPr>
            <a:solidFill>
              <a:srgbClr val="011C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'Roles (TN-TI-T.UEPEX)'!$Q$48</c:f>
              <c:strCache>
                <c:ptCount val="1"/>
                <c:pt idx="0">
                  <c:v>Roles Tesorero Institucional</c:v>
                </c:pt>
              </c:strCache>
            </c:strRef>
          </c:cat>
          <c:val>
            <c:numRef>
              <c:f>'Roles (TN-TI-T.UEPEX)'!$T$48</c:f>
              <c:numCache>
                <c:formatCode>General</c:formatCode>
                <c:ptCount val="1"/>
                <c:pt idx="0">
                  <c:v>14</c:v>
                </c:pt>
              </c:numCache>
            </c:numRef>
          </c:val>
          <c:extLst>
            <c:ext xmlns:c16="http://schemas.microsoft.com/office/drawing/2014/chart" uri="{C3380CC4-5D6E-409C-BE32-E72D297353CC}">
              <c16:uniqueId val="{00000002-4BCF-47AF-8ED3-8FF5A58E2596}"/>
            </c:ext>
          </c:extLst>
        </c:ser>
        <c:ser>
          <c:idx val="0"/>
          <c:order val="3"/>
          <c:tx>
            <c:strRef>
              <c:f>'Roles (TN-TI-T.UEPEX)'!$U$46:$U$47</c:f>
              <c:strCache>
                <c:ptCount val="2"/>
                <c:pt idx="0">
                  <c:v>2025</c:v>
                </c:pt>
                <c:pt idx="1">
                  <c:v>Abr</c:v>
                </c:pt>
              </c:strCache>
            </c:strRef>
          </c:tx>
          <c:spPr>
            <a:solidFill>
              <a:schemeClr val="accent1"/>
            </a:solidFill>
            <a:ln>
              <a:noFill/>
            </a:ln>
            <a:effectLst/>
          </c:spPr>
          <c:invertIfNegative val="0"/>
          <c:cat>
            <c:strRef>
              <c:f>'Roles (TN-TI-T.UEPEX)'!$Q$48</c:f>
              <c:strCache>
                <c:ptCount val="1"/>
                <c:pt idx="0">
                  <c:v>Roles Tesorero Institucional</c:v>
                </c:pt>
              </c:strCache>
            </c:strRef>
          </c:cat>
          <c:val>
            <c:numRef>
              <c:f>'Roles (TN-TI-T.UEPEX)'!$U$48</c:f>
              <c:numCache>
                <c:formatCode>General</c:formatCode>
                <c:ptCount val="1"/>
                <c:pt idx="0">
                  <c:v>0</c:v>
                </c:pt>
              </c:numCache>
            </c:numRef>
          </c:val>
          <c:extLst>
            <c:ext xmlns:c16="http://schemas.microsoft.com/office/drawing/2014/chart" uri="{C3380CC4-5D6E-409C-BE32-E72D297353CC}">
              <c16:uniqueId val="{00000003-4BCF-47AF-8ED3-8FF5A58E2596}"/>
            </c:ext>
          </c:extLst>
        </c:ser>
        <c:ser>
          <c:idx val="4"/>
          <c:order val="4"/>
          <c:tx>
            <c:strRef>
              <c:f>'Roles (TN-TI-T.UEPEX)'!$V$46:$V$47</c:f>
              <c:strCache>
                <c:ptCount val="2"/>
                <c:pt idx="0">
                  <c:v>2025</c:v>
                </c:pt>
                <c:pt idx="1">
                  <c:v>May</c:v>
                </c:pt>
              </c:strCache>
            </c:strRef>
          </c:tx>
          <c:spPr>
            <a:solidFill>
              <a:srgbClr val="011C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'Roles (TN-TI-T.UEPEX)'!$Q$48</c:f>
              <c:strCache>
                <c:ptCount val="1"/>
                <c:pt idx="0">
                  <c:v>Roles Tesorero Institucional</c:v>
                </c:pt>
              </c:strCache>
            </c:strRef>
          </c:cat>
          <c:val>
            <c:numRef>
              <c:f>'Roles (TN-TI-T.UEPEX)'!$V$48</c:f>
              <c:numCache>
                <c:formatCode>General</c:formatCode>
                <c:ptCount val="1"/>
                <c:pt idx="0">
                  <c:v>5</c:v>
                </c:pt>
              </c:numCache>
            </c:numRef>
          </c:val>
          <c:extLst>
            <c:ext xmlns:c16="http://schemas.microsoft.com/office/drawing/2014/chart" uri="{C3380CC4-5D6E-409C-BE32-E72D297353CC}">
              <c16:uniqueId val="{00000004-4BCF-47AF-8ED3-8FF5A58E2596}"/>
            </c:ext>
          </c:extLst>
        </c:ser>
        <c:ser>
          <c:idx val="5"/>
          <c:order val="5"/>
          <c:tx>
            <c:strRef>
              <c:f>'Roles (TN-TI-T.UEPEX)'!$W$46:$W$47</c:f>
              <c:strCache>
                <c:ptCount val="2"/>
                <c:pt idx="0">
                  <c:v>2025</c:v>
                </c:pt>
                <c:pt idx="1">
                  <c:v>Jun</c:v>
                </c:pt>
              </c:strCache>
            </c:strRef>
          </c:tx>
          <c:spPr>
            <a:solidFill>
              <a:srgbClr val="011C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'Roles (TN-TI-T.UEPEX)'!$Q$48</c:f>
              <c:strCache>
                <c:ptCount val="1"/>
                <c:pt idx="0">
                  <c:v>Roles Tesorero Institucional</c:v>
                </c:pt>
              </c:strCache>
            </c:strRef>
          </c:cat>
          <c:val>
            <c:numRef>
              <c:f>'Roles (TN-TI-T.UEPEX)'!$W$48</c:f>
              <c:numCache>
                <c:formatCode>General</c:formatCode>
                <c:ptCount val="1"/>
                <c:pt idx="0">
                  <c:v>7</c:v>
                </c:pt>
              </c:numCache>
            </c:numRef>
          </c:val>
          <c:extLst>
            <c:ext xmlns:c16="http://schemas.microsoft.com/office/drawing/2014/chart" uri="{C3380CC4-5D6E-409C-BE32-E72D297353CC}">
              <c16:uniqueId val="{00000005-4BCF-47AF-8ED3-8FF5A58E2596}"/>
            </c:ext>
          </c:extLst>
        </c:ser>
        <c:ser>
          <c:idx val="6"/>
          <c:order val="6"/>
          <c:tx>
            <c:strRef>
              <c:f>'Roles (TN-TI-T.UEPEX)'!$X$46:$X$47</c:f>
              <c:strCache>
                <c:ptCount val="2"/>
                <c:pt idx="0">
                  <c:v>2025</c:v>
                </c:pt>
                <c:pt idx="1">
                  <c:v>Jul</c:v>
                </c:pt>
              </c:strCache>
            </c:strRef>
          </c:tx>
          <c:spPr>
            <a:solidFill>
              <a:srgbClr val="011C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'Roles (TN-TI-T.UEPEX)'!$Q$48</c:f>
              <c:strCache>
                <c:ptCount val="1"/>
                <c:pt idx="0">
                  <c:v>Roles Tesorero Institucional</c:v>
                </c:pt>
              </c:strCache>
            </c:strRef>
          </c:cat>
          <c:val>
            <c:numRef>
              <c:f>'Roles (TN-TI-T.UEPEX)'!$X$48</c:f>
              <c:numCache>
                <c:formatCode>General</c:formatCode>
                <c:ptCount val="1"/>
                <c:pt idx="0">
                  <c:v>6</c:v>
                </c:pt>
              </c:numCache>
            </c:numRef>
          </c:val>
          <c:extLst>
            <c:ext xmlns:c16="http://schemas.microsoft.com/office/drawing/2014/chart" uri="{C3380CC4-5D6E-409C-BE32-E72D297353CC}">
              <c16:uniqueId val="{00000006-4BCF-47AF-8ED3-8FF5A58E2596}"/>
            </c:ext>
          </c:extLst>
        </c:ser>
        <c:ser>
          <c:idx val="7"/>
          <c:order val="7"/>
          <c:tx>
            <c:strRef>
              <c:f>'Roles (TN-TI-T.UEPEX)'!$Y$46:$Y$47</c:f>
              <c:strCache>
                <c:ptCount val="2"/>
                <c:pt idx="0">
                  <c:v>2025</c:v>
                </c:pt>
                <c:pt idx="1">
                  <c:v>Ago</c:v>
                </c:pt>
              </c:strCache>
            </c:strRef>
          </c:tx>
          <c:spPr>
            <a:solidFill>
              <a:srgbClr val="011C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'Roles (TN-TI-T.UEPEX)'!$Q$48</c:f>
              <c:strCache>
                <c:ptCount val="1"/>
                <c:pt idx="0">
                  <c:v>Roles Tesorero Institucional</c:v>
                </c:pt>
              </c:strCache>
            </c:strRef>
          </c:cat>
          <c:val>
            <c:numRef>
              <c:f>'Roles (TN-TI-T.UEPEX)'!$Y$48</c:f>
              <c:numCache>
                <c:formatCode>General</c:formatCode>
                <c:ptCount val="1"/>
                <c:pt idx="0">
                  <c:v>15</c:v>
                </c:pt>
              </c:numCache>
            </c:numRef>
          </c:val>
          <c:extLst>
            <c:ext xmlns:c16="http://schemas.microsoft.com/office/drawing/2014/chart" uri="{C3380CC4-5D6E-409C-BE32-E72D297353CC}">
              <c16:uniqueId val="{00000007-4BCF-47AF-8ED3-8FF5A58E2596}"/>
            </c:ext>
          </c:extLst>
        </c:ser>
        <c:ser>
          <c:idx val="8"/>
          <c:order val="8"/>
          <c:tx>
            <c:strRef>
              <c:f>'Roles (TN-TI-T.UEPEX)'!$Z$46:$Z$47</c:f>
              <c:strCache>
                <c:ptCount val="2"/>
                <c:pt idx="0">
                  <c:v>2025</c:v>
                </c:pt>
                <c:pt idx="1">
                  <c:v>Sep</c:v>
                </c:pt>
              </c:strCache>
            </c:strRef>
          </c:tx>
          <c:spPr>
            <a:solidFill>
              <a:srgbClr val="011C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'Roles (TN-TI-T.UEPEX)'!$Q$48</c:f>
              <c:strCache>
                <c:ptCount val="1"/>
                <c:pt idx="0">
                  <c:v>Roles Tesorero Institucional</c:v>
                </c:pt>
              </c:strCache>
            </c:strRef>
          </c:cat>
          <c:val>
            <c:numRef>
              <c:f>'Roles (TN-TI-T.UEPEX)'!$Z$48</c:f>
              <c:numCache>
                <c:formatCode>General</c:formatCode>
                <c:ptCount val="1"/>
                <c:pt idx="0">
                  <c:v>8</c:v>
                </c:pt>
              </c:numCache>
            </c:numRef>
          </c:val>
          <c:extLst>
            <c:ext xmlns:c16="http://schemas.microsoft.com/office/drawing/2014/chart" uri="{C3380CC4-5D6E-409C-BE32-E72D297353CC}">
              <c16:uniqueId val="{00000008-4BCF-47AF-8ED3-8FF5A58E2596}"/>
            </c:ext>
          </c:extLst>
        </c:ser>
        <c:ser>
          <c:idx val="9"/>
          <c:order val="9"/>
          <c:tx>
            <c:strRef>
              <c:f>'Roles (TN-TI-T.UEPEX)'!$AA$46:$AA$47</c:f>
              <c:strCache>
                <c:ptCount val="2"/>
                <c:pt idx="0">
                  <c:v>2025</c:v>
                </c:pt>
                <c:pt idx="1">
                  <c:v>Oct</c:v>
                </c:pt>
              </c:strCache>
            </c:strRef>
          </c:tx>
          <c:spPr>
            <a:solidFill>
              <a:srgbClr val="011C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'Roles (TN-TI-T.UEPEX)'!$Q$48</c:f>
              <c:strCache>
                <c:ptCount val="1"/>
                <c:pt idx="0">
                  <c:v>Roles Tesorero Institucional</c:v>
                </c:pt>
              </c:strCache>
            </c:strRef>
          </c:cat>
          <c:val>
            <c:numRef>
              <c:f>'Roles (TN-TI-T.UEPEX)'!$AA$48</c:f>
              <c:numCache>
                <c:formatCode>General</c:formatCode>
                <c:ptCount val="1"/>
                <c:pt idx="0">
                  <c:v>8</c:v>
                </c:pt>
              </c:numCache>
            </c:numRef>
          </c:val>
          <c:extLst>
            <c:ext xmlns:c16="http://schemas.microsoft.com/office/drawing/2014/chart" uri="{C3380CC4-5D6E-409C-BE32-E72D297353CC}">
              <c16:uniqueId val="{00000009-4BCF-47AF-8ED3-8FF5A58E2596}"/>
            </c:ext>
          </c:extLst>
        </c:ser>
        <c:ser>
          <c:idx val="10"/>
          <c:order val="10"/>
          <c:tx>
            <c:strRef>
              <c:f>'Roles (TN-TI-T.UEPEX)'!$AB$46:$AB$47</c:f>
              <c:strCache>
                <c:ptCount val="2"/>
                <c:pt idx="0">
                  <c:v>2025</c:v>
                </c:pt>
                <c:pt idx="1">
                  <c:v>Nov</c:v>
                </c:pt>
              </c:strCache>
            </c:strRef>
          </c:tx>
          <c:spPr>
            <a:solidFill>
              <a:srgbClr val="011C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'Roles (TN-TI-T.UEPEX)'!$Q$48</c:f>
              <c:strCache>
                <c:ptCount val="1"/>
                <c:pt idx="0">
                  <c:v>Roles Tesorero Institucional</c:v>
                </c:pt>
              </c:strCache>
            </c:strRef>
          </c:cat>
          <c:val>
            <c:numRef>
              <c:f>'Roles (TN-TI-T.UEPEX)'!$AB$48</c:f>
              <c:numCache>
                <c:formatCode>General</c:formatCode>
                <c:ptCount val="1"/>
                <c:pt idx="0">
                  <c:v>5</c:v>
                </c:pt>
              </c:numCache>
            </c:numRef>
          </c:val>
          <c:extLst>
            <c:ext xmlns:c16="http://schemas.microsoft.com/office/drawing/2014/chart" uri="{C3380CC4-5D6E-409C-BE32-E72D297353CC}">
              <c16:uniqueId val="{0000000A-4BCF-47AF-8ED3-8FF5A58E2596}"/>
            </c:ext>
          </c:extLst>
        </c:ser>
        <c:ser>
          <c:idx val="11"/>
          <c:order val="11"/>
          <c:tx>
            <c:strRef>
              <c:f>'Roles (TN-TI-T.UEPEX)'!$AC$46:$AC$47</c:f>
              <c:strCache>
                <c:ptCount val="2"/>
                <c:pt idx="0">
                  <c:v>2025</c:v>
                </c:pt>
                <c:pt idx="1">
                  <c:v>Dic</c:v>
                </c:pt>
              </c:strCache>
            </c:strRef>
          </c:tx>
          <c:spPr>
            <a:solidFill>
              <a:srgbClr val="011C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'Roles (TN-TI-T.UEPEX)'!$Q$48</c:f>
              <c:strCache>
                <c:ptCount val="1"/>
                <c:pt idx="0">
                  <c:v>Roles Tesorero Institucional</c:v>
                </c:pt>
              </c:strCache>
            </c:strRef>
          </c:cat>
          <c:val>
            <c:numRef>
              <c:f>'Roles (TN-TI-T.UEPEX)'!$AC$48</c:f>
              <c:numCache>
                <c:formatCode>General</c:formatCode>
                <c:ptCount val="1"/>
                <c:pt idx="0">
                  <c:v>7</c:v>
                </c:pt>
              </c:numCache>
            </c:numRef>
          </c:val>
          <c:extLst>
            <c:ext xmlns:c16="http://schemas.microsoft.com/office/drawing/2014/chart" uri="{C3380CC4-5D6E-409C-BE32-E72D297353CC}">
              <c16:uniqueId val="{0000000B-4BCF-47AF-8ED3-8FF5A58E2596}"/>
            </c:ext>
          </c:extLst>
        </c:ser>
        <c:dLbls>
          <c:showLegendKey val="0"/>
          <c:showVal val="0"/>
          <c:showCatName val="0"/>
          <c:showSerName val="0"/>
          <c:showPercent val="0"/>
          <c:showBubbleSize val="0"/>
        </c:dLbls>
        <c:gapWidth val="150"/>
        <c:axId val="329157752"/>
        <c:axId val="329157032"/>
      </c:barChart>
      <c:catAx>
        <c:axId val="3291577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329157032"/>
        <c:crosses val="autoZero"/>
        <c:auto val="1"/>
        <c:lblAlgn val="ctr"/>
        <c:lblOffset val="100"/>
        <c:noMultiLvlLbl val="0"/>
      </c:catAx>
      <c:valAx>
        <c:axId val="32915703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3291577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20" baseline="0">
                <a:solidFill>
                  <a:sysClr val="windowText" lastClr="000000"/>
                </a:solidFill>
                <a:latin typeface="+mn-lt"/>
                <a:ea typeface="+mn-ea"/>
                <a:cs typeface="+mn-cs"/>
              </a:defRPr>
            </a:pPr>
            <a:r>
              <a:rPr lang="es-DO" sz="1400" b="1">
                <a:solidFill>
                  <a:srgbClr val="767171"/>
                </a:solidFill>
                <a:latin typeface="Times New Roman" panose="02020603050405020304" pitchFamily="18" charset="0"/>
                <a:cs typeface="Times New Roman" panose="02020603050405020304" pitchFamily="18" charset="0"/>
              </a:rPr>
              <a:t>Ingresos</a:t>
            </a:r>
          </a:p>
          <a:p>
            <a:pPr>
              <a:defRPr sz="1200" b="1">
                <a:solidFill>
                  <a:sysClr val="windowText" lastClr="000000"/>
                </a:solidFill>
              </a:defRPr>
            </a:pPr>
            <a:r>
              <a:rPr lang="es-DO" sz="1200" b="0" baseline="0">
                <a:solidFill>
                  <a:srgbClr val="767171"/>
                </a:solidFill>
                <a:latin typeface="Times New Roman" panose="02020603050405020304" pitchFamily="18" charset="0"/>
                <a:cs typeface="Times New Roman" panose="02020603050405020304" pitchFamily="18" charset="0"/>
              </a:rPr>
              <a:t>del 1ro de enero al 31 de diciembre 2025</a:t>
            </a:r>
            <a:br>
              <a:rPr lang="es-DO" sz="1200" b="0" baseline="0">
                <a:solidFill>
                  <a:srgbClr val="767171"/>
                </a:solidFill>
                <a:latin typeface="Times New Roman" panose="02020603050405020304" pitchFamily="18" charset="0"/>
                <a:cs typeface="Times New Roman" panose="02020603050405020304" pitchFamily="18" charset="0"/>
              </a:rPr>
            </a:br>
            <a:r>
              <a:rPr lang="es-DO" sz="1200" b="0" baseline="0">
                <a:solidFill>
                  <a:srgbClr val="767171"/>
                </a:solidFill>
                <a:latin typeface="Times New Roman" panose="02020603050405020304" pitchFamily="18" charset="0"/>
                <a:cs typeface="Times New Roman" panose="02020603050405020304" pitchFamily="18" charset="0"/>
              </a:rPr>
              <a:t>Valores en millones de RD$</a:t>
            </a:r>
            <a:endParaRPr lang="es-DO" sz="1200" b="0">
              <a:solidFill>
                <a:srgbClr val="767171"/>
              </a:solidFill>
              <a:latin typeface="Times New Roman" panose="02020603050405020304" pitchFamily="18" charset="0"/>
              <a:cs typeface="Times New Roman" panose="02020603050405020304" pitchFamily="18" charset="0"/>
            </a:endParaRPr>
          </a:p>
          <a:p>
            <a:pPr>
              <a:defRPr sz="1200" b="1">
                <a:solidFill>
                  <a:sysClr val="windowText" lastClr="000000"/>
                </a:solidFill>
              </a:defRPr>
            </a:pPr>
            <a:endParaRPr lang="es-DO" sz="1200" b="1">
              <a:solidFill>
                <a:sysClr val="windowText" lastClr="000000"/>
              </a:solidFill>
            </a:endParaRPr>
          </a:p>
        </c:rich>
      </c:tx>
      <c:layout>
        <c:manualLayout>
          <c:xMode val="edge"/>
          <c:yMode val="edge"/>
          <c:x val="0.1437341030625536"/>
          <c:y val="4.6309531559884466E-2"/>
        </c:manualLayout>
      </c:layout>
      <c:overlay val="0"/>
      <c:spPr>
        <a:noFill/>
        <a:ln>
          <a:noFill/>
        </a:ln>
        <a:effectLst/>
      </c:spPr>
      <c:txPr>
        <a:bodyPr rot="0" spcFirstLastPara="1" vertOverflow="ellipsis" vert="horz" wrap="square" anchor="ctr" anchorCtr="1"/>
        <a:lstStyle/>
        <a:p>
          <a:pPr>
            <a:defRPr sz="1200" b="1" i="0" u="none" strike="noStrike" kern="1200" cap="none" spc="20" baseline="0">
              <a:solidFill>
                <a:sysClr val="windowText" lastClr="000000"/>
              </a:solidFill>
              <a:latin typeface="+mn-lt"/>
              <a:ea typeface="+mn-ea"/>
              <a:cs typeface="+mn-cs"/>
            </a:defRPr>
          </a:pPr>
          <a:endParaRPr lang="es-DO"/>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259102898920682"/>
          <c:y val="0.35181179041819521"/>
          <c:w val="0.93888888888888888"/>
          <c:h val="0.56084864391951006"/>
        </c:manualLayout>
      </c:layout>
      <c:bar3DChart>
        <c:barDir val="col"/>
        <c:grouping val="standard"/>
        <c:varyColors val="0"/>
        <c:ser>
          <c:idx val="0"/>
          <c:order val="0"/>
          <c:spPr>
            <a:solidFill>
              <a:srgbClr val="436EBE"/>
            </a:solidFill>
            <a:ln w="9525" cap="flat" cmpd="sng" algn="ctr">
              <a:solidFill>
                <a:schemeClr val="accent1">
                  <a:shade val="95000"/>
                </a:schemeClr>
              </a:solidFill>
              <a:round/>
            </a:ln>
            <a:effectLst/>
            <a:sp3d contourW="9525">
              <a:contourClr>
                <a:schemeClr val="accent1">
                  <a:shade val="95000"/>
                </a:schemeClr>
              </a:contourClr>
            </a:sp3d>
          </c:spPr>
          <c:invertIfNegative val="0"/>
          <c:dPt>
            <c:idx val="0"/>
            <c:invertIfNegative val="0"/>
            <c:bubble3D val="0"/>
            <c:spPr>
              <a:solidFill>
                <a:srgbClr val="436EBE"/>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1-95F8-4EAE-A916-C082B6B58358}"/>
              </c:ext>
            </c:extLst>
          </c:dPt>
          <c:dPt>
            <c:idx val="1"/>
            <c:invertIfNegative val="0"/>
            <c:bubble3D val="0"/>
            <c:spPr>
              <a:solidFill>
                <a:srgbClr val="73D3DD"/>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3-95F8-4EAE-A916-C082B6B58358}"/>
              </c:ext>
            </c:extLst>
          </c:dPt>
          <c:dPt>
            <c:idx val="2"/>
            <c:invertIfNegative val="0"/>
            <c:bubble3D val="0"/>
            <c:spPr>
              <a:solidFill>
                <a:srgbClr val="00ADDD"/>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5-95F8-4EAE-A916-C082B6B58358}"/>
              </c:ext>
            </c:extLst>
          </c:dPt>
          <c:dPt>
            <c:idx val="3"/>
            <c:invertIfNegative val="0"/>
            <c:bubble3D val="0"/>
            <c:spPr>
              <a:solidFill>
                <a:srgbClr val="011C50"/>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7-95F8-4EAE-A916-C082B6B58358}"/>
              </c:ext>
            </c:extLst>
          </c:dPt>
          <c:dPt>
            <c:idx val="5"/>
            <c:invertIfNegative val="0"/>
            <c:bubble3D val="0"/>
            <c:spPr>
              <a:solidFill>
                <a:srgbClr val="436EBE"/>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9-95F8-4EAE-A916-C082B6B58358}"/>
              </c:ext>
            </c:extLst>
          </c:dPt>
          <c:dPt>
            <c:idx val="6"/>
            <c:invertIfNegative val="0"/>
            <c:bubble3D val="0"/>
            <c:spPr>
              <a:solidFill>
                <a:srgbClr val="436EBE"/>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B-95F8-4EAE-A916-C082B6B58358}"/>
              </c:ext>
            </c:extLst>
          </c:dPt>
          <c:dPt>
            <c:idx val="9"/>
            <c:invertIfNegative val="0"/>
            <c:bubble3D val="0"/>
            <c:spPr>
              <a:solidFill>
                <a:srgbClr val="436EBE"/>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D-95F8-4EAE-A916-C082B6B58358}"/>
              </c:ext>
            </c:extLst>
          </c:dPt>
          <c:dLbls>
            <c:dLbl>
              <c:idx val="0"/>
              <c:layout>
                <c:manualLayout>
                  <c:x val="2.1308980213089801E-2"/>
                  <c:y val="-2.36265077493699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F8-4EAE-A916-C082B6B58358}"/>
                </c:ext>
              </c:extLst>
            </c:dLbl>
            <c:dLbl>
              <c:idx val="1"/>
              <c:layout>
                <c:manualLayout>
                  <c:x val="2.7130957945325329E-2"/>
                  <c:y val="-1.42852691115139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5F8-4EAE-A916-C082B6B58358}"/>
                </c:ext>
              </c:extLst>
            </c:dLbl>
            <c:dLbl>
              <c:idx val="2"/>
              <c:layout>
                <c:manualLayout>
                  <c:x val="1.5220700152207001E-2"/>
                  <c:y val="-1.79542464795996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5F8-4EAE-A916-C082B6B58358}"/>
                </c:ext>
              </c:extLst>
            </c:dLbl>
            <c:dLbl>
              <c:idx val="3"/>
              <c:layout>
                <c:manualLayout>
                  <c:x val="1.1910257793118214E-2"/>
                  <c:y val="-1.19764657917146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5F8-4EAE-A916-C082B6B58358}"/>
                </c:ext>
              </c:extLst>
            </c:dLbl>
            <c:dLbl>
              <c:idx val="5"/>
              <c:layout>
                <c:manualLayout>
                  <c:x val="-2.7777777777778798E-3"/>
                  <c:y val="1.25725430154564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5F8-4EAE-A916-C082B6B58358}"/>
                </c:ext>
              </c:extLst>
            </c:dLbl>
            <c:dLbl>
              <c:idx val="6"/>
              <c:layout>
                <c:manualLayout>
                  <c:x val="-5.5555555555555558E-3"/>
                  <c:y val="-7.227325750947798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5F8-4EAE-A916-C082B6B58358}"/>
                </c:ext>
              </c:extLst>
            </c:dLbl>
            <c:dLbl>
              <c:idx val="9"/>
              <c:layout>
                <c:manualLayout>
                  <c:x val="-1.9444444444444545E-2"/>
                  <c:y val="4.560367454068241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5F8-4EAE-A916-C082B6B58358}"/>
                </c:ext>
              </c:extLst>
            </c:dLbl>
            <c:dLbl>
              <c:idx val="10"/>
              <c:layout>
                <c:manualLayout>
                  <c:x val="0"/>
                  <c:y val="2.77190871974336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5F8-4EAE-A916-C082B6B5835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'Ejecución y Gráficos'!$B$5:$E$5</c:f>
              <c:strCache>
                <c:ptCount val="4"/>
                <c:pt idx="0">
                  <c:v>DGII</c:v>
                </c:pt>
                <c:pt idx="1">
                  <c:v>DGA</c:v>
                </c:pt>
                <c:pt idx="2">
                  <c:v>TN</c:v>
                </c:pt>
                <c:pt idx="3">
                  <c:v>IDyANF </c:v>
                </c:pt>
              </c:strCache>
            </c:strRef>
          </c:cat>
          <c:val>
            <c:numRef>
              <c:f>'Ejecución y Gráficos'!$B$18:$E$18</c:f>
              <c:numCache>
                <c:formatCode>_(* #,##0.00_);_(* \(#,##0.00\);_(* "-"??_);_(@_)</c:formatCode>
                <c:ptCount val="4"/>
                <c:pt idx="0">
                  <c:v>902784.65441263129</c:v>
                </c:pt>
                <c:pt idx="1">
                  <c:v>271487.79435552412</c:v>
                </c:pt>
                <c:pt idx="2">
                  <c:v>98432.976316499</c:v>
                </c:pt>
                <c:pt idx="3">
                  <c:v>470962.37332439999</c:v>
                </c:pt>
              </c:numCache>
            </c:numRef>
          </c:val>
          <c:extLst>
            <c:ext xmlns:c16="http://schemas.microsoft.com/office/drawing/2014/chart" uri="{C3380CC4-5D6E-409C-BE32-E72D297353CC}">
              <c16:uniqueId val="{0000000F-95F8-4EAE-A916-C082B6B58358}"/>
            </c:ext>
          </c:extLst>
        </c:ser>
        <c:dLbls>
          <c:showLegendKey val="0"/>
          <c:showVal val="1"/>
          <c:showCatName val="0"/>
          <c:showSerName val="0"/>
          <c:showPercent val="0"/>
          <c:showBubbleSize val="0"/>
        </c:dLbls>
        <c:gapWidth val="100"/>
        <c:shape val="box"/>
        <c:axId val="639382744"/>
        <c:axId val="639383528"/>
        <c:axId val="388458560"/>
      </c:bar3DChart>
      <c:catAx>
        <c:axId val="639382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639383528"/>
        <c:crosses val="autoZero"/>
        <c:auto val="1"/>
        <c:lblAlgn val="ctr"/>
        <c:lblOffset val="100"/>
        <c:noMultiLvlLbl val="0"/>
      </c:catAx>
      <c:valAx>
        <c:axId val="639383528"/>
        <c:scaling>
          <c:orientation val="minMax"/>
        </c:scaling>
        <c:delete val="0"/>
        <c:axPos val="l"/>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s-DO"/>
          </a:p>
        </c:txPr>
        <c:crossAx val="639382744"/>
        <c:crosses val="autoZero"/>
        <c:crossBetween val="between"/>
      </c:valAx>
      <c:serAx>
        <c:axId val="388458560"/>
        <c:scaling>
          <c:orientation val="minMax"/>
        </c:scaling>
        <c:delete val="1"/>
        <c:axPos val="b"/>
        <c:majorTickMark val="out"/>
        <c:minorTickMark val="none"/>
        <c:tickLblPos val="nextTo"/>
        <c:crossAx val="639383528"/>
        <c:crosses val="autoZero"/>
      </c:ser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none" spc="20" baseline="0">
                <a:solidFill>
                  <a:sysClr val="windowText" lastClr="000000"/>
                </a:solidFill>
                <a:latin typeface="+mn-lt"/>
                <a:ea typeface="+mn-ea"/>
                <a:cs typeface="+mn-cs"/>
              </a:defRPr>
            </a:pPr>
            <a:r>
              <a:rPr lang="es-DO" sz="1400" b="1">
                <a:solidFill>
                  <a:srgbClr val="767171"/>
                </a:solidFill>
                <a:latin typeface="Times New Roman" panose="02020603050405020304" pitchFamily="18" charset="0"/>
                <a:cs typeface="Times New Roman" panose="02020603050405020304" pitchFamily="18" charset="0"/>
              </a:rPr>
              <a:t>Gastos</a:t>
            </a:r>
            <a:r>
              <a:rPr lang="es-DO" sz="1400" b="1" baseline="0">
                <a:solidFill>
                  <a:srgbClr val="767171"/>
                </a:solidFill>
                <a:latin typeface="Times New Roman" panose="02020603050405020304" pitchFamily="18" charset="0"/>
                <a:cs typeface="Times New Roman" panose="02020603050405020304" pitchFamily="18" charset="0"/>
              </a:rPr>
              <a:t> Corrientes y de Capital</a:t>
            </a:r>
            <a:endParaRPr lang="es-DO" sz="1400" b="1">
              <a:solidFill>
                <a:srgbClr val="767171"/>
              </a:solidFill>
              <a:latin typeface="Times New Roman" panose="02020603050405020304" pitchFamily="18" charset="0"/>
              <a:cs typeface="Times New Roman" panose="02020603050405020304" pitchFamily="18" charset="0"/>
            </a:endParaRPr>
          </a:p>
          <a:p>
            <a:pPr>
              <a:defRPr sz="1800" b="1">
                <a:solidFill>
                  <a:sysClr val="windowText" lastClr="000000"/>
                </a:solidFill>
              </a:defRPr>
            </a:pPr>
            <a:r>
              <a:rPr lang="es-DO" sz="1200" b="0" baseline="0">
                <a:solidFill>
                  <a:srgbClr val="767171"/>
                </a:solidFill>
                <a:latin typeface="Times New Roman" panose="02020603050405020304" pitchFamily="18" charset="0"/>
                <a:cs typeface="Times New Roman" panose="02020603050405020304" pitchFamily="18" charset="0"/>
              </a:rPr>
              <a:t>del 1ro de enero al 31 de diciembre 2025</a:t>
            </a:r>
            <a:br>
              <a:rPr lang="es-DO" sz="1200" b="0" baseline="0">
                <a:solidFill>
                  <a:srgbClr val="767171"/>
                </a:solidFill>
                <a:latin typeface="Times New Roman" panose="02020603050405020304" pitchFamily="18" charset="0"/>
                <a:cs typeface="Times New Roman" panose="02020603050405020304" pitchFamily="18" charset="0"/>
              </a:rPr>
            </a:br>
            <a:r>
              <a:rPr lang="es-DO" sz="1200" b="0" baseline="0">
                <a:solidFill>
                  <a:srgbClr val="767171"/>
                </a:solidFill>
                <a:latin typeface="Times New Roman" panose="02020603050405020304" pitchFamily="18" charset="0"/>
                <a:cs typeface="Times New Roman" panose="02020603050405020304" pitchFamily="18" charset="0"/>
              </a:rPr>
              <a:t>Valores en millones de RD$</a:t>
            </a:r>
            <a:endParaRPr lang="es-DO" sz="1200" b="0">
              <a:solidFill>
                <a:srgbClr val="767171"/>
              </a:solidFill>
              <a:latin typeface="Times New Roman" panose="02020603050405020304" pitchFamily="18" charset="0"/>
              <a:cs typeface="Times New Roman" panose="02020603050405020304" pitchFamily="18" charset="0"/>
            </a:endParaRPr>
          </a:p>
          <a:p>
            <a:pPr>
              <a:defRPr sz="1800" b="1">
                <a:solidFill>
                  <a:sysClr val="windowText" lastClr="000000"/>
                </a:solidFill>
              </a:defRPr>
            </a:pPr>
            <a:endParaRPr lang="es-DO" sz="1800" b="1">
              <a:solidFill>
                <a:sysClr val="windowText" lastClr="000000"/>
              </a:solidFill>
            </a:endParaRPr>
          </a:p>
        </c:rich>
      </c:tx>
      <c:layout>
        <c:manualLayout>
          <c:xMode val="edge"/>
          <c:yMode val="edge"/>
          <c:x val="0.18030490980964389"/>
          <c:y val="8.3899432900599577E-2"/>
        </c:manualLayout>
      </c:layout>
      <c:overlay val="0"/>
      <c:spPr>
        <a:noFill/>
        <a:ln>
          <a:noFill/>
        </a:ln>
        <a:effectLst/>
      </c:spPr>
      <c:txPr>
        <a:bodyPr rot="0" spcFirstLastPara="1" vertOverflow="ellipsis" vert="horz" wrap="square" anchor="ctr" anchorCtr="1"/>
        <a:lstStyle/>
        <a:p>
          <a:pPr>
            <a:defRPr sz="1800" b="1" i="0" u="none" strike="noStrike" kern="1200" cap="none" spc="20" baseline="0">
              <a:solidFill>
                <a:sysClr val="windowText" lastClr="000000"/>
              </a:solidFill>
              <a:latin typeface="+mn-lt"/>
              <a:ea typeface="+mn-ea"/>
              <a:cs typeface="+mn-cs"/>
            </a:defRPr>
          </a:pPr>
          <a:endParaRPr lang="es-DO"/>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0630749498664641"/>
          <c:y val="0.36801545693488397"/>
          <c:w val="0.93888888888888888"/>
          <c:h val="0.4267647644923005"/>
        </c:manualLayout>
      </c:layout>
      <c:bar3DChart>
        <c:barDir val="col"/>
        <c:grouping val="standard"/>
        <c:varyColors val="0"/>
        <c:ser>
          <c:idx val="0"/>
          <c:order val="0"/>
          <c:spPr>
            <a:solidFill>
              <a:schemeClr val="accent1">
                <a:lumMod val="75000"/>
              </a:schemeClr>
            </a:solidFill>
            <a:ln w="9525" cap="flat" cmpd="sng" algn="ctr">
              <a:solidFill>
                <a:schemeClr val="accent1">
                  <a:shade val="95000"/>
                </a:schemeClr>
              </a:solidFill>
              <a:round/>
            </a:ln>
            <a:effectLst/>
            <a:sp3d contourW="9525">
              <a:contourClr>
                <a:schemeClr val="accent1">
                  <a:shade val="95000"/>
                </a:schemeClr>
              </a:contourClr>
            </a:sp3d>
          </c:spPr>
          <c:invertIfNegative val="0"/>
          <c:dPt>
            <c:idx val="0"/>
            <c:invertIfNegative val="0"/>
            <c:bubble3D val="0"/>
            <c:spPr>
              <a:solidFill>
                <a:srgbClr val="00ADDD"/>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1-D247-4D05-BFA6-9C89443D6E8D}"/>
              </c:ext>
            </c:extLst>
          </c:dPt>
          <c:dPt>
            <c:idx val="1"/>
            <c:invertIfNegative val="0"/>
            <c:bubble3D val="0"/>
            <c:spPr>
              <a:solidFill>
                <a:srgbClr val="436EBE"/>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3-D247-4D05-BFA6-9C89443D6E8D}"/>
              </c:ext>
            </c:extLst>
          </c:dPt>
          <c:dPt>
            <c:idx val="2"/>
            <c:invertIfNegative val="0"/>
            <c:bubble3D val="0"/>
            <c:spPr>
              <a:solidFill>
                <a:srgbClr val="0070C0"/>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5-D247-4D05-BFA6-9C89443D6E8D}"/>
              </c:ext>
            </c:extLst>
          </c:dPt>
          <c:dPt>
            <c:idx val="3"/>
            <c:invertIfNegative val="0"/>
            <c:bubble3D val="0"/>
            <c:spPr>
              <a:solidFill>
                <a:srgbClr val="FF0000"/>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7-D247-4D05-BFA6-9C89443D6E8D}"/>
              </c:ext>
            </c:extLst>
          </c:dPt>
          <c:dPt>
            <c:idx val="5"/>
            <c:invertIfNegative val="0"/>
            <c:bubble3D val="0"/>
            <c:spPr>
              <a:solidFill>
                <a:srgbClr val="FF0000"/>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9-D247-4D05-BFA6-9C89443D6E8D}"/>
              </c:ext>
            </c:extLst>
          </c:dPt>
          <c:dPt>
            <c:idx val="6"/>
            <c:invertIfNegative val="0"/>
            <c:bubble3D val="0"/>
            <c:spPr>
              <a:solidFill>
                <a:srgbClr val="FF0000"/>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B-D247-4D05-BFA6-9C89443D6E8D}"/>
              </c:ext>
            </c:extLst>
          </c:dPt>
          <c:dPt>
            <c:idx val="9"/>
            <c:invertIfNegative val="0"/>
            <c:bubble3D val="0"/>
            <c:spPr>
              <a:solidFill>
                <a:srgbClr val="FF0000"/>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D-D247-4D05-BFA6-9C89443D6E8D}"/>
              </c:ext>
            </c:extLst>
          </c:dPt>
          <c:dLbls>
            <c:dLbl>
              <c:idx val="0"/>
              <c:layout>
                <c:manualLayout>
                  <c:x val="3.3716475095785438E-2"/>
                  <c:y val="-3.35220463033519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247-4D05-BFA6-9C89443D6E8D}"/>
                </c:ext>
              </c:extLst>
            </c:dLbl>
            <c:dLbl>
              <c:idx val="1"/>
              <c:layout>
                <c:manualLayout>
                  <c:x val="3.3429028268018107E-2"/>
                  <c:y val="-5.27873263153934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247-4D05-BFA6-9C89443D6E8D}"/>
                </c:ext>
              </c:extLst>
            </c:dLbl>
            <c:dLbl>
              <c:idx val="2"/>
              <c:layout>
                <c:manualLayout>
                  <c:x val="0"/>
                  <c:y val="1.97371682706326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247-4D05-BFA6-9C89443D6E8D}"/>
                </c:ext>
              </c:extLst>
            </c:dLbl>
            <c:dLbl>
              <c:idx val="3"/>
              <c:layout>
                <c:manualLayout>
                  <c:x val="2.777777777777676E-3"/>
                  <c:y val="1.38196267133275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247-4D05-BFA6-9C89443D6E8D}"/>
                </c:ext>
              </c:extLst>
            </c:dLbl>
            <c:dLbl>
              <c:idx val="5"/>
              <c:layout>
                <c:manualLayout>
                  <c:x val="-2.7777777777778798E-3"/>
                  <c:y val="1.25725430154564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247-4D05-BFA6-9C89443D6E8D}"/>
                </c:ext>
              </c:extLst>
            </c:dLbl>
            <c:dLbl>
              <c:idx val="6"/>
              <c:layout>
                <c:manualLayout>
                  <c:x val="-5.5555555555555558E-3"/>
                  <c:y val="-7.227325750947798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247-4D05-BFA6-9C89443D6E8D}"/>
                </c:ext>
              </c:extLst>
            </c:dLbl>
            <c:dLbl>
              <c:idx val="9"/>
              <c:layout>
                <c:manualLayout>
                  <c:x val="-1.9444444444444545E-2"/>
                  <c:y val="4.560367454068241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247-4D05-BFA6-9C89443D6E8D}"/>
                </c:ext>
              </c:extLst>
            </c:dLbl>
            <c:dLbl>
              <c:idx val="10"/>
              <c:layout>
                <c:manualLayout>
                  <c:x val="0"/>
                  <c:y val="2.77190871974336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247-4D05-BFA6-9C89443D6E8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'Ejecución y Gráficos'!$B$30:$C$30</c:f>
              <c:strCache>
                <c:ptCount val="2"/>
                <c:pt idx="0">
                  <c:v>Gastos Corrientes</c:v>
                </c:pt>
                <c:pt idx="1">
                  <c:v>Gastos de Capital</c:v>
                </c:pt>
              </c:strCache>
            </c:strRef>
          </c:cat>
          <c:val>
            <c:numRef>
              <c:f>'Ejecución y Gráficos'!$B$43:$C$43</c:f>
              <c:numCache>
                <c:formatCode>_(* #,##0.00_);_(* \(#,##0.00\);_(* "-"??_);_(@_)</c:formatCode>
                <c:ptCount val="2"/>
                <c:pt idx="0">
                  <c:v>1317088.5308095661</c:v>
                </c:pt>
                <c:pt idx="1">
                  <c:v>195822.88846843824</c:v>
                </c:pt>
              </c:numCache>
            </c:numRef>
          </c:val>
          <c:extLst>
            <c:ext xmlns:c16="http://schemas.microsoft.com/office/drawing/2014/chart" uri="{C3380CC4-5D6E-409C-BE32-E72D297353CC}">
              <c16:uniqueId val="{0000000F-D247-4D05-BFA6-9C89443D6E8D}"/>
            </c:ext>
          </c:extLst>
        </c:ser>
        <c:dLbls>
          <c:showLegendKey val="0"/>
          <c:showVal val="1"/>
          <c:showCatName val="0"/>
          <c:showSerName val="0"/>
          <c:showPercent val="0"/>
          <c:showBubbleSize val="0"/>
        </c:dLbls>
        <c:gapWidth val="100"/>
        <c:shape val="box"/>
        <c:axId val="639382744"/>
        <c:axId val="639383528"/>
        <c:axId val="678444864"/>
      </c:bar3DChart>
      <c:catAx>
        <c:axId val="6393827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639383528"/>
        <c:crosses val="autoZero"/>
        <c:auto val="1"/>
        <c:lblAlgn val="ctr"/>
        <c:lblOffset val="100"/>
        <c:noMultiLvlLbl val="0"/>
      </c:catAx>
      <c:valAx>
        <c:axId val="639383528"/>
        <c:scaling>
          <c:orientation val="minMax"/>
        </c:scaling>
        <c:delete val="0"/>
        <c:axPos val="l"/>
        <c:numFmt formatCode="_(* #,##0.00_);_(* \(#,##0.00\);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s-DO"/>
          </a:p>
        </c:txPr>
        <c:crossAx val="639382744"/>
        <c:crosses val="autoZero"/>
        <c:crossBetween val="between"/>
      </c:valAx>
      <c:serAx>
        <c:axId val="678444864"/>
        <c:scaling>
          <c:orientation val="minMax"/>
        </c:scaling>
        <c:delete val="1"/>
        <c:axPos val="b"/>
        <c:majorTickMark val="out"/>
        <c:minorTickMark val="none"/>
        <c:tickLblPos val="nextTo"/>
        <c:crossAx val="639383528"/>
        <c:crosses val="autoZero"/>
      </c:ser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s-D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none" spc="20" baseline="0">
                <a:solidFill>
                  <a:sysClr val="windowText" lastClr="000000"/>
                </a:solidFill>
                <a:latin typeface="+mn-lt"/>
                <a:ea typeface="+mn-ea"/>
                <a:cs typeface="+mn-cs"/>
              </a:defRPr>
            </a:pPr>
            <a:r>
              <a:rPr lang="es-DO" sz="1400" b="1">
                <a:solidFill>
                  <a:srgbClr val="767171"/>
                </a:solidFill>
                <a:latin typeface="Times New Roman" panose="02020603050405020304" pitchFamily="18" charset="0"/>
                <a:cs typeface="Times New Roman" panose="02020603050405020304" pitchFamily="18" charset="0"/>
              </a:rPr>
              <a:t>Servicio</a:t>
            </a:r>
            <a:r>
              <a:rPr lang="es-DO" sz="1400" b="1" baseline="0">
                <a:solidFill>
                  <a:srgbClr val="767171"/>
                </a:solidFill>
                <a:latin typeface="Times New Roman" panose="02020603050405020304" pitchFamily="18" charset="0"/>
                <a:cs typeface="Times New Roman" panose="02020603050405020304" pitchFamily="18" charset="0"/>
              </a:rPr>
              <a:t> de la Deuda</a:t>
            </a:r>
            <a:endParaRPr lang="es-DO" sz="1400" b="1">
              <a:solidFill>
                <a:srgbClr val="767171"/>
              </a:solidFill>
              <a:latin typeface="Times New Roman" panose="02020603050405020304" pitchFamily="18" charset="0"/>
              <a:cs typeface="Times New Roman" panose="02020603050405020304" pitchFamily="18" charset="0"/>
            </a:endParaRPr>
          </a:p>
          <a:p>
            <a:pPr>
              <a:defRPr sz="1800" b="1">
                <a:solidFill>
                  <a:sysClr val="windowText" lastClr="000000"/>
                </a:solidFill>
              </a:defRPr>
            </a:pPr>
            <a:r>
              <a:rPr lang="es-DO" sz="1200" b="0" baseline="0">
                <a:solidFill>
                  <a:srgbClr val="767171"/>
                </a:solidFill>
                <a:latin typeface="Times New Roman" panose="02020603050405020304" pitchFamily="18" charset="0"/>
                <a:cs typeface="Times New Roman" panose="02020603050405020304" pitchFamily="18" charset="0"/>
              </a:rPr>
              <a:t>del 1ro de enero al 31 de diciembre 2025</a:t>
            </a:r>
            <a:br>
              <a:rPr lang="es-DO" sz="1200" b="0" baseline="0">
                <a:solidFill>
                  <a:srgbClr val="767171"/>
                </a:solidFill>
                <a:latin typeface="Times New Roman" panose="02020603050405020304" pitchFamily="18" charset="0"/>
                <a:cs typeface="Times New Roman" panose="02020603050405020304" pitchFamily="18" charset="0"/>
              </a:rPr>
            </a:br>
            <a:r>
              <a:rPr lang="es-DO" sz="1200" b="0" baseline="0">
                <a:solidFill>
                  <a:srgbClr val="767171"/>
                </a:solidFill>
                <a:latin typeface="Times New Roman" panose="02020603050405020304" pitchFamily="18" charset="0"/>
                <a:cs typeface="Times New Roman" panose="02020603050405020304" pitchFamily="18" charset="0"/>
              </a:rPr>
              <a:t>Valores en millones de RD$</a:t>
            </a:r>
            <a:endParaRPr lang="es-DO" sz="1200" b="0">
              <a:solidFill>
                <a:srgbClr val="767171"/>
              </a:solidFill>
              <a:latin typeface="Times New Roman" panose="02020603050405020304" pitchFamily="18" charset="0"/>
              <a:cs typeface="Times New Roman" panose="02020603050405020304" pitchFamily="18" charset="0"/>
            </a:endParaRPr>
          </a:p>
          <a:p>
            <a:pPr>
              <a:defRPr sz="1800" b="1">
                <a:solidFill>
                  <a:sysClr val="windowText" lastClr="000000"/>
                </a:solidFill>
              </a:defRPr>
            </a:pPr>
            <a:endParaRPr lang="es-DO" sz="1800" b="1">
              <a:solidFill>
                <a:sysClr val="windowText" lastClr="000000"/>
              </a:solidFill>
            </a:endParaRPr>
          </a:p>
        </c:rich>
      </c:tx>
      <c:layout>
        <c:manualLayout>
          <c:xMode val="edge"/>
          <c:yMode val="edge"/>
          <c:x val="0.16551638781628786"/>
          <c:y val="4.873642368567245E-2"/>
        </c:manualLayout>
      </c:layout>
      <c:overlay val="0"/>
      <c:spPr>
        <a:noFill/>
        <a:ln>
          <a:noFill/>
        </a:ln>
        <a:effectLst/>
      </c:spPr>
      <c:txPr>
        <a:bodyPr rot="0" spcFirstLastPara="1" vertOverflow="ellipsis" vert="horz" wrap="square" anchor="ctr" anchorCtr="1"/>
        <a:lstStyle/>
        <a:p>
          <a:pPr>
            <a:defRPr sz="1800" b="1" i="0" u="none" strike="noStrike" kern="1200" cap="none" spc="20" baseline="0">
              <a:solidFill>
                <a:sysClr val="windowText" lastClr="000000"/>
              </a:solidFill>
              <a:latin typeface="+mn-lt"/>
              <a:ea typeface="+mn-ea"/>
              <a:cs typeface="+mn-cs"/>
            </a:defRPr>
          </a:pPr>
          <a:endParaRPr lang="es-DO"/>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555555555555555E-2"/>
          <c:y val="0.32317147856517936"/>
          <c:w val="0.93888888888888888"/>
          <c:h val="0.56084864391951006"/>
        </c:manualLayout>
      </c:layout>
      <c:bar3DChart>
        <c:barDir val="col"/>
        <c:grouping val="standard"/>
        <c:varyColors val="0"/>
        <c:ser>
          <c:idx val="0"/>
          <c:order val="0"/>
          <c:spPr>
            <a:solidFill>
              <a:schemeClr val="accent1">
                <a:lumMod val="75000"/>
              </a:schemeClr>
            </a:solidFill>
            <a:ln w="9525" cap="flat" cmpd="sng" algn="ctr">
              <a:solidFill>
                <a:schemeClr val="accent1">
                  <a:shade val="95000"/>
                </a:schemeClr>
              </a:solidFill>
              <a:round/>
            </a:ln>
            <a:effectLst/>
            <a:sp3d contourW="9525">
              <a:contourClr>
                <a:schemeClr val="accent1">
                  <a:shade val="95000"/>
                </a:schemeClr>
              </a:contourClr>
            </a:sp3d>
          </c:spPr>
          <c:invertIfNegative val="0"/>
          <c:dPt>
            <c:idx val="0"/>
            <c:invertIfNegative val="0"/>
            <c:bubble3D val="0"/>
            <c:spPr>
              <a:solidFill>
                <a:srgbClr val="00ADDD"/>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1-6C44-4E8E-8946-62BB78DA1DDE}"/>
              </c:ext>
            </c:extLst>
          </c:dPt>
          <c:dPt>
            <c:idx val="1"/>
            <c:invertIfNegative val="0"/>
            <c:bubble3D val="0"/>
            <c:spPr>
              <a:solidFill>
                <a:srgbClr val="436EBE"/>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3-6C44-4E8E-8946-62BB78DA1DDE}"/>
              </c:ext>
            </c:extLst>
          </c:dPt>
          <c:dPt>
            <c:idx val="2"/>
            <c:invertIfNegative val="0"/>
            <c:bubble3D val="0"/>
            <c:spPr>
              <a:solidFill>
                <a:srgbClr val="0070C0"/>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5-6C44-4E8E-8946-62BB78DA1DDE}"/>
              </c:ext>
            </c:extLst>
          </c:dPt>
          <c:dPt>
            <c:idx val="3"/>
            <c:invertIfNegative val="0"/>
            <c:bubble3D val="0"/>
            <c:spPr>
              <a:solidFill>
                <a:srgbClr val="FF0000"/>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7-6C44-4E8E-8946-62BB78DA1DDE}"/>
              </c:ext>
            </c:extLst>
          </c:dPt>
          <c:dPt>
            <c:idx val="5"/>
            <c:invertIfNegative val="0"/>
            <c:bubble3D val="0"/>
            <c:spPr>
              <a:solidFill>
                <a:srgbClr val="FF0000"/>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9-6C44-4E8E-8946-62BB78DA1DDE}"/>
              </c:ext>
            </c:extLst>
          </c:dPt>
          <c:dPt>
            <c:idx val="6"/>
            <c:invertIfNegative val="0"/>
            <c:bubble3D val="0"/>
            <c:spPr>
              <a:solidFill>
                <a:srgbClr val="FF0000"/>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B-6C44-4E8E-8946-62BB78DA1DDE}"/>
              </c:ext>
            </c:extLst>
          </c:dPt>
          <c:dPt>
            <c:idx val="9"/>
            <c:invertIfNegative val="0"/>
            <c:bubble3D val="0"/>
            <c:spPr>
              <a:solidFill>
                <a:srgbClr val="FF0000"/>
              </a:solidFill>
              <a:ln w="9525" cap="flat" cmpd="sng" algn="ctr">
                <a:solidFill>
                  <a:schemeClr val="accent1">
                    <a:shade val="95000"/>
                  </a:schemeClr>
                </a:solidFill>
                <a:round/>
              </a:ln>
              <a:effectLst/>
              <a:sp3d contourW="9525">
                <a:contourClr>
                  <a:schemeClr val="accent1">
                    <a:shade val="95000"/>
                  </a:schemeClr>
                </a:contourClr>
              </a:sp3d>
            </c:spPr>
            <c:extLst>
              <c:ext xmlns:c16="http://schemas.microsoft.com/office/drawing/2014/chart" uri="{C3380CC4-5D6E-409C-BE32-E72D297353CC}">
                <c16:uniqueId val="{0000000D-6C44-4E8E-8946-62BB78DA1DDE}"/>
              </c:ext>
            </c:extLst>
          </c:dPt>
          <c:dLbls>
            <c:dLbl>
              <c:idx val="0"/>
              <c:layout>
                <c:manualLayout>
                  <c:x val="1.532567049808429E-2"/>
                  <c:y val="-2.87430737824439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C44-4E8E-8946-62BB78DA1DDE}"/>
                </c:ext>
              </c:extLst>
            </c:dLbl>
            <c:dLbl>
              <c:idx val="1"/>
              <c:layout>
                <c:manualLayout>
                  <c:x val="1.810335776993393E-2"/>
                  <c:y val="-2.41134911899453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C44-4E8E-8946-62BB78DA1DDE}"/>
                </c:ext>
              </c:extLst>
            </c:dLbl>
            <c:dLbl>
              <c:idx val="2"/>
              <c:layout>
                <c:manualLayout>
                  <c:x val="0"/>
                  <c:y val="1.97371682706326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C44-4E8E-8946-62BB78DA1DDE}"/>
                </c:ext>
              </c:extLst>
            </c:dLbl>
            <c:dLbl>
              <c:idx val="3"/>
              <c:layout>
                <c:manualLayout>
                  <c:x val="2.777777777777676E-3"/>
                  <c:y val="1.38196267133275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C44-4E8E-8946-62BB78DA1DDE}"/>
                </c:ext>
              </c:extLst>
            </c:dLbl>
            <c:dLbl>
              <c:idx val="5"/>
              <c:layout>
                <c:manualLayout>
                  <c:x val="-2.7777777777778798E-3"/>
                  <c:y val="1.25725430154564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C44-4E8E-8946-62BB78DA1DDE}"/>
                </c:ext>
              </c:extLst>
            </c:dLbl>
            <c:dLbl>
              <c:idx val="6"/>
              <c:layout>
                <c:manualLayout>
                  <c:x val="-5.5555555555555558E-3"/>
                  <c:y val="-7.227325750947798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C44-4E8E-8946-62BB78DA1DDE}"/>
                </c:ext>
              </c:extLst>
            </c:dLbl>
            <c:dLbl>
              <c:idx val="9"/>
              <c:layout>
                <c:manualLayout>
                  <c:x val="-1.9444444444444545E-2"/>
                  <c:y val="4.560367454068241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C44-4E8E-8946-62BB78DA1DDE}"/>
                </c:ext>
              </c:extLst>
            </c:dLbl>
            <c:dLbl>
              <c:idx val="10"/>
              <c:layout>
                <c:manualLayout>
                  <c:x val="0"/>
                  <c:y val="2.77190871974336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C44-4E8E-8946-62BB78DA1DD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'Ejecución y Gráficos'!$B$55:$C$55</c:f>
              <c:strCache>
                <c:ptCount val="2"/>
                <c:pt idx="0">
                  <c:v>Gastos Financieros</c:v>
                </c:pt>
                <c:pt idx="1">
                  <c:v>Aplicaciones Financieras</c:v>
                </c:pt>
              </c:strCache>
            </c:strRef>
          </c:cat>
          <c:val>
            <c:numRef>
              <c:f>'Ejecución y Gráficos'!$B$67:$C$67</c:f>
              <c:numCache>
                <c:formatCode>_(* #,##0.00_);_(* \(#,##0.00\);_(* "-"??_);_(@_)</c:formatCode>
                <c:ptCount val="2"/>
                <c:pt idx="0">
                  <c:v>267781.46322469064</c:v>
                </c:pt>
                <c:pt idx="1">
                  <c:v>88950.429171735712</c:v>
                </c:pt>
              </c:numCache>
            </c:numRef>
          </c:val>
          <c:extLst>
            <c:ext xmlns:c16="http://schemas.microsoft.com/office/drawing/2014/chart" uri="{C3380CC4-5D6E-409C-BE32-E72D297353CC}">
              <c16:uniqueId val="{0000000F-6C44-4E8E-8946-62BB78DA1DDE}"/>
            </c:ext>
          </c:extLst>
        </c:ser>
        <c:dLbls>
          <c:showLegendKey val="0"/>
          <c:showVal val="1"/>
          <c:showCatName val="0"/>
          <c:showSerName val="0"/>
          <c:showPercent val="0"/>
          <c:showBubbleSize val="0"/>
        </c:dLbls>
        <c:gapWidth val="100"/>
        <c:shape val="box"/>
        <c:axId val="639382744"/>
        <c:axId val="639383528"/>
        <c:axId val="723075112"/>
      </c:bar3DChart>
      <c:catAx>
        <c:axId val="639382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639383528"/>
        <c:crosses val="autoZero"/>
        <c:auto val="1"/>
        <c:lblAlgn val="ctr"/>
        <c:lblOffset val="100"/>
        <c:noMultiLvlLbl val="0"/>
      </c:catAx>
      <c:valAx>
        <c:axId val="639383528"/>
        <c:scaling>
          <c:orientation val="minMax"/>
        </c:scaling>
        <c:delete val="0"/>
        <c:axPos val="l"/>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s-DO"/>
          </a:p>
        </c:txPr>
        <c:crossAx val="639382744"/>
        <c:crosses val="autoZero"/>
        <c:crossBetween val="between"/>
      </c:valAx>
      <c:serAx>
        <c:axId val="723075112"/>
        <c:scaling>
          <c:orientation val="minMax"/>
        </c:scaling>
        <c:delete val="1"/>
        <c:axPos val="b"/>
        <c:majorTickMark val="out"/>
        <c:minorTickMark val="none"/>
        <c:tickLblPos val="nextTo"/>
        <c:crossAx val="639383528"/>
        <c:crosses val="autoZero"/>
      </c:ser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C9828-57D9-4EA4-B5ED-FA6452894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8561</TotalTime>
  <Pages>145</Pages>
  <Words>21148</Words>
  <Characters>123086</Characters>
  <Application>Microsoft Office Word</Application>
  <DocSecurity>0</DocSecurity>
  <Lines>4923</Lines>
  <Paragraphs>2403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Patricia Mercedes Del Castillo Cazaño</cp:lastModifiedBy>
  <cp:revision>38</cp:revision>
  <cp:lastPrinted>2025-12-10T19:57:00Z</cp:lastPrinted>
  <dcterms:created xsi:type="dcterms:W3CDTF">2025-11-04T12:53:00Z</dcterms:created>
  <dcterms:modified xsi:type="dcterms:W3CDTF">2025-12-22T17:27:00Z</dcterms:modified>
</cp:coreProperties>
</file>