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A924" w14:textId="70C2B435" w:rsidR="008D7F4E" w:rsidRPr="002B4451" w:rsidRDefault="00DF0B54" w:rsidP="008D7F4E">
      <w:pPr>
        <w:rPr>
          <w:lang w:val="es-DO"/>
        </w:rPr>
      </w:pPr>
      <w:bookmarkStart w:id="0" w:name="_Hlk216108235"/>
      <w:bookmarkEnd w:id="0"/>
      <w:r w:rsidRPr="002B4451">
        <w:rPr>
          <w:noProof/>
          <w:lang w:val="es-DO" w:eastAsia="es-DO"/>
        </w:rPr>
        <w:drawing>
          <wp:anchor distT="0" distB="0" distL="114300" distR="114300" simplePos="0" relativeHeight="251654144" behindDoc="0" locked="0" layoutInCell="1" allowOverlap="1" wp14:anchorId="3F0A51DA" wp14:editId="21125D87">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43680B3A" w:rsidR="008D7F4E" w:rsidRPr="002B4451" w:rsidRDefault="008D7F4E" w:rsidP="008D7F4E">
      <w:pPr>
        <w:rPr>
          <w:lang w:val="es-DO"/>
        </w:rPr>
      </w:pPr>
    </w:p>
    <w:p w14:paraId="1AC5E2C3" w14:textId="30B7CBF4" w:rsidR="008D7F4E" w:rsidRPr="002B4451" w:rsidRDefault="008D7F4E" w:rsidP="008D7F4E">
      <w:pPr>
        <w:rPr>
          <w:lang w:val="es-DO"/>
        </w:rPr>
      </w:pPr>
    </w:p>
    <w:p w14:paraId="34990FAF" w14:textId="5BA5CFFA" w:rsidR="008D7F4E" w:rsidRPr="002B4451" w:rsidRDefault="008D7F4E" w:rsidP="008D7F4E">
      <w:pPr>
        <w:rPr>
          <w:lang w:val="es-DO"/>
        </w:rPr>
      </w:pPr>
      <w:bookmarkStart w:id="1" w:name="_Hlk86404256"/>
      <w:bookmarkEnd w:id="1"/>
    </w:p>
    <w:p w14:paraId="6EFB72EE" w14:textId="43AD9F84"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26FA877A"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5C631FDC">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0936C0" w:rsidRPr="005C548C" w:rsidRDefault="000936C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0936C0" w:rsidRPr="005C548C" w:rsidRDefault="000936C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629B385"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1689A78"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7473F6FA">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0936C0" w:rsidRPr="00F36012" w:rsidRDefault="000936C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0B3D5557" w:rsidR="000936C0" w:rsidRPr="00F36012" w:rsidRDefault="000936C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0936C0" w:rsidRPr="008D7F4E" w:rsidRDefault="000936C0"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0936C0" w:rsidRPr="008D7F4E" w:rsidRDefault="000936C0"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11E9A520" w:rsidR="004F2DD5" w:rsidRPr="003A47C9" w:rsidRDefault="008274A2" w:rsidP="004F2DD5">
      <w:r>
        <w:rPr>
          <w:noProof/>
          <w:lang w:val="es-DO" w:eastAsia="es-DO"/>
        </w:rPr>
        <mc:AlternateContent>
          <mc:Choice Requires="wps">
            <w:drawing>
              <wp:anchor distT="45720" distB="45720" distL="114300" distR="114300" simplePos="0" relativeHeight="251715584" behindDoc="1" locked="0" layoutInCell="1" allowOverlap="1" wp14:anchorId="4641AD3E" wp14:editId="73323865">
                <wp:simplePos x="0" y="0"/>
                <wp:positionH relativeFrom="margin">
                  <wp:align>right</wp:align>
                </wp:positionH>
                <wp:positionV relativeFrom="paragraph">
                  <wp:posOffset>123824</wp:posOffset>
                </wp:positionV>
                <wp:extent cx="2466975" cy="113347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133475"/>
                        </a:xfrm>
                        <a:prstGeom prst="rect">
                          <a:avLst/>
                        </a:prstGeom>
                        <a:solidFill>
                          <a:srgbClr val="FFFFFF"/>
                        </a:solidFill>
                        <a:ln w="9525">
                          <a:noFill/>
                          <a:miter lim="800000"/>
                          <a:headEnd/>
                          <a:tailEnd/>
                        </a:ln>
                      </wps:spPr>
                      <wps:txbx>
                        <w:txbxContent>
                          <w:p w14:paraId="4B681A58" w14:textId="244DAD22" w:rsidR="000936C0" w:rsidRPr="00032423" w:rsidRDefault="000936C0" w:rsidP="0097291D">
                            <w:pPr>
                              <w:jc w:val="center"/>
                              <w:rPr>
                                <w:color w:val="D8B888"/>
                                <w:lang w:val="es-DO"/>
                              </w:rPr>
                            </w:pPr>
                            <w:r>
                              <w:rPr>
                                <w:noProof/>
                              </w:rPr>
                              <w:drawing>
                                <wp:inline distT="0" distB="0" distL="0" distR="0" wp14:anchorId="52F7B709" wp14:editId="0435AB44">
                                  <wp:extent cx="2199005" cy="1042670"/>
                                  <wp:effectExtent l="0" t="0" r="0" b="5080"/>
                                  <wp:docPr id="17" name="Imagen 17" descr="C:\Users\epujols\AppData\Local\Microsoft\Windows\INetCache\Content.Outlook\C0BVN8J7\Union Lock Variations-19 (002).png"/>
                                  <wp:cNvGraphicFramePr/>
                                  <a:graphic xmlns:a="http://schemas.openxmlformats.org/drawingml/2006/main">
                                    <a:graphicData uri="http://schemas.openxmlformats.org/drawingml/2006/picture">
                                      <pic:pic xmlns:pic="http://schemas.openxmlformats.org/drawingml/2006/picture">
                                        <pic:nvPicPr>
                                          <pic:cNvPr id="17" name="Imagen 17" descr="C:\Users\epujols\AppData\Local\Microsoft\Windows\INetCache\Content.Outlook\C0BVN8J7\Union Lock Variations-19 (002).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9005" cy="10426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143.05pt;margin-top:9.75pt;width:194.25pt;height:89.25pt;z-index:-251600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" stroked="f">
                <v:textbox>
                  <w:txbxContent>
                    <w:p w14:paraId="4B681A58" w14:textId="244DAD22" w:rsidR="000936C0" w:rsidRPr="00032423" w:rsidRDefault="000936C0" w:rsidP="0097291D">
                      <w:pPr>
                        <w:jc w:val="center"/>
                        <w:rPr>
                          <w:color w:val="D8B888"/>
                          <w:lang w:val="es-DO"/>
                        </w:rPr>
                      </w:pPr>
                      <w:r>
                        <w:rPr>
                          <w:noProof/>
                        </w:rPr>
                        <w:drawing>
                          <wp:inline distT="0" distB="0" distL="0" distR="0" wp14:anchorId="52F7B709" wp14:editId="0435AB44">
                            <wp:extent cx="2199005" cy="1042670"/>
                            <wp:effectExtent l="0" t="0" r="0" b="5080"/>
                            <wp:docPr id="17" name="Imagen 17" descr="C:\Users\epujols\AppData\Local\Microsoft\Windows\INetCache\Content.Outlook\C0BVN8J7\Union Lock Variations-19 (002).png"/>
                            <wp:cNvGraphicFramePr/>
                            <a:graphic xmlns:a="http://schemas.openxmlformats.org/drawingml/2006/main">
                              <a:graphicData uri="http://schemas.openxmlformats.org/drawingml/2006/picture">
                                <pic:pic xmlns:pic="http://schemas.openxmlformats.org/drawingml/2006/picture">
                                  <pic:nvPicPr>
                                    <pic:cNvPr id="17" name="Imagen 17" descr="C:\Users\epujols\AppData\Local\Microsoft\Windows\INetCache\Content.Outlook\C0BVN8J7\Union Lock Variations-19 (002).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9005" cy="1042670"/>
                                    </a:xfrm>
                                    <a:prstGeom prst="rect">
                                      <a:avLst/>
                                    </a:prstGeom>
                                    <a:noFill/>
                                    <a:ln>
                                      <a:noFill/>
                                    </a:ln>
                                  </pic:spPr>
                                </pic:pic>
                              </a:graphicData>
                            </a:graphic>
                          </wp:inline>
                        </w:drawing>
                      </w:r>
                    </w:p>
                  </w:txbxContent>
                </v:textbox>
                <w10:wrap anchorx="margin"/>
              </v:shape>
            </w:pict>
          </mc:Fallback>
        </mc:AlternateContent>
      </w:r>
      <w:r w:rsidR="00544419">
        <w:rPr>
          <w:noProof/>
          <w:lang w:val="es-DO" w:eastAsia="es-DO"/>
        </w:rPr>
        <mc:AlternateContent>
          <mc:Choice Requires="wpg">
            <w:drawing>
              <wp:anchor distT="0" distB="0" distL="114300" distR="114300" simplePos="0" relativeHeight="251729920" behindDoc="0" locked="0" layoutInCell="1" allowOverlap="1" wp14:anchorId="22E2C515" wp14:editId="06D0D99E">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0936C0" w:rsidRPr="003A00CC" w:rsidRDefault="000936C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0936C0" w:rsidRDefault="000936C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2Eq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ym2Eq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0936C0" w:rsidRPr="003A00CC" w:rsidRDefault="000936C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0936C0" w:rsidRDefault="000936C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5A0C8AA6" w14:textId="3FE366C0" w:rsidR="008274A2" w:rsidRPr="008274A2" w:rsidRDefault="008D7F4E" w:rsidP="008274A2">
      <w:pPr>
        <w:pStyle w:val="NormalWeb"/>
        <w:rPr>
          <w:rFonts w:eastAsia="Times New Roman"/>
          <w:color w:val="auto"/>
          <w:spacing w:val="0"/>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240E952B" w14:textId="158ADBCE" w:rsidR="008274A2" w:rsidRPr="008274A2" w:rsidRDefault="008274A2" w:rsidP="008274A2"/>
    <w:p w14:paraId="17B5E9DF" w14:textId="717CD8AD"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4A65D0AC" w:rsidR="008D7F4E" w:rsidRPr="002B4451" w:rsidRDefault="008D7F4E" w:rsidP="008D7F4E">
      <w:pPr>
        <w:rPr>
          <w:lang w:val="es-DO"/>
        </w:rPr>
      </w:pPr>
    </w:p>
    <w:p w14:paraId="16EDE6EA" w14:textId="297EABA3" w:rsidR="008D7F4E" w:rsidRPr="002B4451" w:rsidRDefault="008D7F4E" w:rsidP="008D7F4E">
      <w:pPr>
        <w:rPr>
          <w:b/>
          <w:bCs/>
          <w:lang w:val="es-DO"/>
        </w:rPr>
      </w:pPr>
    </w:p>
    <w:p w14:paraId="3FC05242" w14:textId="684B5CAF" w:rsidR="008D7F4E" w:rsidRPr="002B4451" w:rsidRDefault="008D7F4E" w:rsidP="008D7F4E">
      <w:pPr>
        <w:rPr>
          <w:lang w:val="es-DO"/>
        </w:rPr>
      </w:pPr>
    </w:p>
    <w:p w14:paraId="52109915" w14:textId="37A015E6" w:rsidR="008D7F4E" w:rsidRPr="002B4451" w:rsidRDefault="008D7F4E" w:rsidP="008D7F4E">
      <w:pPr>
        <w:rPr>
          <w:lang w:val="es-DO"/>
        </w:rPr>
      </w:pPr>
    </w:p>
    <w:p w14:paraId="61CD95E4" w14:textId="670256B0" w:rsidR="008D7F4E" w:rsidRPr="002B4451" w:rsidRDefault="008D7F4E" w:rsidP="008D7F4E">
      <w:pPr>
        <w:rPr>
          <w:lang w:val="es-DO"/>
        </w:rPr>
      </w:pPr>
    </w:p>
    <w:p w14:paraId="26FC2ECF" w14:textId="2905CF6B"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30287149" w:rsidR="0087772C" w:rsidRPr="002B4451" w:rsidRDefault="0087772C" w:rsidP="008D7F4E">
      <w:pPr>
        <w:rPr>
          <w:lang w:val="es-DO"/>
        </w:rPr>
      </w:pPr>
    </w:p>
    <w:p w14:paraId="18C0D5CD" w14:textId="1C65515C"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0E7CF9D1" w:rsidR="008D7F4E" w:rsidRPr="002B4451" w:rsidRDefault="008D7F4E" w:rsidP="008D7F4E">
      <w:pPr>
        <w:rPr>
          <w:lang w:val="es-DO"/>
        </w:rPr>
      </w:pPr>
    </w:p>
    <w:p w14:paraId="266A4AE7" w14:textId="622A3ADD" w:rsidR="008D7F4E" w:rsidRPr="002B4451" w:rsidRDefault="008D7F4E" w:rsidP="008D7F4E">
      <w:pPr>
        <w:rPr>
          <w:lang w:val="es-DO"/>
        </w:rPr>
      </w:pPr>
    </w:p>
    <w:p w14:paraId="56C838CA" w14:textId="28ADE1F0" w:rsidR="008D7F4E" w:rsidRPr="002B4451" w:rsidRDefault="008D7F4E" w:rsidP="008D7F4E">
      <w:pPr>
        <w:rPr>
          <w:lang w:val="es-DO"/>
        </w:rPr>
      </w:pPr>
    </w:p>
    <w:p w14:paraId="5A37720D" w14:textId="66CFC123"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0936C0" w:rsidRPr="008D7F4E" w:rsidRDefault="000936C0"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0936C0" w:rsidRDefault="000936C0"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0936C0" w:rsidRPr="008D7F4E" w:rsidRDefault="000936C0" w:rsidP="00654164">
                      <w:pPr>
                        <w:spacing w:after="0"/>
                        <w:jc w:val="center"/>
                        <w:rPr>
                          <w:b/>
                          <w:bCs/>
                          <w:color w:val="D5B788"/>
                          <w:spacing w:val="60"/>
                          <w:kern w:val="24"/>
                          <w:sz w:val="56"/>
                          <w:szCs w:val="56"/>
                          <w:lang w:val="es-DO"/>
                        </w:rPr>
                      </w:pPr>
                    </w:p>
                  </w:txbxContent>
                </v:textbox>
              </v:shape>
            </w:pict>
          </mc:Fallback>
        </mc:AlternateContent>
      </w:r>
    </w:p>
    <w:p w14:paraId="75F2B32B" w14:textId="75ED7623"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18E485E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0936C0" w:rsidRPr="008D7F4E" w:rsidRDefault="000936C0"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0936C0" w:rsidRPr="008D7F4E" w:rsidRDefault="000936C0" w:rsidP="00C64CEF">
                      <w:pPr>
                        <w:spacing w:after="0"/>
                        <w:jc w:val="center"/>
                        <w:rPr>
                          <w:b/>
                          <w:bCs/>
                          <w:color w:val="D5B788"/>
                          <w:spacing w:val="60"/>
                          <w:kern w:val="24"/>
                          <w:sz w:val="56"/>
                          <w:szCs w:val="56"/>
                          <w:lang w:val="es-DO"/>
                        </w:rPr>
                      </w:pPr>
                    </w:p>
                  </w:txbxContent>
                </v:textbox>
              </v:shape>
            </w:pict>
          </mc:Fallback>
        </mc:AlternateContent>
      </w:r>
    </w:p>
    <w:p w14:paraId="7AD079B8" w14:textId="4C319D44" w:rsidR="008D7F4E" w:rsidRPr="002B4451" w:rsidRDefault="008D7F4E" w:rsidP="008D7F4E">
      <w:pPr>
        <w:rPr>
          <w:lang w:val="es-DO"/>
        </w:rPr>
      </w:pPr>
    </w:p>
    <w:p w14:paraId="2ADA86D9" w14:textId="4358F90F" w:rsidR="008D7F4E" w:rsidRPr="002B4451" w:rsidRDefault="008D7F4E" w:rsidP="008D7F4E">
      <w:pPr>
        <w:rPr>
          <w:b/>
          <w:bCs/>
          <w:lang w:val="es-DO"/>
        </w:rPr>
      </w:pPr>
    </w:p>
    <w:p w14:paraId="163CEF29" w14:textId="7957FAAD"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7EC6EA5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687780"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75D7A611"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8B6ADF0">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0936C0" w:rsidRPr="005805BA" w:rsidRDefault="000936C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" filled="f" stroked="f">
                <v:textbox inset="0,1pt,0,0">
                  <w:txbxContent>
                    <w:p w14:paraId="6B362718" w14:textId="16CB4E68" w:rsidR="000936C0" w:rsidRPr="005805BA" w:rsidRDefault="000936C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69D29E9C"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6042F8A1" w:rsidR="008D7F4E" w:rsidRPr="002B4451" w:rsidRDefault="008D7F4E" w:rsidP="008D7F4E">
      <w:pPr>
        <w:tabs>
          <w:tab w:val="left" w:pos="5229"/>
        </w:tabs>
        <w:rPr>
          <w:lang w:val="es-DO"/>
        </w:rPr>
      </w:pPr>
    </w:p>
    <w:p w14:paraId="5220AA7B" w14:textId="4D7FB8AB" w:rsidR="008D7F4E" w:rsidRPr="002B4451" w:rsidRDefault="008D7F4E" w:rsidP="008D7F4E">
      <w:pPr>
        <w:tabs>
          <w:tab w:val="left" w:pos="5229"/>
        </w:tabs>
        <w:rPr>
          <w:lang w:val="es-DO"/>
        </w:rPr>
      </w:pPr>
    </w:p>
    <w:p w14:paraId="04CE79E8" w14:textId="46056902" w:rsidR="00B45B38" w:rsidRDefault="008274A2"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4F11865">
                <wp:simplePos x="0" y="0"/>
                <wp:positionH relativeFrom="column">
                  <wp:posOffset>270510</wp:posOffset>
                </wp:positionH>
                <wp:positionV relativeFrom="paragraph">
                  <wp:posOffset>47625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0936C0" w:rsidRPr="003A00CC" w:rsidRDefault="000936C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0936C0" w:rsidRDefault="000936C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21.3pt;margin-top:3.7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lVfA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0936C0" w:rsidRPr="003A00CC" w:rsidRDefault="000936C0"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0936C0" w:rsidRDefault="000936C0"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59F2CBAA" w14:textId="7D2D610B" w:rsidR="00B45B38" w:rsidRDefault="00B45B38" w:rsidP="00B45B38">
      <w:pPr>
        <w:tabs>
          <w:tab w:val="left" w:pos="5229"/>
        </w:tabs>
        <w:jc w:val="center"/>
        <w:rPr>
          <w:lang w:val="es-DO"/>
        </w:rPr>
      </w:pPr>
    </w:p>
    <w:p w14:paraId="6B439D31" w14:textId="3E3D0569" w:rsidR="00B45B38" w:rsidRDefault="008274A2" w:rsidP="008D7F4E">
      <w:pPr>
        <w:tabs>
          <w:tab w:val="left" w:pos="5229"/>
        </w:tabs>
        <w:rPr>
          <w:lang w:val="es-DO"/>
        </w:rPr>
      </w:pPr>
      <w:r>
        <w:rPr>
          <w:noProof/>
        </w:rPr>
        <w:drawing>
          <wp:anchor distT="0" distB="0" distL="114300" distR="114300" simplePos="0" relativeHeight="251737088" behindDoc="1" locked="0" layoutInCell="1" allowOverlap="1" wp14:anchorId="5CDC70F6" wp14:editId="29C38D94">
            <wp:simplePos x="0" y="0"/>
            <wp:positionH relativeFrom="column">
              <wp:posOffset>3800475</wp:posOffset>
            </wp:positionH>
            <wp:positionV relativeFrom="paragraph">
              <wp:posOffset>-568960</wp:posOffset>
            </wp:positionV>
            <wp:extent cx="2199005" cy="1042670"/>
            <wp:effectExtent l="0" t="0" r="0" b="5080"/>
            <wp:wrapTight wrapText="bothSides">
              <wp:wrapPolygon edited="0">
                <wp:start x="2994" y="789"/>
                <wp:lineTo x="936" y="7498"/>
                <wp:lineTo x="1123" y="11050"/>
                <wp:lineTo x="6175" y="14207"/>
                <wp:lineTo x="1123" y="14996"/>
                <wp:lineTo x="936" y="16970"/>
                <wp:lineTo x="4117" y="20521"/>
                <wp:lineTo x="5427" y="21311"/>
                <wp:lineTo x="6362" y="21311"/>
                <wp:lineTo x="17402" y="20916"/>
                <wp:lineTo x="17215" y="20521"/>
                <wp:lineTo x="20396" y="17364"/>
                <wp:lineTo x="19835" y="15391"/>
                <wp:lineTo x="16841" y="14207"/>
                <wp:lineTo x="20396" y="11839"/>
                <wp:lineTo x="20396" y="2762"/>
                <wp:lineTo x="18525" y="1973"/>
                <wp:lineTo x="5801" y="789"/>
                <wp:lineTo x="2994" y="789"/>
              </wp:wrapPolygon>
            </wp:wrapTight>
            <wp:docPr id="19" name="Imagen 19" descr="C:\Users\epujols\AppData\Local\Microsoft\Windows\INetCache\Content.Outlook\C0BVN8J7\Union Lock Variations-19 (002).png"/>
            <wp:cNvGraphicFramePr/>
            <a:graphic xmlns:a="http://schemas.openxmlformats.org/drawingml/2006/main">
              <a:graphicData uri="http://schemas.openxmlformats.org/drawingml/2006/picture">
                <pic:pic xmlns:pic="http://schemas.openxmlformats.org/drawingml/2006/picture">
                  <pic:nvPicPr>
                    <pic:cNvPr id="17" name="Imagen 17" descr="C:\Users\epujols\AppData\Local\Microsoft\Windows\INetCache\Content.Outlook\C0BVN8J7\Union Lock Variations-19 (002).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9005" cy="1042670"/>
                    </a:xfrm>
                    <a:prstGeom prst="rect">
                      <a:avLst/>
                    </a:prstGeom>
                    <a:noFill/>
                    <a:ln>
                      <a:noFill/>
                    </a:ln>
                  </pic:spPr>
                </pic:pic>
              </a:graphicData>
            </a:graphic>
          </wp:anchor>
        </w:drawing>
      </w:r>
    </w:p>
    <w:p w14:paraId="1ED111F8" w14:textId="77777777" w:rsidR="00EF6A8E" w:rsidRPr="0058331C" w:rsidRDefault="00EF6A8E">
      <w:pPr>
        <w:rPr>
          <w:color w:val="4C4747"/>
          <w:sz w:val="22"/>
          <w:szCs w:val="22"/>
          <w:lang w:val="es-DO"/>
        </w:rPr>
      </w:pP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4184177B" w:rsidR="00545797" w:rsidRPr="0058331C" w:rsidRDefault="00654164" w:rsidP="00EF6A8E">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51332F">
        <w:rPr>
          <w:color w:val="4C4747"/>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rsidP="00EF6A8E">
          <w:pPr>
            <w:pStyle w:val="TtuloTDC"/>
            <w:spacing w:line="360" w:lineRule="auto"/>
            <w:rPr>
              <w:rFonts w:ascii="Times New Roman" w:hAnsi="Times New Roman" w:cs="Times New Roman"/>
              <w:color w:val="4C4747"/>
            </w:rPr>
          </w:pPr>
        </w:p>
        <w:p w14:paraId="5B4B207B" w14:textId="55028F52" w:rsidR="00A04FF5" w:rsidRDefault="00A630BC" w:rsidP="00A04FF5">
          <w:pPr>
            <w:pStyle w:val="TDC1"/>
            <w:tabs>
              <w:tab w:val="right" w:leader="dot" w:pos="9350"/>
            </w:tabs>
            <w:spacing w:line="360" w:lineRule="auto"/>
            <w:rPr>
              <w:rFonts w:asciiTheme="minorHAnsi" w:eastAsiaTheme="minorEastAsia" w:hAnsiTheme="minorHAnsi" w:cstheme="minorBidi"/>
              <w:noProof/>
              <w:color w:val="auto"/>
              <w:spacing w:val="0"/>
              <w:sz w:val="22"/>
              <w:szCs w:val="22"/>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216875859" w:history="1">
            <w:r w:rsidR="00A04FF5" w:rsidRPr="00E838BB">
              <w:rPr>
                <w:rStyle w:val="Hipervnculo"/>
                <w:noProof/>
                <w:lang w:val="es-DO"/>
              </w:rPr>
              <w:t>PRESENTACIÓN</w:t>
            </w:r>
            <w:r w:rsidR="00A04FF5">
              <w:rPr>
                <w:noProof/>
                <w:webHidden/>
              </w:rPr>
              <w:tab/>
            </w:r>
            <w:r w:rsidR="00A04FF5">
              <w:rPr>
                <w:noProof/>
                <w:webHidden/>
              </w:rPr>
              <w:fldChar w:fldCharType="begin"/>
            </w:r>
            <w:r w:rsidR="00A04FF5">
              <w:rPr>
                <w:noProof/>
                <w:webHidden/>
              </w:rPr>
              <w:instrText xml:space="preserve"> PAGEREF _Toc216875859 \h </w:instrText>
            </w:r>
            <w:r w:rsidR="00A04FF5">
              <w:rPr>
                <w:noProof/>
                <w:webHidden/>
              </w:rPr>
            </w:r>
            <w:r w:rsidR="00A04FF5">
              <w:rPr>
                <w:noProof/>
                <w:webHidden/>
              </w:rPr>
              <w:fldChar w:fldCharType="separate"/>
            </w:r>
            <w:r w:rsidR="00A04FF5">
              <w:rPr>
                <w:noProof/>
                <w:webHidden/>
              </w:rPr>
              <w:t>1</w:t>
            </w:r>
            <w:r w:rsidR="00A04FF5">
              <w:rPr>
                <w:noProof/>
                <w:webHidden/>
              </w:rPr>
              <w:fldChar w:fldCharType="end"/>
            </w:r>
          </w:hyperlink>
        </w:p>
        <w:p w14:paraId="6C29EA65" w14:textId="31709C3A" w:rsidR="00A04FF5" w:rsidRDefault="000936C0">
          <w:pPr>
            <w:pStyle w:val="TDC1"/>
            <w:tabs>
              <w:tab w:val="left" w:pos="480"/>
              <w:tab w:val="right" w:leader="dot" w:pos="9350"/>
            </w:tabs>
            <w:rPr>
              <w:rFonts w:asciiTheme="minorHAnsi" w:eastAsiaTheme="minorEastAsia" w:hAnsiTheme="minorHAnsi" w:cstheme="minorBidi"/>
              <w:noProof/>
              <w:color w:val="auto"/>
              <w:spacing w:val="0"/>
              <w:sz w:val="22"/>
              <w:szCs w:val="22"/>
            </w:rPr>
          </w:pPr>
          <w:hyperlink w:anchor="_Toc216875860" w:history="1">
            <w:r w:rsidR="00A04FF5" w:rsidRPr="00E838BB">
              <w:rPr>
                <w:rStyle w:val="Hipervnculo"/>
                <w:noProof/>
                <w:lang w:val="es-ES"/>
              </w:rPr>
              <w:t>I.</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ES"/>
              </w:rPr>
              <w:t>RESUMEN EJECUTIVO</w:t>
            </w:r>
            <w:r w:rsidR="00A04FF5">
              <w:rPr>
                <w:noProof/>
                <w:webHidden/>
              </w:rPr>
              <w:tab/>
            </w:r>
            <w:r w:rsidR="00A04FF5">
              <w:rPr>
                <w:noProof/>
                <w:webHidden/>
              </w:rPr>
              <w:fldChar w:fldCharType="begin"/>
            </w:r>
            <w:r w:rsidR="00A04FF5">
              <w:rPr>
                <w:noProof/>
                <w:webHidden/>
              </w:rPr>
              <w:instrText xml:space="preserve"> PAGEREF _Toc216875860 \h </w:instrText>
            </w:r>
            <w:r w:rsidR="00A04FF5">
              <w:rPr>
                <w:noProof/>
                <w:webHidden/>
              </w:rPr>
            </w:r>
            <w:r w:rsidR="00A04FF5">
              <w:rPr>
                <w:noProof/>
                <w:webHidden/>
              </w:rPr>
              <w:fldChar w:fldCharType="separate"/>
            </w:r>
            <w:r w:rsidR="00A04FF5">
              <w:rPr>
                <w:noProof/>
                <w:webHidden/>
              </w:rPr>
              <w:t>3</w:t>
            </w:r>
            <w:r w:rsidR="00A04FF5">
              <w:rPr>
                <w:noProof/>
                <w:webHidden/>
              </w:rPr>
              <w:fldChar w:fldCharType="end"/>
            </w:r>
          </w:hyperlink>
        </w:p>
        <w:p w14:paraId="1F120B1F" w14:textId="61A8AD28"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61" w:history="1">
            <w:r w:rsidR="00A04FF5" w:rsidRPr="00E838BB">
              <w:rPr>
                <w:rStyle w:val="Hipervnculo"/>
                <w:noProof/>
              </w:rPr>
              <w:t>II.</w:t>
            </w:r>
            <w:r w:rsidR="00A04FF5">
              <w:rPr>
                <w:rFonts w:asciiTheme="minorHAnsi" w:eastAsiaTheme="minorEastAsia" w:hAnsiTheme="minorHAnsi" w:cstheme="minorBidi"/>
                <w:noProof/>
                <w:color w:val="auto"/>
                <w:spacing w:val="0"/>
                <w:sz w:val="22"/>
                <w:szCs w:val="22"/>
              </w:rPr>
              <w:tab/>
            </w:r>
            <w:r w:rsidR="00A04FF5" w:rsidRPr="00E838BB">
              <w:rPr>
                <w:rStyle w:val="Hipervnculo"/>
                <w:noProof/>
              </w:rPr>
              <w:t>INFORMACIÓN INSTITUCIONAL</w:t>
            </w:r>
            <w:r w:rsidR="00A04FF5">
              <w:rPr>
                <w:noProof/>
                <w:webHidden/>
              </w:rPr>
              <w:tab/>
            </w:r>
            <w:r w:rsidR="00A04FF5">
              <w:rPr>
                <w:noProof/>
                <w:webHidden/>
              </w:rPr>
              <w:fldChar w:fldCharType="begin"/>
            </w:r>
            <w:r w:rsidR="00A04FF5">
              <w:rPr>
                <w:noProof/>
                <w:webHidden/>
              </w:rPr>
              <w:instrText xml:space="preserve"> PAGEREF _Toc216875861 \h </w:instrText>
            </w:r>
            <w:r w:rsidR="00A04FF5">
              <w:rPr>
                <w:noProof/>
                <w:webHidden/>
              </w:rPr>
            </w:r>
            <w:r w:rsidR="00A04FF5">
              <w:rPr>
                <w:noProof/>
                <w:webHidden/>
              </w:rPr>
              <w:fldChar w:fldCharType="separate"/>
            </w:r>
            <w:r w:rsidR="00A04FF5">
              <w:rPr>
                <w:noProof/>
                <w:webHidden/>
              </w:rPr>
              <w:t>8</w:t>
            </w:r>
            <w:r w:rsidR="00A04FF5">
              <w:rPr>
                <w:noProof/>
                <w:webHidden/>
              </w:rPr>
              <w:fldChar w:fldCharType="end"/>
            </w:r>
          </w:hyperlink>
        </w:p>
        <w:p w14:paraId="1241636E" w14:textId="51CA21A8" w:rsidR="00A04FF5" w:rsidRDefault="000936C0">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6875862" w:history="1">
            <w:r w:rsidR="00A04FF5" w:rsidRPr="00E838BB">
              <w:rPr>
                <w:rStyle w:val="Hipervnculo"/>
                <w:rFonts w:eastAsia="Times New Roman"/>
                <w:b/>
                <w:bCs/>
                <w:noProof/>
                <w:lang w:val="es-ES"/>
              </w:rPr>
              <w:t>2.1</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Marco filosófico institucional</w:t>
            </w:r>
            <w:r w:rsidR="00A04FF5">
              <w:rPr>
                <w:noProof/>
                <w:webHidden/>
              </w:rPr>
              <w:tab/>
            </w:r>
            <w:r w:rsidR="00A04FF5">
              <w:rPr>
                <w:noProof/>
                <w:webHidden/>
              </w:rPr>
              <w:fldChar w:fldCharType="begin"/>
            </w:r>
            <w:r w:rsidR="00A04FF5">
              <w:rPr>
                <w:noProof/>
                <w:webHidden/>
              </w:rPr>
              <w:instrText xml:space="preserve"> PAGEREF _Toc216875862 \h </w:instrText>
            </w:r>
            <w:r w:rsidR="00A04FF5">
              <w:rPr>
                <w:noProof/>
                <w:webHidden/>
              </w:rPr>
            </w:r>
            <w:r w:rsidR="00A04FF5">
              <w:rPr>
                <w:noProof/>
                <w:webHidden/>
              </w:rPr>
              <w:fldChar w:fldCharType="separate"/>
            </w:r>
            <w:r w:rsidR="00A04FF5">
              <w:rPr>
                <w:noProof/>
                <w:webHidden/>
              </w:rPr>
              <w:t>8</w:t>
            </w:r>
            <w:r w:rsidR="00A04FF5">
              <w:rPr>
                <w:noProof/>
                <w:webHidden/>
              </w:rPr>
              <w:fldChar w:fldCharType="end"/>
            </w:r>
          </w:hyperlink>
        </w:p>
        <w:p w14:paraId="71902B28" w14:textId="5351ABA3" w:rsidR="00A04FF5" w:rsidRDefault="000936C0">
          <w:pPr>
            <w:pStyle w:val="TDC3"/>
            <w:tabs>
              <w:tab w:val="left" w:pos="1100"/>
              <w:tab w:val="right" w:leader="dot" w:pos="9350"/>
            </w:tabs>
            <w:rPr>
              <w:rFonts w:asciiTheme="minorHAnsi" w:eastAsiaTheme="minorEastAsia" w:hAnsiTheme="minorHAnsi" w:cstheme="minorBidi"/>
              <w:noProof/>
              <w:color w:val="auto"/>
              <w:spacing w:val="0"/>
              <w:sz w:val="22"/>
              <w:szCs w:val="22"/>
            </w:rPr>
          </w:pPr>
          <w:hyperlink w:anchor="_Toc216875863" w:history="1">
            <w:r w:rsidR="00A04FF5" w:rsidRPr="00E838BB">
              <w:rPr>
                <w:rStyle w:val="Hipervnculo"/>
                <w:b/>
                <w:i/>
                <w:noProof/>
                <w:lang w:val="es-ES"/>
              </w:rPr>
              <w:t>A.</w:t>
            </w:r>
            <w:r w:rsidR="00A04FF5">
              <w:rPr>
                <w:rFonts w:asciiTheme="minorHAnsi" w:eastAsiaTheme="minorEastAsia" w:hAnsiTheme="minorHAnsi" w:cstheme="minorBidi"/>
                <w:noProof/>
                <w:color w:val="auto"/>
                <w:spacing w:val="0"/>
                <w:sz w:val="22"/>
                <w:szCs w:val="22"/>
              </w:rPr>
              <w:tab/>
            </w:r>
            <w:r w:rsidR="00A04FF5" w:rsidRPr="00E838BB">
              <w:rPr>
                <w:rStyle w:val="Hipervnculo"/>
                <w:b/>
                <w:i/>
                <w:noProof/>
                <w:lang w:val="es-ES"/>
              </w:rPr>
              <w:t>Misión</w:t>
            </w:r>
            <w:r w:rsidR="00A04FF5">
              <w:rPr>
                <w:noProof/>
                <w:webHidden/>
              </w:rPr>
              <w:tab/>
            </w:r>
            <w:r w:rsidR="00A04FF5">
              <w:rPr>
                <w:noProof/>
                <w:webHidden/>
              </w:rPr>
              <w:fldChar w:fldCharType="begin"/>
            </w:r>
            <w:r w:rsidR="00A04FF5">
              <w:rPr>
                <w:noProof/>
                <w:webHidden/>
              </w:rPr>
              <w:instrText xml:space="preserve"> PAGEREF _Toc216875863 \h </w:instrText>
            </w:r>
            <w:r w:rsidR="00A04FF5">
              <w:rPr>
                <w:noProof/>
                <w:webHidden/>
              </w:rPr>
            </w:r>
            <w:r w:rsidR="00A04FF5">
              <w:rPr>
                <w:noProof/>
                <w:webHidden/>
              </w:rPr>
              <w:fldChar w:fldCharType="separate"/>
            </w:r>
            <w:r w:rsidR="00A04FF5">
              <w:rPr>
                <w:noProof/>
                <w:webHidden/>
              </w:rPr>
              <w:t>8</w:t>
            </w:r>
            <w:r w:rsidR="00A04FF5">
              <w:rPr>
                <w:noProof/>
                <w:webHidden/>
              </w:rPr>
              <w:fldChar w:fldCharType="end"/>
            </w:r>
          </w:hyperlink>
        </w:p>
        <w:p w14:paraId="42D48036" w14:textId="5C2A56DF" w:rsidR="00A04FF5" w:rsidRDefault="000936C0">
          <w:pPr>
            <w:pStyle w:val="TDC3"/>
            <w:tabs>
              <w:tab w:val="left" w:pos="1100"/>
              <w:tab w:val="right" w:leader="dot" w:pos="9350"/>
            </w:tabs>
            <w:rPr>
              <w:rFonts w:asciiTheme="minorHAnsi" w:eastAsiaTheme="minorEastAsia" w:hAnsiTheme="minorHAnsi" w:cstheme="minorBidi"/>
              <w:noProof/>
              <w:color w:val="auto"/>
              <w:spacing w:val="0"/>
              <w:sz w:val="22"/>
              <w:szCs w:val="22"/>
            </w:rPr>
          </w:pPr>
          <w:hyperlink w:anchor="_Toc216875864" w:history="1">
            <w:r w:rsidR="00A04FF5" w:rsidRPr="00E838BB">
              <w:rPr>
                <w:rStyle w:val="Hipervnculo"/>
                <w:b/>
                <w:i/>
                <w:noProof/>
                <w:lang w:val="es-ES"/>
              </w:rPr>
              <w:t>B.</w:t>
            </w:r>
            <w:r w:rsidR="00A04FF5">
              <w:rPr>
                <w:rFonts w:asciiTheme="minorHAnsi" w:eastAsiaTheme="minorEastAsia" w:hAnsiTheme="minorHAnsi" w:cstheme="minorBidi"/>
                <w:noProof/>
                <w:color w:val="auto"/>
                <w:spacing w:val="0"/>
                <w:sz w:val="22"/>
                <w:szCs w:val="22"/>
              </w:rPr>
              <w:tab/>
            </w:r>
            <w:r w:rsidR="00A04FF5" w:rsidRPr="00E838BB">
              <w:rPr>
                <w:rStyle w:val="Hipervnculo"/>
                <w:b/>
                <w:i/>
                <w:noProof/>
                <w:lang w:val="es-ES"/>
              </w:rPr>
              <w:t>Visión</w:t>
            </w:r>
            <w:r w:rsidR="00A04FF5">
              <w:rPr>
                <w:noProof/>
                <w:webHidden/>
              </w:rPr>
              <w:tab/>
            </w:r>
            <w:r w:rsidR="00A04FF5">
              <w:rPr>
                <w:noProof/>
                <w:webHidden/>
              </w:rPr>
              <w:fldChar w:fldCharType="begin"/>
            </w:r>
            <w:r w:rsidR="00A04FF5">
              <w:rPr>
                <w:noProof/>
                <w:webHidden/>
              </w:rPr>
              <w:instrText xml:space="preserve"> PAGEREF _Toc216875864 \h </w:instrText>
            </w:r>
            <w:r w:rsidR="00A04FF5">
              <w:rPr>
                <w:noProof/>
                <w:webHidden/>
              </w:rPr>
            </w:r>
            <w:r w:rsidR="00A04FF5">
              <w:rPr>
                <w:noProof/>
                <w:webHidden/>
              </w:rPr>
              <w:fldChar w:fldCharType="separate"/>
            </w:r>
            <w:r w:rsidR="00A04FF5">
              <w:rPr>
                <w:noProof/>
                <w:webHidden/>
              </w:rPr>
              <w:t>8</w:t>
            </w:r>
            <w:r w:rsidR="00A04FF5">
              <w:rPr>
                <w:noProof/>
                <w:webHidden/>
              </w:rPr>
              <w:fldChar w:fldCharType="end"/>
            </w:r>
          </w:hyperlink>
        </w:p>
        <w:p w14:paraId="6D4779FF" w14:textId="1FB2D087" w:rsidR="00A04FF5" w:rsidRDefault="000936C0">
          <w:pPr>
            <w:pStyle w:val="TDC3"/>
            <w:tabs>
              <w:tab w:val="left" w:pos="1100"/>
              <w:tab w:val="right" w:leader="dot" w:pos="9350"/>
            </w:tabs>
            <w:rPr>
              <w:rFonts w:asciiTheme="minorHAnsi" w:eastAsiaTheme="minorEastAsia" w:hAnsiTheme="minorHAnsi" w:cstheme="minorBidi"/>
              <w:noProof/>
              <w:color w:val="auto"/>
              <w:spacing w:val="0"/>
              <w:sz w:val="22"/>
              <w:szCs w:val="22"/>
            </w:rPr>
          </w:pPr>
          <w:hyperlink w:anchor="_Toc216875865" w:history="1">
            <w:r w:rsidR="00A04FF5" w:rsidRPr="00E838BB">
              <w:rPr>
                <w:rStyle w:val="Hipervnculo"/>
                <w:b/>
                <w:i/>
                <w:noProof/>
                <w:lang w:val="es-ES"/>
              </w:rPr>
              <w:t>C.</w:t>
            </w:r>
            <w:r w:rsidR="00A04FF5">
              <w:rPr>
                <w:rFonts w:asciiTheme="minorHAnsi" w:eastAsiaTheme="minorEastAsia" w:hAnsiTheme="minorHAnsi" w:cstheme="minorBidi"/>
                <w:noProof/>
                <w:color w:val="auto"/>
                <w:spacing w:val="0"/>
                <w:sz w:val="22"/>
                <w:szCs w:val="22"/>
              </w:rPr>
              <w:tab/>
            </w:r>
            <w:r w:rsidR="00A04FF5" w:rsidRPr="00E838BB">
              <w:rPr>
                <w:rStyle w:val="Hipervnculo"/>
                <w:b/>
                <w:i/>
                <w:noProof/>
                <w:lang w:val="es-ES"/>
              </w:rPr>
              <w:t>Valores</w:t>
            </w:r>
            <w:r w:rsidR="00A04FF5">
              <w:rPr>
                <w:noProof/>
                <w:webHidden/>
              </w:rPr>
              <w:tab/>
            </w:r>
            <w:r w:rsidR="00A04FF5">
              <w:rPr>
                <w:noProof/>
                <w:webHidden/>
              </w:rPr>
              <w:fldChar w:fldCharType="begin"/>
            </w:r>
            <w:r w:rsidR="00A04FF5">
              <w:rPr>
                <w:noProof/>
                <w:webHidden/>
              </w:rPr>
              <w:instrText xml:space="preserve"> PAGEREF _Toc216875865 \h </w:instrText>
            </w:r>
            <w:r w:rsidR="00A04FF5">
              <w:rPr>
                <w:noProof/>
                <w:webHidden/>
              </w:rPr>
            </w:r>
            <w:r w:rsidR="00A04FF5">
              <w:rPr>
                <w:noProof/>
                <w:webHidden/>
              </w:rPr>
              <w:fldChar w:fldCharType="separate"/>
            </w:r>
            <w:r w:rsidR="00A04FF5">
              <w:rPr>
                <w:noProof/>
                <w:webHidden/>
              </w:rPr>
              <w:t>8</w:t>
            </w:r>
            <w:r w:rsidR="00A04FF5">
              <w:rPr>
                <w:noProof/>
                <w:webHidden/>
              </w:rPr>
              <w:fldChar w:fldCharType="end"/>
            </w:r>
          </w:hyperlink>
        </w:p>
        <w:p w14:paraId="6A20186E" w14:textId="6463F437" w:rsidR="00A04FF5" w:rsidRDefault="000936C0">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216875866" w:history="1">
            <w:r w:rsidR="00A04FF5" w:rsidRPr="00E838BB">
              <w:rPr>
                <w:rStyle w:val="Hipervnculo"/>
                <w:rFonts w:eastAsia="Times New Roman"/>
                <w:b/>
                <w:bCs/>
                <w:noProof/>
                <w:lang w:val="es-ES"/>
              </w:rPr>
              <w:t>2.2</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Base Legal y Funciones Esenciales de la Superintendencia de Seguros</w:t>
            </w:r>
            <w:r w:rsidR="00A04FF5">
              <w:rPr>
                <w:noProof/>
                <w:webHidden/>
              </w:rPr>
              <w:tab/>
            </w:r>
            <w:r w:rsidR="00A04FF5">
              <w:rPr>
                <w:noProof/>
                <w:webHidden/>
              </w:rPr>
              <w:fldChar w:fldCharType="begin"/>
            </w:r>
            <w:r w:rsidR="00A04FF5">
              <w:rPr>
                <w:noProof/>
                <w:webHidden/>
              </w:rPr>
              <w:instrText xml:space="preserve"> PAGEREF _Toc216875866 \h </w:instrText>
            </w:r>
            <w:r w:rsidR="00A04FF5">
              <w:rPr>
                <w:noProof/>
                <w:webHidden/>
              </w:rPr>
            </w:r>
            <w:r w:rsidR="00A04FF5">
              <w:rPr>
                <w:noProof/>
                <w:webHidden/>
              </w:rPr>
              <w:fldChar w:fldCharType="separate"/>
            </w:r>
            <w:r w:rsidR="00A04FF5">
              <w:rPr>
                <w:noProof/>
                <w:webHidden/>
              </w:rPr>
              <w:t>10</w:t>
            </w:r>
            <w:r w:rsidR="00A04FF5">
              <w:rPr>
                <w:noProof/>
                <w:webHidden/>
              </w:rPr>
              <w:fldChar w:fldCharType="end"/>
            </w:r>
          </w:hyperlink>
        </w:p>
        <w:p w14:paraId="6C562A45" w14:textId="0980C6E8"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67" w:history="1">
            <w:r w:rsidR="00A04FF5" w:rsidRPr="00E838BB">
              <w:rPr>
                <w:rStyle w:val="Hipervnculo"/>
                <w:b/>
                <w:noProof/>
                <w:lang w:val="es-DO"/>
              </w:rPr>
              <w:t>2.3.</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Estructura Org</w:t>
            </w:r>
            <w:r w:rsidR="00A04FF5" w:rsidRPr="00E838BB">
              <w:rPr>
                <w:rStyle w:val="Hipervnculo"/>
                <w:b/>
                <w:noProof/>
                <w:lang w:val="es-DO"/>
              </w:rPr>
              <w:t>a</w:t>
            </w:r>
            <w:r w:rsidR="00A04FF5" w:rsidRPr="00E838BB">
              <w:rPr>
                <w:rStyle w:val="Hipervnculo"/>
                <w:b/>
                <w:noProof/>
                <w:lang w:val="es-DO"/>
              </w:rPr>
              <w:t>nizativa</w:t>
            </w:r>
            <w:r w:rsidR="00A04FF5">
              <w:rPr>
                <w:noProof/>
                <w:webHidden/>
              </w:rPr>
              <w:tab/>
            </w:r>
            <w:r w:rsidR="00A04FF5">
              <w:rPr>
                <w:noProof/>
                <w:webHidden/>
              </w:rPr>
              <w:fldChar w:fldCharType="begin"/>
            </w:r>
            <w:r w:rsidR="00A04FF5">
              <w:rPr>
                <w:noProof/>
                <w:webHidden/>
              </w:rPr>
              <w:instrText xml:space="preserve"> PAGEREF _Toc216875867 \h </w:instrText>
            </w:r>
            <w:r w:rsidR="00A04FF5">
              <w:rPr>
                <w:noProof/>
                <w:webHidden/>
              </w:rPr>
            </w:r>
            <w:r w:rsidR="00A04FF5">
              <w:rPr>
                <w:noProof/>
                <w:webHidden/>
              </w:rPr>
              <w:fldChar w:fldCharType="separate"/>
            </w:r>
            <w:r w:rsidR="00A04FF5">
              <w:rPr>
                <w:noProof/>
                <w:webHidden/>
              </w:rPr>
              <w:t>20</w:t>
            </w:r>
            <w:r w:rsidR="00A04FF5">
              <w:rPr>
                <w:noProof/>
                <w:webHidden/>
              </w:rPr>
              <w:fldChar w:fldCharType="end"/>
            </w:r>
          </w:hyperlink>
        </w:p>
        <w:p w14:paraId="40A09200" w14:textId="4AF9A921"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68" w:history="1">
            <w:r w:rsidR="00A04FF5" w:rsidRPr="00E838BB">
              <w:rPr>
                <w:rStyle w:val="Hipervnculo"/>
                <w:b/>
                <w:noProof/>
                <w:lang w:val="es-DO"/>
              </w:rPr>
              <w:t>2.4.</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Planificación Estratégica Institucional</w:t>
            </w:r>
            <w:r w:rsidR="00A04FF5">
              <w:rPr>
                <w:noProof/>
                <w:webHidden/>
              </w:rPr>
              <w:tab/>
            </w:r>
            <w:r w:rsidR="00A04FF5">
              <w:rPr>
                <w:noProof/>
                <w:webHidden/>
              </w:rPr>
              <w:fldChar w:fldCharType="begin"/>
            </w:r>
            <w:r w:rsidR="00A04FF5">
              <w:rPr>
                <w:noProof/>
                <w:webHidden/>
              </w:rPr>
              <w:instrText xml:space="preserve"> PAGEREF _Toc216875868 \h </w:instrText>
            </w:r>
            <w:r w:rsidR="00A04FF5">
              <w:rPr>
                <w:noProof/>
                <w:webHidden/>
              </w:rPr>
            </w:r>
            <w:r w:rsidR="00A04FF5">
              <w:rPr>
                <w:noProof/>
                <w:webHidden/>
              </w:rPr>
              <w:fldChar w:fldCharType="separate"/>
            </w:r>
            <w:r w:rsidR="00A04FF5">
              <w:rPr>
                <w:noProof/>
                <w:webHidden/>
              </w:rPr>
              <w:t>22</w:t>
            </w:r>
            <w:r w:rsidR="00A04FF5">
              <w:rPr>
                <w:noProof/>
                <w:webHidden/>
              </w:rPr>
              <w:fldChar w:fldCharType="end"/>
            </w:r>
          </w:hyperlink>
        </w:p>
        <w:p w14:paraId="6B0DEA6E" w14:textId="7C5FD482"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69" w:history="1">
            <w:r w:rsidR="00A04FF5" w:rsidRPr="00E838BB">
              <w:rPr>
                <w:rStyle w:val="Hipervnculo"/>
                <w:noProof/>
                <w:lang w:val="es-ES"/>
              </w:rPr>
              <w:t>III.</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ES"/>
              </w:rPr>
              <w:t>RESULTADOS MISIONALES</w:t>
            </w:r>
            <w:r w:rsidR="00A04FF5">
              <w:rPr>
                <w:noProof/>
                <w:webHidden/>
              </w:rPr>
              <w:tab/>
            </w:r>
            <w:r w:rsidR="00A04FF5">
              <w:rPr>
                <w:noProof/>
                <w:webHidden/>
              </w:rPr>
              <w:fldChar w:fldCharType="begin"/>
            </w:r>
            <w:r w:rsidR="00A04FF5">
              <w:rPr>
                <w:noProof/>
                <w:webHidden/>
              </w:rPr>
              <w:instrText xml:space="preserve"> PAGEREF _Toc216875869 \h </w:instrText>
            </w:r>
            <w:r w:rsidR="00A04FF5">
              <w:rPr>
                <w:noProof/>
                <w:webHidden/>
              </w:rPr>
            </w:r>
            <w:r w:rsidR="00A04FF5">
              <w:rPr>
                <w:noProof/>
                <w:webHidden/>
              </w:rPr>
              <w:fldChar w:fldCharType="separate"/>
            </w:r>
            <w:r w:rsidR="00A04FF5">
              <w:rPr>
                <w:noProof/>
                <w:webHidden/>
              </w:rPr>
              <w:t>25</w:t>
            </w:r>
            <w:r w:rsidR="00A04FF5">
              <w:rPr>
                <w:noProof/>
                <w:webHidden/>
              </w:rPr>
              <w:fldChar w:fldCharType="end"/>
            </w:r>
          </w:hyperlink>
        </w:p>
        <w:p w14:paraId="0FE77566" w14:textId="79379871"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70" w:history="1">
            <w:r w:rsidR="00A04FF5" w:rsidRPr="00E838BB">
              <w:rPr>
                <w:rStyle w:val="Hipervnculo"/>
                <w:noProof/>
                <w:lang w:val="es-DO"/>
              </w:rPr>
              <w:t>IV.</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DO"/>
              </w:rPr>
              <w:t>RESULTADOS DE LAS ÁREAS TRANSVERSALES Y DE APOYO</w:t>
            </w:r>
            <w:r w:rsidR="00A04FF5">
              <w:rPr>
                <w:noProof/>
                <w:webHidden/>
              </w:rPr>
              <w:tab/>
            </w:r>
            <w:r w:rsidR="00A04FF5">
              <w:rPr>
                <w:noProof/>
                <w:webHidden/>
              </w:rPr>
              <w:fldChar w:fldCharType="begin"/>
            </w:r>
            <w:r w:rsidR="00A04FF5">
              <w:rPr>
                <w:noProof/>
                <w:webHidden/>
              </w:rPr>
              <w:instrText xml:space="preserve"> PAGEREF _Toc216875870 \h </w:instrText>
            </w:r>
            <w:r w:rsidR="00A04FF5">
              <w:rPr>
                <w:noProof/>
                <w:webHidden/>
              </w:rPr>
            </w:r>
            <w:r w:rsidR="00A04FF5">
              <w:rPr>
                <w:noProof/>
                <w:webHidden/>
              </w:rPr>
              <w:fldChar w:fldCharType="separate"/>
            </w:r>
            <w:r w:rsidR="00A04FF5">
              <w:rPr>
                <w:noProof/>
                <w:webHidden/>
              </w:rPr>
              <w:t>54</w:t>
            </w:r>
            <w:r w:rsidR="00A04FF5">
              <w:rPr>
                <w:noProof/>
                <w:webHidden/>
              </w:rPr>
              <w:fldChar w:fldCharType="end"/>
            </w:r>
          </w:hyperlink>
        </w:p>
        <w:p w14:paraId="3D8F9236" w14:textId="5168C357" w:rsidR="00A04FF5" w:rsidRDefault="000936C0">
          <w:pPr>
            <w:pStyle w:val="TDC2"/>
            <w:tabs>
              <w:tab w:val="right" w:leader="dot" w:pos="9350"/>
            </w:tabs>
            <w:rPr>
              <w:rFonts w:asciiTheme="minorHAnsi" w:eastAsiaTheme="minorEastAsia" w:hAnsiTheme="minorHAnsi" w:cstheme="minorBidi"/>
              <w:noProof/>
              <w:color w:val="auto"/>
              <w:spacing w:val="0"/>
              <w:sz w:val="22"/>
              <w:szCs w:val="22"/>
            </w:rPr>
          </w:pPr>
          <w:hyperlink w:anchor="_Toc216875871" w:history="1">
            <w:r w:rsidR="00A04FF5" w:rsidRPr="00E838BB">
              <w:rPr>
                <w:rStyle w:val="Hipervnculo"/>
                <w:b/>
                <w:noProof/>
                <w:lang w:val="es-DO"/>
              </w:rPr>
              <w:t xml:space="preserve">4.1 Desempeño </w:t>
            </w:r>
            <w:r w:rsidR="00A04FF5" w:rsidRPr="00E838BB">
              <w:rPr>
                <w:rStyle w:val="Hipervnculo"/>
                <w:b/>
                <w:noProof/>
                <w:lang w:val="es-DO"/>
              </w:rPr>
              <w:t>d</w:t>
            </w:r>
            <w:r w:rsidR="00A04FF5" w:rsidRPr="00E838BB">
              <w:rPr>
                <w:rStyle w:val="Hipervnculo"/>
                <w:b/>
                <w:noProof/>
                <w:lang w:val="es-DO"/>
              </w:rPr>
              <w:t>el Área Adminis</w:t>
            </w:r>
            <w:r w:rsidR="00A04FF5" w:rsidRPr="00E838BB">
              <w:rPr>
                <w:rStyle w:val="Hipervnculo"/>
                <w:b/>
                <w:noProof/>
                <w:lang w:val="es-DO"/>
              </w:rPr>
              <w:t>t</w:t>
            </w:r>
            <w:r w:rsidR="00A04FF5" w:rsidRPr="00E838BB">
              <w:rPr>
                <w:rStyle w:val="Hipervnculo"/>
                <w:b/>
                <w:noProof/>
                <w:lang w:val="es-DO"/>
              </w:rPr>
              <w:t>rativa y F</w:t>
            </w:r>
            <w:r w:rsidR="00A04FF5" w:rsidRPr="00E838BB">
              <w:rPr>
                <w:rStyle w:val="Hipervnculo"/>
                <w:b/>
                <w:noProof/>
                <w:lang w:val="es-DO"/>
              </w:rPr>
              <w:t>i</w:t>
            </w:r>
            <w:r w:rsidR="00A04FF5" w:rsidRPr="00E838BB">
              <w:rPr>
                <w:rStyle w:val="Hipervnculo"/>
                <w:b/>
                <w:noProof/>
                <w:lang w:val="es-DO"/>
              </w:rPr>
              <w:t>n</w:t>
            </w:r>
            <w:r w:rsidR="00A04FF5" w:rsidRPr="00E838BB">
              <w:rPr>
                <w:rStyle w:val="Hipervnculo"/>
                <w:b/>
                <w:noProof/>
                <w:lang w:val="es-DO"/>
              </w:rPr>
              <w:t>a</w:t>
            </w:r>
            <w:r w:rsidR="00A04FF5" w:rsidRPr="00E838BB">
              <w:rPr>
                <w:rStyle w:val="Hipervnculo"/>
                <w:b/>
                <w:noProof/>
                <w:lang w:val="es-DO"/>
              </w:rPr>
              <w:t>nciera</w:t>
            </w:r>
            <w:r w:rsidR="00A04FF5">
              <w:rPr>
                <w:noProof/>
                <w:webHidden/>
              </w:rPr>
              <w:tab/>
            </w:r>
            <w:r w:rsidR="00A04FF5">
              <w:rPr>
                <w:noProof/>
                <w:webHidden/>
              </w:rPr>
              <w:fldChar w:fldCharType="begin"/>
            </w:r>
            <w:r w:rsidR="00A04FF5">
              <w:rPr>
                <w:noProof/>
                <w:webHidden/>
              </w:rPr>
              <w:instrText xml:space="preserve"> PAGEREF _Toc216875871 \h </w:instrText>
            </w:r>
            <w:r w:rsidR="00A04FF5">
              <w:rPr>
                <w:noProof/>
                <w:webHidden/>
              </w:rPr>
            </w:r>
            <w:r w:rsidR="00A04FF5">
              <w:rPr>
                <w:noProof/>
                <w:webHidden/>
              </w:rPr>
              <w:fldChar w:fldCharType="separate"/>
            </w:r>
            <w:r w:rsidR="00A04FF5">
              <w:rPr>
                <w:noProof/>
                <w:webHidden/>
              </w:rPr>
              <w:t>54</w:t>
            </w:r>
            <w:r w:rsidR="00A04FF5">
              <w:rPr>
                <w:noProof/>
                <w:webHidden/>
              </w:rPr>
              <w:fldChar w:fldCharType="end"/>
            </w:r>
          </w:hyperlink>
        </w:p>
        <w:p w14:paraId="47E8F862" w14:textId="39989121"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72" w:history="1">
            <w:r w:rsidR="00A04FF5" w:rsidRPr="00E838BB">
              <w:rPr>
                <w:rStyle w:val="Hipervnculo"/>
                <w:b/>
                <w:noProof/>
                <w:lang w:val="es-DO"/>
              </w:rPr>
              <w:t>4.2.</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 xml:space="preserve">Desempeño </w:t>
            </w:r>
            <w:r w:rsidR="00A04FF5" w:rsidRPr="00E838BB">
              <w:rPr>
                <w:rStyle w:val="Hipervnculo"/>
                <w:b/>
                <w:noProof/>
                <w:lang w:val="es-DO"/>
              </w:rPr>
              <w:t>d</w:t>
            </w:r>
            <w:r w:rsidR="00A04FF5" w:rsidRPr="00E838BB">
              <w:rPr>
                <w:rStyle w:val="Hipervnculo"/>
                <w:b/>
                <w:noProof/>
                <w:lang w:val="es-DO"/>
              </w:rPr>
              <w:t>e Recursos Hu</w:t>
            </w:r>
            <w:r w:rsidR="00A04FF5" w:rsidRPr="00E838BB">
              <w:rPr>
                <w:rStyle w:val="Hipervnculo"/>
                <w:b/>
                <w:noProof/>
                <w:lang w:val="es-DO"/>
              </w:rPr>
              <w:t>m</w:t>
            </w:r>
            <w:r w:rsidR="00A04FF5" w:rsidRPr="00E838BB">
              <w:rPr>
                <w:rStyle w:val="Hipervnculo"/>
                <w:b/>
                <w:noProof/>
                <w:lang w:val="es-DO"/>
              </w:rPr>
              <w:t>anos</w:t>
            </w:r>
            <w:r w:rsidR="00A04FF5">
              <w:rPr>
                <w:noProof/>
                <w:webHidden/>
              </w:rPr>
              <w:tab/>
            </w:r>
            <w:r w:rsidR="00A04FF5">
              <w:rPr>
                <w:noProof/>
                <w:webHidden/>
              </w:rPr>
              <w:fldChar w:fldCharType="begin"/>
            </w:r>
            <w:r w:rsidR="00A04FF5">
              <w:rPr>
                <w:noProof/>
                <w:webHidden/>
              </w:rPr>
              <w:instrText xml:space="preserve"> PAGEREF _Toc216875872 \h </w:instrText>
            </w:r>
            <w:r w:rsidR="00A04FF5">
              <w:rPr>
                <w:noProof/>
                <w:webHidden/>
              </w:rPr>
            </w:r>
            <w:r w:rsidR="00A04FF5">
              <w:rPr>
                <w:noProof/>
                <w:webHidden/>
              </w:rPr>
              <w:fldChar w:fldCharType="separate"/>
            </w:r>
            <w:r w:rsidR="00A04FF5">
              <w:rPr>
                <w:noProof/>
                <w:webHidden/>
              </w:rPr>
              <w:t>59</w:t>
            </w:r>
            <w:r w:rsidR="00A04FF5">
              <w:rPr>
                <w:noProof/>
                <w:webHidden/>
              </w:rPr>
              <w:fldChar w:fldCharType="end"/>
            </w:r>
          </w:hyperlink>
        </w:p>
        <w:p w14:paraId="4F8DAE7A" w14:textId="4F5F0AAF"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73" w:history="1">
            <w:r w:rsidR="00A04FF5" w:rsidRPr="00E838BB">
              <w:rPr>
                <w:rStyle w:val="Hipervnculo"/>
                <w:b/>
                <w:noProof/>
                <w:lang w:val="es-DO"/>
              </w:rPr>
              <w:t>4.3.</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Desempeño de los Procesos Jurídicos</w:t>
            </w:r>
            <w:r w:rsidR="00A04FF5">
              <w:rPr>
                <w:noProof/>
                <w:webHidden/>
              </w:rPr>
              <w:tab/>
            </w:r>
            <w:r w:rsidR="00A04FF5">
              <w:rPr>
                <w:noProof/>
                <w:webHidden/>
              </w:rPr>
              <w:fldChar w:fldCharType="begin"/>
            </w:r>
            <w:r w:rsidR="00A04FF5">
              <w:rPr>
                <w:noProof/>
                <w:webHidden/>
              </w:rPr>
              <w:instrText xml:space="preserve"> PAGEREF _Toc216875873 \h </w:instrText>
            </w:r>
            <w:r w:rsidR="00A04FF5">
              <w:rPr>
                <w:noProof/>
                <w:webHidden/>
              </w:rPr>
            </w:r>
            <w:r w:rsidR="00A04FF5">
              <w:rPr>
                <w:noProof/>
                <w:webHidden/>
              </w:rPr>
              <w:fldChar w:fldCharType="separate"/>
            </w:r>
            <w:r w:rsidR="00A04FF5">
              <w:rPr>
                <w:noProof/>
                <w:webHidden/>
              </w:rPr>
              <w:t>65</w:t>
            </w:r>
            <w:r w:rsidR="00A04FF5">
              <w:rPr>
                <w:noProof/>
                <w:webHidden/>
              </w:rPr>
              <w:fldChar w:fldCharType="end"/>
            </w:r>
          </w:hyperlink>
        </w:p>
        <w:p w14:paraId="096B6739" w14:textId="4EC4E3DD"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74" w:history="1">
            <w:r w:rsidR="00A04FF5" w:rsidRPr="00E838BB">
              <w:rPr>
                <w:rStyle w:val="Hipervnculo"/>
                <w:b/>
                <w:noProof/>
                <w:lang w:val="es-DO"/>
              </w:rPr>
              <w:t>4.4.</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Desempeño de la Tecnología</w:t>
            </w:r>
            <w:r w:rsidR="00A04FF5">
              <w:rPr>
                <w:noProof/>
                <w:webHidden/>
              </w:rPr>
              <w:tab/>
            </w:r>
            <w:r w:rsidR="00A04FF5">
              <w:rPr>
                <w:noProof/>
                <w:webHidden/>
              </w:rPr>
              <w:fldChar w:fldCharType="begin"/>
            </w:r>
            <w:r w:rsidR="00A04FF5">
              <w:rPr>
                <w:noProof/>
                <w:webHidden/>
              </w:rPr>
              <w:instrText xml:space="preserve"> PAGEREF _Toc216875874 \h </w:instrText>
            </w:r>
            <w:r w:rsidR="00A04FF5">
              <w:rPr>
                <w:noProof/>
                <w:webHidden/>
              </w:rPr>
            </w:r>
            <w:r w:rsidR="00A04FF5">
              <w:rPr>
                <w:noProof/>
                <w:webHidden/>
              </w:rPr>
              <w:fldChar w:fldCharType="separate"/>
            </w:r>
            <w:r w:rsidR="00A04FF5">
              <w:rPr>
                <w:noProof/>
                <w:webHidden/>
              </w:rPr>
              <w:t>69</w:t>
            </w:r>
            <w:r w:rsidR="00A04FF5">
              <w:rPr>
                <w:noProof/>
                <w:webHidden/>
              </w:rPr>
              <w:fldChar w:fldCharType="end"/>
            </w:r>
          </w:hyperlink>
        </w:p>
        <w:p w14:paraId="7863B492" w14:textId="778424E4"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75" w:history="1">
            <w:r w:rsidR="00A04FF5" w:rsidRPr="00E838BB">
              <w:rPr>
                <w:rStyle w:val="Hipervnculo"/>
                <w:b/>
                <w:noProof/>
                <w:lang w:val="es-DO"/>
              </w:rPr>
              <w:t>4.5.</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DO"/>
              </w:rPr>
              <w:t>Desempeño del Sistema de Planificación y Desarrollo Institucional</w:t>
            </w:r>
            <w:r w:rsidR="00A04FF5">
              <w:rPr>
                <w:noProof/>
                <w:webHidden/>
              </w:rPr>
              <w:tab/>
            </w:r>
            <w:r w:rsidR="00A04FF5">
              <w:rPr>
                <w:noProof/>
                <w:webHidden/>
              </w:rPr>
              <w:fldChar w:fldCharType="begin"/>
            </w:r>
            <w:r w:rsidR="00A04FF5">
              <w:rPr>
                <w:noProof/>
                <w:webHidden/>
              </w:rPr>
              <w:instrText xml:space="preserve"> PAGEREF _Toc216875875 \h </w:instrText>
            </w:r>
            <w:r w:rsidR="00A04FF5">
              <w:rPr>
                <w:noProof/>
                <w:webHidden/>
              </w:rPr>
            </w:r>
            <w:r w:rsidR="00A04FF5">
              <w:rPr>
                <w:noProof/>
                <w:webHidden/>
              </w:rPr>
              <w:fldChar w:fldCharType="separate"/>
            </w:r>
            <w:r w:rsidR="00A04FF5">
              <w:rPr>
                <w:noProof/>
                <w:webHidden/>
              </w:rPr>
              <w:t>79</w:t>
            </w:r>
            <w:r w:rsidR="00A04FF5">
              <w:rPr>
                <w:noProof/>
                <w:webHidden/>
              </w:rPr>
              <w:fldChar w:fldCharType="end"/>
            </w:r>
          </w:hyperlink>
        </w:p>
        <w:p w14:paraId="24132E17" w14:textId="4E3F8D90"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76" w:history="1">
            <w:r w:rsidR="00A04FF5" w:rsidRPr="00E838BB">
              <w:rPr>
                <w:rStyle w:val="Hipervnculo"/>
                <w:b/>
                <w:noProof/>
                <w:lang w:val="es-ES"/>
              </w:rPr>
              <w:t>4.6.</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ES"/>
              </w:rPr>
              <w:t>Desempeño del Área de Comunicaciones</w:t>
            </w:r>
            <w:r w:rsidR="00A04FF5">
              <w:rPr>
                <w:noProof/>
                <w:webHidden/>
              </w:rPr>
              <w:tab/>
            </w:r>
            <w:r w:rsidR="00A04FF5">
              <w:rPr>
                <w:noProof/>
                <w:webHidden/>
              </w:rPr>
              <w:fldChar w:fldCharType="begin"/>
            </w:r>
            <w:r w:rsidR="00A04FF5">
              <w:rPr>
                <w:noProof/>
                <w:webHidden/>
              </w:rPr>
              <w:instrText xml:space="preserve"> PAGEREF _Toc216875876 \h </w:instrText>
            </w:r>
            <w:r w:rsidR="00A04FF5">
              <w:rPr>
                <w:noProof/>
                <w:webHidden/>
              </w:rPr>
            </w:r>
            <w:r w:rsidR="00A04FF5">
              <w:rPr>
                <w:noProof/>
                <w:webHidden/>
              </w:rPr>
              <w:fldChar w:fldCharType="separate"/>
            </w:r>
            <w:r w:rsidR="00A04FF5">
              <w:rPr>
                <w:noProof/>
                <w:webHidden/>
              </w:rPr>
              <w:t>95</w:t>
            </w:r>
            <w:r w:rsidR="00A04FF5">
              <w:rPr>
                <w:noProof/>
                <w:webHidden/>
              </w:rPr>
              <w:fldChar w:fldCharType="end"/>
            </w:r>
          </w:hyperlink>
        </w:p>
        <w:p w14:paraId="0EDBF54F" w14:textId="035397D8"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77" w:history="1">
            <w:r w:rsidR="00A04FF5" w:rsidRPr="00E838BB">
              <w:rPr>
                <w:rStyle w:val="Hipervnculo"/>
                <w:b/>
                <w:noProof/>
                <w:lang w:val="es-ES"/>
              </w:rPr>
              <w:t>4.7.</w:t>
            </w:r>
            <w:r w:rsidR="00A04FF5">
              <w:rPr>
                <w:rFonts w:asciiTheme="minorHAnsi" w:eastAsiaTheme="minorEastAsia" w:hAnsiTheme="minorHAnsi" w:cstheme="minorBidi"/>
                <w:noProof/>
                <w:color w:val="auto"/>
                <w:spacing w:val="0"/>
                <w:sz w:val="22"/>
                <w:szCs w:val="22"/>
              </w:rPr>
              <w:tab/>
            </w:r>
            <w:r w:rsidR="00A04FF5" w:rsidRPr="00E838BB">
              <w:rPr>
                <w:rStyle w:val="Hipervnculo"/>
                <w:b/>
                <w:noProof/>
                <w:lang w:val="es-ES"/>
              </w:rPr>
              <w:t>Desempeño de la Unidad de Igualdad de Género</w:t>
            </w:r>
            <w:r w:rsidR="00A04FF5">
              <w:rPr>
                <w:noProof/>
                <w:webHidden/>
              </w:rPr>
              <w:tab/>
            </w:r>
            <w:r w:rsidR="00A04FF5">
              <w:rPr>
                <w:noProof/>
                <w:webHidden/>
              </w:rPr>
              <w:fldChar w:fldCharType="begin"/>
            </w:r>
            <w:r w:rsidR="00A04FF5">
              <w:rPr>
                <w:noProof/>
                <w:webHidden/>
              </w:rPr>
              <w:instrText xml:space="preserve"> PAGEREF _Toc216875877 \h </w:instrText>
            </w:r>
            <w:r w:rsidR="00A04FF5">
              <w:rPr>
                <w:noProof/>
                <w:webHidden/>
              </w:rPr>
            </w:r>
            <w:r w:rsidR="00A04FF5">
              <w:rPr>
                <w:noProof/>
                <w:webHidden/>
              </w:rPr>
              <w:fldChar w:fldCharType="separate"/>
            </w:r>
            <w:r w:rsidR="00A04FF5">
              <w:rPr>
                <w:noProof/>
                <w:webHidden/>
              </w:rPr>
              <w:t>100</w:t>
            </w:r>
            <w:r w:rsidR="00A04FF5">
              <w:rPr>
                <w:noProof/>
                <w:webHidden/>
              </w:rPr>
              <w:fldChar w:fldCharType="end"/>
            </w:r>
          </w:hyperlink>
        </w:p>
        <w:p w14:paraId="275EA015" w14:textId="1A0B2E67"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78" w:history="1">
            <w:r w:rsidR="00A04FF5" w:rsidRPr="00E838BB">
              <w:rPr>
                <w:rStyle w:val="Hipervnculo"/>
                <w:noProof/>
                <w:lang w:val="es-DO"/>
              </w:rPr>
              <w:t>V.</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DO"/>
              </w:rPr>
              <w:t>SERVICIO AL CIUDADANO Y TRANSPARENCIA INSTITUCIONAL</w:t>
            </w:r>
            <w:r w:rsidR="00A04FF5">
              <w:rPr>
                <w:noProof/>
                <w:webHidden/>
              </w:rPr>
              <w:tab/>
            </w:r>
            <w:r w:rsidR="00A04FF5">
              <w:rPr>
                <w:noProof/>
                <w:webHidden/>
              </w:rPr>
              <w:fldChar w:fldCharType="begin"/>
            </w:r>
            <w:r w:rsidR="00A04FF5">
              <w:rPr>
                <w:noProof/>
                <w:webHidden/>
              </w:rPr>
              <w:instrText xml:space="preserve"> PAGEREF _Toc216875878 \h </w:instrText>
            </w:r>
            <w:r w:rsidR="00A04FF5">
              <w:rPr>
                <w:noProof/>
                <w:webHidden/>
              </w:rPr>
            </w:r>
            <w:r w:rsidR="00A04FF5">
              <w:rPr>
                <w:noProof/>
                <w:webHidden/>
              </w:rPr>
              <w:fldChar w:fldCharType="separate"/>
            </w:r>
            <w:r w:rsidR="00A04FF5">
              <w:rPr>
                <w:noProof/>
                <w:webHidden/>
              </w:rPr>
              <w:t>104</w:t>
            </w:r>
            <w:r w:rsidR="00A04FF5">
              <w:rPr>
                <w:noProof/>
                <w:webHidden/>
              </w:rPr>
              <w:fldChar w:fldCharType="end"/>
            </w:r>
          </w:hyperlink>
        </w:p>
        <w:p w14:paraId="74300AEF" w14:textId="126FE31F" w:rsidR="00A04FF5" w:rsidRDefault="000936C0">
          <w:pPr>
            <w:pStyle w:val="TDC2"/>
            <w:tabs>
              <w:tab w:val="right" w:leader="dot" w:pos="9350"/>
            </w:tabs>
            <w:rPr>
              <w:rFonts w:asciiTheme="minorHAnsi" w:eastAsiaTheme="minorEastAsia" w:hAnsiTheme="minorHAnsi" w:cstheme="minorBidi"/>
              <w:noProof/>
              <w:color w:val="auto"/>
              <w:spacing w:val="0"/>
              <w:sz w:val="22"/>
              <w:szCs w:val="22"/>
            </w:rPr>
          </w:pPr>
          <w:hyperlink w:anchor="_Toc216875879" w:history="1">
            <w:r w:rsidR="00A04FF5" w:rsidRPr="00E838BB">
              <w:rPr>
                <w:rStyle w:val="Hipervnculo"/>
                <w:b/>
                <w:bCs/>
                <w:noProof/>
                <w:lang w:val="es-ES"/>
              </w:rPr>
              <w:t>5.1. Nivel la satisfacción con el servicio</w:t>
            </w:r>
            <w:r w:rsidR="00A04FF5">
              <w:rPr>
                <w:noProof/>
                <w:webHidden/>
              </w:rPr>
              <w:tab/>
            </w:r>
            <w:r w:rsidR="00A04FF5">
              <w:rPr>
                <w:noProof/>
                <w:webHidden/>
              </w:rPr>
              <w:fldChar w:fldCharType="begin"/>
            </w:r>
            <w:r w:rsidR="00A04FF5">
              <w:rPr>
                <w:noProof/>
                <w:webHidden/>
              </w:rPr>
              <w:instrText xml:space="preserve"> PAGEREF _Toc216875879 \h </w:instrText>
            </w:r>
            <w:r w:rsidR="00A04FF5">
              <w:rPr>
                <w:noProof/>
                <w:webHidden/>
              </w:rPr>
            </w:r>
            <w:r w:rsidR="00A04FF5">
              <w:rPr>
                <w:noProof/>
                <w:webHidden/>
              </w:rPr>
              <w:fldChar w:fldCharType="separate"/>
            </w:r>
            <w:r w:rsidR="00A04FF5">
              <w:rPr>
                <w:noProof/>
                <w:webHidden/>
              </w:rPr>
              <w:t>104</w:t>
            </w:r>
            <w:r w:rsidR="00A04FF5">
              <w:rPr>
                <w:noProof/>
                <w:webHidden/>
              </w:rPr>
              <w:fldChar w:fldCharType="end"/>
            </w:r>
          </w:hyperlink>
        </w:p>
        <w:p w14:paraId="722073B3" w14:textId="3F36AE33"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80" w:history="1">
            <w:r w:rsidR="00A04FF5" w:rsidRPr="00E838BB">
              <w:rPr>
                <w:rStyle w:val="Hipervnculo"/>
                <w:b/>
                <w:bCs/>
                <w:noProof/>
                <w:lang w:val="es-ES"/>
              </w:rPr>
              <w:t>5.2.</w:t>
            </w:r>
            <w:r w:rsidR="00A04FF5">
              <w:rPr>
                <w:rFonts w:asciiTheme="minorHAnsi" w:eastAsiaTheme="minorEastAsia" w:hAnsiTheme="minorHAnsi" w:cstheme="minorBidi"/>
                <w:noProof/>
                <w:color w:val="auto"/>
                <w:spacing w:val="0"/>
                <w:sz w:val="22"/>
                <w:szCs w:val="22"/>
              </w:rPr>
              <w:tab/>
            </w:r>
            <w:r w:rsidR="00A04FF5" w:rsidRPr="00E838BB">
              <w:rPr>
                <w:rStyle w:val="Hipervnculo"/>
                <w:b/>
                <w:bCs/>
                <w:noProof/>
                <w:lang w:val="es-ES"/>
              </w:rPr>
              <w:t>Nivel de Cumplimiento Acceso a la Información Pùblica</w:t>
            </w:r>
            <w:r w:rsidR="00A04FF5">
              <w:rPr>
                <w:noProof/>
                <w:webHidden/>
              </w:rPr>
              <w:tab/>
            </w:r>
            <w:r w:rsidR="00A04FF5">
              <w:rPr>
                <w:noProof/>
                <w:webHidden/>
              </w:rPr>
              <w:fldChar w:fldCharType="begin"/>
            </w:r>
            <w:r w:rsidR="00A04FF5">
              <w:rPr>
                <w:noProof/>
                <w:webHidden/>
              </w:rPr>
              <w:instrText xml:space="preserve"> PAGEREF _Toc216875880 \h </w:instrText>
            </w:r>
            <w:r w:rsidR="00A04FF5">
              <w:rPr>
                <w:noProof/>
                <w:webHidden/>
              </w:rPr>
            </w:r>
            <w:r w:rsidR="00A04FF5">
              <w:rPr>
                <w:noProof/>
                <w:webHidden/>
              </w:rPr>
              <w:fldChar w:fldCharType="separate"/>
            </w:r>
            <w:r w:rsidR="00A04FF5">
              <w:rPr>
                <w:noProof/>
                <w:webHidden/>
              </w:rPr>
              <w:t>108</w:t>
            </w:r>
            <w:r w:rsidR="00A04FF5">
              <w:rPr>
                <w:noProof/>
                <w:webHidden/>
              </w:rPr>
              <w:fldChar w:fldCharType="end"/>
            </w:r>
          </w:hyperlink>
        </w:p>
        <w:p w14:paraId="6203840D" w14:textId="2378B1B8"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81" w:history="1">
            <w:r w:rsidR="00A04FF5" w:rsidRPr="00E838BB">
              <w:rPr>
                <w:rStyle w:val="Hipervnculo"/>
                <w:b/>
                <w:bCs/>
                <w:noProof/>
                <w:lang w:val="es-ES"/>
              </w:rPr>
              <w:t>5.3.</w:t>
            </w:r>
            <w:r w:rsidR="00A04FF5">
              <w:rPr>
                <w:rFonts w:asciiTheme="minorHAnsi" w:eastAsiaTheme="minorEastAsia" w:hAnsiTheme="minorHAnsi" w:cstheme="minorBidi"/>
                <w:noProof/>
                <w:color w:val="auto"/>
                <w:spacing w:val="0"/>
                <w:sz w:val="22"/>
                <w:szCs w:val="22"/>
              </w:rPr>
              <w:tab/>
            </w:r>
            <w:r w:rsidR="00A04FF5" w:rsidRPr="00E838BB">
              <w:rPr>
                <w:rStyle w:val="Hipervnculo"/>
                <w:b/>
                <w:bCs/>
                <w:noProof/>
                <w:lang w:val="es-ES"/>
              </w:rPr>
              <w:t>Resultados del Sistema de Quejas, Reclamos y Sugerencias</w:t>
            </w:r>
            <w:r w:rsidR="00A04FF5">
              <w:rPr>
                <w:noProof/>
                <w:webHidden/>
              </w:rPr>
              <w:tab/>
            </w:r>
            <w:r w:rsidR="00A04FF5">
              <w:rPr>
                <w:noProof/>
                <w:webHidden/>
              </w:rPr>
              <w:fldChar w:fldCharType="begin"/>
            </w:r>
            <w:r w:rsidR="00A04FF5">
              <w:rPr>
                <w:noProof/>
                <w:webHidden/>
              </w:rPr>
              <w:instrText xml:space="preserve"> PAGEREF _Toc216875881 \h </w:instrText>
            </w:r>
            <w:r w:rsidR="00A04FF5">
              <w:rPr>
                <w:noProof/>
                <w:webHidden/>
              </w:rPr>
            </w:r>
            <w:r w:rsidR="00A04FF5">
              <w:rPr>
                <w:noProof/>
                <w:webHidden/>
              </w:rPr>
              <w:fldChar w:fldCharType="separate"/>
            </w:r>
            <w:r w:rsidR="00A04FF5">
              <w:rPr>
                <w:noProof/>
                <w:webHidden/>
              </w:rPr>
              <w:t>109</w:t>
            </w:r>
            <w:r w:rsidR="00A04FF5">
              <w:rPr>
                <w:noProof/>
                <w:webHidden/>
              </w:rPr>
              <w:fldChar w:fldCharType="end"/>
            </w:r>
          </w:hyperlink>
        </w:p>
        <w:p w14:paraId="3BEDC176" w14:textId="453A1590" w:rsidR="00A04FF5" w:rsidRDefault="000936C0">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216875882" w:history="1">
            <w:r w:rsidR="00A04FF5" w:rsidRPr="00E838BB">
              <w:rPr>
                <w:rStyle w:val="Hipervnculo"/>
                <w:b/>
                <w:bCs/>
                <w:noProof/>
                <w:lang w:val="es-ES"/>
              </w:rPr>
              <w:t>5.4.</w:t>
            </w:r>
            <w:r w:rsidR="00A04FF5">
              <w:rPr>
                <w:rFonts w:asciiTheme="minorHAnsi" w:eastAsiaTheme="minorEastAsia" w:hAnsiTheme="minorHAnsi" w:cstheme="minorBidi"/>
                <w:noProof/>
                <w:color w:val="auto"/>
                <w:spacing w:val="0"/>
                <w:sz w:val="22"/>
                <w:szCs w:val="22"/>
              </w:rPr>
              <w:tab/>
            </w:r>
            <w:r w:rsidR="00A04FF5" w:rsidRPr="00E838BB">
              <w:rPr>
                <w:rStyle w:val="Hipervnculo"/>
                <w:b/>
                <w:bCs/>
                <w:noProof/>
                <w:lang w:val="es-ES"/>
              </w:rPr>
              <w:t>Resultados de las mediciones del portal de Transparencia</w:t>
            </w:r>
            <w:r w:rsidR="00A04FF5">
              <w:rPr>
                <w:noProof/>
                <w:webHidden/>
              </w:rPr>
              <w:tab/>
            </w:r>
            <w:r w:rsidR="00A04FF5">
              <w:rPr>
                <w:noProof/>
                <w:webHidden/>
              </w:rPr>
              <w:fldChar w:fldCharType="begin"/>
            </w:r>
            <w:r w:rsidR="00A04FF5">
              <w:rPr>
                <w:noProof/>
                <w:webHidden/>
              </w:rPr>
              <w:instrText xml:space="preserve"> PAGEREF _Toc216875882 \h </w:instrText>
            </w:r>
            <w:r w:rsidR="00A04FF5">
              <w:rPr>
                <w:noProof/>
                <w:webHidden/>
              </w:rPr>
            </w:r>
            <w:r w:rsidR="00A04FF5">
              <w:rPr>
                <w:noProof/>
                <w:webHidden/>
              </w:rPr>
              <w:fldChar w:fldCharType="separate"/>
            </w:r>
            <w:r w:rsidR="00A04FF5">
              <w:rPr>
                <w:noProof/>
                <w:webHidden/>
              </w:rPr>
              <w:t>110</w:t>
            </w:r>
            <w:r w:rsidR="00A04FF5">
              <w:rPr>
                <w:noProof/>
                <w:webHidden/>
              </w:rPr>
              <w:fldChar w:fldCharType="end"/>
            </w:r>
          </w:hyperlink>
        </w:p>
        <w:p w14:paraId="2B23A46F" w14:textId="2994AF96"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83" w:history="1">
            <w:r w:rsidR="00A04FF5" w:rsidRPr="00E838BB">
              <w:rPr>
                <w:rStyle w:val="Hipervnculo"/>
                <w:noProof/>
                <w:lang w:val="es-DO"/>
              </w:rPr>
              <w:t>VI.</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DO"/>
              </w:rPr>
              <w:t>PROYECCIONES AL PRÓXIMO AÑO</w:t>
            </w:r>
            <w:r w:rsidR="00A04FF5">
              <w:rPr>
                <w:noProof/>
                <w:webHidden/>
              </w:rPr>
              <w:tab/>
            </w:r>
            <w:r w:rsidR="00A04FF5">
              <w:rPr>
                <w:noProof/>
                <w:webHidden/>
              </w:rPr>
              <w:fldChar w:fldCharType="begin"/>
            </w:r>
            <w:r w:rsidR="00A04FF5">
              <w:rPr>
                <w:noProof/>
                <w:webHidden/>
              </w:rPr>
              <w:instrText xml:space="preserve"> PAGEREF _Toc216875883 \h </w:instrText>
            </w:r>
            <w:r w:rsidR="00A04FF5">
              <w:rPr>
                <w:noProof/>
                <w:webHidden/>
              </w:rPr>
            </w:r>
            <w:r w:rsidR="00A04FF5">
              <w:rPr>
                <w:noProof/>
                <w:webHidden/>
              </w:rPr>
              <w:fldChar w:fldCharType="separate"/>
            </w:r>
            <w:r w:rsidR="00A04FF5">
              <w:rPr>
                <w:noProof/>
                <w:webHidden/>
              </w:rPr>
              <w:t>112</w:t>
            </w:r>
            <w:r w:rsidR="00A04FF5">
              <w:rPr>
                <w:noProof/>
                <w:webHidden/>
              </w:rPr>
              <w:fldChar w:fldCharType="end"/>
            </w:r>
          </w:hyperlink>
        </w:p>
        <w:p w14:paraId="116804A1" w14:textId="4EDFA1A9" w:rsidR="00A04FF5" w:rsidRDefault="000936C0">
          <w:pPr>
            <w:pStyle w:val="TDC1"/>
            <w:tabs>
              <w:tab w:val="right" w:leader="dot" w:pos="9350"/>
            </w:tabs>
            <w:rPr>
              <w:rFonts w:asciiTheme="minorHAnsi" w:eastAsiaTheme="minorEastAsia" w:hAnsiTheme="minorHAnsi" w:cstheme="minorBidi"/>
              <w:noProof/>
              <w:color w:val="auto"/>
              <w:spacing w:val="0"/>
              <w:sz w:val="22"/>
              <w:szCs w:val="22"/>
            </w:rPr>
          </w:pPr>
          <w:hyperlink w:anchor="_Toc216875884" w:history="1">
            <w:r w:rsidR="00A04FF5" w:rsidRPr="00E838BB">
              <w:rPr>
                <w:rStyle w:val="Hipervnculo"/>
                <w:noProof/>
                <w:lang w:val="es-ES"/>
              </w:rPr>
              <w:t>ANEXOS</w:t>
            </w:r>
            <w:r w:rsidR="00A04FF5">
              <w:rPr>
                <w:noProof/>
                <w:webHidden/>
              </w:rPr>
              <w:tab/>
            </w:r>
            <w:r w:rsidR="00A04FF5">
              <w:rPr>
                <w:noProof/>
                <w:webHidden/>
              </w:rPr>
              <w:fldChar w:fldCharType="begin"/>
            </w:r>
            <w:r w:rsidR="00A04FF5">
              <w:rPr>
                <w:noProof/>
                <w:webHidden/>
              </w:rPr>
              <w:instrText xml:space="preserve"> PAGEREF _Toc216875884 \h </w:instrText>
            </w:r>
            <w:r w:rsidR="00A04FF5">
              <w:rPr>
                <w:noProof/>
                <w:webHidden/>
              </w:rPr>
            </w:r>
            <w:r w:rsidR="00A04FF5">
              <w:rPr>
                <w:noProof/>
                <w:webHidden/>
              </w:rPr>
              <w:fldChar w:fldCharType="separate"/>
            </w:r>
            <w:r w:rsidR="00A04FF5">
              <w:rPr>
                <w:noProof/>
                <w:webHidden/>
              </w:rPr>
              <w:t>117</w:t>
            </w:r>
            <w:r w:rsidR="00A04FF5">
              <w:rPr>
                <w:noProof/>
                <w:webHidden/>
              </w:rPr>
              <w:fldChar w:fldCharType="end"/>
            </w:r>
          </w:hyperlink>
        </w:p>
        <w:p w14:paraId="5E8640D8" w14:textId="29CCDB90"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85" w:history="1">
            <w:r w:rsidR="00A04FF5" w:rsidRPr="00E838BB">
              <w:rPr>
                <w:rStyle w:val="Hipervnculo"/>
                <w:noProof/>
                <w:lang w:val="es-ES"/>
              </w:rPr>
              <w:t>A.</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ES"/>
              </w:rPr>
              <w:t>Matriz de Logros Relevantes</w:t>
            </w:r>
            <w:r w:rsidR="00A04FF5">
              <w:rPr>
                <w:noProof/>
                <w:webHidden/>
              </w:rPr>
              <w:tab/>
            </w:r>
            <w:r w:rsidR="00A04FF5">
              <w:rPr>
                <w:noProof/>
                <w:webHidden/>
              </w:rPr>
              <w:fldChar w:fldCharType="begin"/>
            </w:r>
            <w:r w:rsidR="00A04FF5">
              <w:rPr>
                <w:noProof/>
                <w:webHidden/>
              </w:rPr>
              <w:instrText xml:space="preserve"> PAGEREF _Toc216875885 \h </w:instrText>
            </w:r>
            <w:r w:rsidR="00A04FF5">
              <w:rPr>
                <w:noProof/>
                <w:webHidden/>
              </w:rPr>
            </w:r>
            <w:r w:rsidR="00A04FF5">
              <w:rPr>
                <w:noProof/>
                <w:webHidden/>
              </w:rPr>
              <w:fldChar w:fldCharType="separate"/>
            </w:r>
            <w:r w:rsidR="00A04FF5">
              <w:rPr>
                <w:noProof/>
                <w:webHidden/>
              </w:rPr>
              <w:t>117</w:t>
            </w:r>
            <w:r w:rsidR="00A04FF5">
              <w:rPr>
                <w:noProof/>
                <w:webHidden/>
              </w:rPr>
              <w:fldChar w:fldCharType="end"/>
            </w:r>
          </w:hyperlink>
        </w:p>
        <w:p w14:paraId="5F728CB0" w14:textId="2E7D93DD" w:rsidR="00A04FF5" w:rsidRDefault="000936C0">
          <w:pPr>
            <w:pStyle w:val="TDC1"/>
            <w:tabs>
              <w:tab w:val="right" w:leader="dot" w:pos="9350"/>
            </w:tabs>
            <w:rPr>
              <w:rFonts w:asciiTheme="minorHAnsi" w:eastAsiaTheme="minorEastAsia" w:hAnsiTheme="minorHAnsi" w:cstheme="minorBidi"/>
              <w:noProof/>
              <w:color w:val="auto"/>
              <w:spacing w:val="0"/>
              <w:sz w:val="22"/>
              <w:szCs w:val="22"/>
            </w:rPr>
          </w:pPr>
          <w:hyperlink w:anchor="_Toc216875886" w:history="1">
            <w:r w:rsidR="00A04FF5" w:rsidRPr="00E838BB">
              <w:rPr>
                <w:rStyle w:val="Hipervnculo"/>
                <w:noProof/>
                <w:lang w:val="es-ES"/>
              </w:rPr>
              <w:t>B. Matriz de Gestión Presupuestaria Anual</w:t>
            </w:r>
            <w:r w:rsidR="00A04FF5">
              <w:rPr>
                <w:noProof/>
                <w:webHidden/>
              </w:rPr>
              <w:tab/>
            </w:r>
            <w:r w:rsidR="00A04FF5">
              <w:rPr>
                <w:noProof/>
                <w:webHidden/>
              </w:rPr>
              <w:fldChar w:fldCharType="begin"/>
            </w:r>
            <w:r w:rsidR="00A04FF5">
              <w:rPr>
                <w:noProof/>
                <w:webHidden/>
              </w:rPr>
              <w:instrText xml:space="preserve"> PAGEREF _Toc216875886 \h </w:instrText>
            </w:r>
            <w:r w:rsidR="00A04FF5">
              <w:rPr>
                <w:noProof/>
                <w:webHidden/>
              </w:rPr>
            </w:r>
            <w:r w:rsidR="00A04FF5">
              <w:rPr>
                <w:noProof/>
                <w:webHidden/>
              </w:rPr>
              <w:fldChar w:fldCharType="separate"/>
            </w:r>
            <w:r w:rsidR="00A04FF5">
              <w:rPr>
                <w:noProof/>
                <w:webHidden/>
              </w:rPr>
              <w:t>117</w:t>
            </w:r>
            <w:r w:rsidR="00A04FF5">
              <w:rPr>
                <w:noProof/>
                <w:webHidden/>
              </w:rPr>
              <w:fldChar w:fldCharType="end"/>
            </w:r>
          </w:hyperlink>
        </w:p>
        <w:p w14:paraId="488C1D32" w14:textId="06C43111" w:rsidR="00A04FF5" w:rsidRDefault="000936C0">
          <w:pPr>
            <w:pStyle w:val="TDC1"/>
            <w:tabs>
              <w:tab w:val="right" w:leader="dot" w:pos="9350"/>
            </w:tabs>
            <w:rPr>
              <w:rFonts w:asciiTheme="minorHAnsi" w:eastAsiaTheme="minorEastAsia" w:hAnsiTheme="minorHAnsi" w:cstheme="minorBidi"/>
              <w:noProof/>
              <w:color w:val="auto"/>
              <w:spacing w:val="0"/>
              <w:sz w:val="22"/>
              <w:szCs w:val="22"/>
            </w:rPr>
          </w:pPr>
          <w:hyperlink w:anchor="_Toc216875887" w:history="1">
            <w:r w:rsidR="00A04FF5" w:rsidRPr="00E838BB">
              <w:rPr>
                <w:rStyle w:val="Hipervnculo"/>
                <w:noProof/>
                <w:lang w:val="es-ES"/>
              </w:rPr>
              <w:t>C. Matriz de Ejecución Presup</w:t>
            </w:r>
            <w:r w:rsidR="00A04FF5" w:rsidRPr="00E838BB">
              <w:rPr>
                <w:rStyle w:val="Hipervnculo"/>
                <w:noProof/>
                <w:lang w:val="es-ES"/>
              </w:rPr>
              <w:t>u</w:t>
            </w:r>
            <w:r w:rsidR="00A04FF5" w:rsidRPr="00E838BB">
              <w:rPr>
                <w:rStyle w:val="Hipervnculo"/>
                <w:noProof/>
                <w:lang w:val="es-ES"/>
              </w:rPr>
              <w:t>estaria Por Objeto del Gasto, del 01 de enero al 31 de octubre 2025 y proyecciones de cierre.</w:t>
            </w:r>
            <w:r w:rsidR="00A04FF5">
              <w:rPr>
                <w:noProof/>
                <w:webHidden/>
              </w:rPr>
              <w:tab/>
            </w:r>
            <w:r w:rsidR="00A04FF5">
              <w:rPr>
                <w:noProof/>
                <w:webHidden/>
              </w:rPr>
              <w:fldChar w:fldCharType="begin"/>
            </w:r>
            <w:r w:rsidR="00A04FF5">
              <w:rPr>
                <w:noProof/>
                <w:webHidden/>
              </w:rPr>
              <w:instrText xml:space="preserve"> PAGEREF _Toc216875887 \h </w:instrText>
            </w:r>
            <w:r w:rsidR="00A04FF5">
              <w:rPr>
                <w:noProof/>
                <w:webHidden/>
              </w:rPr>
            </w:r>
            <w:r w:rsidR="00A04FF5">
              <w:rPr>
                <w:noProof/>
                <w:webHidden/>
              </w:rPr>
              <w:fldChar w:fldCharType="separate"/>
            </w:r>
            <w:r w:rsidR="00A04FF5">
              <w:rPr>
                <w:noProof/>
                <w:webHidden/>
              </w:rPr>
              <w:t>118</w:t>
            </w:r>
            <w:r w:rsidR="00A04FF5">
              <w:rPr>
                <w:noProof/>
                <w:webHidden/>
              </w:rPr>
              <w:fldChar w:fldCharType="end"/>
            </w:r>
          </w:hyperlink>
        </w:p>
        <w:p w14:paraId="4248D829" w14:textId="11F5D44A" w:rsidR="00A04FF5" w:rsidRDefault="000936C0">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216875888" w:history="1">
            <w:r w:rsidR="00A04FF5" w:rsidRPr="00E838BB">
              <w:rPr>
                <w:rStyle w:val="Hipervnculo"/>
                <w:noProof/>
                <w:lang w:val="es-ES"/>
              </w:rPr>
              <w:t>D.</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ES"/>
              </w:rPr>
              <w:t>Matriz de Principlaes Indicadores del POA</w:t>
            </w:r>
            <w:r w:rsidR="00A04FF5">
              <w:rPr>
                <w:noProof/>
                <w:webHidden/>
              </w:rPr>
              <w:tab/>
            </w:r>
            <w:r w:rsidR="00A04FF5">
              <w:rPr>
                <w:noProof/>
                <w:webHidden/>
              </w:rPr>
              <w:fldChar w:fldCharType="begin"/>
            </w:r>
            <w:r w:rsidR="00A04FF5">
              <w:rPr>
                <w:noProof/>
                <w:webHidden/>
              </w:rPr>
              <w:instrText xml:space="preserve"> PAGEREF _Toc216875888 \h </w:instrText>
            </w:r>
            <w:r w:rsidR="00A04FF5">
              <w:rPr>
                <w:noProof/>
                <w:webHidden/>
              </w:rPr>
            </w:r>
            <w:r w:rsidR="00A04FF5">
              <w:rPr>
                <w:noProof/>
                <w:webHidden/>
              </w:rPr>
              <w:fldChar w:fldCharType="separate"/>
            </w:r>
            <w:r w:rsidR="00A04FF5">
              <w:rPr>
                <w:noProof/>
                <w:webHidden/>
              </w:rPr>
              <w:t>120</w:t>
            </w:r>
            <w:r w:rsidR="00A04FF5">
              <w:rPr>
                <w:noProof/>
                <w:webHidden/>
              </w:rPr>
              <w:fldChar w:fldCharType="end"/>
            </w:r>
          </w:hyperlink>
        </w:p>
        <w:p w14:paraId="7F99844B" w14:textId="141CAAEA" w:rsidR="00A04FF5" w:rsidRDefault="000936C0">
          <w:pPr>
            <w:pStyle w:val="TDC1"/>
            <w:tabs>
              <w:tab w:val="left" w:pos="480"/>
              <w:tab w:val="right" w:leader="dot" w:pos="9350"/>
            </w:tabs>
            <w:rPr>
              <w:rFonts w:asciiTheme="minorHAnsi" w:eastAsiaTheme="minorEastAsia" w:hAnsiTheme="minorHAnsi" w:cstheme="minorBidi"/>
              <w:noProof/>
              <w:color w:val="auto"/>
              <w:spacing w:val="0"/>
              <w:sz w:val="22"/>
              <w:szCs w:val="22"/>
            </w:rPr>
          </w:pPr>
          <w:hyperlink w:anchor="_Toc216875889" w:history="1">
            <w:r w:rsidR="00A04FF5" w:rsidRPr="00E838BB">
              <w:rPr>
                <w:rStyle w:val="Hipervnculo"/>
                <w:noProof/>
                <w:lang w:val="es-ES"/>
              </w:rPr>
              <w:t>E.</w:t>
            </w:r>
            <w:r w:rsidR="00A04FF5">
              <w:rPr>
                <w:rFonts w:asciiTheme="minorHAnsi" w:eastAsiaTheme="minorEastAsia" w:hAnsiTheme="minorHAnsi" w:cstheme="minorBidi"/>
                <w:noProof/>
                <w:color w:val="auto"/>
                <w:spacing w:val="0"/>
                <w:sz w:val="22"/>
                <w:szCs w:val="22"/>
              </w:rPr>
              <w:tab/>
            </w:r>
            <w:r w:rsidR="00A04FF5" w:rsidRPr="00E838BB">
              <w:rPr>
                <w:rStyle w:val="Hipervnculo"/>
                <w:noProof/>
                <w:lang w:val="es-ES"/>
              </w:rPr>
              <w:t>Resumen del Plan de Compras (PACC)</w:t>
            </w:r>
            <w:r w:rsidR="00A04FF5">
              <w:rPr>
                <w:noProof/>
                <w:webHidden/>
              </w:rPr>
              <w:tab/>
            </w:r>
            <w:r w:rsidR="00A04FF5">
              <w:rPr>
                <w:noProof/>
                <w:webHidden/>
              </w:rPr>
              <w:fldChar w:fldCharType="begin"/>
            </w:r>
            <w:r w:rsidR="00A04FF5">
              <w:rPr>
                <w:noProof/>
                <w:webHidden/>
              </w:rPr>
              <w:instrText xml:space="preserve"> PAGEREF _Toc216875889 \h </w:instrText>
            </w:r>
            <w:r w:rsidR="00A04FF5">
              <w:rPr>
                <w:noProof/>
                <w:webHidden/>
              </w:rPr>
            </w:r>
            <w:r w:rsidR="00A04FF5">
              <w:rPr>
                <w:noProof/>
                <w:webHidden/>
              </w:rPr>
              <w:fldChar w:fldCharType="separate"/>
            </w:r>
            <w:r w:rsidR="00A04FF5">
              <w:rPr>
                <w:noProof/>
                <w:webHidden/>
              </w:rPr>
              <w:t>121</w:t>
            </w:r>
            <w:r w:rsidR="00A04FF5">
              <w:rPr>
                <w:noProof/>
                <w:webHidden/>
              </w:rPr>
              <w:fldChar w:fldCharType="end"/>
            </w:r>
          </w:hyperlink>
        </w:p>
        <w:p w14:paraId="3C867BEC" w14:textId="05DC1F66" w:rsidR="00920A80" w:rsidRPr="00EF6A8E" w:rsidRDefault="00A630BC" w:rsidP="00EF6A8E">
          <w:pPr>
            <w:spacing w:line="360" w:lineRule="auto"/>
            <w:rPr>
              <w:color w:val="4C4747"/>
            </w:rPr>
          </w:pPr>
          <w:r w:rsidRPr="0058331C">
            <w:rPr>
              <w:b/>
              <w:bCs/>
              <w:noProof/>
              <w:color w:val="4C4747"/>
            </w:rPr>
            <w:fldChar w:fldCharType="end"/>
          </w:r>
        </w:p>
      </w:sdtContent>
    </w:sdt>
    <w:p w14:paraId="6B6B9509" w14:textId="77777777" w:rsidR="00A70DE5" w:rsidRDefault="00A70DE5">
      <w:pPr>
        <w:rPr>
          <w:b/>
          <w:color w:val="4C4747"/>
          <w:lang w:val="es-DO"/>
        </w:rPr>
      </w:pPr>
    </w:p>
    <w:p w14:paraId="1DBDA006" w14:textId="29C7A758" w:rsidR="00A70DE5" w:rsidRPr="00A70DE5" w:rsidRDefault="00A70DE5">
      <w:pPr>
        <w:rPr>
          <w:b/>
          <w:color w:val="4C4747"/>
          <w:lang w:val="es-DO"/>
        </w:rPr>
        <w:sectPr w:rsidR="00A70DE5" w:rsidRPr="00A70DE5" w:rsidSect="009904DB">
          <w:footerReference w:type="first" r:id="rId13"/>
          <w:pgSz w:w="12240" w:h="15840"/>
          <w:pgMar w:top="1440" w:right="1440" w:bottom="1440" w:left="1440" w:header="720" w:footer="720" w:gutter="0"/>
          <w:cols w:space="720"/>
          <w:docGrid w:linePitch="360"/>
        </w:sectPr>
      </w:pPr>
    </w:p>
    <w:p w14:paraId="7FB76538" w14:textId="77777777" w:rsidR="00A70DE5" w:rsidRPr="0058331C" w:rsidRDefault="00A70DE5" w:rsidP="00A70DE5">
      <w:pPr>
        <w:pStyle w:val="Ttulo1"/>
        <w:rPr>
          <w:bCs/>
          <w:lang w:val="es-DO"/>
        </w:rPr>
      </w:pPr>
      <w:bookmarkStart w:id="2" w:name="_Toc216875859"/>
      <w:bookmarkStart w:id="3" w:name="_Hlk86403204"/>
      <w:r>
        <w:rPr>
          <w:lang w:val="es-DO"/>
        </w:rPr>
        <w:lastRenderedPageBreak/>
        <w:t>PRESENTACIÓN</w:t>
      </w:r>
      <w:bookmarkEnd w:id="2"/>
    </w:p>
    <w:p w14:paraId="39B315C6" w14:textId="77777777" w:rsidR="00A70DE5" w:rsidRPr="0058331C" w:rsidRDefault="00A70DE5" w:rsidP="00A70DE5">
      <w:pPr>
        <w:rPr>
          <w:color w:val="4C4747"/>
          <w:lang w:val="es-DO"/>
        </w:rPr>
      </w:pPr>
      <w:r w:rsidRPr="0058331C">
        <w:rPr>
          <w:noProof/>
          <w:color w:val="4C4747"/>
          <w:lang w:val="es-DO" w:eastAsia="es-DO"/>
        </w:rPr>
        <mc:AlternateContent>
          <mc:Choice Requires="wps">
            <w:drawing>
              <wp:anchor distT="0" distB="0" distL="114300" distR="114300" simplePos="0" relativeHeight="251745280" behindDoc="0" locked="0" layoutInCell="1" allowOverlap="1" wp14:anchorId="295C5415" wp14:editId="08F49368">
                <wp:simplePos x="0" y="0"/>
                <wp:positionH relativeFrom="margin">
                  <wp:align>center</wp:align>
                </wp:positionH>
                <wp:positionV relativeFrom="paragraph">
                  <wp:posOffset>29845</wp:posOffset>
                </wp:positionV>
                <wp:extent cx="463550" cy="0"/>
                <wp:effectExtent l="0" t="19050" r="31750" b="19050"/>
                <wp:wrapNone/>
                <wp:docPr id="1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8D20B" id="Straight Connector 18" o:spid="_x0000_s1026" style="position:absolute;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5pt" to="3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" strokecolor="#ee2a24" strokeweight="2.25pt">
                <v:stroke joinstyle="miter"/>
                <w10:wrap anchorx="margin"/>
              </v:line>
            </w:pict>
          </mc:Fallback>
        </mc:AlternateContent>
      </w:r>
    </w:p>
    <w:p w14:paraId="74A5D135" w14:textId="194171B5" w:rsidR="00A70DE5" w:rsidRDefault="00A70DE5" w:rsidP="00A70DE5">
      <w:pPr>
        <w:spacing w:line="360" w:lineRule="auto"/>
        <w:ind w:right="-18"/>
        <w:jc w:val="both"/>
        <w:rPr>
          <w:rFonts w:eastAsia="Calibri"/>
          <w:noProof/>
          <w:color w:val="4C4747"/>
          <w:lang w:val="es-ES"/>
        </w:rPr>
      </w:pPr>
      <w:r w:rsidRPr="00A70DE5">
        <w:rPr>
          <w:rFonts w:eastAsia="Calibri"/>
          <w:noProof/>
          <w:color w:val="4C4747"/>
          <w:lang w:val="es-ES"/>
        </w:rPr>
        <w:t xml:space="preserve">La Memoria Institucional 2025 de la Superintendencia de Seguros de la República Dominicana (SIS) constituye un instrumento fundamental de gestión pública, orientado a evaluar de manera sistemática el desempeño institucional, los resultados alcanzados y el impacto de las principales actuaciones desarrolladas durante el período objeto de análisis. </w:t>
      </w:r>
    </w:p>
    <w:p w14:paraId="1857CBBA" w14:textId="77777777" w:rsidR="00A70DE5" w:rsidRPr="00A70DE5" w:rsidRDefault="00A70DE5" w:rsidP="00A70DE5">
      <w:pPr>
        <w:spacing w:line="360" w:lineRule="auto"/>
        <w:ind w:right="-18"/>
        <w:jc w:val="both"/>
        <w:rPr>
          <w:rFonts w:eastAsia="Calibri"/>
          <w:noProof/>
          <w:color w:val="4C4747"/>
          <w:lang w:val="es-ES"/>
        </w:rPr>
      </w:pPr>
      <w:r w:rsidRPr="00A70DE5">
        <w:rPr>
          <w:rFonts w:eastAsia="Calibri"/>
          <w:noProof/>
          <w:color w:val="4C4747"/>
          <w:lang w:val="es-ES"/>
        </w:rPr>
        <w:t>En tal sentido, este documento responde a los principios de transparencia, rendición de cuentas y mejora continua que rigen la actuación de las instituciones del Estado y permite ofrecer a la ciudadanía, a los órganos de control y a los actores del sector asegurador una visión integral del funcionamiento y la evolución de la SIS a lo largo del año 2025.</w:t>
      </w:r>
    </w:p>
    <w:p w14:paraId="7B2F6094" w14:textId="77777777" w:rsidR="00A70DE5" w:rsidRPr="00A70DE5" w:rsidRDefault="00A70DE5" w:rsidP="00A70DE5">
      <w:pPr>
        <w:spacing w:line="360" w:lineRule="auto"/>
        <w:ind w:right="-18"/>
        <w:jc w:val="both"/>
        <w:rPr>
          <w:rFonts w:eastAsia="Calibri"/>
          <w:noProof/>
          <w:color w:val="4C4747"/>
          <w:lang w:val="es-ES"/>
        </w:rPr>
      </w:pPr>
      <w:r w:rsidRPr="00A70DE5">
        <w:rPr>
          <w:rFonts w:eastAsia="Calibri"/>
          <w:noProof/>
          <w:color w:val="4C4747"/>
          <w:lang w:val="es-ES"/>
        </w:rPr>
        <w:t xml:space="preserve">La elaboración de la presente Memoria se enmarca en el cumplimiento del ordenamiento jurídico vigente de la República Dominicana, en particular la Constitución de la República, la Ley No. 146-02 sobre Seguros y Fianzas, la Ley No. 107-13 sobre los Derechos de las Personas en sus Relaciones con la Administración Pública, la Ley No. 247-12 de la Administración Pública, la Ley No. 498-06 que crea el </w:t>
      </w:r>
      <w:r w:rsidRPr="00A70DE5">
        <w:rPr>
          <w:rFonts w:eastAsia="Calibri"/>
          <w:noProof/>
          <w:color w:val="4C4747"/>
          <w:lang w:val="es-ES"/>
        </w:rPr>
        <w:lastRenderedPageBreak/>
        <w:t>Sistema Nacional de Planificación e Inversión Pública, la Ley No. 200-04 de Libre Acceso a la Información Pública, la Ley No. 10-07 del Sistema Nacional de Control Interno, así como las disposiciones contenidas en la Guía para la Elaboración de Memorias Institucionales 2025.</w:t>
      </w:r>
    </w:p>
    <w:p w14:paraId="63990EF1" w14:textId="77777777" w:rsidR="00A70DE5" w:rsidRPr="00A70DE5" w:rsidRDefault="00A70DE5" w:rsidP="00A70DE5">
      <w:pPr>
        <w:spacing w:line="360" w:lineRule="auto"/>
        <w:ind w:right="-18"/>
        <w:jc w:val="both"/>
        <w:rPr>
          <w:rFonts w:eastAsia="Calibri"/>
          <w:noProof/>
          <w:color w:val="4C4747"/>
          <w:lang w:val="es-ES"/>
        </w:rPr>
      </w:pPr>
      <w:r w:rsidRPr="00A70DE5">
        <w:rPr>
          <w:rFonts w:eastAsia="Calibri"/>
          <w:noProof/>
          <w:color w:val="4C4747"/>
          <w:lang w:val="es-ES"/>
        </w:rPr>
        <w:t>Desde una perspectiva metodológica, la Memoria Institucional posee una doble dimensión: una evaluativa, al presentar un balance objetivo de la gestión institucional, y una proyectiva, orientada a identificar oportunidades de mejora y fortalecer la planificación futura.</w:t>
      </w:r>
    </w:p>
    <w:p w14:paraId="263945DB" w14:textId="1542894F" w:rsidR="00A70DE5" w:rsidRPr="00A70DE5" w:rsidRDefault="00A70DE5" w:rsidP="00A70DE5">
      <w:pPr>
        <w:spacing w:line="360" w:lineRule="auto"/>
        <w:ind w:right="-18"/>
        <w:jc w:val="both"/>
        <w:rPr>
          <w:rFonts w:eastAsia="Calibri"/>
          <w:noProof/>
          <w:color w:val="4C4747"/>
          <w:lang w:val="es-ES"/>
        </w:rPr>
      </w:pPr>
      <w:r w:rsidRPr="00A70DE5">
        <w:rPr>
          <w:rFonts w:eastAsia="Calibri"/>
          <w:noProof/>
          <w:color w:val="4C4747"/>
          <w:lang w:val="es-ES"/>
        </w:rPr>
        <w:t>Durante el año 2025, SIS consolidó avances significativos en supervisión, regulación, atención al usuario y modernización institucional, reafirmando su compromiso con la estabilidad del sistema asegurador, la protección de los usuarios y la transparencia en la gestión pública.</w:t>
      </w:r>
    </w:p>
    <w:p w14:paraId="65EBFD2B" w14:textId="77777777" w:rsidR="00A70DE5" w:rsidRPr="009A0477" w:rsidRDefault="00A70DE5" w:rsidP="00A70DE5">
      <w:pPr>
        <w:spacing w:line="360" w:lineRule="auto"/>
        <w:ind w:right="-18"/>
        <w:jc w:val="both"/>
        <w:rPr>
          <w:lang w:val="es-ES"/>
        </w:rPr>
      </w:pPr>
      <w:r w:rsidRPr="00A70DE5">
        <w:rPr>
          <w:rFonts w:eastAsia="Calibri"/>
          <w:noProof/>
          <w:color w:val="4C4747"/>
          <w:lang w:val="es-ES"/>
        </w:rPr>
        <w:t>En síntesis, la Memoria Institucional 2025 refleja una etapa de consolidación, fortalecimiento técnico y transformación estratégica de la SIS, orientada a garantizar un sector asegurador más sólido, transparente y alineado con los estándares internacionales</w:t>
      </w:r>
      <w:r w:rsidRPr="009A0477">
        <w:rPr>
          <w:lang w:val="es-ES"/>
        </w:rPr>
        <w:t>.</w:t>
      </w:r>
    </w:p>
    <w:p w14:paraId="63B61660" w14:textId="77777777" w:rsidR="00A70DE5" w:rsidRPr="00A70DE5" w:rsidRDefault="00A70DE5" w:rsidP="00A70DE5">
      <w:pPr>
        <w:rPr>
          <w:lang w:val="es-ES"/>
        </w:rPr>
      </w:pPr>
    </w:p>
    <w:p w14:paraId="649D29AD" w14:textId="05DC11DF" w:rsidR="001240D0" w:rsidRPr="00A70DE5" w:rsidRDefault="001240D0" w:rsidP="00A70DE5">
      <w:pPr>
        <w:pStyle w:val="Ttulo1"/>
        <w:numPr>
          <w:ilvl w:val="0"/>
          <w:numId w:val="46"/>
        </w:numPr>
        <w:ind w:left="0"/>
        <w:rPr>
          <w:rFonts w:cs="Times New Roman"/>
          <w:color w:val="4C4747"/>
          <w:lang w:val="es-ES"/>
        </w:rPr>
      </w:pPr>
      <w:bookmarkStart w:id="4" w:name="_Toc216875860"/>
      <w:r w:rsidRPr="00A70DE5">
        <w:rPr>
          <w:rFonts w:cs="Times New Roman"/>
          <w:color w:val="4C4747"/>
          <w:lang w:val="es-ES"/>
        </w:rPr>
        <w:lastRenderedPageBreak/>
        <w:t>RESUMEN EJECUTIVO</w:t>
      </w:r>
      <w:bookmarkEnd w:id="4"/>
    </w:p>
    <w:p w14:paraId="7C54AF21" w14:textId="26B7214D" w:rsidR="001240D0" w:rsidRPr="00A70DE5" w:rsidRDefault="00125D46" w:rsidP="00A70DE5">
      <w:pPr>
        <w:jc w:val="center"/>
        <w:rPr>
          <w:rFonts w:eastAsia="Calibri"/>
          <w:color w:val="4C4747"/>
          <w:sz w:val="18"/>
          <w:lang w:val="es-ES"/>
        </w:rPr>
      </w:pPr>
      <w:r w:rsidRPr="0058331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289187BE" w:rsidR="001240D0" w:rsidRPr="00A70DE5" w:rsidRDefault="00654164" w:rsidP="00A70DE5">
      <w:pPr>
        <w:jc w:val="center"/>
        <w:rPr>
          <w:rFonts w:eastAsia="Calibri"/>
          <w:color w:val="4C4747"/>
          <w:szCs w:val="36"/>
          <w:lang w:val="es-ES"/>
        </w:rPr>
      </w:pPr>
      <w:r w:rsidRPr="00A70DE5">
        <w:rPr>
          <w:rFonts w:eastAsia="Calibri"/>
          <w:color w:val="4C4747"/>
          <w:szCs w:val="36"/>
          <w:lang w:val="es-ES"/>
        </w:rPr>
        <w:t xml:space="preserve">Memoria </w:t>
      </w:r>
      <w:r w:rsidR="004A515E" w:rsidRPr="00A70DE5">
        <w:rPr>
          <w:rFonts w:eastAsia="Calibri"/>
          <w:color w:val="4C4747"/>
          <w:szCs w:val="36"/>
          <w:lang w:val="es-ES"/>
        </w:rPr>
        <w:t>Institu</w:t>
      </w:r>
      <w:r w:rsidR="009A466A" w:rsidRPr="00A70DE5">
        <w:rPr>
          <w:rFonts w:eastAsia="Calibri"/>
          <w:color w:val="4C4747"/>
          <w:szCs w:val="36"/>
          <w:lang w:val="es-ES"/>
        </w:rPr>
        <w:t>c</w:t>
      </w:r>
      <w:r w:rsidR="004A515E" w:rsidRPr="00A70DE5">
        <w:rPr>
          <w:rFonts w:eastAsia="Calibri"/>
          <w:color w:val="4C4747"/>
          <w:szCs w:val="36"/>
          <w:lang w:val="es-ES"/>
        </w:rPr>
        <w:t>ional</w:t>
      </w:r>
      <w:r w:rsidR="001240D0" w:rsidRPr="00A70DE5">
        <w:rPr>
          <w:rFonts w:eastAsia="Calibri"/>
          <w:color w:val="4C4747"/>
          <w:szCs w:val="36"/>
          <w:lang w:val="es-ES"/>
        </w:rPr>
        <w:t xml:space="preserve"> </w:t>
      </w:r>
      <w:r w:rsidR="007471AC" w:rsidRPr="00A70DE5">
        <w:rPr>
          <w:rFonts w:eastAsia="Calibri"/>
          <w:color w:val="4C4747"/>
          <w:szCs w:val="36"/>
          <w:lang w:val="es-ES"/>
        </w:rPr>
        <w:t>202</w:t>
      </w:r>
      <w:r w:rsidR="0051332F" w:rsidRPr="00A70DE5">
        <w:rPr>
          <w:rFonts w:eastAsia="Calibri"/>
          <w:color w:val="4C4747"/>
          <w:szCs w:val="36"/>
          <w:lang w:val="es-ES"/>
        </w:rPr>
        <w:t>5</w:t>
      </w:r>
    </w:p>
    <w:p w14:paraId="779CA212" w14:textId="7777777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Durante el año 2025, la Superintendencia de Seguros de la República Dominicana (SIS) consolidó importantes avances en materia de supervisión, modernización institucional y fortalecimiento del marco regulatorio del sector asegurador, reafirmando su compromiso con la estabilidad del sistema, la protección de los usuarios y la transparencia en la gestión pública, en cumplimiento de lo establecido en la Ley No. 146-02 sobre Seguros y Fianzas.</w:t>
      </w:r>
    </w:p>
    <w:p w14:paraId="36D5A014" w14:textId="7777777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En el ámbito económico, la supervisión ejercida por la SIS contribuyó a la expansión sostenida del sector asegurador, reflejada en un crecimiento de 12.9 % en las Primas Netas Cobradas en comparación</w:t>
      </w:r>
      <w:r>
        <w:rPr>
          <w:rFonts w:eastAsia="Calibri"/>
          <w:noProof/>
          <w:color w:val="4C4747"/>
          <w:lang w:val="es-ES"/>
        </w:rPr>
        <w:t xml:space="preserve"> </w:t>
      </w:r>
      <w:r w:rsidRPr="008274A2">
        <w:rPr>
          <w:rFonts w:eastAsia="Calibri"/>
          <w:noProof/>
          <w:color w:val="4C4747"/>
          <w:lang w:val="es-ES"/>
        </w:rPr>
        <w:t>con el año anterior, evidenciando la solidez del mercado y la confianza de los actores económicos en el sistema asegurador nacional.</w:t>
      </w:r>
    </w:p>
    <w:p w14:paraId="21196E72" w14:textId="67AECEEC"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 xml:space="preserve">En materia de atención ciudadana y prestación de servicios, a través del Centro de Atención al Usuario se gestionaron más de 18,000 interacciones entre solicitudes formales y requerimientos diversos, fortaleciendo los canales de comunicación y mejorando la </w:t>
      </w:r>
      <w:r w:rsidRPr="008274A2">
        <w:rPr>
          <w:rFonts w:eastAsia="Calibri"/>
          <w:noProof/>
          <w:color w:val="4C4747"/>
          <w:lang w:val="es-ES"/>
        </w:rPr>
        <w:lastRenderedPageBreak/>
        <w:t>experiencia del usuario como eje central de la gestión institucional. Durante el período evaluado, la SIS alcanzó una producción de 4,665 certificaciones, destacándose el servicio de certificación por rastreo como el más demandado por los usuarios. Asimismo, mediante la Dirección Jurídica, se viabilizaron 488 conciliaciones entre usuarios y compañías aseguradoras, consolidando el rol de la institución como garante del equilibrio y la resolución efectiva de conflictos dentro del sector.</w:t>
      </w:r>
    </w:p>
    <w:p w14:paraId="1C6CA523" w14:textId="3D7856E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En el área de licenciamiento y regulación de intermediarios, se registraron 2,394 solicitudes de licencias entre enero y noviembre, proyectándose un cierre anual de más de 3,000 trámites procesados, incluyendo nuevas licencias, renovaciones y duplicados, todo ello bajo principios de eficiencia, agilidad y transparencia.</w:t>
      </w:r>
    </w:p>
    <w:p w14:paraId="58D7C9C2" w14:textId="7777777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En cuanto a la supervisión financiera, se recibieron y analizaron en tiempo hábil los estados financieros auditados correspondientes al cierre del ejercicio 2024 de las 35 compañías aseguradoras, en cumplimiento estricto de lo dispuesto en el artículo 153 de la Ley</w:t>
      </w:r>
      <w:r w:rsidRPr="00E31438">
        <w:rPr>
          <w:rFonts w:eastAsia="Calibri"/>
          <w:noProof/>
          <w:lang w:val="es-DO"/>
        </w:rPr>
        <w:t xml:space="preserve"> </w:t>
      </w:r>
      <w:r w:rsidRPr="008274A2">
        <w:rPr>
          <w:rFonts w:eastAsia="Calibri"/>
          <w:noProof/>
          <w:color w:val="4C4747"/>
          <w:lang w:val="es-ES"/>
        </w:rPr>
        <w:t>No. 146-02, garantizando el adecuado control financiero y la sostenibilidad del sistema.</w:t>
      </w:r>
    </w:p>
    <w:p w14:paraId="4F6CBC56" w14:textId="77777777" w:rsidR="008274A2" w:rsidRDefault="008274A2" w:rsidP="008274A2">
      <w:pPr>
        <w:spacing w:line="360" w:lineRule="auto"/>
        <w:jc w:val="both"/>
        <w:rPr>
          <w:rFonts w:eastAsia="Calibri"/>
          <w:noProof/>
          <w:color w:val="4C4747"/>
          <w:lang w:val="es-ES"/>
        </w:rPr>
      </w:pPr>
      <w:r w:rsidRPr="008274A2">
        <w:rPr>
          <w:rFonts w:eastAsia="Calibri"/>
          <w:noProof/>
          <w:color w:val="4C4747"/>
          <w:lang w:val="es-ES"/>
        </w:rPr>
        <w:lastRenderedPageBreak/>
        <w:t>Durante el año, la SIS logró el cierre definitivo de nueve compañías de seguros en proceso de liquidación forzosa, fortaleciendo la estabilidad del mercado. De igual forma, mediante resolución institucional se creó el Fondo de Contingencia para atender obligaciones remanentes de compañías liquidadas, asegurando una gestión financiera responsable y ordenada.</w:t>
      </w:r>
    </w:p>
    <w:p w14:paraId="3EDF85AF" w14:textId="7777777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En el ámbito de la transformación institucional, se destaca como hito fundamental la formulación del nuevo Plan Estratégico Institucional, elaborado con el acompañamiento del Programa de las Naciones Unidas para el Desarrollo (PNUD). Este proceso se desarrolló bajo un enfoque participativo, abierto e inclusivo, permitiendo renovar la filosofía institucional, redefinir prioridades estratégicas y alinear la agenda institucional con los retos actuales del sector asegurador y las mejores prácticas internacionales.</w:t>
      </w:r>
    </w:p>
    <w:p w14:paraId="74C674C5" w14:textId="7777777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t>Otro avance de alto impacto fue la asistencia técnica recibida por parte del Toronto Centre, con el apoyo de la Superintendencia de Bancos, orientada a la realización de una evaluación integral de las necesidades institucionales para la implementación progresiva del modelo de Supervisión Basada en Riesgos, fortaleciendo las capacidades técnicas de la SIS y sentando las bases para la modernización del esquema de supervisión en el sector.</w:t>
      </w:r>
    </w:p>
    <w:p w14:paraId="737EB9AD" w14:textId="77777777" w:rsidR="008274A2" w:rsidRPr="008274A2" w:rsidRDefault="008274A2" w:rsidP="008274A2">
      <w:pPr>
        <w:spacing w:line="360" w:lineRule="auto"/>
        <w:jc w:val="both"/>
        <w:rPr>
          <w:rFonts w:eastAsia="Calibri"/>
          <w:noProof/>
          <w:color w:val="4C4747"/>
          <w:lang w:val="es-ES"/>
        </w:rPr>
      </w:pPr>
      <w:r w:rsidRPr="008274A2">
        <w:rPr>
          <w:rFonts w:eastAsia="Calibri"/>
          <w:noProof/>
          <w:color w:val="4C4747"/>
          <w:lang w:val="es-ES"/>
        </w:rPr>
        <w:lastRenderedPageBreak/>
        <w:t>En materia de modernización de la gestión pública, se avanzó significativamente en el proyecto “La Inteligencia de Datos en el Sector Asegurador: el Camino hacia la Burocracia Cero”, orientado a la transformación digital de los servicios, la automatización de procesos, la interoperabilidad y la simplificación administrativa,</w:t>
      </w:r>
      <w:r>
        <w:rPr>
          <w:rFonts w:eastAsia="Calibri"/>
          <w:noProof/>
          <w:color w:val="4C4747"/>
          <w:lang w:val="es-ES"/>
        </w:rPr>
        <w:t xml:space="preserve"> </w:t>
      </w:r>
      <w:r w:rsidRPr="008274A2">
        <w:rPr>
          <w:rFonts w:eastAsia="Calibri"/>
          <w:noProof/>
          <w:color w:val="4C4747"/>
          <w:lang w:val="es-ES"/>
        </w:rPr>
        <w:t>el objetivo de ofrecer trámites más ágiles, accesibles y transparentes a la ciudadanía.</w:t>
      </w:r>
    </w:p>
    <w:p w14:paraId="37DDA926" w14:textId="77777777" w:rsidR="008274A2" w:rsidRDefault="008274A2" w:rsidP="008274A2">
      <w:pPr>
        <w:spacing w:line="360" w:lineRule="auto"/>
        <w:jc w:val="both"/>
        <w:rPr>
          <w:rFonts w:eastAsia="Calibri"/>
          <w:noProof/>
          <w:color w:val="4C4747"/>
          <w:lang w:val="es-ES"/>
        </w:rPr>
      </w:pPr>
      <w:r w:rsidRPr="008274A2">
        <w:rPr>
          <w:rFonts w:eastAsia="Calibri"/>
          <w:noProof/>
          <w:color w:val="4C4747"/>
          <w:lang w:val="es-ES"/>
        </w:rPr>
        <w:t>Asimismo, durante 2025 se implementó la nueva identidad institucional de la SIS, bajo el lema “Renovamos nuestra imagen, reforzamos nuestro compromiso”, incorporando una línea gráfica moderna, coherente y alineada con los valores de transparencia, confianza y transformación institucional, fortaleciendo la imagen pública de la institución y su posicionamiento ante la ciudadanía y los actores del sector.</w:t>
      </w:r>
    </w:p>
    <w:p w14:paraId="32F36EB4" w14:textId="7A5F80F7" w:rsidR="00EF6A8E" w:rsidRDefault="008274A2" w:rsidP="008274A2">
      <w:pPr>
        <w:spacing w:line="360" w:lineRule="auto"/>
        <w:jc w:val="both"/>
        <w:rPr>
          <w:rFonts w:eastAsia="Calibri"/>
          <w:noProof/>
          <w:color w:val="4C4747"/>
          <w:lang w:val="es-ES"/>
        </w:rPr>
      </w:pPr>
      <w:r w:rsidRPr="008274A2">
        <w:rPr>
          <w:rFonts w:eastAsia="Calibri"/>
          <w:noProof/>
          <w:color w:val="4C4747"/>
          <w:lang w:val="es-ES"/>
        </w:rPr>
        <w:t xml:space="preserve">Por último, se registraron avances sustantivos en el proceso de reforma de la Ley No. 146-02, a través del trabajo de la Comisión de Reforma creada mediante el Decreto Núm. 226-22, la cual logró presentar al cierre del año el anteproyecto definitivo de modificación ante el Poder Ejecutivo, con el acompañamiento de los principales actores del sector y la conducción de las máximas autoridades de la SIS.En síntesis, el año 2025 representó para la Superintendencia de </w:t>
      </w:r>
      <w:r w:rsidRPr="008274A2">
        <w:rPr>
          <w:rFonts w:eastAsia="Calibri"/>
          <w:noProof/>
          <w:color w:val="4C4747"/>
          <w:lang w:val="es-ES"/>
        </w:rPr>
        <w:lastRenderedPageBreak/>
        <w:t>Seguros una etapa de consolidación institucional, fortalecimiento técnico y transformación estratégica, orientada a garantizar un sector</w:t>
      </w:r>
      <w:r w:rsidR="001240D0" w:rsidRPr="008274A2">
        <w:rPr>
          <w:rFonts w:eastAsia="Calibri"/>
          <w:noProof/>
          <w:color w:val="4C4747"/>
          <w:lang w:val="es-ES"/>
        </w:rPr>
        <w:t xml:space="preserve"> </w:t>
      </w:r>
      <w:r w:rsidRPr="008274A2">
        <w:rPr>
          <w:rFonts w:eastAsia="Calibri"/>
          <w:noProof/>
          <w:color w:val="4C4747"/>
          <w:lang w:val="es-ES"/>
        </w:rPr>
        <w:t xml:space="preserve">asegurador más sólido, transparente, moderno y alineado con los estándares internacionales, en beneficio del desarrollo económico del país y la protección efectiva de los ciudadanos. </w:t>
      </w:r>
      <w:bookmarkEnd w:id="3"/>
    </w:p>
    <w:p w14:paraId="6680E85F" w14:textId="54AEE4D7" w:rsidR="00654164" w:rsidRPr="008274A2" w:rsidRDefault="00EF6A8E" w:rsidP="00EF6A8E">
      <w:pPr>
        <w:rPr>
          <w:rFonts w:eastAsia="Calibri"/>
          <w:noProof/>
          <w:color w:val="4C4747"/>
          <w:lang w:val="es-ES"/>
        </w:rPr>
      </w:pPr>
      <w:r>
        <w:rPr>
          <w:rFonts w:eastAsia="Calibri"/>
          <w:noProof/>
          <w:color w:val="4C4747"/>
          <w:lang w:val="es-ES"/>
        </w:rPr>
        <w:br w:type="page"/>
      </w:r>
    </w:p>
    <w:p w14:paraId="6384D0D4" w14:textId="5262ADD1" w:rsidR="00654164" w:rsidRPr="0058331C" w:rsidRDefault="00654164" w:rsidP="00A70DE5">
      <w:pPr>
        <w:pStyle w:val="Ttulo1"/>
        <w:numPr>
          <w:ilvl w:val="0"/>
          <w:numId w:val="46"/>
        </w:numPr>
        <w:ind w:left="567"/>
        <w:rPr>
          <w:rFonts w:cs="Times New Roman"/>
          <w:color w:val="4C4747"/>
        </w:rPr>
      </w:pPr>
      <w:bookmarkStart w:id="5" w:name="_Toc216875861"/>
      <w:r w:rsidRPr="0058331C">
        <w:rPr>
          <w:rFonts w:cs="Times New Roman"/>
          <w:color w:val="4C4747"/>
        </w:rPr>
        <w:lastRenderedPageBreak/>
        <w:t>INFORMACIÓN INSTITUCIONAL</w:t>
      </w:r>
      <w:bookmarkEnd w:id="5"/>
    </w:p>
    <w:p w14:paraId="794C2FD3" w14:textId="73C7B9AC" w:rsidR="00654164" w:rsidRPr="0058331C" w:rsidRDefault="00654164" w:rsidP="00A70DE5">
      <w:pPr>
        <w:jc w:val="center"/>
        <w:rPr>
          <w:rFonts w:eastAsia="Calibri"/>
          <w:color w:val="4C4747"/>
          <w:sz w:val="18"/>
        </w:rPr>
      </w:pPr>
      <w:r w:rsidRPr="0058331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293420B7" w14:textId="2EB31374" w:rsidR="008274A2" w:rsidRDefault="00654164" w:rsidP="00A70DE5">
      <w:pPr>
        <w:jc w:val="center"/>
        <w:rPr>
          <w:rFonts w:eastAsia="Calibri"/>
          <w:color w:val="4C4747"/>
          <w:szCs w:val="36"/>
        </w:rPr>
      </w:pPr>
      <w:r w:rsidRPr="0058331C">
        <w:rPr>
          <w:rFonts w:eastAsia="Calibri"/>
          <w:color w:val="4C4747"/>
          <w:szCs w:val="36"/>
        </w:rPr>
        <w:t>Memoria</w:t>
      </w:r>
      <w:r w:rsidRPr="0051332F">
        <w:rPr>
          <w:rFonts w:eastAsia="Calibri"/>
          <w:color w:val="4C4747"/>
          <w:szCs w:val="36"/>
        </w:rPr>
        <w:t xml:space="preserve"> </w:t>
      </w:r>
      <w:r w:rsidR="009547F0" w:rsidRPr="0051332F">
        <w:rPr>
          <w:rFonts w:eastAsia="Calibri"/>
          <w:color w:val="4C4747"/>
          <w:szCs w:val="36"/>
        </w:rPr>
        <w:t>I</w:t>
      </w:r>
      <w:r w:rsidRPr="0051332F">
        <w:rPr>
          <w:rFonts w:eastAsia="Calibri"/>
          <w:color w:val="4C4747"/>
          <w:szCs w:val="36"/>
        </w:rPr>
        <w:t>nstitucional</w:t>
      </w:r>
      <w:r w:rsidRPr="0058331C">
        <w:rPr>
          <w:rFonts w:eastAsia="Calibri"/>
          <w:color w:val="4C4747"/>
          <w:szCs w:val="36"/>
        </w:rPr>
        <w:t xml:space="preserve"> </w:t>
      </w:r>
      <w:r w:rsidR="007471AC">
        <w:rPr>
          <w:rFonts w:eastAsia="Calibri"/>
          <w:color w:val="4C4747"/>
          <w:szCs w:val="36"/>
        </w:rPr>
        <w:t>202</w:t>
      </w:r>
      <w:r w:rsidR="0051332F">
        <w:rPr>
          <w:rFonts w:eastAsia="Calibri"/>
          <w:color w:val="4C4747"/>
          <w:szCs w:val="36"/>
        </w:rPr>
        <w:t>5</w:t>
      </w:r>
    </w:p>
    <w:p w14:paraId="26FE0B87" w14:textId="77777777" w:rsidR="00A70DE5" w:rsidRPr="008274A2" w:rsidRDefault="00A70DE5" w:rsidP="008274A2">
      <w:pPr>
        <w:jc w:val="center"/>
        <w:rPr>
          <w:rFonts w:eastAsia="Calibri"/>
          <w:color w:val="4C4747"/>
          <w:szCs w:val="36"/>
        </w:rPr>
      </w:pPr>
    </w:p>
    <w:p w14:paraId="4FD7DD2D" w14:textId="77777777" w:rsidR="008274A2" w:rsidRPr="00A70DE5" w:rsidRDefault="008274A2" w:rsidP="008274A2">
      <w:pPr>
        <w:pStyle w:val="Ttulo2"/>
        <w:numPr>
          <w:ilvl w:val="1"/>
          <w:numId w:val="1"/>
        </w:numPr>
        <w:jc w:val="both"/>
        <w:rPr>
          <w:b/>
          <w:noProof/>
          <w:lang w:val="es-DO"/>
        </w:rPr>
      </w:pPr>
      <w:bookmarkStart w:id="6" w:name="_Toc185255072"/>
      <w:bookmarkStart w:id="7" w:name="_Toc216875862"/>
      <w:r w:rsidRPr="00A70DE5">
        <w:rPr>
          <w:b/>
          <w:noProof/>
          <w:lang w:val="es-DO"/>
        </w:rPr>
        <w:t>Marco filosófico institucional</w:t>
      </w:r>
      <w:bookmarkStart w:id="8" w:name="_bookmark2"/>
      <w:bookmarkEnd w:id="6"/>
      <w:bookmarkEnd w:id="7"/>
      <w:bookmarkEnd w:id="8"/>
    </w:p>
    <w:p w14:paraId="274CF93E" w14:textId="77777777" w:rsidR="008274A2" w:rsidRPr="00EE74AC" w:rsidRDefault="008274A2" w:rsidP="008274A2">
      <w:pPr>
        <w:pStyle w:val="Prrafodelista"/>
        <w:ind w:left="1158"/>
        <w:rPr>
          <w:lang w:val="es-DO"/>
        </w:rPr>
      </w:pPr>
    </w:p>
    <w:p w14:paraId="4F027698" w14:textId="2B75C938" w:rsidR="008274A2" w:rsidRPr="00EE74AC" w:rsidRDefault="008274A2" w:rsidP="008274A2">
      <w:pPr>
        <w:pStyle w:val="Ttulo3"/>
        <w:numPr>
          <w:ilvl w:val="0"/>
          <w:numId w:val="2"/>
        </w:numPr>
        <w:spacing w:after="240"/>
        <w:rPr>
          <w:b/>
          <w:i/>
          <w:lang w:val="es-ES"/>
        </w:rPr>
      </w:pPr>
      <w:bookmarkStart w:id="9" w:name="_bookmark3"/>
      <w:bookmarkStart w:id="10" w:name="_Toc216875863"/>
      <w:bookmarkEnd w:id="9"/>
      <w:r w:rsidRPr="00EE74AC">
        <w:rPr>
          <w:b/>
          <w:i/>
          <w:lang w:val="es-ES"/>
        </w:rPr>
        <w:t>Misión</w:t>
      </w:r>
      <w:bookmarkEnd w:id="10"/>
    </w:p>
    <w:p w14:paraId="2C8C9277" w14:textId="47913900" w:rsidR="008274A2" w:rsidRDefault="008274A2" w:rsidP="008274A2">
      <w:pPr>
        <w:spacing w:line="360" w:lineRule="auto"/>
        <w:jc w:val="both"/>
        <w:rPr>
          <w:rFonts w:eastAsia="Calibri"/>
          <w:noProof/>
          <w:color w:val="4C4747"/>
          <w:lang w:val="es-ES"/>
        </w:rPr>
      </w:pPr>
      <w:bookmarkStart w:id="11" w:name="_Hlk215757823"/>
      <w:r w:rsidRPr="00233FCA">
        <w:rPr>
          <w:rFonts w:eastAsia="Calibri"/>
          <w:noProof/>
          <w:color w:val="4C4747"/>
          <w:lang w:val="es-ES"/>
        </w:rPr>
        <w:t>Regular, supervisar y fiscalizar el sector asegurador para promover su estabilidad, transparencia y desarrollo, en beneficio de las personas aseguradas y de la sociedad en general.</w:t>
      </w:r>
      <w:bookmarkEnd w:id="11"/>
    </w:p>
    <w:p w14:paraId="4587A705" w14:textId="4798C913" w:rsidR="00233FCA" w:rsidRPr="00EE74AC" w:rsidRDefault="00233FCA" w:rsidP="00233FCA">
      <w:pPr>
        <w:pStyle w:val="Ttulo3"/>
        <w:numPr>
          <w:ilvl w:val="0"/>
          <w:numId w:val="2"/>
        </w:numPr>
        <w:spacing w:after="240"/>
        <w:rPr>
          <w:b/>
          <w:i/>
          <w:lang w:val="es-ES"/>
        </w:rPr>
      </w:pPr>
      <w:bookmarkStart w:id="12" w:name="_Toc216875864"/>
      <w:r w:rsidRPr="00EE74AC">
        <w:rPr>
          <w:b/>
          <w:i/>
          <w:lang w:val="es-ES"/>
        </w:rPr>
        <w:t>Visión</w:t>
      </w:r>
      <w:bookmarkEnd w:id="12"/>
    </w:p>
    <w:p w14:paraId="001F44CF" w14:textId="29F8A631"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Ser una institución confiable, eficiente e innovadora, que impulsa la transformación del sector asegurador para contribuir a un país más resiliente y en desarrollo.</w:t>
      </w:r>
      <w:bookmarkStart w:id="13" w:name="_bookmark5"/>
      <w:bookmarkEnd w:id="13"/>
    </w:p>
    <w:p w14:paraId="4A9F7272" w14:textId="4E54CF78" w:rsidR="00233FCA" w:rsidRPr="00EE74AC" w:rsidRDefault="00233FCA" w:rsidP="00233FCA">
      <w:pPr>
        <w:pStyle w:val="Ttulo3"/>
        <w:numPr>
          <w:ilvl w:val="0"/>
          <w:numId w:val="2"/>
        </w:numPr>
        <w:spacing w:after="240"/>
        <w:rPr>
          <w:b/>
          <w:i/>
          <w:lang w:val="es-ES"/>
        </w:rPr>
      </w:pPr>
      <w:bookmarkStart w:id="14" w:name="_Toc216875865"/>
      <w:r w:rsidRPr="00EE74AC">
        <w:rPr>
          <w:b/>
          <w:i/>
          <w:lang w:val="es-ES"/>
        </w:rPr>
        <w:t>Valores</w:t>
      </w:r>
      <w:bookmarkEnd w:id="14"/>
    </w:p>
    <w:p w14:paraId="058FA56B" w14:textId="78F8B548"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Calidad: Implica el cumplimiento riguroso, oportuno y técnico de la función supervisora, regulatoria y de servicio, siempre alineado con los estándares internacionales (como los PBS de IAIS). Se traduce en</w:t>
      </w:r>
      <w:r w:rsidRPr="00233FCA">
        <w:rPr>
          <w:lang w:val="es-ES"/>
        </w:rPr>
        <w:t xml:space="preserve"> </w:t>
      </w:r>
      <w:r w:rsidRPr="00233FCA">
        <w:rPr>
          <w:rFonts w:eastAsia="Calibri"/>
          <w:noProof/>
          <w:color w:val="4C4747"/>
          <w:lang w:val="es-ES"/>
        </w:rPr>
        <w:lastRenderedPageBreak/>
        <w:t>la eficiencia de los procesos, la pertinencia de las normativas y la excelencia en la atención al ciudadano.</w:t>
      </w:r>
    </w:p>
    <w:p w14:paraId="72C9BD87" w14:textId="77777777"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Transparencia: Es la actuación clara, accesible y verificable en la gestión pública de la Superintendencia y la exigencia de divulgación completa al sector asegurador. Esto genera la confiabilidad necesaria para el mercado, facilitando la fiscalización social y el conocimiento del estado real de la industria para la sociedad en general.</w:t>
      </w:r>
    </w:p>
    <w:p w14:paraId="56DE4741" w14:textId="13FE75B4"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Ética: Representa el actuar íntegro, imparcial y profesional del personal de la Superintendencia, asegurando que las decisiones de</w:t>
      </w:r>
      <w:r w:rsidRPr="00233FCA">
        <w:rPr>
          <w:lang w:val="es-ES"/>
        </w:rPr>
        <w:t xml:space="preserve"> </w:t>
      </w:r>
      <w:r w:rsidRPr="00233FCA">
        <w:rPr>
          <w:rFonts w:eastAsia="Calibri"/>
          <w:noProof/>
          <w:color w:val="4C4747"/>
          <w:lang w:val="es-ES"/>
        </w:rPr>
        <w:t>regulación y fiscalización se tomen sin conflictos de interés y en beneficio exclusivo del interés público y las personas aseguradas.</w:t>
      </w:r>
    </w:p>
    <w:p w14:paraId="29448AA5" w14:textId="255E591B" w:rsidR="00233FCA" w:rsidRDefault="00233FCA" w:rsidP="00233FCA">
      <w:pPr>
        <w:spacing w:line="360" w:lineRule="auto"/>
        <w:jc w:val="both"/>
        <w:rPr>
          <w:rFonts w:eastAsia="Calibri"/>
          <w:noProof/>
          <w:color w:val="4C4747"/>
          <w:lang w:val="es-ES"/>
        </w:rPr>
      </w:pPr>
      <w:r w:rsidRPr="00233FCA">
        <w:rPr>
          <w:rFonts w:eastAsia="Calibri"/>
          <w:noProof/>
          <w:color w:val="4C4747"/>
          <w:lang w:val="es-ES"/>
        </w:rPr>
        <w:t>Humanización: Es la aplicación de la función supervisora y de servicio con un enfoque empático, accesible y centrado en la persona asegurada. Se logra simplificando los trámites y garantizando que el ciudadano encuentre apoyo eficaz y trato profesional en la solución de conflictos (Conciliaciones), reafirmando la misión de beneficiar a la sociedad.</w:t>
      </w:r>
    </w:p>
    <w:p w14:paraId="49DAC122" w14:textId="77777777"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 xml:space="preserve">Innovación: Es la adopción proactiva y la promoción de nuevas tecnologías, procesos y conocimientos para modernizar la supervisión y el sector, contribuyendo a la transformación necesaria </w:t>
      </w:r>
      <w:r w:rsidRPr="00233FCA">
        <w:rPr>
          <w:rFonts w:eastAsia="Calibri"/>
          <w:noProof/>
          <w:color w:val="4C4747"/>
          <w:lang w:val="es-ES"/>
        </w:rPr>
        <w:lastRenderedPageBreak/>
        <w:t>para el desarrollo. Se orienta a mejorar la eficiencia regulatoria interna (SupTech) y fomentar la inclusión de nuevos modelos de negocio (InsurTech) en el mercado.</w:t>
      </w:r>
    </w:p>
    <w:p w14:paraId="2F6BB0BA" w14:textId="77777777"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Honestidad: Implica la veracidad, rectitud y honradez inquebrantable en el manejo de los recursos públicos y la información que se genera y se recibe. Asegura la fiabilidad de los datos</w:t>
      </w:r>
      <w:r>
        <w:rPr>
          <w:rFonts w:eastAsia="Calibri"/>
          <w:noProof/>
          <w:color w:val="4C4747"/>
          <w:lang w:val="es-ES"/>
        </w:rPr>
        <w:t xml:space="preserve"> </w:t>
      </w:r>
      <w:r w:rsidRPr="00233FCA">
        <w:rPr>
          <w:rFonts w:eastAsia="Calibri"/>
          <w:noProof/>
          <w:color w:val="4C4747"/>
          <w:lang w:val="es-ES"/>
        </w:rPr>
        <w:t>económicos y financieros para que la SIS sea una institución confiable (Visión).</w:t>
      </w:r>
    </w:p>
    <w:p w14:paraId="51678A77" w14:textId="77777777"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Responsabilidad: Es la asunción de las consecuencias de las decisiones y el compromiso proactivo con la ejecución de las políticas de estabilidad, crecimiento y resiliencia del sector. Se refleja en la diligencia para fiscalizar y la coherencia en la rendición de cuentas sobre los resultados institucionales.</w:t>
      </w:r>
    </w:p>
    <w:p w14:paraId="2E8E65AD" w14:textId="13D3705D" w:rsidR="00233FCA" w:rsidRDefault="00233FCA" w:rsidP="00233FCA">
      <w:pPr>
        <w:spacing w:line="360" w:lineRule="auto"/>
        <w:jc w:val="both"/>
        <w:rPr>
          <w:rFonts w:eastAsia="Calibri"/>
          <w:noProof/>
          <w:color w:val="4C4747"/>
          <w:lang w:val="es-ES"/>
        </w:rPr>
      </w:pPr>
      <w:r w:rsidRPr="00233FCA">
        <w:rPr>
          <w:rFonts w:eastAsia="Calibri"/>
          <w:noProof/>
          <w:color w:val="4C4747"/>
          <w:lang w:val="es-ES"/>
        </w:rPr>
        <w:t>Trabajo en Equipo: Es la colaboración coordinada, efectiva y sinérgica entre las distintas áreas técnicas y administrativas de la</w:t>
      </w:r>
      <w:r>
        <w:rPr>
          <w:rFonts w:eastAsia="Calibri"/>
          <w:noProof/>
          <w:color w:val="4C4747"/>
          <w:lang w:val="es-ES"/>
        </w:rPr>
        <w:t xml:space="preserve"> </w:t>
      </w:r>
      <w:r w:rsidRPr="00233FCA">
        <w:rPr>
          <w:rFonts w:eastAsia="Calibri"/>
          <w:noProof/>
          <w:color w:val="4C4747"/>
          <w:lang w:val="es-ES"/>
        </w:rPr>
        <w:t>Superintendencia. Esto es clave para lograr la eficiencia interna, garantizar la calidad de los procesos (ej., supervisión) y la toma de decisiones integrales que impulsen la transformación del sector.</w:t>
      </w:r>
    </w:p>
    <w:p w14:paraId="318A6013" w14:textId="77777777" w:rsidR="00EF6A8E" w:rsidRDefault="00EF6A8E" w:rsidP="00A70DE5">
      <w:pPr>
        <w:spacing w:line="360" w:lineRule="auto"/>
        <w:jc w:val="center"/>
        <w:rPr>
          <w:rFonts w:eastAsia="Calibri"/>
          <w:noProof/>
          <w:color w:val="4C4747"/>
          <w:lang w:val="es-ES"/>
        </w:rPr>
      </w:pPr>
    </w:p>
    <w:p w14:paraId="1D33D2D0" w14:textId="571FC695" w:rsidR="00233FCA" w:rsidRDefault="00233FCA" w:rsidP="00A70DE5">
      <w:pPr>
        <w:pStyle w:val="Ttulo2"/>
        <w:numPr>
          <w:ilvl w:val="1"/>
          <w:numId w:val="1"/>
        </w:numPr>
        <w:jc w:val="center"/>
        <w:rPr>
          <w:b/>
          <w:noProof/>
          <w:lang w:val="es-DO"/>
        </w:rPr>
      </w:pPr>
      <w:bookmarkStart w:id="15" w:name="_Toc185255076"/>
      <w:bookmarkStart w:id="16" w:name="_Toc216875866"/>
      <w:r w:rsidRPr="00233FCA">
        <w:rPr>
          <w:b/>
          <w:noProof/>
          <w:lang w:val="es-DO"/>
        </w:rPr>
        <w:lastRenderedPageBreak/>
        <w:t>Base Legal y Funciones Esenciales de la Superintendencia de Seguros</w:t>
      </w:r>
      <w:bookmarkEnd w:id="15"/>
      <w:bookmarkEnd w:id="16"/>
    </w:p>
    <w:p w14:paraId="71EE1EC8" w14:textId="77777777" w:rsidR="00EF6A8E" w:rsidRPr="00EF6A8E" w:rsidRDefault="00EF6A8E" w:rsidP="00EF6A8E">
      <w:pPr>
        <w:pStyle w:val="Prrafodelista"/>
        <w:ind w:left="1158"/>
        <w:rPr>
          <w:lang w:val="es-DO"/>
        </w:rPr>
      </w:pPr>
    </w:p>
    <w:p w14:paraId="75C648AF" w14:textId="77777777"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Las competencias, atribuciones y funciones la Superintendencia de Seguros están conferidas en la Ley No. 146-02 Sobre seguros y fianzas de la República Dominicana. Además, de esta ley, el marco normativo de la SIS está conformado por otras leyes y decretos que rigen el accionar del sector público dominicano.</w:t>
      </w:r>
    </w:p>
    <w:p w14:paraId="69003CE8" w14:textId="77777777" w:rsidR="00233FCA" w:rsidRPr="00233FCA" w:rsidRDefault="00233FCA" w:rsidP="00233FCA">
      <w:pPr>
        <w:spacing w:line="360" w:lineRule="auto"/>
        <w:jc w:val="both"/>
        <w:rPr>
          <w:rFonts w:eastAsia="Calibri"/>
          <w:noProof/>
          <w:color w:val="4C4747"/>
          <w:lang w:val="es-ES"/>
        </w:rPr>
      </w:pPr>
      <w:r w:rsidRPr="00233FCA">
        <w:rPr>
          <w:rFonts w:eastAsia="Calibri"/>
          <w:noProof/>
          <w:color w:val="4C4747"/>
          <w:lang w:val="es-ES"/>
        </w:rPr>
        <w:t>En lo que respecta a las funciones esenciales, dicho enfoque se articula con el concepto de la cadena de valor, que orienta la planificación pública en la República Dominicana, cuyo propósito es mejorar el desempeño de la administración pública como garante de</w:t>
      </w:r>
      <w:r>
        <w:rPr>
          <w:rFonts w:eastAsia="Calibri"/>
          <w:noProof/>
          <w:color w:val="4C4747"/>
          <w:lang w:val="es-ES"/>
        </w:rPr>
        <w:t xml:space="preserve"> </w:t>
      </w:r>
      <w:r w:rsidRPr="00233FCA">
        <w:rPr>
          <w:rFonts w:eastAsia="Calibri"/>
          <w:noProof/>
          <w:color w:val="4C4747"/>
          <w:lang w:val="es-ES"/>
        </w:rPr>
        <w:t>los derechos de la población, de conformidad con lo establecido en el artículo 8 de la Constitución de la República Dominicana:</w:t>
      </w:r>
    </w:p>
    <w:p w14:paraId="2DA54206" w14:textId="4CA55CF3" w:rsidR="00654164" w:rsidRDefault="00233FCA" w:rsidP="00233FCA">
      <w:pPr>
        <w:spacing w:line="360" w:lineRule="auto"/>
        <w:ind w:left="720"/>
        <w:jc w:val="both"/>
        <w:rPr>
          <w:rFonts w:eastAsia="Calibri"/>
          <w:noProof/>
          <w:color w:val="4C4747"/>
          <w:lang w:val="es-ES"/>
        </w:rPr>
      </w:pPr>
      <w:r w:rsidRPr="00233FCA">
        <w:rPr>
          <w:rFonts w:eastAsia="Calibri"/>
          <w:noProof/>
          <w:color w:val="4C4747"/>
          <w:lang w:val="es-ES"/>
        </w:rPr>
        <w:t>Artículo 8. - Función Esencial del Estado “Es función esencial del Estado, la protección efectiva de los derechos de la persona, el respeto de su dignidad y la obtención de los medios que le permitan perfeccionarse de forma igualitaria, equitativa y progresiva, dentro de un marco de libertad individual y de justicia social,</w:t>
      </w:r>
      <w:r w:rsidRPr="00233FCA">
        <w:rPr>
          <w:lang w:val="es-ES"/>
        </w:rPr>
        <w:t xml:space="preserve"> </w:t>
      </w:r>
      <w:r w:rsidRPr="00233FCA">
        <w:rPr>
          <w:rFonts w:eastAsia="Calibri"/>
          <w:noProof/>
          <w:color w:val="4C4747"/>
          <w:lang w:val="es-ES"/>
        </w:rPr>
        <w:t xml:space="preserve">compatibles con el orden público, el bienestar general y los derechos de todos y todas”.  </w:t>
      </w:r>
    </w:p>
    <w:p w14:paraId="66C89D83" w14:textId="03EE868B" w:rsidR="00233FCA" w:rsidRDefault="00233FCA" w:rsidP="00233FCA">
      <w:pPr>
        <w:spacing w:line="360" w:lineRule="auto"/>
        <w:jc w:val="both"/>
        <w:rPr>
          <w:lang w:val="es-DO"/>
        </w:rPr>
      </w:pPr>
      <w:r w:rsidRPr="00233FCA">
        <w:rPr>
          <w:rFonts w:eastAsia="Calibri"/>
          <w:noProof/>
          <w:color w:val="4C4747"/>
          <w:lang w:val="es-ES"/>
        </w:rPr>
        <w:lastRenderedPageBreak/>
        <w:t>Considerando lo anterior, las funciones esenciales de la SIS engloban el conjunto de actuaciones operativas y estratégicas que esta institución debe realizar para que todos los agentes involucrados en el mercado de seguros de la República Dominicana cumplan con la aplicación de la ley No. 146-02. En ese tenor, las atribuciones esenciales de la Superintendencia de Seguros son</w:t>
      </w:r>
      <w:r w:rsidRPr="00BE66C1">
        <w:rPr>
          <w:lang w:val="es-DO"/>
        </w:rPr>
        <w:t xml:space="preserve">: </w:t>
      </w:r>
    </w:p>
    <w:p w14:paraId="49401B6E" w14:textId="77777777" w:rsidR="00206D9F" w:rsidRDefault="00233FCA" w:rsidP="00EF6A8E">
      <w:pPr>
        <w:pStyle w:val="Prrafodelista"/>
        <w:numPr>
          <w:ilvl w:val="0"/>
          <w:numId w:val="44"/>
        </w:numPr>
        <w:spacing w:line="360" w:lineRule="auto"/>
        <w:jc w:val="both"/>
        <w:rPr>
          <w:rFonts w:eastAsia="Calibri"/>
          <w:noProof/>
          <w:color w:val="4C4747"/>
          <w:lang w:val="es-ES"/>
        </w:rPr>
      </w:pPr>
      <w:r w:rsidRPr="00233FCA">
        <w:rPr>
          <w:rFonts w:eastAsia="Calibri"/>
          <w:noProof/>
          <w:color w:val="4C4747"/>
          <w:lang w:val="es-ES"/>
        </w:rPr>
        <w:t xml:space="preserve">Examinar, sin restricción alguna y por los medios que amerite el caso, todos los negocios, bienes, libros, archivos, documentos y correspondencias de las personas físicas y </w:t>
      </w:r>
    </w:p>
    <w:p w14:paraId="7251B604" w14:textId="77777777" w:rsidR="00206D9F" w:rsidRPr="00206D9F" w:rsidRDefault="00233FCA" w:rsidP="00EF6A8E">
      <w:pPr>
        <w:pStyle w:val="Prrafodelista"/>
        <w:numPr>
          <w:ilvl w:val="1"/>
          <w:numId w:val="44"/>
        </w:numPr>
        <w:spacing w:line="360" w:lineRule="auto"/>
        <w:jc w:val="both"/>
        <w:rPr>
          <w:rFonts w:eastAsia="Calibri"/>
          <w:noProof/>
          <w:color w:val="4C4747"/>
          <w:lang w:val="es-ES"/>
        </w:rPr>
      </w:pPr>
      <w:r w:rsidRPr="00206D9F">
        <w:rPr>
          <w:rFonts w:eastAsia="Calibri"/>
          <w:noProof/>
          <w:color w:val="4C4747"/>
          <w:lang w:val="es-ES"/>
        </w:rPr>
        <w:t>morales de seguros, reaseguros, intermediarios y ajustadores, y requerir de los administradores y del personal de las mismas, los antecedentes y explicaciones que juzgue necesarios acerca de la situación, forma en que se administran los negocios, la actuación de los representantes, el grado de seguridad y prudencia con que</w:t>
      </w:r>
      <w:r w:rsidR="00206D9F" w:rsidRPr="00206D9F">
        <w:rPr>
          <w:rFonts w:eastAsia="Calibri"/>
          <w:noProof/>
          <w:color w:val="4C4747"/>
          <w:lang w:val="es-ES"/>
        </w:rPr>
        <w:t xml:space="preserve"> se hayan invertido las reservas legales y en general, cualquier otro asunto que convenga esclarecer para asegurar la estabilidad y solvencia de tales personas físicas y morales; </w:t>
      </w:r>
    </w:p>
    <w:p w14:paraId="184F1FA0"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 xml:space="preserve">Requerir a las personas físicas y morales bajo su supervisión, cualquier información, documento o libro que a su juicio sea </w:t>
      </w:r>
      <w:r w:rsidRPr="00206D9F">
        <w:rPr>
          <w:rFonts w:eastAsia="Calibri"/>
          <w:noProof/>
          <w:color w:val="4C4747"/>
          <w:lang w:val="es-ES"/>
        </w:rPr>
        <w:lastRenderedPageBreak/>
        <w:t>necesario para los fines de fiscalización o estadísticas. Podrá impartirles instrucciones o adoptar las medidas tendentes a corregir las deficiencias que observare en la aplicación de tales medidas y en general, las que estime necesarias en resguardo de los asegurados, reclamantes y otros acreedores y del interés del público; </w:t>
      </w:r>
    </w:p>
    <w:p w14:paraId="1614ECBE"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Establecer las normas generales uniformes de la contabilidad y catálogo de cuentas de las instituciones de seguros, de modo que se refleje la situación financiera real de los mismos; </w:t>
      </w:r>
    </w:p>
    <w:p w14:paraId="3BCAED85" w14:textId="0540C3B0" w:rsid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Aplicar las sanciones para los casos no previstos por incumplimiento a las disposiciones vigentes que deberán aplicarse a estas personas físicas y morales, siempre que sean de la competencia de este organismo; </w:t>
      </w:r>
    </w:p>
    <w:p w14:paraId="209FFCEC" w14:textId="120D56BE" w:rsidR="00206D9F" w:rsidRPr="00EF6A8E" w:rsidRDefault="00206D9F" w:rsidP="00EF6A8E">
      <w:pPr>
        <w:pStyle w:val="Prrafodelista"/>
        <w:numPr>
          <w:ilvl w:val="0"/>
          <w:numId w:val="44"/>
        </w:numPr>
        <w:spacing w:before="240" w:after="240" w:line="360" w:lineRule="auto"/>
        <w:jc w:val="both"/>
        <w:rPr>
          <w:lang w:val="es-DO"/>
        </w:rPr>
      </w:pPr>
      <w:r w:rsidRPr="00206D9F">
        <w:rPr>
          <w:rFonts w:eastAsia="Calibri"/>
          <w:noProof/>
          <w:color w:val="4C4747"/>
          <w:lang w:val="es-ES"/>
        </w:rPr>
        <w:t>Elaborar y aplicar estadísticas del sistema de seguros, detalladas por institución. Para estos fines la Superintendencia deberá elaborar y publicar un boletín con una frecuencia por lo menos trimestral, sobre los activos, pasivos y capital y cuentas de resultados y demás informaciones que permitan al público analizar la evolución del mercado asegurador y la situación de</w:t>
      </w:r>
      <w:r w:rsidRPr="00EF6A8E">
        <w:rPr>
          <w:rFonts w:eastAsia="Calibri"/>
          <w:noProof/>
          <w:color w:val="4C4747"/>
          <w:lang w:val="es-ES"/>
        </w:rPr>
        <w:t xml:space="preserve"> cada</w:t>
      </w:r>
      <w:r w:rsidRPr="00EF6A8E">
        <w:rPr>
          <w:lang w:val="es-DO"/>
        </w:rPr>
        <w:t xml:space="preserve"> entidad; </w:t>
      </w:r>
    </w:p>
    <w:p w14:paraId="4BE8C7D9"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lastRenderedPageBreak/>
        <w:t>Revisar y aprobar el cálculo de las reservas de los aseguradores y reaseguradores, así como las inversiones que realicen éstos;</w:t>
      </w:r>
    </w:p>
    <w:p w14:paraId="3C47B5A9"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Tomar las providencias de lugar a fin de impedir las prácticas, actuaciones, usos o costumbres desleales, perjudiciales e ilegales por cualquier persona física o moral, que intervenga en operaciones de seguros o reaseguros; </w:t>
      </w:r>
    </w:p>
    <w:p w14:paraId="234289FA"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Suspender la publicidad, anuncios, propagandas e informaciones que hagan por escrito, oral o por cualquier otro medio de difusión, los aseguradores, reaseguradores, intermediarios o ajustadores, cuando no se ajusten a las normas legales y éticas; </w:t>
      </w:r>
    </w:p>
    <w:p w14:paraId="4AB3F37E"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Efectuar u ordenar cuantas notificaciones sean necesarias a los efectos del cumplimiento de esta ley; </w:t>
      </w:r>
    </w:p>
    <w:p w14:paraId="4D39666E"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Impedir que se propongan o efectúen seguros por personas no autorizadas a operar en el país, o a través de</w:t>
      </w:r>
      <w:r>
        <w:rPr>
          <w:rFonts w:eastAsia="Calibri"/>
          <w:noProof/>
          <w:color w:val="4C4747"/>
          <w:lang w:val="es-ES"/>
        </w:rPr>
        <w:t xml:space="preserve"> </w:t>
      </w:r>
      <w:r w:rsidRPr="00206D9F">
        <w:rPr>
          <w:rFonts w:eastAsia="Calibri"/>
          <w:noProof/>
          <w:color w:val="4C4747"/>
          <w:lang w:val="es-DO"/>
        </w:rPr>
        <w:t xml:space="preserve">intermediarios </w:t>
      </w:r>
      <w:r w:rsidRPr="00206D9F">
        <w:rPr>
          <w:rFonts w:eastAsia="Calibri"/>
          <w:noProof/>
          <w:color w:val="4C4747"/>
          <w:lang w:val="es-ES"/>
        </w:rPr>
        <w:t>que no posean licencia expedida por la Superintendencia; </w:t>
      </w:r>
    </w:p>
    <w:p w14:paraId="2E1B6DB1"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ES"/>
        </w:rPr>
      </w:pPr>
      <w:r w:rsidRPr="00206D9F">
        <w:rPr>
          <w:rFonts w:eastAsia="Calibri"/>
          <w:noProof/>
          <w:color w:val="4C4747"/>
          <w:lang w:val="es-ES"/>
        </w:rPr>
        <w:t>Ordenar la cancelación de pólizas, endosos o contratos que en alguna forma violen las disposiciones de esta ley. Esta cancelación no podrá afectar los derechos consignados en las pólizas a favor de terceros; </w:t>
      </w:r>
    </w:p>
    <w:p w14:paraId="54671489" w14:textId="77777777" w:rsidR="00206D9F" w:rsidRPr="00206D9F" w:rsidRDefault="00206D9F" w:rsidP="00EF6A8E">
      <w:pPr>
        <w:pStyle w:val="Prrafodelista"/>
        <w:numPr>
          <w:ilvl w:val="0"/>
          <w:numId w:val="44"/>
        </w:numPr>
        <w:spacing w:before="240" w:after="240" w:line="360" w:lineRule="auto"/>
        <w:jc w:val="both"/>
        <w:rPr>
          <w:rFonts w:eastAsia="Calibri"/>
          <w:noProof/>
          <w:color w:val="4C4747"/>
          <w:lang w:val="es-DO"/>
        </w:rPr>
      </w:pPr>
      <w:r w:rsidRPr="00206D9F">
        <w:rPr>
          <w:rFonts w:eastAsia="Calibri"/>
          <w:noProof/>
          <w:color w:val="4C4747"/>
          <w:lang w:val="es-ES"/>
        </w:rPr>
        <w:lastRenderedPageBreak/>
        <w:t>Conceder, denegar, suspender, cancelar o revocar la autorización otorgada para operar en la República</w:t>
      </w:r>
      <w:r>
        <w:rPr>
          <w:rFonts w:eastAsia="Calibri"/>
          <w:noProof/>
          <w:color w:val="4C4747"/>
          <w:lang w:val="es-ES"/>
        </w:rPr>
        <w:t xml:space="preserve"> </w:t>
      </w:r>
      <w:r w:rsidRPr="00206D9F">
        <w:rPr>
          <w:rFonts w:eastAsia="Calibri"/>
          <w:noProof/>
          <w:color w:val="4C4747"/>
          <w:lang w:val="es-DO"/>
        </w:rPr>
        <w:t>Dominicana, a cualquier asegurador o reasegurador en uno o más ramos de seguros; </w:t>
      </w:r>
    </w:p>
    <w:p w14:paraId="118BAD41"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Conceder autorización a los aseguradores para contratar en el exterior, seguros de líneas excedentes o reaseguros que no puedan obtenerse en el país; </w:t>
      </w:r>
    </w:p>
    <w:p w14:paraId="36825627" w14:textId="7A5A7D42" w:rsid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Conceder, expedir, denegar, suspender, cancelar o revocar, la licencia para operar en la República Dominicana, como intermediario a cualquier persona física o moral; </w:t>
      </w:r>
    </w:p>
    <w:p w14:paraId="543AC38F"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Aprobar o denegar las solicitudes de transferencia de cartera, así como las fusiones de aseguradores o reaseguradores, supervisar dichas transferencias y fusiones cuando las mismas sean aprobadas; </w:t>
      </w:r>
    </w:p>
    <w:p w14:paraId="6D6D2382"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Intervenir o fiscalizar la liquidación, disolución o retiro de los aseguradores y reaseguradores; </w:t>
      </w:r>
    </w:p>
    <w:p w14:paraId="0EF814E9"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Revisar, aprobar o negar las pólizas y demás formularios que le sometan, así como las tarifas de primas y demás documentos que se utilicen en las operaciones de seguros;</w:t>
      </w:r>
    </w:p>
    <w:p w14:paraId="1A08C2BB"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Expedir certificaciones sobre asuntos que no sean de carácter confidencial; </w:t>
      </w:r>
    </w:p>
    <w:p w14:paraId="5D233236"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lastRenderedPageBreak/>
        <w:t xml:space="preserve">Organizar, convocar, celebrar y calificar exámenes para obtener licencias de intermediarios; </w:t>
      </w:r>
    </w:p>
    <w:p w14:paraId="2A4A16E3"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Comparecer, representada por el Superintendente, ante las autoridades judiciales; </w:t>
      </w:r>
    </w:p>
    <w:p w14:paraId="775CD110"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Designar al funcionario que corresponda en los casos de las liquidaciones de las operaciones de seguros de los aseguradores, reaseguradores e intermediarios; </w:t>
      </w:r>
    </w:p>
    <w:p w14:paraId="14882B84"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Actuar, representada por el Superintendente, como amigable componedor para resolver las dificultades que se susciten entre los aseguradores, reaseguradores, asegurados, beneficiarios e intermediarios, cuando una de las partes lo solicite; </w:t>
      </w:r>
    </w:p>
    <w:p w14:paraId="46FA1688"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Prestar colaboración a las autoridades judiciales en caso de siniestro y a requerimiento de éstas, en la presentación de los datos que consideren necesarios dichas autoridades, en el curso de las investigaciones; </w:t>
      </w:r>
    </w:p>
    <w:p w14:paraId="3DFA2C6D"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Llevar un registro continuamente actualizado de todos los accionistas de las compañías de seguros y reaseguros; </w:t>
      </w:r>
    </w:p>
    <w:p w14:paraId="41872119"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Designar un gerente o administrador en caso de que una compañía de seguros o reaseguros entre en un proceso de iliquidez o insolvencia que peligre su existencia; </w:t>
      </w:r>
    </w:p>
    <w:p w14:paraId="581D428C" w14:textId="77777777" w:rsidR="00206D9F" w:rsidRP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lastRenderedPageBreak/>
        <w:t>Ordenar la suspensión del uso, por cualquier medio publicitario, de los términos: seguros, asegurador, reasegurador o expresiones típicas o características o similares a las de las operaciones de seguros, cuando sean</w:t>
      </w:r>
      <w:r>
        <w:rPr>
          <w:rFonts w:eastAsia="Calibri"/>
          <w:noProof/>
          <w:color w:val="4C4747"/>
          <w:lang w:val="es-DO"/>
        </w:rPr>
        <w:t xml:space="preserve"> </w:t>
      </w:r>
      <w:r w:rsidRPr="00206D9F">
        <w:rPr>
          <w:rFonts w:eastAsia="Calibri"/>
          <w:noProof/>
          <w:color w:val="4C4747"/>
          <w:lang w:val="es-DO"/>
        </w:rPr>
        <w:t xml:space="preserve">utilizadas por personas físicas o morales no autorizadas como aseguradores, reaseguradores, intermediarios y/o ajustadores, de acuerdo con esta ley; </w:t>
      </w:r>
    </w:p>
    <w:p w14:paraId="758EDA4F" w14:textId="2797049B" w:rsidR="00206D9F" w:rsidRDefault="00206D9F" w:rsidP="00EF6A8E">
      <w:pPr>
        <w:pStyle w:val="Prrafodelista"/>
        <w:numPr>
          <w:ilvl w:val="0"/>
          <w:numId w:val="44"/>
        </w:numPr>
        <w:spacing w:line="360" w:lineRule="auto"/>
        <w:jc w:val="both"/>
        <w:rPr>
          <w:rFonts w:eastAsia="Calibri"/>
          <w:noProof/>
          <w:color w:val="4C4747"/>
          <w:lang w:val="es-DO"/>
        </w:rPr>
      </w:pPr>
      <w:r w:rsidRPr="00206D9F">
        <w:rPr>
          <w:rFonts w:eastAsia="Calibri"/>
          <w:noProof/>
          <w:color w:val="4C4747"/>
          <w:lang w:val="es-DO"/>
        </w:rPr>
        <w:t xml:space="preserve">Tomar medidas preventivas para evitar el uso de promociones y publicidad relacionadas. </w:t>
      </w:r>
    </w:p>
    <w:p w14:paraId="67987D6E" w14:textId="77777777" w:rsidR="00EF6A8E" w:rsidRPr="00206D9F" w:rsidRDefault="00EF6A8E" w:rsidP="00EF6A8E">
      <w:pPr>
        <w:pStyle w:val="Prrafodelista"/>
        <w:spacing w:line="360" w:lineRule="auto"/>
        <w:jc w:val="both"/>
        <w:rPr>
          <w:rFonts w:eastAsia="Calibri"/>
          <w:noProof/>
          <w:color w:val="4C4747"/>
          <w:lang w:val="es-DO"/>
        </w:rPr>
      </w:pPr>
    </w:p>
    <w:p w14:paraId="045A06A8" w14:textId="77777777" w:rsidR="00206D9F" w:rsidRPr="00206D9F" w:rsidRDefault="00206D9F" w:rsidP="00206D9F">
      <w:pPr>
        <w:spacing w:line="360" w:lineRule="auto"/>
        <w:jc w:val="both"/>
        <w:rPr>
          <w:rFonts w:eastAsia="Calibri"/>
          <w:noProof/>
          <w:color w:val="4C4747"/>
          <w:lang w:val="es-DO"/>
        </w:rPr>
      </w:pPr>
      <w:r w:rsidRPr="00206D9F">
        <w:rPr>
          <w:rFonts w:eastAsia="Calibri"/>
          <w:noProof/>
          <w:color w:val="4C4747"/>
          <w:lang w:val="es-DO"/>
        </w:rPr>
        <w:t xml:space="preserve">Dichas funciones esenciales, se operativizan con la entrega y/o oferta de los servicios siguientes: </w:t>
      </w:r>
    </w:p>
    <w:p w14:paraId="1B8BDD88"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Certificación de Información de Aseguradoras, Reaseguradoras o Intermediarios</w:t>
      </w:r>
    </w:p>
    <w:p w14:paraId="5FBE5976"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Consultas de Intermediarios</w:t>
      </w:r>
    </w:p>
    <w:p w14:paraId="247AE068"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Verificador de Catálogo</w:t>
      </w:r>
    </w:p>
    <w:p w14:paraId="18FFB5C6"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Certificación de Seguros Generales</w:t>
      </w:r>
    </w:p>
    <w:p w14:paraId="24ED250E"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Certificación de Seguros De Vida</w:t>
      </w:r>
    </w:p>
    <w:p w14:paraId="38B33F70"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lastRenderedPageBreak/>
        <w:t>Certificación de Seguros De Fianzas</w:t>
      </w:r>
    </w:p>
    <w:p w14:paraId="4F956BC0"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Duplicado de Certificación</w:t>
      </w:r>
    </w:p>
    <w:p w14:paraId="32538A34" w14:textId="74AD1C9C" w:rsid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Agente General</w:t>
      </w:r>
    </w:p>
    <w:p w14:paraId="0F21C488"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Agencia Local</w:t>
      </w:r>
    </w:p>
    <w:p w14:paraId="1D7D5F10"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Agente Local Físico</w:t>
      </w:r>
    </w:p>
    <w:p w14:paraId="6DB4B17E"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Ajustador de Seguros Moral</w:t>
      </w:r>
    </w:p>
    <w:p w14:paraId="480A0FF5"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Ajustador de Seguros Persona Física</w:t>
      </w:r>
    </w:p>
    <w:p w14:paraId="4512F41C"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Corredor Persona Física</w:t>
      </w:r>
    </w:p>
    <w:p w14:paraId="032BA24E"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Corredor Moral</w:t>
      </w:r>
    </w:p>
    <w:p w14:paraId="3BFE2C6E"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Corredor de Reaseguros</w:t>
      </w:r>
    </w:p>
    <w:p w14:paraId="20FB443E"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de Agente de Persona-Vida</w:t>
      </w:r>
    </w:p>
    <w:p w14:paraId="6275C58E" w14:textId="77777777" w:rsidR="00206D9F" w:rsidRPr="00206D9F" w:rsidRDefault="00206D9F" w:rsidP="008840A0">
      <w:pPr>
        <w:numPr>
          <w:ilvl w:val="0"/>
          <w:numId w:val="6"/>
        </w:numPr>
        <w:spacing w:before="240" w:line="360" w:lineRule="auto"/>
        <w:jc w:val="both"/>
        <w:rPr>
          <w:rFonts w:eastAsia="Calibri"/>
          <w:noProof/>
          <w:color w:val="4C4747"/>
          <w:lang w:val="es-DO"/>
        </w:rPr>
      </w:pPr>
      <w:r w:rsidRPr="00206D9F">
        <w:rPr>
          <w:rFonts w:eastAsia="Calibri"/>
          <w:noProof/>
          <w:color w:val="4C4747"/>
          <w:lang w:val="es-DO"/>
        </w:rPr>
        <w:t>Licencia de Agente de Riesgo General</w:t>
      </w:r>
    </w:p>
    <w:p w14:paraId="3B92C1D2" w14:textId="77777777" w:rsidR="008840A0" w:rsidRPr="008840A0" w:rsidRDefault="008840A0" w:rsidP="008840A0">
      <w:pPr>
        <w:numPr>
          <w:ilvl w:val="0"/>
          <w:numId w:val="6"/>
        </w:numPr>
        <w:spacing w:before="240" w:line="360" w:lineRule="auto"/>
        <w:jc w:val="both"/>
        <w:rPr>
          <w:rFonts w:eastAsia="Calibri"/>
          <w:noProof/>
          <w:color w:val="4C4747"/>
          <w:lang w:val="es-DO"/>
        </w:rPr>
      </w:pPr>
      <w:r w:rsidRPr="008840A0">
        <w:rPr>
          <w:rFonts w:eastAsia="Calibri"/>
          <w:noProof/>
          <w:color w:val="4C4747"/>
          <w:lang w:val="es-DO"/>
        </w:rPr>
        <w:t>Renovación de Licencias de Intermediario</w:t>
      </w:r>
    </w:p>
    <w:p w14:paraId="08227BDF" w14:textId="77777777" w:rsidR="008840A0" w:rsidRPr="008840A0" w:rsidRDefault="008840A0" w:rsidP="008840A0">
      <w:pPr>
        <w:numPr>
          <w:ilvl w:val="0"/>
          <w:numId w:val="6"/>
        </w:numPr>
        <w:spacing w:before="240" w:line="360" w:lineRule="auto"/>
        <w:jc w:val="both"/>
        <w:rPr>
          <w:rFonts w:eastAsia="Calibri"/>
          <w:noProof/>
          <w:color w:val="4C4747"/>
          <w:lang w:val="es-DO"/>
        </w:rPr>
      </w:pPr>
      <w:r w:rsidRPr="008840A0">
        <w:rPr>
          <w:rFonts w:eastAsia="Calibri"/>
          <w:noProof/>
          <w:color w:val="4C4747"/>
          <w:lang w:val="es-DO"/>
        </w:rPr>
        <w:t>Transferencia de Licencia</w:t>
      </w:r>
    </w:p>
    <w:p w14:paraId="2DF6C0AD" w14:textId="77777777" w:rsidR="008840A0" w:rsidRPr="008840A0" w:rsidRDefault="008840A0" w:rsidP="008840A0">
      <w:pPr>
        <w:numPr>
          <w:ilvl w:val="0"/>
          <w:numId w:val="6"/>
        </w:numPr>
        <w:spacing w:before="240" w:line="360" w:lineRule="auto"/>
        <w:jc w:val="both"/>
        <w:rPr>
          <w:rFonts w:eastAsia="Calibri"/>
          <w:noProof/>
          <w:color w:val="4C4747"/>
          <w:lang w:val="es-DO"/>
        </w:rPr>
      </w:pPr>
      <w:r w:rsidRPr="008840A0">
        <w:rPr>
          <w:rFonts w:eastAsia="Calibri"/>
          <w:noProof/>
          <w:color w:val="4C4747"/>
          <w:lang w:val="es-DO"/>
        </w:rPr>
        <w:lastRenderedPageBreak/>
        <w:t>Duplicado de Licencia</w:t>
      </w:r>
    </w:p>
    <w:p w14:paraId="6E4A7C32" w14:textId="77777777" w:rsidR="008840A0" w:rsidRPr="008840A0" w:rsidRDefault="008840A0" w:rsidP="008840A0">
      <w:pPr>
        <w:numPr>
          <w:ilvl w:val="0"/>
          <w:numId w:val="6"/>
        </w:numPr>
        <w:spacing w:before="240" w:line="360" w:lineRule="auto"/>
        <w:jc w:val="both"/>
        <w:rPr>
          <w:rFonts w:eastAsia="Calibri"/>
          <w:noProof/>
          <w:color w:val="4C4747"/>
          <w:lang w:val="es-DO"/>
        </w:rPr>
      </w:pPr>
      <w:r w:rsidRPr="008840A0">
        <w:rPr>
          <w:rFonts w:eastAsia="Calibri"/>
          <w:noProof/>
          <w:color w:val="4C4747"/>
          <w:lang w:val="es-DO"/>
        </w:rPr>
        <w:t>Consulta en Línea Liquidación y Reembolso</w:t>
      </w:r>
    </w:p>
    <w:p w14:paraId="3A8B71B7" w14:textId="77777777" w:rsidR="008840A0" w:rsidRPr="008840A0" w:rsidRDefault="008840A0" w:rsidP="008840A0">
      <w:pPr>
        <w:numPr>
          <w:ilvl w:val="0"/>
          <w:numId w:val="6"/>
        </w:numPr>
        <w:spacing w:before="240" w:line="360" w:lineRule="auto"/>
        <w:jc w:val="both"/>
        <w:rPr>
          <w:rFonts w:eastAsia="Calibri"/>
          <w:noProof/>
          <w:color w:val="4C4747"/>
          <w:lang w:val="es-DO"/>
        </w:rPr>
      </w:pPr>
      <w:r w:rsidRPr="008840A0">
        <w:rPr>
          <w:rFonts w:eastAsia="Calibri"/>
          <w:noProof/>
          <w:color w:val="4C4747"/>
          <w:lang w:val="es-DO"/>
        </w:rPr>
        <w:t xml:space="preserve">Solicitud de Conciliación </w:t>
      </w:r>
    </w:p>
    <w:p w14:paraId="12965485" w14:textId="77777777" w:rsidR="008840A0" w:rsidRPr="008840A0" w:rsidRDefault="008840A0" w:rsidP="008840A0">
      <w:pPr>
        <w:numPr>
          <w:ilvl w:val="0"/>
          <w:numId w:val="6"/>
        </w:numPr>
        <w:spacing w:before="240" w:line="360" w:lineRule="auto"/>
        <w:jc w:val="both"/>
        <w:rPr>
          <w:rFonts w:eastAsia="Calibri"/>
          <w:noProof/>
          <w:color w:val="4C4747"/>
          <w:lang w:val="es-DO"/>
        </w:rPr>
      </w:pPr>
      <w:r w:rsidRPr="008840A0">
        <w:rPr>
          <w:rFonts w:eastAsia="Calibri"/>
          <w:noProof/>
          <w:color w:val="4C4747"/>
          <w:lang w:val="es-DO"/>
        </w:rPr>
        <w:t xml:space="preserve">Registro de Visitas a la Superintendencia de Seguros </w:t>
      </w:r>
    </w:p>
    <w:p w14:paraId="302F95F1" w14:textId="77777777" w:rsidR="00206D9F" w:rsidRPr="00206D9F" w:rsidRDefault="00206D9F" w:rsidP="008840A0">
      <w:pPr>
        <w:spacing w:line="360" w:lineRule="auto"/>
        <w:ind w:left="1080"/>
        <w:jc w:val="both"/>
        <w:rPr>
          <w:rFonts w:eastAsia="Calibri"/>
          <w:noProof/>
          <w:color w:val="4C4747"/>
          <w:lang w:val="es-DO"/>
        </w:rPr>
      </w:pPr>
    </w:p>
    <w:p w14:paraId="0B89C5CD" w14:textId="028FA9FD" w:rsidR="00233FCA" w:rsidRDefault="000936C0" w:rsidP="000936C0">
      <w:pPr>
        <w:rPr>
          <w:rFonts w:eastAsia="Calibri"/>
          <w:noProof/>
          <w:color w:val="4C4747"/>
          <w:lang w:val="es-ES"/>
        </w:rPr>
      </w:pPr>
      <w:r>
        <w:rPr>
          <w:rFonts w:eastAsia="Calibri"/>
          <w:noProof/>
          <w:color w:val="4C4747"/>
          <w:lang w:val="es-ES"/>
        </w:rPr>
        <w:br w:type="page"/>
      </w:r>
    </w:p>
    <w:p w14:paraId="71675770" w14:textId="72876F68" w:rsidR="008840A0" w:rsidRDefault="008840A0" w:rsidP="008840A0">
      <w:pPr>
        <w:pStyle w:val="Ttulo2"/>
        <w:rPr>
          <w:b/>
          <w:lang w:val="es-DO"/>
        </w:rPr>
      </w:pPr>
      <w:bookmarkStart w:id="17" w:name="_Toc185255077"/>
      <w:bookmarkStart w:id="18" w:name="_Toc216875867"/>
      <w:r w:rsidRPr="008840A0">
        <w:rPr>
          <w:b/>
          <w:lang w:val="es-DO"/>
        </w:rPr>
        <w:lastRenderedPageBreak/>
        <w:t>2.3.</w:t>
      </w:r>
      <w:r w:rsidRPr="008840A0">
        <w:rPr>
          <w:b/>
          <w:lang w:val="es-DO"/>
        </w:rPr>
        <w:tab/>
        <w:t>Estructura Organizativa</w:t>
      </w:r>
      <w:bookmarkEnd w:id="17"/>
      <w:bookmarkEnd w:id="18"/>
    </w:p>
    <w:p w14:paraId="2F5E4675" w14:textId="50C9E563" w:rsidR="00233FCA" w:rsidRDefault="009E49DC" w:rsidP="00233FCA">
      <w:pPr>
        <w:spacing w:line="360" w:lineRule="auto"/>
        <w:jc w:val="both"/>
        <w:rPr>
          <w:rFonts w:eastAsia="Calibri"/>
          <w:noProof/>
          <w:color w:val="4C4747"/>
          <w:lang w:val="es-ES"/>
        </w:rPr>
      </w:pPr>
      <w:r w:rsidRPr="009E49DC">
        <w:rPr>
          <w:rFonts w:eastAsia="Calibri"/>
          <w:noProof/>
          <w:color w:val="4C4747"/>
          <w:lang w:val="es-ES"/>
        </w:rPr>
        <w:drawing>
          <wp:anchor distT="0" distB="0" distL="114300" distR="114300" simplePos="0" relativeHeight="251746304" behindDoc="1" locked="0" layoutInCell="1" allowOverlap="1" wp14:anchorId="4952A106" wp14:editId="1D8CF782">
            <wp:simplePos x="0" y="0"/>
            <wp:positionH relativeFrom="margin">
              <wp:posOffset>-493376</wp:posOffset>
            </wp:positionH>
            <wp:positionV relativeFrom="paragraph">
              <wp:posOffset>301123</wp:posOffset>
            </wp:positionV>
            <wp:extent cx="5925702" cy="4135272"/>
            <wp:effectExtent l="0" t="0" r="0" b="0"/>
            <wp:wrapTight wrapText="bothSides">
              <wp:wrapPolygon edited="0">
                <wp:start x="0" y="0"/>
                <wp:lineTo x="0" y="21494"/>
                <wp:lineTo x="21528" y="21494"/>
                <wp:lineTo x="21528"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25702" cy="4135272"/>
                    </a:xfrm>
                    <a:prstGeom prst="rect">
                      <a:avLst/>
                    </a:prstGeom>
                  </pic:spPr>
                </pic:pic>
              </a:graphicData>
            </a:graphic>
          </wp:anchor>
        </w:drawing>
      </w:r>
    </w:p>
    <w:p w14:paraId="779728DC" w14:textId="7D077AA7" w:rsidR="00233FCA" w:rsidRDefault="00233FCA" w:rsidP="00233FCA">
      <w:pPr>
        <w:spacing w:line="360" w:lineRule="auto"/>
        <w:jc w:val="both"/>
        <w:rPr>
          <w:rFonts w:eastAsia="Calibri"/>
          <w:noProof/>
          <w:color w:val="4C4747"/>
          <w:lang w:val="es-ES"/>
        </w:rPr>
      </w:pPr>
    </w:p>
    <w:p w14:paraId="63AE1010" w14:textId="08429F92" w:rsidR="00233FCA" w:rsidRDefault="00233FCA" w:rsidP="00233FCA">
      <w:pPr>
        <w:spacing w:line="360" w:lineRule="auto"/>
        <w:jc w:val="both"/>
        <w:rPr>
          <w:rFonts w:eastAsia="Calibri"/>
          <w:noProof/>
          <w:color w:val="4C4747"/>
          <w:lang w:val="es-ES"/>
        </w:rPr>
      </w:pPr>
    </w:p>
    <w:p w14:paraId="7EF0562A" w14:textId="77777777" w:rsidR="00EF6A8E" w:rsidRDefault="00EF6A8E" w:rsidP="00233FCA">
      <w:pPr>
        <w:spacing w:line="360" w:lineRule="auto"/>
        <w:jc w:val="both"/>
        <w:rPr>
          <w:rFonts w:eastAsia="Calibri"/>
          <w:noProof/>
          <w:color w:val="4C4747"/>
          <w:lang w:val="es-ES"/>
        </w:rPr>
      </w:pPr>
    </w:p>
    <w:p w14:paraId="0FAE457C" w14:textId="0BD4799E" w:rsidR="00EF6A8E" w:rsidRPr="00A70DE5" w:rsidRDefault="00CC5237" w:rsidP="00A70DE5">
      <w:pPr>
        <w:rPr>
          <w:lang w:val="es-DO"/>
        </w:rPr>
      </w:pPr>
      <w:bookmarkStart w:id="19" w:name="_Toc185255078"/>
      <w:r w:rsidRPr="00CC5237">
        <w:rPr>
          <w:lang w:val="es-DO"/>
        </w:rPr>
        <w:t xml:space="preserve">2.3.1. Principales </w:t>
      </w:r>
      <w:r w:rsidR="00A70DE5" w:rsidRPr="00CC5237">
        <w:rPr>
          <w:lang w:val="es-DO"/>
        </w:rPr>
        <w:t>funcionarios</w:t>
      </w:r>
      <w:r w:rsidRPr="00CC5237">
        <w:rPr>
          <w:lang w:val="es-DO"/>
        </w:rPr>
        <w:t xml:space="preserve"> de la Institución</w:t>
      </w:r>
      <w:bookmarkEnd w:id="19"/>
      <w:r w:rsidRPr="00CC5237">
        <w:rPr>
          <w:lang w:val="es-DO"/>
        </w:rPr>
        <w:t xml:space="preserve"> </w:t>
      </w:r>
    </w:p>
    <w:p w14:paraId="15AAE30D" w14:textId="77777777" w:rsidR="00CC5237" w:rsidRPr="00BE66C1" w:rsidRDefault="00CC5237" w:rsidP="00CC5237">
      <w:pPr>
        <w:rPr>
          <w:sz w:val="4"/>
          <w:lang w:val="es-DO"/>
        </w:rPr>
      </w:pPr>
    </w:p>
    <w:p w14:paraId="57D52D62" w14:textId="77777777" w:rsidR="00CC5237" w:rsidRPr="00EF6A8E" w:rsidRDefault="00CC5237" w:rsidP="00CC5237">
      <w:pPr>
        <w:rPr>
          <w:rFonts w:eastAsia="Calibri"/>
          <w:noProof/>
          <w:color w:val="4C4747"/>
          <w:lang w:val="es-DO"/>
        </w:rPr>
      </w:pPr>
      <w:r w:rsidRPr="00EF6A8E">
        <w:rPr>
          <w:rFonts w:eastAsia="Calibri"/>
          <w:noProof/>
          <w:color w:val="4C4747"/>
          <w:lang w:val="es-DO"/>
        </w:rPr>
        <w:t>Julio César Valentín Jiminián</w:t>
      </w:r>
      <w:r w:rsidRPr="00EF6A8E">
        <w:rPr>
          <w:rFonts w:eastAsia="Calibri"/>
          <w:noProof/>
          <w:color w:val="4C4747"/>
          <w:lang w:val="es-DO"/>
        </w:rPr>
        <w:br/>
        <w:t>Superintendente de Seguros</w:t>
      </w:r>
    </w:p>
    <w:p w14:paraId="283AE344" w14:textId="7E8DDF8C" w:rsidR="00CC5237" w:rsidRPr="00CC5237" w:rsidRDefault="00CC5237" w:rsidP="00CC5237">
      <w:pPr>
        <w:rPr>
          <w:rFonts w:eastAsia="Calibri"/>
          <w:noProof/>
          <w:color w:val="4C4747"/>
          <w:lang w:val="es-DO"/>
        </w:rPr>
      </w:pPr>
      <w:r w:rsidRPr="00EF6A8E">
        <w:rPr>
          <w:rFonts w:eastAsia="Calibri"/>
          <w:noProof/>
          <w:color w:val="4C4747"/>
          <w:lang w:val="es-DO"/>
        </w:rPr>
        <w:t>Francisco E. Campos</w:t>
      </w:r>
      <w:r w:rsidRPr="00CC5237">
        <w:rPr>
          <w:rFonts w:eastAsia="Calibri"/>
          <w:noProof/>
          <w:color w:val="4C4747"/>
          <w:lang w:val="es-DO"/>
        </w:rPr>
        <w:br/>
        <w:t>Intendente de Seguros</w:t>
      </w:r>
    </w:p>
    <w:p w14:paraId="7B0B3200" w14:textId="77777777" w:rsidR="00CC5237" w:rsidRPr="00CC5237" w:rsidRDefault="00CC5237" w:rsidP="00CC5237">
      <w:pPr>
        <w:rPr>
          <w:rFonts w:eastAsia="Calibri"/>
          <w:noProof/>
          <w:color w:val="4C4747"/>
          <w:lang w:val="es-DO"/>
        </w:rPr>
      </w:pPr>
      <w:r w:rsidRPr="00CC5237">
        <w:rPr>
          <w:rFonts w:eastAsia="Calibri"/>
          <w:noProof/>
          <w:color w:val="4C4747"/>
          <w:lang w:val="es-DO"/>
        </w:rPr>
        <w:t xml:space="preserve">Jorge Luis Moronta </w:t>
      </w:r>
      <w:r w:rsidRPr="00CC5237">
        <w:rPr>
          <w:rFonts w:eastAsia="Calibri"/>
          <w:noProof/>
          <w:color w:val="4C4747"/>
          <w:lang w:val="es-DO"/>
        </w:rPr>
        <w:br/>
        <w:t>Director Financiero</w:t>
      </w:r>
    </w:p>
    <w:p w14:paraId="778A2EB2" w14:textId="77777777" w:rsidR="00CC5237" w:rsidRPr="00CC5237" w:rsidRDefault="00CC5237" w:rsidP="00CC5237">
      <w:pPr>
        <w:rPr>
          <w:rFonts w:eastAsia="Calibri"/>
          <w:noProof/>
          <w:color w:val="4C4747"/>
          <w:lang w:val="es-DO"/>
        </w:rPr>
      </w:pPr>
      <w:r w:rsidRPr="00CC5237">
        <w:rPr>
          <w:rFonts w:eastAsia="Calibri"/>
          <w:noProof/>
          <w:color w:val="4C4747"/>
          <w:lang w:val="es-DO"/>
        </w:rPr>
        <w:t>Isaura Isabel Peñaló Montero</w:t>
      </w:r>
      <w:r w:rsidRPr="00CC5237">
        <w:rPr>
          <w:rFonts w:eastAsia="Calibri"/>
          <w:noProof/>
          <w:color w:val="4C4747"/>
          <w:lang w:val="es-DO"/>
        </w:rPr>
        <w:br/>
        <w:t>Directora Jurídica</w:t>
      </w:r>
    </w:p>
    <w:p w14:paraId="0B2E56E2" w14:textId="77777777" w:rsidR="00CC5237" w:rsidRPr="00CC5237" w:rsidRDefault="00CC5237" w:rsidP="00CC5237">
      <w:pPr>
        <w:rPr>
          <w:rFonts w:eastAsia="Calibri"/>
          <w:noProof/>
          <w:color w:val="4C4747"/>
          <w:lang w:val="es-DO"/>
        </w:rPr>
      </w:pPr>
      <w:r w:rsidRPr="00CC5237">
        <w:rPr>
          <w:rFonts w:eastAsia="Calibri"/>
          <w:noProof/>
          <w:color w:val="4C4747"/>
          <w:lang w:val="es-DO"/>
        </w:rPr>
        <w:t>Martha Perallón</w:t>
      </w:r>
      <w:r w:rsidRPr="00CC5237">
        <w:rPr>
          <w:rFonts w:eastAsia="Calibri"/>
          <w:noProof/>
          <w:color w:val="4C4747"/>
          <w:lang w:val="es-DO"/>
        </w:rPr>
        <w:br/>
        <w:t>Directora de Recursos Humanos</w:t>
      </w:r>
    </w:p>
    <w:p w14:paraId="0BC7C517" w14:textId="77777777" w:rsidR="00CC5237" w:rsidRPr="00CC5237" w:rsidRDefault="00CC5237" w:rsidP="00CC5237">
      <w:pPr>
        <w:rPr>
          <w:rFonts w:eastAsia="Calibri"/>
          <w:noProof/>
          <w:color w:val="4C4747"/>
          <w:lang w:val="es-DO"/>
        </w:rPr>
      </w:pPr>
      <w:r w:rsidRPr="00CC5237">
        <w:rPr>
          <w:rFonts w:eastAsia="Calibri"/>
          <w:noProof/>
          <w:color w:val="4C4747"/>
          <w:lang w:val="es-DO"/>
        </w:rPr>
        <w:t>Glenn Davis Felipe Castro</w:t>
      </w:r>
      <w:r w:rsidRPr="00CC5237">
        <w:rPr>
          <w:rFonts w:eastAsia="Calibri"/>
          <w:noProof/>
          <w:color w:val="4C4747"/>
          <w:lang w:val="es-DO"/>
        </w:rPr>
        <w:br/>
        <w:t>Director de Comunicaciones</w:t>
      </w:r>
    </w:p>
    <w:p w14:paraId="09E0C48C" w14:textId="77777777" w:rsidR="00CC5237" w:rsidRPr="00CC5237" w:rsidRDefault="00CC5237" w:rsidP="00CC5237">
      <w:pPr>
        <w:rPr>
          <w:rFonts w:eastAsia="Calibri"/>
          <w:noProof/>
          <w:color w:val="4C4747"/>
          <w:lang w:val="es-DO"/>
        </w:rPr>
      </w:pPr>
      <w:r w:rsidRPr="00CC5237">
        <w:rPr>
          <w:rFonts w:eastAsia="Calibri"/>
          <w:noProof/>
          <w:color w:val="4C4747"/>
          <w:lang w:val="es-DO"/>
        </w:rPr>
        <w:t>Estefany Pujols</w:t>
      </w:r>
      <w:r w:rsidRPr="00CC5237">
        <w:rPr>
          <w:rFonts w:eastAsia="Calibri"/>
          <w:noProof/>
          <w:color w:val="4C4747"/>
          <w:lang w:val="es-DO"/>
        </w:rPr>
        <w:br/>
        <w:t xml:space="preserve">Directora de Planificación y Desarrollo </w:t>
      </w:r>
    </w:p>
    <w:p w14:paraId="0EE0E363" w14:textId="77777777" w:rsidR="00CC5237" w:rsidRPr="00CC5237" w:rsidRDefault="00CC5237" w:rsidP="00CC5237">
      <w:pPr>
        <w:rPr>
          <w:rFonts w:eastAsia="Calibri"/>
          <w:noProof/>
          <w:color w:val="4C4747"/>
          <w:lang w:val="es-DO"/>
        </w:rPr>
      </w:pPr>
      <w:r w:rsidRPr="00CC5237">
        <w:rPr>
          <w:rFonts w:eastAsia="Calibri"/>
          <w:noProof/>
          <w:color w:val="4C4747"/>
          <w:lang w:val="es-DO"/>
        </w:rPr>
        <w:t>Amílcar Demetrio Carrasco Rodríguez</w:t>
      </w:r>
      <w:r w:rsidRPr="00CC5237">
        <w:rPr>
          <w:rFonts w:eastAsia="Calibri"/>
          <w:noProof/>
          <w:color w:val="4C4747"/>
          <w:lang w:val="es-DO"/>
        </w:rPr>
        <w:br/>
        <w:t>Director de Tecnología de la Información y Comunicación</w:t>
      </w:r>
    </w:p>
    <w:p w14:paraId="23C60CAD" w14:textId="1F838ADE" w:rsidR="00CC5237" w:rsidRPr="00CC5237" w:rsidRDefault="00CC5237" w:rsidP="00CC5237">
      <w:pPr>
        <w:rPr>
          <w:rFonts w:eastAsia="Calibri"/>
          <w:noProof/>
          <w:color w:val="4C4747"/>
          <w:lang w:val="es-DO"/>
        </w:rPr>
      </w:pPr>
      <w:r w:rsidRPr="00CC5237">
        <w:rPr>
          <w:rFonts w:eastAsia="Calibri"/>
          <w:noProof/>
          <w:color w:val="4C4747"/>
          <w:lang w:val="es-DO"/>
        </w:rPr>
        <w:t>Victo Díaz</w:t>
      </w:r>
      <w:r w:rsidRPr="00CC5237">
        <w:rPr>
          <w:rFonts w:eastAsia="Calibri"/>
          <w:noProof/>
          <w:color w:val="4C4747"/>
          <w:lang w:val="es-DO"/>
        </w:rPr>
        <w:br/>
        <w:t>Director Administrativo</w:t>
      </w:r>
    </w:p>
    <w:p w14:paraId="5F82B20B" w14:textId="77777777" w:rsidR="00CC5237" w:rsidRPr="00CC5237" w:rsidRDefault="00CC5237" w:rsidP="00CC5237">
      <w:pPr>
        <w:rPr>
          <w:rFonts w:eastAsia="Calibri"/>
          <w:noProof/>
          <w:color w:val="4C4747"/>
          <w:lang w:val="es-DO"/>
        </w:rPr>
      </w:pPr>
      <w:r w:rsidRPr="00CC5237">
        <w:rPr>
          <w:rFonts w:eastAsia="Calibri"/>
          <w:noProof/>
          <w:color w:val="4C4747"/>
          <w:lang w:val="es-DO"/>
        </w:rPr>
        <w:t>José Eulalio De La Cruz Florentino</w:t>
      </w:r>
      <w:r w:rsidRPr="00CC5237">
        <w:rPr>
          <w:rFonts w:eastAsia="Calibri"/>
          <w:noProof/>
          <w:color w:val="4C4747"/>
          <w:lang w:val="es-DO"/>
        </w:rPr>
        <w:br/>
        <w:t>Director Técnico de Seguros y Reaseguros</w:t>
      </w:r>
    </w:p>
    <w:p w14:paraId="33F531B4" w14:textId="77777777" w:rsidR="00CC5237" w:rsidRPr="00CC5237" w:rsidRDefault="00CC5237" w:rsidP="00CC5237">
      <w:pPr>
        <w:rPr>
          <w:rFonts w:eastAsia="Calibri"/>
          <w:noProof/>
          <w:color w:val="4C4747"/>
          <w:lang w:val="es-DO"/>
        </w:rPr>
      </w:pPr>
      <w:r w:rsidRPr="00CC5237">
        <w:rPr>
          <w:rFonts w:eastAsia="Calibri"/>
          <w:noProof/>
          <w:color w:val="4C4747"/>
          <w:lang w:val="es-DO"/>
        </w:rPr>
        <w:lastRenderedPageBreak/>
        <w:t>Eliana Patricia Díaz Sánchez</w:t>
      </w:r>
      <w:r w:rsidRPr="00CC5237">
        <w:rPr>
          <w:rFonts w:eastAsia="Calibri"/>
          <w:noProof/>
          <w:color w:val="4C4747"/>
          <w:lang w:val="es-DO"/>
        </w:rPr>
        <w:br/>
        <w:t>Directora de Control y Supervisión</w:t>
      </w:r>
    </w:p>
    <w:p w14:paraId="60809AD5" w14:textId="77777777" w:rsidR="00CC5237" w:rsidRPr="00CC5237" w:rsidRDefault="00CC5237" w:rsidP="00CC5237">
      <w:pPr>
        <w:rPr>
          <w:rFonts w:eastAsia="Calibri"/>
          <w:noProof/>
          <w:color w:val="4C4747"/>
          <w:lang w:val="es-DO"/>
        </w:rPr>
      </w:pPr>
      <w:r w:rsidRPr="00CC5237">
        <w:rPr>
          <w:rFonts w:eastAsia="Calibri"/>
          <w:noProof/>
          <w:color w:val="4C4747"/>
          <w:lang w:val="es-DO"/>
        </w:rPr>
        <w:t>Arnulfo Rodríguez Veras</w:t>
      </w:r>
      <w:r w:rsidRPr="00CC5237">
        <w:rPr>
          <w:rFonts w:eastAsia="Calibri"/>
          <w:noProof/>
          <w:color w:val="4C4747"/>
          <w:lang w:val="es-DO"/>
        </w:rPr>
        <w:br/>
        <w:t>Director de Estudios del Sector Seguros</w:t>
      </w:r>
    </w:p>
    <w:p w14:paraId="40C0D26B" w14:textId="77777777" w:rsidR="00CC5237" w:rsidRPr="00CC5237" w:rsidRDefault="00CC5237" w:rsidP="00CC5237">
      <w:pPr>
        <w:rPr>
          <w:rFonts w:eastAsia="Calibri"/>
          <w:noProof/>
          <w:color w:val="4C4747"/>
          <w:lang w:val="es-DO"/>
        </w:rPr>
      </w:pPr>
      <w:r w:rsidRPr="00CC5237">
        <w:rPr>
          <w:rFonts w:eastAsia="Calibri"/>
          <w:noProof/>
          <w:color w:val="4C4747"/>
          <w:lang w:val="es-DO"/>
        </w:rPr>
        <w:t>Yuliza Rozón Ortiz</w:t>
      </w:r>
      <w:r w:rsidRPr="00CC5237">
        <w:rPr>
          <w:rFonts w:eastAsia="Calibri"/>
          <w:noProof/>
          <w:color w:val="4C4747"/>
          <w:lang w:val="es-DO"/>
        </w:rPr>
        <w:br/>
        <w:t>Encargada del Departamento de Compras y Contrataciones</w:t>
      </w:r>
    </w:p>
    <w:p w14:paraId="40552212" w14:textId="77777777" w:rsidR="00CC5237" w:rsidRPr="00CC5237" w:rsidRDefault="00CC5237" w:rsidP="00CC5237">
      <w:pPr>
        <w:rPr>
          <w:rFonts w:eastAsia="Calibri"/>
          <w:noProof/>
          <w:color w:val="4C4747"/>
          <w:lang w:val="es-DO"/>
        </w:rPr>
      </w:pPr>
      <w:r w:rsidRPr="00CC5237">
        <w:rPr>
          <w:rFonts w:eastAsia="Calibri"/>
          <w:noProof/>
          <w:color w:val="4C4747"/>
          <w:lang w:val="es-DO"/>
        </w:rPr>
        <w:t xml:space="preserve">Jennifer Simé  </w:t>
      </w:r>
      <w:r w:rsidRPr="00CC5237">
        <w:rPr>
          <w:rFonts w:eastAsia="Calibri"/>
          <w:noProof/>
          <w:color w:val="4C4747"/>
          <w:lang w:val="es-DO"/>
        </w:rPr>
        <w:br/>
        <w:t>Encargada del Departamento de Atención Al Usuario</w:t>
      </w:r>
    </w:p>
    <w:p w14:paraId="1D08E628" w14:textId="77777777" w:rsidR="00CC5237" w:rsidRPr="00CC5237" w:rsidRDefault="00CC5237" w:rsidP="00CC5237">
      <w:pPr>
        <w:rPr>
          <w:rFonts w:eastAsia="Calibri"/>
          <w:noProof/>
          <w:color w:val="4C4747"/>
          <w:lang w:val="es-DO"/>
        </w:rPr>
      </w:pPr>
      <w:r w:rsidRPr="00CC5237">
        <w:rPr>
          <w:rFonts w:eastAsia="Calibri"/>
          <w:noProof/>
          <w:color w:val="4C4747"/>
          <w:lang w:val="es-DO"/>
        </w:rPr>
        <w:t>David Romero</w:t>
      </w:r>
      <w:r w:rsidRPr="00CC5237">
        <w:rPr>
          <w:rFonts w:eastAsia="Calibri"/>
          <w:noProof/>
          <w:color w:val="4C4747"/>
          <w:lang w:val="es-DO"/>
        </w:rPr>
        <w:br/>
        <w:t>Encargado del Departamento de Revisión y Análisis de Operaciones</w:t>
      </w:r>
    </w:p>
    <w:p w14:paraId="7972494B" w14:textId="77777777" w:rsidR="00CC5237" w:rsidRPr="00CC5237" w:rsidRDefault="00CC5237" w:rsidP="00CC5237">
      <w:pPr>
        <w:rPr>
          <w:rFonts w:eastAsia="Calibri"/>
          <w:noProof/>
          <w:color w:val="4C4747"/>
          <w:lang w:val="es-DO"/>
        </w:rPr>
      </w:pPr>
      <w:r w:rsidRPr="00CC5237">
        <w:rPr>
          <w:rFonts w:eastAsia="Calibri"/>
          <w:noProof/>
          <w:color w:val="4C4747"/>
          <w:lang w:val="es-DO"/>
        </w:rPr>
        <w:t>Carlos César Ogando</w:t>
      </w:r>
      <w:r w:rsidRPr="00CC5237">
        <w:rPr>
          <w:rFonts w:eastAsia="Calibri"/>
          <w:noProof/>
          <w:color w:val="4C4747"/>
          <w:lang w:val="es-DO"/>
        </w:rPr>
        <w:br/>
        <w:t>Encargado de la Oficina de Acceso a la Información (OAI)</w:t>
      </w:r>
    </w:p>
    <w:p w14:paraId="378626E2" w14:textId="308E8857" w:rsidR="00CC5237" w:rsidRDefault="00CC5237" w:rsidP="00CC5237">
      <w:pPr>
        <w:rPr>
          <w:noProof/>
          <w:lang w:val="es-DO"/>
        </w:rPr>
      </w:pPr>
    </w:p>
    <w:p w14:paraId="225E2F07" w14:textId="77777777" w:rsidR="00CC5237" w:rsidRPr="00CC5237" w:rsidRDefault="00CC5237" w:rsidP="00CC5237">
      <w:pPr>
        <w:pStyle w:val="Ttulo2"/>
        <w:rPr>
          <w:b/>
          <w:noProof/>
          <w:lang w:val="es-DO"/>
        </w:rPr>
      </w:pPr>
      <w:bookmarkStart w:id="20" w:name="_Toc185255079"/>
      <w:bookmarkStart w:id="21" w:name="_Toc216875868"/>
      <w:r w:rsidRPr="00CC5237">
        <w:rPr>
          <w:b/>
          <w:noProof/>
          <w:lang w:val="es-DO"/>
        </w:rPr>
        <w:t>2.4.</w:t>
      </w:r>
      <w:r w:rsidRPr="00CC5237">
        <w:rPr>
          <w:b/>
          <w:noProof/>
          <w:lang w:val="es-DO"/>
        </w:rPr>
        <w:tab/>
        <w:t>Planificación Estratégica Institucional</w:t>
      </w:r>
      <w:bookmarkEnd w:id="20"/>
      <w:bookmarkEnd w:id="21"/>
    </w:p>
    <w:p w14:paraId="123EEE39" w14:textId="77777777" w:rsidR="00CC5237" w:rsidRPr="00BE66C1" w:rsidRDefault="00CC5237" w:rsidP="00CC5237">
      <w:pPr>
        <w:spacing w:line="360" w:lineRule="auto"/>
        <w:jc w:val="both"/>
        <w:rPr>
          <w:sz w:val="20"/>
          <w:szCs w:val="20"/>
          <w:lang w:val="es-DO"/>
        </w:rPr>
      </w:pPr>
    </w:p>
    <w:p w14:paraId="1345A98C" w14:textId="77777777" w:rsidR="00CC5237" w:rsidRPr="00CC5237" w:rsidRDefault="00CC5237" w:rsidP="00CC5237">
      <w:pPr>
        <w:spacing w:line="360" w:lineRule="auto"/>
        <w:jc w:val="both"/>
        <w:rPr>
          <w:rFonts w:eastAsia="Calibri"/>
          <w:noProof/>
          <w:color w:val="4C4747"/>
          <w:lang w:val="es-DO"/>
        </w:rPr>
      </w:pPr>
      <w:r w:rsidRPr="00CC5237">
        <w:rPr>
          <w:rFonts w:eastAsia="Calibri"/>
          <w:noProof/>
          <w:color w:val="4C4747"/>
          <w:lang w:val="es-DO"/>
        </w:rPr>
        <w:t xml:space="preserve">El Plan Estratégico Institucional o PEI es un plan de mediano plazo, que expresa las políticas, objetivos y prioridades a nivel sectorial e institucional. Establece prioridades, objetivos, metas y requerimientos de recursos de los órganos y organismos del Sector Público para un período de cuatro años, debiendo ser consistente con la Estrategia de Desarrollo y el Plan Nacional Plurianual del Sector Público. </w:t>
      </w:r>
    </w:p>
    <w:p w14:paraId="3629F1EB" w14:textId="77777777" w:rsidR="00CC5237" w:rsidRPr="00CC5237" w:rsidRDefault="00CC5237" w:rsidP="00CC5237">
      <w:pPr>
        <w:spacing w:line="360" w:lineRule="auto"/>
        <w:jc w:val="both"/>
        <w:rPr>
          <w:rFonts w:eastAsia="Calibri"/>
          <w:noProof/>
          <w:color w:val="4C4747"/>
          <w:lang w:val="es-DO"/>
        </w:rPr>
      </w:pPr>
      <w:r w:rsidRPr="00CC5237">
        <w:rPr>
          <w:rFonts w:eastAsia="Calibri"/>
          <w:noProof/>
          <w:color w:val="4C4747"/>
          <w:lang w:val="es-DO"/>
        </w:rPr>
        <w:lastRenderedPageBreak/>
        <w:t>En este marco, fue formulado el Plan Estratégico Institucional de la Superintendencia de Seguros 2025–2028, de conformidad con la Ley No. 498-06 de Planificación e Inversión Pública y su Reglamento de</w:t>
      </w:r>
      <w:r>
        <w:rPr>
          <w:rFonts w:eastAsia="Calibri"/>
          <w:noProof/>
          <w:color w:val="4C4747"/>
          <w:lang w:val="es-DO"/>
        </w:rPr>
        <w:t xml:space="preserve"> </w:t>
      </w:r>
      <w:r w:rsidRPr="00CC5237">
        <w:rPr>
          <w:rFonts w:eastAsia="Calibri"/>
          <w:noProof/>
          <w:color w:val="4C4747"/>
          <w:lang w:val="es-DO"/>
        </w:rPr>
        <w:t>Aplicación No. 493-07. Este documento se encuentra alineado con la Estrategia Nacional de Desarrollo 2030 (Ley No. 1-12), los Objetivos de Desarrollo Sostenible (ODS) y el Programa de Gobierno, garantizando así la articulación de las prioridades institucionales con los compromisos nacionales e internacionales en materia de desarrollo.</w:t>
      </w:r>
    </w:p>
    <w:p w14:paraId="67113C15" w14:textId="68D5A757" w:rsidR="00CC5237" w:rsidRDefault="00CC5237" w:rsidP="00CC5237">
      <w:pPr>
        <w:spacing w:line="360" w:lineRule="auto"/>
        <w:jc w:val="both"/>
        <w:rPr>
          <w:rFonts w:eastAsia="Calibri"/>
          <w:noProof/>
          <w:color w:val="4C4747"/>
          <w:lang w:val="es-DO"/>
        </w:rPr>
      </w:pPr>
      <w:r w:rsidRPr="00CC5237">
        <w:rPr>
          <w:rFonts w:eastAsia="Calibri"/>
          <w:noProof/>
          <w:color w:val="4C4747"/>
          <w:lang w:val="es-DO"/>
        </w:rPr>
        <w:t>El PEI se constituye en el principal instrumento de gestión administrativa y estratégica de la institución, ya que permite priorizar objetivos, orientar la asignación de recursos, promover las sinergias interinstitucionales y articular la programación físico-financiera de la producción institucional, con un enfoque orientado a resultados y mejora continua.</w:t>
      </w:r>
    </w:p>
    <w:p w14:paraId="13C06B69" w14:textId="4F227397" w:rsidR="00CC5237" w:rsidRDefault="00CC5237" w:rsidP="00CC5237">
      <w:pPr>
        <w:jc w:val="both"/>
        <w:rPr>
          <w:rFonts w:eastAsia="Calibri"/>
          <w:noProof/>
          <w:color w:val="4C4747"/>
          <w:lang w:val="es-ES"/>
        </w:rPr>
      </w:pPr>
      <w:r w:rsidRPr="00CC5237">
        <w:rPr>
          <w:rFonts w:eastAsia="Calibri"/>
          <w:noProof/>
          <w:color w:val="4C4747"/>
          <w:lang w:val="es-ES"/>
        </w:rPr>
        <w:t xml:space="preserve">A continuación, se presenta </w:t>
      </w:r>
      <w:r w:rsidRPr="00CC5237">
        <w:rPr>
          <w:rFonts w:eastAsia="Calibri"/>
          <w:b/>
          <w:noProof/>
          <w:color w:val="4C4747"/>
          <w:lang w:val="es-ES"/>
        </w:rPr>
        <w:t>el Modelo lógico del PEI de la Superintendencia de Seguros (SIS) para el 2025–2028</w:t>
      </w:r>
      <w:r w:rsidRPr="00CC5237">
        <w:rPr>
          <w:rFonts w:eastAsia="Calibri"/>
          <w:noProof/>
          <w:color w:val="4C4747"/>
          <w:lang w:val="es-ES"/>
        </w:rPr>
        <w:t>, derivados del proceso de planificación institucional:</w:t>
      </w:r>
    </w:p>
    <w:tbl>
      <w:tblPr>
        <w:tblStyle w:val="Tablaconcuadrcula"/>
        <w:tblpPr w:leftFromText="180" w:rightFromText="180" w:vertAnchor="text" w:horzAnchor="margin" w:tblpY="-1201"/>
        <w:tblW w:w="7449" w:type="dxa"/>
        <w:tblLook w:val="04A0" w:firstRow="1" w:lastRow="0" w:firstColumn="1" w:lastColumn="0" w:noHBand="0" w:noVBand="1"/>
      </w:tblPr>
      <w:tblGrid>
        <w:gridCol w:w="7449"/>
      </w:tblGrid>
      <w:tr w:rsidR="00CC5237" w:rsidRPr="00EF6A8E" w14:paraId="51368B02" w14:textId="77777777" w:rsidTr="00C4077F">
        <w:trPr>
          <w:trHeight w:val="233"/>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76F53" w14:textId="0C3AB8D9" w:rsidR="00CC5237" w:rsidRPr="00EF6A8E" w:rsidRDefault="00CC5237" w:rsidP="00C4077F">
            <w:pPr>
              <w:shd w:val="clear" w:color="auto" w:fill="002060"/>
              <w:spacing w:line="276" w:lineRule="auto"/>
              <w:jc w:val="center"/>
              <w:rPr>
                <w:rFonts w:ascii="Times New Roman" w:hAnsi="Times New Roman" w:cs="Times New Roman"/>
                <w:b/>
                <w:color w:val="FFFFFF" w:themeColor="background1"/>
                <w:spacing w:val="20"/>
                <w:szCs w:val="24"/>
                <w:lang w:val="es-DO"/>
              </w:rPr>
            </w:pPr>
            <w:r w:rsidRPr="00EF6A8E">
              <w:rPr>
                <w:rFonts w:ascii="Times New Roman" w:hAnsi="Times New Roman" w:cs="Times New Roman"/>
                <w:b/>
                <w:color w:val="FFFFFF" w:themeColor="background1"/>
                <w:spacing w:val="20"/>
                <w:szCs w:val="24"/>
                <w:lang w:val="es-DO"/>
              </w:rPr>
              <w:lastRenderedPageBreak/>
              <w:t>Misión</w:t>
            </w:r>
            <w:r w:rsidRPr="00EF6A8E">
              <w:rPr>
                <w:rFonts w:ascii="Times New Roman" w:hAnsi="Times New Roman" w:cs="Times New Roman"/>
                <w:color w:val="767171"/>
                <w:spacing w:val="20"/>
                <w:szCs w:val="24"/>
                <w:lang w:val="es-DO"/>
              </w:rPr>
              <w:t xml:space="preserve"> </w:t>
            </w:r>
          </w:p>
        </w:tc>
      </w:tr>
      <w:tr w:rsidR="00CC5237" w:rsidRPr="000936C0" w14:paraId="6F31474D" w14:textId="77777777" w:rsidTr="00C4077F">
        <w:trPr>
          <w:trHeight w:val="690"/>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25199" w14:textId="1B667576" w:rsidR="00CC5237" w:rsidRPr="00EF6A8E" w:rsidRDefault="00CC5237" w:rsidP="00C4077F">
            <w:pPr>
              <w:spacing w:line="276" w:lineRule="auto"/>
              <w:jc w:val="center"/>
              <w:rPr>
                <w:b/>
                <w:lang w:val="es-DO"/>
              </w:rPr>
            </w:pPr>
            <w:r w:rsidRPr="00EF6A8E">
              <w:rPr>
                <w:rFonts w:ascii="Times New Roman" w:hAnsi="Times New Roman" w:cs="Times New Roman"/>
                <w:color w:val="767171"/>
                <w:spacing w:val="20"/>
                <w:szCs w:val="24"/>
                <w:lang w:val="es-DO"/>
              </w:rPr>
              <w:t>Regular, supervisar y fiscalizar el sector asegurador para promover su estabilidad, transparencia y desarrollo, en beneficio de las personas aseguradas y de la sociedad en general.</w:t>
            </w:r>
          </w:p>
        </w:tc>
      </w:tr>
      <w:tr w:rsidR="00CC5237" w:rsidRPr="00EF6A8E" w14:paraId="167C6E6C" w14:textId="77777777" w:rsidTr="00C4077F">
        <w:trPr>
          <w:trHeight w:val="231"/>
          <w:tblHeader/>
        </w:trPr>
        <w:tc>
          <w:tcPr>
            <w:tcW w:w="7449" w:type="dxa"/>
            <w:tcBorders>
              <w:top w:val="single" w:sz="4" w:space="0" w:color="auto"/>
              <w:left w:val="single" w:sz="4" w:space="0" w:color="auto"/>
              <w:bottom w:val="single" w:sz="4" w:space="0" w:color="auto"/>
              <w:right w:val="single" w:sz="4" w:space="0" w:color="auto"/>
            </w:tcBorders>
            <w:shd w:val="clear" w:color="auto" w:fill="002060"/>
            <w:vAlign w:val="center"/>
          </w:tcPr>
          <w:p w14:paraId="70876D63" w14:textId="3FD1C096" w:rsidR="00CC5237" w:rsidRPr="00EF6A8E" w:rsidRDefault="00CC5237" w:rsidP="00C4077F">
            <w:pPr>
              <w:spacing w:line="276" w:lineRule="auto"/>
              <w:jc w:val="center"/>
              <w:rPr>
                <w:rFonts w:ascii="Times New Roman" w:hAnsi="Times New Roman" w:cs="Times New Roman"/>
                <w:b/>
                <w:color w:val="767171"/>
                <w:spacing w:val="20"/>
                <w:szCs w:val="24"/>
                <w:lang w:val="es-DO"/>
              </w:rPr>
            </w:pPr>
            <w:r w:rsidRPr="00EF6A8E">
              <w:rPr>
                <w:rFonts w:ascii="Times New Roman" w:hAnsi="Times New Roman" w:cs="Times New Roman"/>
                <w:b/>
                <w:color w:val="FFFFFF" w:themeColor="background1"/>
                <w:spacing w:val="20"/>
                <w:szCs w:val="24"/>
                <w:lang w:val="es-DO"/>
              </w:rPr>
              <w:t>Resultado Misional</w:t>
            </w:r>
          </w:p>
        </w:tc>
      </w:tr>
      <w:tr w:rsidR="00CC5237" w:rsidRPr="000936C0" w14:paraId="4CB38BE6" w14:textId="77777777" w:rsidTr="00C4077F">
        <w:trPr>
          <w:trHeight w:val="570"/>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C108C" w14:textId="1700D28E" w:rsidR="00CC5237" w:rsidRPr="00EF6A8E" w:rsidRDefault="00CC5237" w:rsidP="00C4077F">
            <w:pPr>
              <w:spacing w:line="276" w:lineRule="auto"/>
              <w:jc w:val="center"/>
              <w:rPr>
                <w:b/>
                <w:lang w:val="es-DO"/>
              </w:rPr>
            </w:pPr>
            <w:r w:rsidRPr="00EF6A8E">
              <w:rPr>
                <w:rFonts w:ascii="Times New Roman" w:hAnsi="Times New Roman" w:cs="Times New Roman"/>
                <w:color w:val="767171"/>
                <w:spacing w:val="20"/>
                <w:szCs w:val="24"/>
                <w:lang w:val="es-DO"/>
              </w:rPr>
              <w:t>Contribuir a generar un sector asegurador confiable, estable, transparente y en crecimiento, con garantías hacia los asegurados e integrantes del sector, orientado al desarrollo sostenible, inclusivo y resiliente en el país.</w:t>
            </w:r>
          </w:p>
        </w:tc>
      </w:tr>
      <w:tr w:rsidR="00CC5237" w:rsidRPr="00EF6A8E" w14:paraId="0E3897FC" w14:textId="77777777" w:rsidTr="00C4077F">
        <w:trPr>
          <w:trHeight w:val="400"/>
          <w:tblHeader/>
        </w:trPr>
        <w:tc>
          <w:tcPr>
            <w:tcW w:w="7449" w:type="dxa"/>
            <w:tcBorders>
              <w:top w:val="single" w:sz="4" w:space="0" w:color="auto"/>
              <w:left w:val="single" w:sz="4" w:space="0" w:color="auto"/>
              <w:bottom w:val="single" w:sz="4" w:space="0" w:color="auto"/>
              <w:right w:val="single" w:sz="4" w:space="0" w:color="auto"/>
            </w:tcBorders>
            <w:shd w:val="clear" w:color="auto" w:fill="002060"/>
            <w:vAlign w:val="center"/>
          </w:tcPr>
          <w:p w14:paraId="1F0AC382" w14:textId="77777777" w:rsidR="00CC5237" w:rsidRPr="00EF6A8E" w:rsidRDefault="00CC5237" w:rsidP="00C4077F">
            <w:pPr>
              <w:spacing w:line="276" w:lineRule="auto"/>
              <w:jc w:val="center"/>
              <w:rPr>
                <w:rFonts w:ascii="Times New Roman" w:hAnsi="Times New Roman" w:cs="Times New Roman"/>
                <w:b/>
                <w:color w:val="FFFFFF" w:themeColor="background1"/>
                <w:spacing w:val="20"/>
                <w:szCs w:val="24"/>
                <w:lang w:val="es-DO"/>
              </w:rPr>
            </w:pPr>
            <w:r w:rsidRPr="00EF6A8E">
              <w:rPr>
                <w:rFonts w:ascii="Times New Roman" w:hAnsi="Times New Roman" w:cs="Times New Roman"/>
                <w:b/>
                <w:color w:val="FFFFFF" w:themeColor="background1"/>
                <w:spacing w:val="20"/>
                <w:szCs w:val="24"/>
                <w:lang w:val="es-DO"/>
              </w:rPr>
              <w:t>Objetivos Estratégicos (OE)</w:t>
            </w:r>
          </w:p>
          <w:p w14:paraId="7AFB1A9B" w14:textId="77777777" w:rsidR="00CC5237" w:rsidRPr="00EF6A8E" w:rsidRDefault="00CC5237" w:rsidP="00C4077F">
            <w:pPr>
              <w:spacing w:line="276" w:lineRule="auto"/>
              <w:jc w:val="center"/>
              <w:rPr>
                <w:rFonts w:ascii="Times New Roman" w:hAnsi="Times New Roman" w:cs="Times New Roman"/>
                <w:color w:val="FFFFFF" w:themeColor="background1"/>
                <w:spacing w:val="20"/>
                <w:szCs w:val="24"/>
                <w:lang w:val="es-DO"/>
              </w:rPr>
            </w:pPr>
          </w:p>
        </w:tc>
      </w:tr>
      <w:tr w:rsidR="00CC5237" w:rsidRPr="000936C0" w14:paraId="15134090" w14:textId="77777777" w:rsidTr="00C4077F">
        <w:trPr>
          <w:trHeight w:val="570"/>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B52C6" w14:textId="77777777" w:rsidR="00CC5237" w:rsidRPr="00EF6A8E" w:rsidRDefault="00CC5237" w:rsidP="00C4077F">
            <w:pPr>
              <w:spacing w:line="276" w:lineRule="auto"/>
              <w:jc w:val="both"/>
              <w:rPr>
                <w:rFonts w:ascii="Times New Roman" w:hAnsi="Times New Roman" w:cs="Times New Roman"/>
                <w:color w:val="767171"/>
                <w:spacing w:val="20"/>
                <w:szCs w:val="24"/>
                <w:lang w:val="es-DO"/>
              </w:rPr>
            </w:pPr>
            <w:r w:rsidRPr="00EF6A8E">
              <w:rPr>
                <w:rFonts w:ascii="Times New Roman" w:hAnsi="Times New Roman" w:cs="Times New Roman"/>
                <w:b/>
                <w:color w:val="767171"/>
                <w:spacing w:val="20"/>
                <w:szCs w:val="24"/>
                <w:lang w:val="es-DO"/>
              </w:rPr>
              <w:t>Objetivo Estratégico 1:</w:t>
            </w:r>
            <w:r w:rsidRPr="00EF6A8E">
              <w:rPr>
                <w:rFonts w:ascii="Times New Roman" w:hAnsi="Times New Roman" w:cs="Times New Roman"/>
                <w:color w:val="767171"/>
                <w:spacing w:val="20"/>
                <w:szCs w:val="24"/>
                <w:lang w:val="es-DO"/>
              </w:rPr>
              <w:t xml:space="preserve"> Consolidar el sistema regulatorio y de supervisión del sector asegurador desde un enfoque basado en riesgos, transparencia y prevención del lavado de activos y otros ilícitos, en coherencia con los Principios Básicos de Seguros (PBS) y la normativa vigente.</w:t>
            </w:r>
          </w:p>
        </w:tc>
      </w:tr>
      <w:tr w:rsidR="00CC5237" w:rsidRPr="000936C0" w14:paraId="0F07A7C0" w14:textId="77777777" w:rsidTr="00C4077F">
        <w:trPr>
          <w:trHeight w:val="570"/>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0847E" w14:textId="77777777" w:rsidR="00CC5237" w:rsidRPr="00EF6A8E" w:rsidRDefault="00CC5237" w:rsidP="00C4077F">
            <w:pPr>
              <w:spacing w:line="276" w:lineRule="auto"/>
              <w:jc w:val="both"/>
              <w:rPr>
                <w:rFonts w:ascii="Times New Roman" w:hAnsi="Times New Roman" w:cs="Times New Roman"/>
                <w:color w:val="767171"/>
                <w:spacing w:val="20"/>
                <w:szCs w:val="24"/>
                <w:lang w:val="es-DO"/>
              </w:rPr>
            </w:pPr>
            <w:r w:rsidRPr="00EF6A8E">
              <w:rPr>
                <w:rFonts w:ascii="Times New Roman" w:hAnsi="Times New Roman" w:cs="Times New Roman"/>
                <w:b/>
                <w:color w:val="767171"/>
                <w:spacing w:val="20"/>
                <w:szCs w:val="24"/>
                <w:lang w:val="es-DO"/>
              </w:rPr>
              <w:t>Objetivo Estratégico 2:</w:t>
            </w:r>
            <w:r w:rsidRPr="00EF6A8E">
              <w:rPr>
                <w:rFonts w:ascii="Times New Roman" w:hAnsi="Times New Roman" w:cs="Times New Roman"/>
                <w:color w:val="767171"/>
                <w:spacing w:val="20"/>
                <w:szCs w:val="24"/>
                <w:lang w:val="es-DO"/>
              </w:rPr>
              <w:t xml:space="preserve"> Optimizar la prestación de los servicios institucionales bajo un enfoque de calidad, centrado en la mejora de la experiencia de las personas usuarias.</w:t>
            </w:r>
          </w:p>
        </w:tc>
      </w:tr>
      <w:tr w:rsidR="00CC5237" w:rsidRPr="000936C0" w14:paraId="2BC5E9A0" w14:textId="77777777" w:rsidTr="00C4077F">
        <w:trPr>
          <w:trHeight w:val="570"/>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B194A" w14:textId="77777777" w:rsidR="00CC5237" w:rsidRPr="00EF6A8E" w:rsidRDefault="00CC5237" w:rsidP="00C4077F">
            <w:pPr>
              <w:spacing w:line="276" w:lineRule="auto"/>
              <w:jc w:val="both"/>
              <w:rPr>
                <w:rFonts w:ascii="Times New Roman" w:hAnsi="Times New Roman" w:cs="Times New Roman"/>
                <w:color w:val="767171"/>
                <w:spacing w:val="20"/>
                <w:szCs w:val="24"/>
                <w:lang w:val="es-DO"/>
              </w:rPr>
            </w:pPr>
            <w:r w:rsidRPr="00EF6A8E">
              <w:rPr>
                <w:rFonts w:ascii="Times New Roman" w:hAnsi="Times New Roman" w:cs="Times New Roman"/>
                <w:b/>
                <w:color w:val="767171"/>
                <w:spacing w:val="20"/>
                <w:szCs w:val="24"/>
                <w:lang w:val="es-DO"/>
              </w:rPr>
              <w:t>Objetivo Estratégico 3:</w:t>
            </w:r>
            <w:r w:rsidRPr="00EF6A8E">
              <w:rPr>
                <w:rFonts w:ascii="Times New Roman" w:hAnsi="Times New Roman" w:cs="Times New Roman"/>
                <w:color w:val="767171"/>
                <w:spacing w:val="20"/>
                <w:szCs w:val="24"/>
                <w:lang w:val="es-DO"/>
              </w:rPr>
              <w:t xml:space="preserve"> Impulsar una cultura del seguro resiliente e inclusiva, que promueva la comprensión del seguro como instrumento esencial de protección y estabilidad socioeconómica, así como el posicionamiento estratégico de la SIS como ente rector y referente en la materia.</w:t>
            </w:r>
          </w:p>
        </w:tc>
      </w:tr>
      <w:tr w:rsidR="00CC5237" w:rsidRPr="000936C0" w14:paraId="3F6A8321" w14:textId="77777777" w:rsidTr="00C4077F">
        <w:trPr>
          <w:trHeight w:val="570"/>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06C60" w14:textId="77777777" w:rsidR="00CC5237" w:rsidRPr="00EF6A8E" w:rsidRDefault="00CC5237" w:rsidP="00C4077F">
            <w:pPr>
              <w:spacing w:line="276" w:lineRule="auto"/>
              <w:jc w:val="both"/>
              <w:rPr>
                <w:rFonts w:ascii="Times New Roman" w:hAnsi="Times New Roman" w:cs="Times New Roman"/>
                <w:color w:val="767171"/>
                <w:spacing w:val="20"/>
                <w:szCs w:val="24"/>
                <w:lang w:val="es-DO"/>
              </w:rPr>
            </w:pPr>
            <w:r w:rsidRPr="00EF6A8E">
              <w:rPr>
                <w:rFonts w:ascii="Times New Roman" w:hAnsi="Times New Roman" w:cs="Times New Roman"/>
                <w:b/>
                <w:color w:val="767171"/>
                <w:spacing w:val="20"/>
                <w:szCs w:val="24"/>
                <w:lang w:val="es-DO"/>
              </w:rPr>
              <w:t>Objetivo Estratégico 4:</w:t>
            </w:r>
            <w:r w:rsidRPr="00EF6A8E">
              <w:rPr>
                <w:rFonts w:ascii="Times New Roman" w:hAnsi="Times New Roman" w:cs="Times New Roman"/>
                <w:color w:val="767171"/>
                <w:spacing w:val="20"/>
                <w:szCs w:val="24"/>
                <w:lang w:val="es-DO"/>
              </w:rPr>
              <w:t xml:space="preserve"> Fomentar el desarrollo, la profesionalización y la transparencia del sector asegurador, garantizando la igualdad de oportunidades y el acceso inclusivo a la formación y al conocimiento, conforme a estándares internacionales y buenas prácticas de la industria.</w:t>
            </w:r>
          </w:p>
        </w:tc>
      </w:tr>
      <w:tr w:rsidR="00CC5237" w:rsidRPr="000936C0" w14:paraId="3F50EE5C" w14:textId="77777777" w:rsidTr="00C4077F">
        <w:trPr>
          <w:trHeight w:val="1401"/>
          <w:tblHeader/>
        </w:trPr>
        <w:tc>
          <w:tcPr>
            <w:tcW w:w="7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5642C" w14:textId="77777777" w:rsidR="00CC5237" w:rsidRPr="00EF6A8E" w:rsidRDefault="00CC5237" w:rsidP="00C4077F">
            <w:pPr>
              <w:spacing w:line="276" w:lineRule="auto"/>
              <w:jc w:val="both"/>
              <w:rPr>
                <w:rFonts w:ascii="Times New Roman" w:hAnsi="Times New Roman" w:cs="Times New Roman"/>
                <w:b/>
                <w:color w:val="767171"/>
                <w:spacing w:val="20"/>
                <w:szCs w:val="24"/>
                <w:lang w:val="es-DO"/>
              </w:rPr>
            </w:pPr>
            <w:r w:rsidRPr="00EF6A8E">
              <w:rPr>
                <w:rFonts w:ascii="Times New Roman" w:hAnsi="Times New Roman" w:cs="Times New Roman"/>
                <w:b/>
                <w:color w:val="767171"/>
                <w:spacing w:val="20"/>
                <w:szCs w:val="24"/>
                <w:lang w:val="es-DO"/>
              </w:rPr>
              <w:t xml:space="preserve">Objetivo Estratégico 5: </w:t>
            </w:r>
            <w:r w:rsidRPr="00EF6A8E">
              <w:rPr>
                <w:rFonts w:ascii="Times New Roman" w:hAnsi="Times New Roman" w:cs="Times New Roman"/>
                <w:color w:val="767171"/>
                <w:spacing w:val="20"/>
                <w:szCs w:val="24"/>
                <w:lang w:val="es-DO"/>
              </w:rPr>
              <w:t>Fortalecer las capacidades institucionales mediante el desarrollo del talento humano, la mejora continua de los procesos y la adopción efectiva de tecnologías digitales, orientadas a la transformación y al alto desempeño institucional.</w:t>
            </w:r>
          </w:p>
        </w:tc>
      </w:tr>
    </w:tbl>
    <w:p w14:paraId="5E396B73" w14:textId="39D77179" w:rsidR="00654164" w:rsidRPr="00A70DE5" w:rsidRDefault="00654164" w:rsidP="00A70DE5">
      <w:pPr>
        <w:pStyle w:val="Ttulo1"/>
        <w:numPr>
          <w:ilvl w:val="0"/>
          <w:numId w:val="46"/>
        </w:numPr>
        <w:spacing w:before="0"/>
        <w:ind w:left="0"/>
        <w:rPr>
          <w:rFonts w:cs="Times New Roman"/>
          <w:color w:val="4C4747"/>
          <w:lang w:val="es-ES"/>
        </w:rPr>
      </w:pPr>
      <w:bookmarkStart w:id="22" w:name="_Toc216875869"/>
      <w:r w:rsidRPr="00A70DE5">
        <w:rPr>
          <w:rFonts w:cs="Times New Roman"/>
          <w:color w:val="4C4747"/>
          <w:lang w:val="es-ES"/>
        </w:rPr>
        <w:lastRenderedPageBreak/>
        <w:t>RESULTADOS MISIONALES</w:t>
      </w:r>
      <w:bookmarkEnd w:id="22"/>
    </w:p>
    <w:p w14:paraId="5BDBF66A" w14:textId="77777777" w:rsidR="00654164" w:rsidRPr="00A70DE5" w:rsidRDefault="00654164" w:rsidP="00A70DE5">
      <w:pPr>
        <w:jc w:val="center"/>
        <w:rPr>
          <w:rFonts w:eastAsia="Calibri"/>
          <w:color w:val="4C4747"/>
          <w:sz w:val="18"/>
          <w:lang w:val="es-ES"/>
        </w:rPr>
      </w:pPr>
      <w:r w:rsidRPr="0058331C">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69556022" w:rsidR="00654164" w:rsidRPr="00A70DE5" w:rsidRDefault="00654164" w:rsidP="00A70DE5">
      <w:pPr>
        <w:jc w:val="center"/>
        <w:rPr>
          <w:rFonts w:eastAsia="Calibri"/>
          <w:color w:val="4C4747"/>
          <w:szCs w:val="36"/>
          <w:lang w:val="es-ES"/>
        </w:rPr>
      </w:pPr>
      <w:r w:rsidRPr="00A70DE5">
        <w:rPr>
          <w:rFonts w:eastAsia="Calibri"/>
          <w:color w:val="4C4747"/>
          <w:szCs w:val="36"/>
          <w:lang w:val="es-ES"/>
        </w:rPr>
        <w:t xml:space="preserve">Memoria </w:t>
      </w:r>
      <w:r w:rsidR="009547F0" w:rsidRPr="00A70DE5">
        <w:rPr>
          <w:rFonts w:eastAsia="Calibri"/>
          <w:color w:val="4C4747"/>
          <w:szCs w:val="36"/>
          <w:lang w:val="es-ES"/>
        </w:rPr>
        <w:t>I</w:t>
      </w:r>
      <w:r w:rsidRPr="00A70DE5">
        <w:rPr>
          <w:rFonts w:eastAsia="Calibri"/>
          <w:color w:val="4C4747"/>
          <w:szCs w:val="36"/>
          <w:lang w:val="es-ES"/>
        </w:rPr>
        <w:t xml:space="preserve">nstitucional </w:t>
      </w:r>
      <w:r w:rsidR="007471AC" w:rsidRPr="00A70DE5">
        <w:rPr>
          <w:rFonts w:eastAsia="Calibri"/>
          <w:color w:val="4C4747"/>
          <w:szCs w:val="36"/>
          <w:lang w:val="es-ES"/>
        </w:rPr>
        <w:t>202</w:t>
      </w:r>
      <w:r w:rsidR="0051332F" w:rsidRPr="00A70DE5">
        <w:rPr>
          <w:rFonts w:eastAsia="Calibri"/>
          <w:color w:val="4C4747"/>
          <w:szCs w:val="36"/>
          <w:lang w:val="es-ES"/>
        </w:rPr>
        <w:t>5</w:t>
      </w:r>
    </w:p>
    <w:p w14:paraId="6F669741" w14:textId="77777777" w:rsidR="00A70DE5" w:rsidRDefault="00CC5237" w:rsidP="00A70DE5">
      <w:pPr>
        <w:spacing w:line="360" w:lineRule="auto"/>
        <w:jc w:val="both"/>
        <w:rPr>
          <w:rFonts w:eastAsia="Calibri"/>
          <w:noProof/>
          <w:color w:val="4C4747"/>
          <w:lang w:val="es-ES"/>
        </w:rPr>
      </w:pPr>
      <w:r w:rsidRPr="00CC5237">
        <w:rPr>
          <w:rFonts w:eastAsia="Calibri"/>
          <w:noProof/>
          <w:color w:val="4C4747"/>
          <w:lang w:val="es-ES"/>
        </w:rPr>
        <w:t>Las labores regulatorias ejecutadas por esta Superintendencia de Seguros en el periodo enero-diciembre 2025, contribuyeron a que el sector de Seguros y Fianzas de la República Dominicana experimentara un incremento en las Primas Netas Cobradas de un 12.9 % respecto al año anterior.</w:t>
      </w:r>
      <w:r w:rsidR="00A70DE5">
        <w:rPr>
          <w:rFonts w:eastAsia="Calibri"/>
          <w:noProof/>
          <w:color w:val="4C4747"/>
          <w:lang w:val="es-ES"/>
        </w:rPr>
        <w:t xml:space="preserve"> </w:t>
      </w:r>
    </w:p>
    <w:p w14:paraId="56901F91" w14:textId="67096B4F" w:rsidR="00CC5237" w:rsidRPr="00A70DE5" w:rsidRDefault="00CC5237" w:rsidP="00A70DE5">
      <w:pPr>
        <w:spacing w:line="360" w:lineRule="auto"/>
        <w:jc w:val="both"/>
        <w:rPr>
          <w:rFonts w:eastAsia="Calibri"/>
          <w:noProof/>
          <w:color w:val="4C4747"/>
          <w:lang w:val="es-ES"/>
        </w:rPr>
      </w:pPr>
      <w:r w:rsidRPr="00CC5237">
        <w:rPr>
          <w:rFonts w:eastAsia="Calibri"/>
          <w:noProof/>
          <w:color w:val="4C4747"/>
          <w:lang w:val="es-ES"/>
        </w:rPr>
        <w:t xml:space="preserve">El detalle de primas cobradas, no exoneradas y exoneradas, por mes es presentado en el Cuadro </w:t>
      </w:r>
      <w:r w:rsidRPr="00CC5237">
        <w:rPr>
          <w:rFonts w:eastAsia="Calibri"/>
          <w:noProof/>
          <w:color w:val="595959" w:themeColor="text1" w:themeTint="A6"/>
          <w:lang w:val="es-ES"/>
        </w:rPr>
        <w:t>No. 1.</w:t>
      </w:r>
    </w:p>
    <w:p w14:paraId="7217E4A0" w14:textId="77777777" w:rsidR="00CC5237" w:rsidRPr="00A70DE5" w:rsidRDefault="00CC5237" w:rsidP="00A70DE5">
      <w:pPr>
        <w:spacing w:after="0" w:line="360" w:lineRule="auto"/>
        <w:jc w:val="center"/>
        <w:rPr>
          <w:b/>
          <w:color w:val="595959" w:themeColor="text1" w:themeTint="A6"/>
          <w:sz w:val="22"/>
          <w:lang w:val="es-DO"/>
        </w:rPr>
      </w:pPr>
      <w:r w:rsidRPr="00A70DE5">
        <w:rPr>
          <w:b/>
          <w:color w:val="595959" w:themeColor="text1" w:themeTint="A6"/>
          <w:sz w:val="22"/>
          <w:lang w:val="es-DO"/>
        </w:rPr>
        <w:t>Cuadro No. 1</w:t>
      </w:r>
    </w:p>
    <w:p w14:paraId="19AABDFF" w14:textId="77777777" w:rsidR="00CC5237" w:rsidRPr="00A70DE5" w:rsidRDefault="00CC5237" w:rsidP="00A70DE5">
      <w:pPr>
        <w:spacing w:after="0" w:line="360" w:lineRule="auto"/>
        <w:jc w:val="center"/>
        <w:rPr>
          <w:b/>
          <w:color w:val="595959" w:themeColor="text1" w:themeTint="A6"/>
          <w:sz w:val="22"/>
          <w:lang w:val="es-DO"/>
        </w:rPr>
      </w:pPr>
      <w:r w:rsidRPr="00A70DE5">
        <w:rPr>
          <w:b/>
          <w:color w:val="595959" w:themeColor="text1" w:themeTint="A6"/>
          <w:sz w:val="22"/>
          <w:lang w:val="es-DO"/>
        </w:rPr>
        <w:t>Primas Netas Cobradas enero - diciembre de 2025 por Mes</w:t>
      </w:r>
    </w:p>
    <w:p w14:paraId="46479A75" w14:textId="77777777" w:rsidR="00CC5237" w:rsidRPr="00A70DE5" w:rsidRDefault="00CC5237" w:rsidP="00A70DE5">
      <w:pPr>
        <w:spacing w:after="0" w:line="360" w:lineRule="auto"/>
        <w:jc w:val="center"/>
        <w:rPr>
          <w:color w:val="595959" w:themeColor="text1" w:themeTint="A6"/>
          <w:sz w:val="22"/>
          <w:lang w:val="es-DO"/>
        </w:rPr>
      </w:pPr>
      <w:r w:rsidRPr="00A70DE5">
        <w:rPr>
          <w:color w:val="595959" w:themeColor="text1" w:themeTint="A6"/>
          <w:sz w:val="22"/>
          <w:lang w:val="es-DO"/>
        </w:rPr>
        <w:t>Valores en millones de RD$</w:t>
      </w:r>
    </w:p>
    <w:tbl>
      <w:tblPr>
        <w:tblStyle w:val="TableNormal"/>
        <w:tblW w:w="8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1606"/>
        <w:gridCol w:w="1563"/>
        <w:gridCol w:w="1679"/>
        <w:gridCol w:w="1694"/>
      </w:tblGrid>
      <w:tr w:rsidR="00CC5237" w:rsidRPr="00A70DE5" w14:paraId="7293652B" w14:textId="77777777" w:rsidTr="00841CEC">
        <w:trPr>
          <w:trHeight w:val="842"/>
          <w:jc w:val="center"/>
        </w:trPr>
        <w:tc>
          <w:tcPr>
            <w:tcW w:w="1666" w:type="dxa"/>
            <w:tcBorders>
              <w:right w:val="nil"/>
            </w:tcBorders>
            <w:shd w:val="clear" w:color="auto" w:fill="001F5F"/>
          </w:tcPr>
          <w:p w14:paraId="43FD4488" w14:textId="77777777" w:rsidR="00CC5237" w:rsidRPr="00A70DE5" w:rsidRDefault="00CC5237" w:rsidP="00841CEC">
            <w:pPr>
              <w:pStyle w:val="TableParagraph"/>
              <w:spacing w:before="127"/>
              <w:rPr>
                <w:rFonts w:ascii="Times New Roman" w:hAnsi="Times New Roman" w:cs="Times New Roman"/>
                <w:sz w:val="20"/>
                <w:szCs w:val="20"/>
              </w:rPr>
            </w:pPr>
            <w:bookmarkStart w:id="23" w:name="_Hlk215760865"/>
          </w:p>
          <w:p w14:paraId="663B00ED" w14:textId="77777777" w:rsidR="00CC5237" w:rsidRPr="00A70DE5" w:rsidRDefault="00CC5237" w:rsidP="00841CEC">
            <w:pPr>
              <w:pStyle w:val="TableParagraph"/>
              <w:ind w:left="499"/>
              <w:rPr>
                <w:rFonts w:ascii="Times New Roman" w:hAnsi="Times New Roman" w:cs="Times New Roman"/>
                <w:b/>
                <w:sz w:val="20"/>
                <w:szCs w:val="20"/>
              </w:rPr>
            </w:pPr>
            <w:r w:rsidRPr="00A70DE5">
              <w:rPr>
                <w:rFonts w:ascii="Times New Roman" w:hAnsi="Times New Roman" w:cs="Times New Roman"/>
                <w:b/>
                <w:color w:val="FFFFFF"/>
                <w:spacing w:val="17"/>
                <w:sz w:val="20"/>
                <w:szCs w:val="20"/>
              </w:rPr>
              <w:t>Meses</w:t>
            </w:r>
          </w:p>
        </w:tc>
        <w:tc>
          <w:tcPr>
            <w:tcW w:w="1606" w:type="dxa"/>
            <w:tcBorders>
              <w:left w:val="nil"/>
              <w:right w:val="nil"/>
            </w:tcBorders>
            <w:shd w:val="clear" w:color="auto" w:fill="001F5F"/>
          </w:tcPr>
          <w:p w14:paraId="009F770B" w14:textId="77777777" w:rsidR="00CC5237" w:rsidRPr="00A70DE5" w:rsidRDefault="00CC5237" w:rsidP="00841CEC">
            <w:pPr>
              <w:pStyle w:val="TableParagraph"/>
              <w:spacing w:before="127"/>
              <w:rPr>
                <w:rFonts w:ascii="Times New Roman" w:hAnsi="Times New Roman" w:cs="Times New Roman"/>
                <w:sz w:val="20"/>
                <w:szCs w:val="20"/>
              </w:rPr>
            </w:pPr>
          </w:p>
          <w:p w14:paraId="00A6868A" w14:textId="77777777" w:rsidR="00CC5237" w:rsidRPr="00A70DE5" w:rsidRDefault="00CC5237" w:rsidP="00841CEC">
            <w:pPr>
              <w:pStyle w:val="TableParagraph"/>
              <w:ind w:left="58" w:right="2"/>
              <w:jc w:val="center"/>
              <w:rPr>
                <w:rFonts w:ascii="Times New Roman" w:hAnsi="Times New Roman" w:cs="Times New Roman"/>
                <w:b/>
                <w:sz w:val="20"/>
                <w:szCs w:val="20"/>
              </w:rPr>
            </w:pPr>
            <w:r w:rsidRPr="00A70DE5">
              <w:rPr>
                <w:rFonts w:ascii="Times New Roman" w:hAnsi="Times New Roman" w:cs="Times New Roman"/>
                <w:b/>
                <w:color w:val="FFFFFF"/>
                <w:spacing w:val="14"/>
                <w:sz w:val="20"/>
                <w:szCs w:val="20"/>
              </w:rPr>
              <w:t>Exonerada</w:t>
            </w:r>
          </w:p>
        </w:tc>
        <w:tc>
          <w:tcPr>
            <w:tcW w:w="1563" w:type="dxa"/>
            <w:tcBorders>
              <w:left w:val="nil"/>
              <w:right w:val="nil"/>
            </w:tcBorders>
            <w:shd w:val="clear" w:color="auto" w:fill="001F5F"/>
          </w:tcPr>
          <w:p w14:paraId="0F840FB0" w14:textId="77777777" w:rsidR="00CC5237" w:rsidRPr="00A70DE5" w:rsidRDefault="00CC5237" w:rsidP="00841CEC">
            <w:pPr>
              <w:pStyle w:val="TableParagraph"/>
              <w:spacing w:before="250"/>
              <w:ind w:left="15"/>
              <w:jc w:val="center"/>
              <w:rPr>
                <w:rFonts w:ascii="Times New Roman" w:hAnsi="Times New Roman" w:cs="Times New Roman"/>
                <w:b/>
                <w:sz w:val="20"/>
                <w:szCs w:val="20"/>
              </w:rPr>
            </w:pPr>
            <w:r w:rsidRPr="00A70DE5">
              <w:rPr>
                <w:rFonts w:ascii="Times New Roman" w:hAnsi="Times New Roman" w:cs="Times New Roman"/>
                <w:b/>
                <w:color w:val="FFFFFF"/>
                <w:spacing w:val="-5"/>
                <w:sz w:val="20"/>
                <w:szCs w:val="20"/>
              </w:rPr>
              <w:t>No</w:t>
            </w:r>
          </w:p>
          <w:p w14:paraId="585A90B6" w14:textId="77777777" w:rsidR="00CC5237" w:rsidRPr="00A70DE5" w:rsidRDefault="00CC5237" w:rsidP="00841CEC">
            <w:pPr>
              <w:pStyle w:val="TableParagraph"/>
              <w:spacing w:before="4"/>
              <w:ind w:left="15" w:right="6"/>
              <w:jc w:val="center"/>
              <w:rPr>
                <w:rFonts w:ascii="Times New Roman" w:hAnsi="Times New Roman" w:cs="Times New Roman"/>
                <w:b/>
                <w:sz w:val="20"/>
                <w:szCs w:val="20"/>
              </w:rPr>
            </w:pPr>
            <w:r w:rsidRPr="00A70DE5">
              <w:rPr>
                <w:rFonts w:ascii="Times New Roman" w:hAnsi="Times New Roman" w:cs="Times New Roman"/>
                <w:b/>
                <w:color w:val="FFFFFF"/>
                <w:spacing w:val="14"/>
                <w:sz w:val="20"/>
                <w:szCs w:val="20"/>
              </w:rPr>
              <w:t>Exonerada</w:t>
            </w:r>
          </w:p>
        </w:tc>
        <w:tc>
          <w:tcPr>
            <w:tcW w:w="1679" w:type="dxa"/>
            <w:tcBorders>
              <w:left w:val="nil"/>
              <w:right w:val="nil"/>
            </w:tcBorders>
            <w:shd w:val="clear" w:color="auto" w:fill="001F5F"/>
          </w:tcPr>
          <w:p w14:paraId="256E8965" w14:textId="77777777" w:rsidR="00CC5237" w:rsidRPr="00A70DE5" w:rsidRDefault="00CC5237" w:rsidP="00841CEC">
            <w:pPr>
              <w:pStyle w:val="TableParagraph"/>
              <w:ind w:left="413" w:right="231" w:hanging="164"/>
              <w:rPr>
                <w:rFonts w:ascii="Times New Roman" w:hAnsi="Times New Roman" w:cs="Times New Roman"/>
                <w:b/>
                <w:sz w:val="20"/>
                <w:szCs w:val="20"/>
              </w:rPr>
            </w:pPr>
            <w:r w:rsidRPr="00A70DE5">
              <w:rPr>
                <w:rFonts w:ascii="Times New Roman" w:hAnsi="Times New Roman" w:cs="Times New Roman"/>
                <w:b/>
                <w:color w:val="FFFFFF"/>
                <w:spacing w:val="16"/>
                <w:sz w:val="20"/>
                <w:szCs w:val="20"/>
              </w:rPr>
              <w:t xml:space="preserve">Totales </w:t>
            </w:r>
            <w:r w:rsidRPr="00A70DE5">
              <w:rPr>
                <w:rFonts w:ascii="Times New Roman" w:hAnsi="Times New Roman" w:cs="Times New Roman"/>
                <w:b/>
                <w:color w:val="FFFFFF"/>
                <w:sz w:val="20"/>
                <w:szCs w:val="20"/>
              </w:rPr>
              <w:t xml:space="preserve">de </w:t>
            </w:r>
            <w:r w:rsidRPr="00A70DE5">
              <w:rPr>
                <w:rFonts w:ascii="Times New Roman" w:hAnsi="Times New Roman" w:cs="Times New Roman"/>
                <w:b/>
                <w:color w:val="FFFFFF"/>
                <w:spacing w:val="14"/>
                <w:sz w:val="20"/>
                <w:szCs w:val="20"/>
              </w:rPr>
              <w:t xml:space="preserve">Primas Netas </w:t>
            </w:r>
            <w:r w:rsidRPr="00A70DE5">
              <w:rPr>
                <w:rFonts w:ascii="Times New Roman" w:hAnsi="Times New Roman" w:cs="Times New Roman"/>
                <w:b/>
                <w:color w:val="FFFFFF"/>
                <w:sz w:val="20"/>
                <w:szCs w:val="20"/>
              </w:rPr>
              <w:t>y</w:t>
            </w:r>
          </w:p>
          <w:p w14:paraId="1C99BFCF" w14:textId="77777777" w:rsidR="00CC5237" w:rsidRPr="00A70DE5" w:rsidRDefault="00CC5237" w:rsidP="00841CEC">
            <w:pPr>
              <w:pStyle w:val="TableParagraph"/>
              <w:ind w:left="170"/>
              <w:rPr>
                <w:rFonts w:ascii="Times New Roman" w:hAnsi="Times New Roman" w:cs="Times New Roman"/>
                <w:b/>
                <w:sz w:val="20"/>
                <w:szCs w:val="20"/>
              </w:rPr>
            </w:pPr>
            <w:r w:rsidRPr="00A70DE5">
              <w:rPr>
                <w:rFonts w:ascii="Times New Roman" w:hAnsi="Times New Roman" w:cs="Times New Roman"/>
                <w:b/>
                <w:color w:val="FFFFFF"/>
                <w:spacing w:val="14"/>
                <w:sz w:val="20"/>
                <w:szCs w:val="20"/>
              </w:rPr>
              <w:t>Exoneradas</w:t>
            </w:r>
          </w:p>
        </w:tc>
        <w:tc>
          <w:tcPr>
            <w:tcW w:w="1694" w:type="dxa"/>
            <w:tcBorders>
              <w:left w:val="nil"/>
              <w:right w:val="nil"/>
            </w:tcBorders>
            <w:shd w:val="clear" w:color="auto" w:fill="001F5F"/>
          </w:tcPr>
          <w:p w14:paraId="5160330D" w14:textId="77777777" w:rsidR="00CC5237" w:rsidRPr="00A70DE5" w:rsidRDefault="00CC5237" w:rsidP="00841CEC">
            <w:pPr>
              <w:pStyle w:val="TableParagraph"/>
              <w:spacing w:before="125" w:line="242" w:lineRule="auto"/>
              <w:ind w:left="174" w:right="169" w:firstLine="50"/>
              <w:jc w:val="both"/>
              <w:rPr>
                <w:rFonts w:ascii="Times New Roman" w:hAnsi="Times New Roman" w:cs="Times New Roman"/>
                <w:b/>
                <w:sz w:val="20"/>
                <w:szCs w:val="20"/>
              </w:rPr>
            </w:pPr>
            <w:r w:rsidRPr="00A70DE5">
              <w:rPr>
                <w:rFonts w:ascii="Times New Roman" w:hAnsi="Times New Roman" w:cs="Times New Roman"/>
                <w:b/>
                <w:color w:val="FFFFFF"/>
                <w:spacing w:val="14"/>
                <w:sz w:val="20"/>
                <w:szCs w:val="20"/>
              </w:rPr>
              <w:t xml:space="preserve">Porcentaje </w:t>
            </w:r>
            <w:r w:rsidRPr="00A70DE5">
              <w:rPr>
                <w:rFonts w:ascii="Times New Roman" w:hAnsi="Times New Roman" w:cs="Times New Roman"/>
                <w:b/>
                <w:color w:val="FFFFFF"/>
                <w:spacing w:val="11"/>
                <w:sz w:val="20"/>
                <w:szCs w:val="20"/>
              </w:rPr>
              <w:t xml:space="preserve">(%) </w:t>
            </w:r>
            <w:r w:rsidRPr="00A70DE5">
              <w:rPr>
                <w:rFonts w:ascii="Times New Roman" w:hAnsi="Times New Roman" w:cs="Times New Roman"/>
                <w:b/>
                <w:color w:val="FFFFFF"/>
                <w:spacing w:val="16"/>
                <w:sz w:val="20"/>
                <w:szCs w:val="20"/>
              </w:rPr>
              <w:t xml:space="preserve">Primas </w:t>
            </w:r>
            <w:r w:rsidRPr="00A70DE5">
              <w:rPr>
                <w:rFonts w:ascii="Times New Roman" w:hAnsi="Times New Roman" w:cs="Times New Roman"/>
                <w:b/>
                <w:color w:val="FFFFFF"/>
                <w:spacing w:val="14"/>
                <w:sz w:val="20"/>
                <w:szCs w:val="20"/>
              </w:rPr>
              <w:t>Exoneradas</w:t>
            </w:r>
          </w:p>
        </w:tc>
      </w:tr>
      <w:tr w:rsidR="00CC5237" w:rsidRPr="00A70DE5" w14:paraId="3C986CFA" w14:textId="77777777" w:rsidTr="00841CEC">
        <w:trPr>
          <w:trHeight w:val="328"/>
          <w:jc w:val="center"/>
        </w:trPr>
        <w:tc>
          <w:tcPr>
            <w:tcW w:w="1666" w:type="dxa"/>
            <w:tcBorders>
              <w:left w:val="nil"/>
              <w:right w:val="nil"/>
            </w:tcBorders>
          </w:tcPr>
          <w:p w14:paraId="1B9D0E98"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Enero</w:t>
            </w:r>
          </w:p>
        </w:tc>
        <w:tc>
          <w:tcPr>
            <w:tcW w:w="1606" w:type="dxa"/>
            <w:tcBorders>
              <w:left w:val="nil"/>
              <w:right w:val="nil"/>
            </w:tcBorders>
            <w:vAlign w:val="center"/>
          </w:tcPr>
          <w:p w14:paraId="7345AD50"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4,031</w:t>
            </w:r>
          </w:p>
        </w:tc>
        <w:tc>
          <w:tcPr>
            <w:tcW w:w="1563" w:type="dxa"/>
            <w:tcBorders>
              <w:left w:val="nil"/>
              <w:right w:val="nil"/>
            </w:tcBorders>
            <w:vAlign w:val="center"/>
          </w:tcPr>
          <w:p w14:paraId="5316DCEF"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7,137</w:t>
            </w:r>
          </w:p>
        </w:tc>
        <w:tc>
          <w:tcPr>
            <w:tcW w:w="1679" w:type="dxa"/>
            <w:tcBorders>
              <w:left w:val="nil"/>
              <w:right w:val="nil"/>
            </w:tcBorders>
            <w:vAlign w:val="center"/>
          </w:tcPr>
          <w:p w14:paraId="2F2694DE"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11,168</w:t>
            </w:r>
          </w:p>
        </w:tc>
        <w:tc>
          <w:tcPr>
            <w:tcW w:w="1694" w:type="dxa"/>
            <w:tcBorders>
              <w:left w:val="nil"/>
              <w:right w:val="nil"/>
            </w:tcBorders>
            <w:vAlign w:val="center"/>
          </w:tcPr>
          <w:p w14:paraId="7629CC88"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36.10%</w:t>
            </w:r>
          </w:p>
        </w:tc>
      </w:tr>
      <w:tr w:rsidR="00CC5237" w:rsidRPr="00A70DE5" w14:paraId="1B39AD19" w14:textId="77777777" w:rsidTr="00841CEC">
        <w:trPr>
          <w:trHeight w:val="328"/>
          <w:jc w:val="center"/>
        </w:trPr>
        <w:tc>
          <w:tcPr>
            <w:tcW w:w="1666" w:type="dxa"/>
            <w:tcBorders>
              <w:left w:val="nil"/>
              <w:right w:val="nil"/>
            </w:tcBorders>
          </w:tcPr>
          <w:p w14:paraId="3E997821"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Febrero</w:t>
            </w:r>
          </w:p>
        </w:tc>
        <w:tc>
          <w:tcPr>
            <w:tcW w:w="1606" w:type="dxa"/>
            <w:tcBorders>
              <w:left w:val="nil"/>
              <w:right w:val="nil"/>
            </w:tcBorders>
            <w:vAlign w:val="center"/>
          </w:tcPr>
          <w:p w14:paraId="20A26481"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4,202</w:t>
            </w:r>
          </w:p>
        </w:tc>
        <w:tc>
          <w:tcPr>
            <w:tcW w:w="1563" w:type="dxa"/>
            <w:tcBorders>
              <w:left w:val="nil"/>
              <w:right w:val="nil"/>
            </w:tcBorders>
            <w:vAlign w:val="center"/>
          </w:tcPr>
          <w:p w14:paraId="10F66C87"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7,050</w:t>
            </w:r>
          </w:p>
        </w:tc>
        <w:tc>
          <w:tcPr>
            <w:tcW w:w="1679" w:type="dxa"/>
            <w:tcBorders>
              <w:left w:val="nil"/>
              <w:right w:val="nil"/>
            </w:tcBorders>
            <w:vAlign w:val="center"/>
          </w:tcPr>
          <w:p w14:paraId="58AE2B57"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11,251</w:t>
            </w:r>
          </w:p>
        </w:tc>
        <w:tc>
          <w:tcPr>
            <w:tcW w:w="1694" w:type="dxa"/>
            <w:tcBorders>
              <w:left w:val="nil"/>
              <w:right w:val="nil"/>
            </w:tcBorders>
            <w:vAlign w:val="center"/>
          </w:tcPr>
          <w:p w14:paraId="2CC1A091"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37.34%</w:t>
            </w:r>
          </w:p>
        </w:tc>
      </w:tr>
      <w:tr w:rsidR="00CC5237" w:rsidRPr="00A70DE5" w14:paraId="04F503BD" w14:textId="77777777" w:rsidTr="00841CEC">
        <w:trPr>
          <w:trHeight w:val="328"/>
          <w:jc w:val="center"/>
        </w:trPr>
        <w:tc>
          <w:tcPr>
            <w:tcW w:w="1666" w:type="dxa"/>
            <w:tcBorders>
              <w:left w:val="nil"/>
              <w:right w:val="nil"/>
            </w:tcBorders>
          </w:tcPr>
          <w:p w14:paraId="0EB26A6E"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Marzo</w:t>
            </w:r>
          </w:p>
        </w:tc>
        <w:tc>
          <w:tcPr>
            <w:tcW w:w="1606" w:type="dxa"/>
            <w:tcBorders>
              <w:left w:val="nil"/>
              <w:right w:val="nil"/>
            </w:tcBorders>
            <w:vAlign w:val="center"/>
          </w:tcPr>
          <w:p w14:paraId="6DA9C956"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4,730</w:t>
            </w:r>
          </w:p>
        </w:tc>
        <w:tc>
          <w:tcPr>
            <w:tcW w:w="1563" w:type="dxa"/>
            <w:tcBorders>
              <w:left w:val="nil"/>
              <w:right w:val="nil"/>
            </w:tcBorders>
            <w:vAlign w:val="center"/>
          </w:tcPr>
          <w:p w14:paraId="259DDE1B"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8,882</w:t>
            </w:r>
          </w:p>
        </w:tc>
        <w:tc>
          <w:tcPr>
            <w:tcW w:w="1679" w:type="dxa"/>
            <w:tcBorders>
              <w:left w:val="nil"/>
              <w:right w:val="nil"/>
            </w:tcBorders>
            <w:vAlign w:val="center"/>
          </w:tcPr>
          <w:p w14:paraId="345E8102"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13,612</w:t>
            </w:r>
          </w:p>
        </w:tc>
        <w:tc>
          <w:tcPr>
            <w:tcW w:w="1694" w:type="dxa"/>
            <w:tcBorders>
              <w:left w:val="nil"/>
              <w:right w:val="nil"/>
            </w:tcBorders>
            <w:vAlign w:val="center"/>
          </w:tcPr>
          <w:p w14:paraId="28880358"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34.75%</w:t>
            </w:r>
          </w:p>
        </w:tc>
      </w:tr>
      <w:tr w:rsidR="00CC5237" w:rsidRPr="00A70DE5" w14:paraId="46833088" w14:textId="77777777" w:rsidTr="00841CEC">
        <w:trPr>
          <w:trHeight w:val="328"/>
          <w:jc w:val="center"/>
        </w:trPr>
        <w:tc>
          <w:tcPr>
            <w:tcW w:w="1666" w:type="dxa"/>
            <w:tcBorders>
              <w:left w:val="nil"/>
              <w:right w:val="nil"/>
            </w:tcBorders>
          </w:tcPr>
          <w:p w14:paraId="469D290D"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Abril</w:t>
            </w:r>
          </w:p>
        </w:tc>
        <w:tc>
          <w:tcPr>
            <w:tcW w:w="1606" w:type="dxa"/>
            <w:tcBorders>
              <w:left w:val="nil"/>
              <w:right w:val="nil"/>
            </w:tcBorders>
            <w:vAlign w:val="center"/>
          </w:tcPr>
          <w:p w14:paraId="163CA4D4"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4,350</w:t>
            </w:r>
          </w:p>
        </w:tc>
        <w:tc>
          <w:tcPr>
            <w:tcW w:w="1563" w:type="dxa"/>
            <w:tcBorders>
              <w:left w:val="nil"/>
              <w:right w:val="nil"/>
            </w:tcBorders>
            <w:vAlign w:val="center"/>
          </w:tcPr>
          <w:p w14:paraId="2F8C08F9"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9,747</w:t>
            </w:r>
          </w:p>
        </w:tc>
        <w:tc>
          <w:tcPr>
            <w:tcW w:w="1679" w:type="dxa"/>
            <w:tcBorders>
              <w:left w:val="nil"/>
              <w:right w:val="nil"/>
            </w:tcBorders>
            <w:vAlign w:val="center"/>
          </w:tcPr>
          <w:p w14:paraId="2A40F586"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14,097</w:t>
            </w:r>
          </w:p>
        </w:tc>
        <w:tc>
          <w:tcPr>
            <w:tcW w:w="1694" w:type="dxa"/>
            <w:tcBorders>
              <w:left w:val="nil"/>
              <w:right w:val="nil"/>
            </w:tcBorders>
            <w:vAlign w:val="center"/>
          </w:tcPr>
          <w:p w14:paraId="1917F0F2"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30.86%</w:t>
            </w:r>
          </w:p>
        </w:tc>
      </w:tr>
      <w:tr w:rsidR="00CC5237" w:rsidRPr="00A70DE5" w14:paraId="4A0787A3" w14:textId="77777777" w:rsidTr="00841CEC">
        <w:trPr>
          <w:trHeight w:val="328"/>
          <w:jc w:val="center"/>
        </w:trPr>
        <w:tc>
          <w:tcPr>
            <w:tcW w:w="1666" w:type="dxa"/>
            <w:tcBorders>
              <w:left w:val="nil"/>
              <w:right w:val="nil"/>
            </w:tcBorders>
          </w:tcPr>
          <w:p w14:paraId="31E9A939"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Mayo</w:t>
            </w:r>
          </w:p>
        </w:tc>
        <w:tc>
          <w:tcPr>
            <w:tcW w:w="1606" w:type="dxa"/>
            <w:tcBorders>
              <w:left w:val="nil"/>
              <w:right w:val="nil"/>
            </w:tcBorders>
            <w:vAlign w:val="center"/>
          </w:tcPr>
          <w:p w14:paraId="6C0DC50C"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4,824</w:t>
            </w:r>
          </w:p>
        </w:tc>
        <w:tc>
          <w:tcPr>
            <w:tcW w:w="1563" w:type="dxa"/>
            <w:tcBorders>
              <w:left w:val="nil"/>
              <w:right w:val="nil"/>
            </w:tcBorders>
            <w:vAlign w:val="center"/>
          </w:tcPr>
          <w:p w14:paraId="674D594A"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7,837</w:t>
            </w:r>
          </w:p>
        </w:tc>
        <w:tc>
          <w:tcPr>
            <w:tcW w:w="1679" w:type="dxa"/>
            <w:tcBorders>
              <w:left w:val="nil"/>
              <w:right w:val="nil"/>
            </w:tcBorders>
            <w:vAlign w:val="center"/>
          </w:tcPr>
          <w:p w14:paraId="1D675682"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12,662</w:t>
            </w:r>
          </w:p>
        </w:tc>
        <w:tc>
          <w:tcPr>
            <w:tcW w:w="1694" w:type="dxa"/>
            <w:tcBorders>
              <w:left w:val="nil"/>
              <w:right w:val="nil"/>
            </w:tcBorders>
            <w:vAlign w:val="center"/>
          </w:tcPr>
          <w:p w14:paraId="206E7EEA"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38.10%</w:t>
            </w:r>
          </w:p>
        </w:tc>
      </w:tr>
      <w:tr w:rsidR="00CC5237" w:rsidRPr="00A70DE5" w14:paraId="046BC87D" w14:textId="77777777" w:rsidTr="00841CEC">
        <w:trPr>
          <w:trHeight w:val="328"/>
          <w:jc w:val="center"/>
        </w:trPr>
        <w:tc>
          <w:tcPr>
            <w:tcW w:w="1666" w:type="dxa"/>
            <w:tcBorders>
              <w:left w:val="nil"/>
              <w:right w:val="nil"/>
            </w:tcBorders>
          </w:tcPr>
          <w:p w14:paraId="1DEB4DA3"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Junio</w:t>
            </w:r>
          </w:p>
        </w:tc>
        <w:tc>
          <w:tcPr>
            <w:tcW w:w="1606" w:type="dxa"/>
            <w:tcBorders>
              <w:left w:val="nil"/>
              <w:right w:val="nil"/>
            </w:tcBorders>
            <w:vAlign w:val="center"/>
          </w:tcPr>
          <w:p w14:paraId="670E1C63"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4,215</w:t>
            </w:r>
          </w:p>
        </w:tc>
        <w:tc>
          <w:tcPr>
            <w:tcW w:w="1563" w:type="dxa"/>
            <w:tcBorders>
              <w:left w:val="nil"/>
              <w:right w:val="nil"/>
            </w:tcBorders>
            <w:vAlign w:val="center"/>
          </w:tcPr>
          <w:p w14:paraId="2363E852"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8,639</w:t>
            </w:r>
          </w:p>
        </w:tc>
        <w:tc>
          <w:tcPr>
            <w:tcW w:w="1679" w:type="dxa"/>
            <w:tcBorders>
              <w:left w:val="nil"/>
              <w:right w:val="nil"/>
            </w:tcBorders>
            <w:vAlign w:val="center"/>
          </w:tcPr>
          <w:p w14:paraId="4AD449E9"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12,855</w:t>
            </w:r>
          </w:p>
        </w:tc>
        <w:tc>
          <w:tcPr>
            <w:tcW w:w="1694" w:type="dxa"/>
            <w:tcBorders>
              <w:left w:val="nil"/>
              <w:right w:val="nil"/>
            </w:tcBorders>
            <w:vAlign w:val="center"/>
          </w:tcPr>
          <w:p w14:paraId="4D244B5B" w14:textId="77777777" w:rsidR="00CC5237" w:rsidRPr="00A70DE5" w:rsidRDefault="00CC5237" w:rsidP="00841CEC">
            <w:pPr>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32.80%</w:t>
            </w:r>
          </w:p>
        </w:tc>
      </w:tr>
      <w:tr w:rsidR="00CC5237" w:rsidRPr="00A70DE5" w14:paraId="4F1F5BCE" w14:textId="77777777" w:rsidTr="00841CEC">
        <w:trPr>
          <w:trHeight w:val="328"/>
          <w:jc w:val="center"/>
        </w:trPr>
        <w:tc>
          <w:tcPr>
            <w:tcW w:w="1666" w:type="dxa"/>
            <w:tcBorders>
              <w:left w:val="nil"/>
              <w:right w:val="nil"/>
            </w:tcBorders>
          </w:tcPr>
          <w:p w14:paraId="35F72280"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lastRenderedPageBreak/>
              <w:t>Julio</w:t>
            </w:r>
          </w:p>
        </w:tc>
        <w:tc>
          <w:tcPr>
            <w:tcW w:w="1606" w:type="dxa"/>
            <w:tcBorders>
              <w:left w:val="nil"/>
              <w:right w:val="nil"/>
            </w:tcBorders>
            <w:vAlign w:val="center"/>
          </w:tcPr>
          <w:p w14:paraId="64F36017"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4,838</w:t>
            </w:r>
          </w:p>
        </w:tc>
        <w:tc>
          <w:tcPr>
            <w:tcW w:w="1563" w:type="dxa"/>
            <w:tcBorders>
              <w:left w:val="nil"/>
              <w:right w:val="nil"/>
            </w:tcBorders>
            <w:vAlign w:val="center"/>
          </w:tcPr>
          <w:p w14:paraId="67BA3928"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8,985</w:t>
            </w:r>
          </w:p>
        </w:tc>
        <w:tc>
          <w:tcPr>
            <w:tcW w:w="1679" w:type="dxa"/>
            <w:tcBorders>
              <w:left w:val="nil"/>
              <w:right w:val="nil"/>
            </w:tcBorders>
            <w:vAlign w:val="center"/>
          </w:tcPr>
          <w:p w14:paraId="6E2F9576"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13,823</w:t>
            </w:r>
          </w:p>
        </w:tc>
        <w:tc>
          <w:tcPr>
            <w:tcW w:w="1694" w:type="dxa"/>
            <w:tcBorders>
              <w:left w:val="nil"/>
              <w:right w:val="nil"/>
            </w:tcBorders>
            <w:vAlign w:val="center"/>
          </w:tcPr>
          <w:p w14:paraId="3285B938"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35.00%</w:t>
            </w:r>
          </w:p>
        </w:tc>
      </w:tr>
      <w:tr w:rsidR="00CC5237" w:rsidRPr="00A70DE5" w14:paraId="5CD4C5DC" w14:textId="77777777" w:rsidTr="00841CEC">
        <w:trPr>
          <w:trHeight w:val="328"/>
          <w:jc w:val="center"/>
        </w:trPr>
        <w:tc>
          <w:tcPr>
            <w:tcW w:w="1666" w:type="dxa"/>
            <w:tcBorders>
              <w:left w:val="nil"/>
              <w:right w:val="nil"/>
            </w:tcBorders>
          </w:tcPr>
          <w:p w14:paraId="0111CC1A"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Agosto</w:t>
            </w:r>
          </w:p>
        </w:tc>
        <w:tc>
          <w:tcPr>
            <w:tcW w:w="1606" w:type="dxa"/>
            <w:tcBorders>
              <w:left w:val="nil"/>
              <w:right w:val="nil"/>
            </w:tcBorders>
            <w:vAlign w:val="center"/>
          </w:tcPr>
          <w:p w14:paraId="22CFA1E4"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4,706</w:t>
            </w:r>
          </w:p>
        </w:tc>
        <w:tc>
          <w:tcPr>
            <w:tcW w:w="1563" w:type="dxa"/>
            <w:tcBorders>
              <w:left w:val="nil"/>
              <w:right w:val="nil"/>
            </w:tcBorders>
            <w:vAlign w:val="center"/>
          </w:tcPr>
          <w:p w14:paraId="12827442"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7,840</w:t>
            </w:r>
          </w:p>
        </w:tc>
        <w:tc>
          <w:tcPr>
            <w:tcW w:w="1679" w:type="dxa"/>
            <w:tcBorders>
              <w:left w:val="nil"/>
              <w:right w:val="nil"/>
            </w:tcBorders>
            <w:vAlign w:val="center"/>
          </w:tcPr>
          <w:p w14:paraId="31B2D172"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12,546</w:t>
            </w:r>
          </w:p>
        </w:tc>
        <w:tc>
          <w:tcPr>
            <w:tcW w:w="1694" w:type="dxa"/>
            <w:tcBorders>
              <w:left w:val="nil"/>
              <w:right w:val="nil"/>
            </w:tcBorders>
            <w:vAlign w:val="center"/>
          </w:tcPr>
          <w:p w14:paraId="3419CCDB"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37.51%</w:t>
            </w:r>
          </w:p>
        </w:tc>
      </w:tr>
      <w:tr w:rsidR="00CC5237" w:rsidRPr="00A70DE5" w14:paraId="2027522D" w14:textId="77777777" w:rsidTr="00841CEC">
        <w:trPr>
          <w:trHeight w:val="328"/>
          <w:jc w:val="center"/>
        </w:trPr>
        <w:tc>
          <w:tcPr>
            <w:tcW w:w="1666" w:type="dxa"/>
            <w:tcBorders>
              <w:left w:val="nil"/>
              <w:right w:val="nil"/>
            </w:tcBorders>
          </w:tcPr>
          <w:p w14:paraId="69B77860"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Septiembre</w:t>
            </w:r>
          </w:p>
        </w:tc>
        <w:tc>
          <w:tcPr>
            <w:tcW w:w="1606" w:type="dxa"/>
            <w:tcBorders>
              <w:left w:val="nil"/>
              <w:right w:val="nil"/>
            </w:tcBorders>
            <w:vAlign w:val="center"/>
          </w:tcPr>
          <w:p w14:paraId="3E91EF2A"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4,867</w:t>
            </w:r>
          </w:p>
        </w:tc>
        <w:tc>
          <w:tcPr>
            <w:tcW w:w="1563" w:type="dxa"/>
            <w:tcBorders>
              <w:left w:val="nil"/>
              <w:right w:val="nil"/>
            </w:tcBorders>
            <w:vAlign w:val="center"/>
          </w:tcPr>
          <w:p w14:paraId="7F90F47F"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7,408</w:t>
            </w:r>
          </w:p>
        </w:tc>
        <w:tc>
          <w:tcPr>
            <w:tcW w:w="1679" w:type="dxa"/>
            <w:tcBorders>
              <w:left w:val="nil"/>
              <w:right w:val="nil"/>
            </w:tcBorders>
            <w:vAlign w:val="center"/>
          </w:tcPr>
          <w:p w14:paraId="7700AEF5"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12,275</w:t>
            </w:r>
          </w:p>
        </w:tc>
        <w:tc>
          <w:tcPr>
            <w:tcW w:w="1694" w:type="dxa"/>
            <w:tcBorders>
              <w:left w:val="nil"/>
              <w:right w:val="nil"/>
            </w:tcBorders>
            <w:vAlign w:val="center"/>
          </w:tcPr>
          <w:p w14:paraId="7044F2E6"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39.65%</w:t>
            </w:r>
          </w:p>
        </w:tc>
      </w:tr>
      <w:tr w:rsidR="00CC5237" w:rsidRPr="00A70DE5" w14:paraId="786D56F8" w14:textId="77777777" w:rsidTr="00841CEC">
        <w:trPr>
          <w:trHeight w:val="328"/>
          <w:jc w:val="center"/>
        </w:trPr>
        <w:tc>
          <w:tcPr>
            <w:tcW w:w="1666" w:type="dxa"/>
            <w:tcBorders>
              <w:left w:val="nil"/>
              <w:right w:val="nil"/>
            </w:tcBorders>
          </w:tcPr>
          <w:p w14:paraId="1F883C20"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Octubre</w:t>
            </w:r>
          </w:p>
        </w:tc>
        <w:tc>
          <w:tcPr>
            <w:tcW w:w="1606" w:type="dxa"/>
            <w:tcBorders>
              <w:left w:val="nil"/>
              <w:right w:val="nil"/>
            </w:tcBorders>
            <w:vAlign w:val="center"/>
          </w:tcPr>
          <w:p w14:paraId="48775ECF"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4,873</w:t>
            </w:r>
          </w:p>
        </w:tc>
        <w:tc>
          <w:tcPr>
            <w:tcW w:w="1563" w:type="dxa"/>
            <w:tcBorders>
              <w:left w:val="nil"/>
              <w:right w:val="nil"/>
            </w:tcBorders>
            <w:vAlign w:val="center"/>
          </w:tcPr>
          <w:p w14:paraId="267CF41B"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7,519</w:t>
            </w:r>
          </w:p>
        </w:tc>
        <w:tc>
          <w:tcPr>
            <w:tcW w:w="1679" w:type="dxa"/>
            <w:tcBorders>
              <w:left w:val="nil"/>
              <w:right w:val="nil"/>
            </w:tcBorders>
            <w:vAlign w:val="center"/>
          </w:tcPr>
          <w:p w14:paraId="22AD7F89"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12,392</w:t>
            </w:r>
          </w:p>
        </w:tc>
        <w:tc>
          <w:tcPr>
            <w:tcW w:w="1694" w:type="dxa"/>
            <w:tcBorders>
              <w:left w:val="nil"/>
              <w:right w:val="nil"/>
            </w:tcBorders>
            <w:vAlign w:val="center"/>
          </w:tcPr>
          <w:p w14:paraId="7502686F"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39.32%</w:t>
            </w:r>
          </w:p>
        </w:tc>
      </w:tr>
      <w:tr w:rsidR="00CC5237" w:rsidRPr="00A70DE5" w14:paraId="5C78944C" w14:textId="77777777" w:rsidTr="00841CEC">
        <w:trPr>
          <w:trHeight w:val="328"/>
          <w:jc w:val="center"/>
        </w:trPr>
        <w:tc>
          <w:tcPr>
            <w:tcW w:w="1666" w:type="dxa"/>
            <w:tcBorders>
              <w:left w:val="nil"/>
              <w:right w:val="nil"/>
            </w:tcBorders>
          </w:tcPr>
          <w:p w14:paraId="15AE509F"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Noviembre*</w:t>
            </w:r>
          </w:p>
        </w:tc>
        <w:tc>
          <w:tcPr>
            <w:tcW w:w="1606" w:type="dxa"/>
            <w:tcBorders>
              <w:left w:val="nil"/>
              <w:right w:val="nil"/>
            </w:tcBorders>
            <w:vAlign w:val="center"/>
          </w:tcPr>
          <w:p w14:paraId="5B57A639"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4,690</w:t>
            </w:r>
          </w:p>
        </w:tc>
        <w:tc>
          <w:tcPr>
            <w:tcW w:w="1563" w:type="dxa"/>
            <w:tcBorders>
              <w:left w:val="nil"/>
              <w:right w:val="nil"/>
            </w:tcBorders>
            <w:vAlign w:val="center"/>
          </w:tcPr>
          <w:p w14:paraId="4C90B6F7"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7,307</w:t>
            </w:r>
          </w:p>
        </w:tc>
        <w:tc>
          <w:tcPr>
            <w:tcW w:w="1679" w:type="dxa"/>
            <w:tcBorders>
              <w:left w:val="nil"/>
              <w:right w:val="nil"/>
            </w:tcBorders>
            <w:vAlign w:val="center"/>
          </w:tcPr>
          <w:p w14:paraId="66C80EE6"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11,996</w:t>
            </w:r>
          </w:p>
        </w:tc>
        <w:tc>
          <w:tcPr>
            <w:tcW w:w="1694" w:type="dxa"/>
            <w:tcBorders>
              <w:left w:val="nil"/>
              <w:right w:val="nil"/>
            </w:tcBorders>
            <w:vAlign w:val="center"/>
          </w:tcPr>
          <w:p w14:paraId="23F08059"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39.09%</w:t>
            </w:r>
          </w:p>
        </w:tc>
      </w:tr>
      <w:tr w:rsidR="00CC5237" w:rsidRPr="00A70DE5" w14:paraId="7F74C315" w14:textId="77777777" w:rsidTr="00841CEC">
        <w:trPr>
          <w:trHeight w:val="328"/>
          <w:jc w:val="center"/>
        </w:trPr>
        <w:tc>
          <w:tcPr>
            <w:tcW w:w="1666" w:type="dxa"/>
            <w:tcBorders>
              <w:left w:val="nil"/>
              <w:right w:val="nil"/>
            </w:tcBorders>
          </w:tcPr>
          <w:p w14:paraId="18DE09C5"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Diciembre*</w:t>
            </w:r>
          </w:p>
        </w:tc>
        <w:tc>
          <w:tcPr>
            <w:tcW w:w="1606" w:type="dxa"/>
            <w:tcBorders>
              <w:left w:val="nil"/>
              <w:right w:val="nil"/>
            </w:tcBorders>
          </w:tcPr>
          <w:p w14:paraId="19297C19"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4,913</w:t>
            </w:r>
          </w:p>
        </w:tc>
        <w:tc>
          <w:tcPr>
            <w:tcW w:w="1563" w:type="dxa"/>
            <w:tcBorders>
              <w:left w:val="nil"/>
              <w:right w:val="nil"/>
            </w:tcBorders>
          </w:tcPr>
          <w:p w14:paraId="678A8107"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7,583</w:t>
            </w:r>
          </w:p>
        </w:tc>
        <w:tc>
          <w:tcPr>
            <w:tcW w:w="1679" w:type="dxa"/>
            <w:tcBorders>
              <w:left w:val="nil"/>
              <w:right w:val="nil"/>
            </w:tcBorders>
          </w:tcPr>
          <w:p w14:paraId="4784E15A"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12,495</w:t>
            </w:r>
          </w:p>
        </w:tc>
        <w:tc>
          <w:tcPr>
            <w:tcW w:w="1694" w:type="dxa"/>
            <w:tcBorders>
              <w:left w:val="nil"/>
              <w:right w:val="nil"/>
            </w:tcBorders>
          </w:tcPr>
          <w:p w14:paraId="4FC6248B"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39.32%</w:t>
            </w:r>
          </w:p>
        </w:tc>
      </w:tr>
      <w:tr w:rsidR="00CC5237" w:rsidRPr="00A70DE5" w14:paraId="499D6430" w14:textId="77777777" w:rsidTr="00841CEC">
        <w:trPr>
          <w:trHeight w:val="328"/>
          <w:jc w:val="center"/>
        </w:trPr>
        <w:tc>
          <w:tcPr>
            <w:tcW w:w="1666" w:type="dxa"/>
            <w:tcBorders>
              <w:left w:val="nil"/>
              <w:right w:val="nil"/>
            </w:tcBorders>
          </w:tcPr>
          <w:p w14:paraId="3D6CED9F" w14:textId="77777777" w:rsidR="00CC5237" w:rsidRPr="00A70DE5" w:rsidRDefault="00CC5237" w:rsidP="00841CEC">
            <w:pPr>
              <w:pStyle w:val="TableParagraph"/>
              <w:spacing w:before="27"/>
              <w:ind w:left="81"/>
              <w:jc w:val="center"/>
              <w:rPr>
                <w:rFonts w:ascii="Times New Roman" w:eastAsia="Calibri" w:hAnsi="Times New Roman" w:cs="Times New Roman"/>
                <w:noProof/>
                <w:color w:val="4C4747"/>
                <w:spacing w:val="20"/>
                <w:sz w:val="20"/>
                <w:szCs w:val="20"/>
              </w:rPr>
            </w:pPr>
            <w:r w:rsidRPr="00A70DE5">
              <w:rPr>
                <w:rFonts w:ascii="Times New Roman" w:eastAsia="Calibri" w:hAnsi="Times New Roman" w:cs="Times New Roman"/>
                <w:noProof/>
                <w:color w:val="4C4747"/>
                <w:spacing w:val="20"/>
                <w:sz w:val="20"/>
                <w:szCs w:val="20"/>
              </w:rPr>
              <w:t>Total</w:t>
            </w:r>
          </w:p>
        </w:tc>
        <w:tc>
          <w:tcPr>
            <w:tcW w:w="1606" w:type="dxa"/>
            <w:tcBorders>
              <w:left w:val="nil"/>
              <w:right w:val="nil"/>
            </w:tcBorders>
          </w:tcPr>
          <w:p w14:paraId="16E4C34F"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55,240</w:t>
            </w:r>
          </w:p>
        </w:tc>
        <w:tc>
          <w:tcPr>
            <w:tcW w:w="1563" w:type="dxa"/>
            <w:tcBorders>
              <w:left w:val="nil"/>
              <w:right w:val="nil"/>
            </w:tcBorders>
          </w:tcPr>
          <w:p w14:paraId="6125594E"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95,933</w:t>
            </w:r>
          </w:p>
        </w:tc>
        <w:tc>
          <w:tcPr>
            <w:tcW w:w="1679" w:type="dxa"/>
            <w:tcBorders>
              <w:left w:val="nil"/>
              <w:right w:val="nil"/>
            </w:tcBorders>
          </w:tcPr>
          <w:p w14:paraId="70DFFA99"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151,173</w:t>
            </w:r>
          </w:p>
        </w:tc>
        <w:tc>
          <w:tcPr>
            <w:tcW w:w="1694" w:type="dxa"/>
            <w:tcBorders>
              <w:left w:val="nil"/>
              <w:right w:val="nil"/>
            </w:tcBorders>
          </w:tcPr>
          <w:p w14:paraId="5B9DA3AF" w14:textId="77777777" w:rsidR="00CC5237" w:rsidRPr="00A70DE5" w:rsidRDefault="00CC5237" w:rsidP="00841CEC">
            <w:pPr>
              <w:spacing w:before="27"/>
              <w:jc w:val="center"/>
              <w:rPr>
                <w:rFonts w:ascii="Times New Roman" w:eastAsia="Calibri" w:hAnsi="Times New Roman" w:cs="Times New Roman"/>
                <w:noProof/>
                <w:color w:val="4C4747"/>
                <w:spacing w:val="20"/>
                <w:sz w:val="20"/>
                <w:szCs w:val="20"/>
                <w:lang w:val="es-ES"/>
              </w:rPr>
            </w:pPr>
            <w:r w:rsidRPr="00A70DE5">
              <w:rPr>
                <w:rFonts w:ascii="Times New Roman" w:eastAsia="Calibri" w:hAnsi="Times New Roman" w:cs="Times New Roman"/>
                <w:noProof/>
                <w:color w:val="4C4747"/>
                <w:spacing w:val="20"/>
                <w:sz w:val="20"/>
                <w:szCs w:val="20"/>
                <w:lang w:val="es-ES"/>
              </w:rPr>
              <w:t>36.54%</w:t>
            </w:r>
          </w:p>
        </w:tc>
      </w:tr>
    </w:tbl>
    <w:bookmarkEnd w:id="23"/>
    <w:p w14:paraId="361969B1" w14:textId="77777777" w:rsidR="00CC5237" w:rsidRPr="00CC5237" w:rsidRDefault="00CC5237" w:rsidP="00CC5237">
      <w:pPr>
        <w:spacing w:line="276" w:lineRule="auto"/>
        <w:jc w:val="both"/>
        <w:rPr>
          <w:rFonts w:eastAsia="Calibri"/>
          <w:noProof/>
          <w:color w:val="4C4747"/>
          <w:sz w:val="20"/>
          <w:lang w:val="es-ES"/>
        </w:rPr>
      </w:pPr>
      <w:r w:rsidRPr="00CC5237">
        <w:rPr>
          <w:rFonts w:eastAsia="Calibri"/>
          <w:noProof/>
          <w:color w:val="4C4747"/>
          <w:sz w:val="20"/>
          <w:lang w:val="es-ES"/>
        </w:rPr>
        <w:t>(*) Cifras proyectadas para los meses de noviembre y diciembre tomando en cuenta comportamiento histórico y del mercado.</w:t>
      </w:r>
    </w:p>
    <w:p w14:paraId="60D4961F" w14:textId="7BC75B60" w:rsidR="00CC5237" w:rsidRDefault="00CC5237" w:rsidP="00A04FF5">
      <w:pPr>
        <w:spacing w:after="0" w:line="360" w:lineRule="auto"/>
        <w:rPr>
          <w:rFonts w:eastAsia="Calibri"/>
          <w:noProof/>
          <w:color w:val="4C4747"/>
          <w:lang w:val="es-ES"/>
        </w:rPr>
      </w:pPr>
      <w:r w:rsidRPr="00CC5237">
        <w:rPr>
          <w:rFonts w:eastAsia="Calibri"/>
          <w:noProof/>
          <w:color w:val="4C4747"/>
          <w:sz w:val="20"/>
          <w:lang w:val="es-ES"/>
        </w:rPr>
        <w:t>Fuente: Dirección de Estudios del Sector Seguros</w:t>
      </w:r>
      <w:r w:rsidRPr="00CC5237">
        <w:rPr>
          <w:rFonts w:eastAsia="Calibri"/>
          <w:noProof/>
          <w:color w:val="4C4747"/>
          <w:lang w:val="es-ES"/>
        </w:rPr>
        <w:t>.</w:t>
      </w:r>
    </w:p>
    <w:p w14:paraId="23BE1BB4" w14:textId="1371CDB9" w:rsidR="00CC5237" w:rsidRDefault="00CC5237" w:rsidP="00CC5237">
      <w:pPr>
        <w:pStyle w:val="Textoindependiente"/>
        <w:spacing w:before="183" w:line="360" w:lineRule="auto"/>
        <w:ind w:right="-18"/>
        <w:jc w:val="both"/>
        <w:rPr>
          <w:rFonts w:eastAsia="Calibri"/>
          <w:noProof/>
          <w:color w:val="4C4747"/>
          <w:spacing w:val="20"/>
        </w:rPr>
      </w:pPr>
      <w:r w:rsidRPr="00CC5237">
        <w:rPr>
          <w:rFonts w:eastAsia="Calibri"/>
          <w:noProof/>
          <w:color w:val="4C4747"/>
          <w:spacing w:val="20"/>
        </w:rPr>
        <w:t>En cuanto a la distribución del total de Primas Netas Cobradas en el sector de seguros y fianzas de la República Dominicana en el periodo comprendido entre enero y diciembre 2025, se puede apreciar como los ramos que generaron mayor volumen de PNC fueron “Incendio y aliados”, “Salud” y “Vehículos de motor”, respectivamente. Esta información se presenta con mayor lujo de detalles en el Cuadro No. 2.</w:t>
      </w:r>
    </w:p>
    <w:p w14:paraId="0FEDDE0B" w14:textId="336C0970" w:rsidR="00EF6A8E" w:rsidRDefault="00EF6A8E" w:rsidP="00CC5237">
      <w:pPr>
        <w:pStyle w:val="Textoindependiente"/>
        <w:spacing w:before="183" w:line="360" w:lineRule="auto"/>
        <w:ind w:right="-18"/>
        <w:jc w:val="both"/>
        <w:rPr>
          <w:rFonts w:eastAsia="Calibri"/>
          <w:noProof/>
          <w:color w:val="4C4747"/>
          <w:spacing w:val="20"/>
        </w:rPr>
      </w:pPr>
    </w:p>
    <w:p w14:paraId="52B2E56D" w14:textId="34187B56" w:rsidR="00EF6A8E" w:rsidRDefault="00EF6A8E" w:rsidP="00CC5237">
      <w:pPr>
        <w:pStyle w:val="Textoindependiente"/>
        <w:spacing w:before="183" w:line="360" w:lineRule="auto"/>
        <w:ind w:right="-18"/>
        <w:jc w:val="both"/>
        <w:rPr>
          <w:rFonts w:eastAsia="Calibri"/>
          <w:noProof/>
          <w:color w:val="4C4747"/>
          <w:spacing w:val="20"/>
        </w:rPr>
      </w:pPr>
    </w:p>
    <w:p w14:paraId="2A406BEF" w14:textId="04797390" w:rsidR="00EF6A8E" w:rsidRDefault="00EF6A8E" w:rsidP="00CC5237">
      <w:pPr>
        <w:pStyle w:val="Textoindependiente"/>
        <w:spacing w:before="183" w:line="360" w:lineRule="auto"/>
        <w:ind w:right="-18"/>
        <w:jc w:val="both"/>
        <w:rPr>
          <w:rFonts w:eastAsia="Calibri"/>
          <w:noProof/>
          <w:color w:val="4C4747"/>
          <w:spacing w:val="20"/>
        </w:rPr>
      </w:pPr>
    </w:p>
    <w:p w14:paraId="6A9C4DDC" w14:textId="77777777" w:rsidR="00EF6A8E" w:rsidRPr="00CC5237" w:rsidRDefault="00EF6A8E" w:rsidP="00CC5237">
      <w:pPr>
        <w:pStyle w:val="Textoindependiente"/>
        <w:spacing w:before="183" w:line="360" w:lineRule="auto"/>
        <w:ind w:right="-18"/>
        <w:jc w:val="both"/>
        <w:rPr>
          <w:rFonts w:eastAsia="Calibri"/>
          <w:noProof/>
          <w:color w:val="4C4747"/>
          <w:spacing w:val="20"/>
        </w:rPr>
      </w:pPr>
    </w:p>
    <w:p w14:paraId="4F3999E9" w14:textId="77777777" w:rsidR="00CC5237" w:rsidRPr="00BE66C1" w:rsidRDefault="00CC5237" w:rsidP="00CC5237">
      <w:pPr>
        <w:spacing w:after="0"/>
        <w:jc w:val="center"/>
        <w:rPr>
          <w:b/>
          <w:lang w:val="es-DO"/>
        </w:rPr>
      </w:pPr>
      <w:r w:rsidRPr="00BE66C1">
        <w:rPr>
          <w:b/>
          <w:lang w:val="es-DO"/>
        </w:rPr>
        <w:lastRenderedPageBreak/>
        <w:t>Cuadro No. 2</w:t>
      </w:r>
    </w:p>
    <w:p w14:paraId="6FD27175" w14:textId="77777777" w:rsidR="00CC5237" w:rsidRPr="00BE66C1" w:rsidRDefault="00CC5237" w:rsidP="00CC5237">
      <w:pPr>
        <w:spacing w:after="0"/>
        <w:jc w:val="center"/>
        <w:rPr>
          <w:b/>
          <w:sz w:val="28"/>
          <w:szCs w:val="28"/>
          <w:lang w:val="es-DO"/>
        </w:rPr>
      </w:pPr>
      <w:r w:rsidRPr="00BE66C1">
        <w:rPr>
          <w:b/>
          <w:lang w:val="es-DO"/>
        </w:rPr>
        <w:t xml:space="preserve">Primas Netas Cobradas Enero </w:t>
      </w:r>
      <w:r>
        <w:rPr>
          <w:b/>
          <w:lang w:val="es-DO"/>
        </w:rPr>
        <w:t>–</w:t>
      </w:r>
      <w:r w:rsidRPr="00BE66C1">
        <w:rPr>
          <w:b/>
          <w:lang w:val="es-DO"/>
        </w:rPr>
        <w:t xml:space="preserve"> Diciembre</w:t>
      </w:r>
      <w:r>
        <w:rPr>
          <w:b/>
          <w:lang w:val="es-DO"/>
        </w:rPr>
        <w:t>*</w:t>
      </w:r>
      <w:r w:rsidRPr="00BE66C1">
        <w:rPr>
          <w:b/>
          <w:lang w:val="es-DO"/>
        </w:rPr>
        <w:t xml:space="preserve"> de 202</w:t>
      </w:r>
      <w:r>
        <w:rPr>
          <w:b/>
          <w:lang w:val="es-DO"/>
        </w:rPr>
        <w:t>5</w:t>
      </w:r>
      <w:r w:rsidRPr="00BE66C1">
        <w:rPr>
          <w:b/>
          <w:lang w:val="es-DO"/>
        </w:rPr>
        <w:t xml:space="preserve"> por Ramos</w:t>
      </w:r>
      <w:r>
        <w:rPr>
          <w:b/>
          <w:lang w:val="es-DO"/>
        </w:rPr>
        <w:t xml:space="preserve"> de Seguros</w:t>
      </w:r>
    </w:p>
    <w:p w14:paraId="77579255" w14:textId="77777777" w:rsidR="00CC5237" w:rsidRDefault="00CC5237" w:rsidP="00CC5237">
      <w:pPr>
        <w:jc w:val="center"/>
        <w:rPr>
          <w:lang w:val="es-DO"/>
        </w:rPr>
      </w:pPr>
      <w:r w:rsidRPr="00BE66C1">
        <w:rPr>
          <w:lang w:val="es-DO"/>
        </w:rPr>
        <w:t>Valores en millones de RD$</w:t>
      </w:r>
    </w:p>
    <w:tbl>
      <w:tblPr>
        <w:tblW w:w="8662" w:type="dxa"/>
        <w:jc w:val="center"/>
        <w:tblCellMar>
          <w:left w:w="0" w:type="dxa"/>
          <w:right w:w="0" w:type="dxa"/>
        </w:tblCellMar>
        <w:tblLook w:val="04A0" w:firstRow="1" w:lastRow="0" w:firstColumn="1" w:lastColumn="0" w:noHBand="0" w:noVBand="1"/>
      </w:tblPr>
      <w:tblGrid>
        <w:gridCol w:w="1779"/>
        <w:gridCol w:w="1926"/>
        <w:gridCol w:w="1926"/>
        <w:gridCol w:w="1926"/>
        <w:gridCol w:w="1105"/>
      </w:tblGrid>
      <w:tr w:rsidR="00CC5237" w:rsidRPr="00136737" w14:paraId="78209D5A" w14:textId="77777777" w:rsidTr="00A04FF5">
        <w:trPr>
          <w:trHeight w:val="811"/>
          <w:jc w:val="center"/>
        </w:trPr>
        <w:tc>
          <w:tcPr>
            <w:tcW w:w="1779" w:type="dxa"/>
            <w:tcBorders>
              <w:top w:val="single" w:sz="8" w:space="0" w:color="7F7F7F"/>
              <w:left w:val="nil"/>
              <w:bottom w:val="single" w:sz="8" w:space="0" w:color="7F7F7F"/>
              <w:right w:val="nil"/>
            </w:tcBorders>
            <w:shd w:val="clear" w:color="auto" w:fill="002060"/>
            <w:noWrap/>
            <w:tcMar>
              <w:top w:w="15" w:type="dxa"/>
              <w:left w:w="15" w:type="dxa"/>
              <w:bottom w:w="0" w:type="dxa"/>
              <w:right w:w="15" w:type="dxa"/>
            </w:tcMar>
            <w:vAlign w:val="center"/>
            <w:hideMark/>
          </w:tcPr>
          <w:p w14:paraId="7595B864" w14:textId="77777777" w:rsidR="00CC5237" w:rsidRPr="00136737" w:rsidRDefault="00CC5237" w:rsidP="00841CEC">
            <w:pPr>
              <w:pStyle w:val="TableParagraph"/>
              <w:spacing w:before="142"/>
              <w:jc w:val="center"/>
              <w:rPr>
                <w:b/>
                <w:color w:val="FFFFFF" w:themeColor="background1"/>
                <w:sz w:val="18"/>
                <w:szCs w:val="18"/>
              </w:rPr>
            </w:pPr>
            <w:bookmarkStart w:id="24" w:name="_Hlk214972565"/>
            <w:r w:rsidRPr="00136737">
              <w:rPr>
                <w:b/>
                <w:color w:val="FFFFFF" w:themeColor="background1"/>
                <w:sz w:val="18"/>
                <w:szCs w:val="18"/>
              </w:rPr>
              <w:t>Ramos</w:t>
            </w:r>
          </w:p>
        </w:tc>
        <w:tc>
          <w:tcPr>
            <w:tcW w:w="1926" w:type="dxa"/>
            <w:tcBorders>
              <w:top w:val="single" w:sz="8" w:space="0" w:color="7F7F7F"/>
              <w:left w:val="nil"/>
              <w:bottom w:val="single" w:sz="8" w:space="0" w:color="7F7F7F"/>
              <w:right w:val="nil"/>
            </w:tcBorders>
            <w:shd w:val="clear" w:color="auto" w:fill="002060"/>
            <w:noWrap/>
            <w:tcMar>
              <w:top w:w="15" w:type="dxa"/>
              <w:left w:w="15" w:type="dxa"/>
              <w:bottom w:w="0" w:type="dxa"/>
              <w:right w:w="15" w:type="dxa"/>
            </w:tcMar>
            <w:vAlign w:val="center"/>
            <w:hideMark/>
          </w:tcPr>
          <w:p w14:paraId="0BCFDBBA" w14:textId="77777777" w:rsidR="00CC5237" w:rsidRPr="00136737" w:rsidRDefault="00CC5237" w:rsidP="00841CEC">
            <w:pPr>
              <w:pStyle w:val="TableParagraph"/>
              <w:spacing w:before="142"/>
              <w:jc w:val="center"/>
              <w:rPr>
                <w:b/>
                <w:color w:val="FFFFFF" w:themeColor="background1"/>
                <w:sz w:val="18"/>
                <w:szCs w:val="18"/>
              </w:rPr>
            </w:pPr>
            <w:r w:rsidRPr="00136737">
              <w:rPr>
                <w:b/>
                <w:color w:val="FFFFFF" w:themeColor="background1"/>
                <w:sz w:val="18"/>
                <w:szCs w:val="18"/>
              </w:rPr>
              <w:t>No Exoneradas</w:t>
            </w:r>
          </w:p>
        </w:tc>
        <w:tc>
          <w:tcPr>
            <w:tcW w:w="1926" w:type="dxa"/>
            <w:tcBorders>
              <w:top w:val="single" w:sz="8" w:space="0" w:color="7F7F7F"/>
              <w:left w:val="nil"/>
              <w:bottom w:val="single" w:sz="8" w:space="0" w:color="7F7F7F"/>
              <w:right w:val="nil"/>
            </w:tcBorders>
            <w:shd w:val="clear" w:color="auto" w:fill="002060"/>
            <w:noWrap/>
            <w:tcMar>
              <w:top w:w="15" w:type="dxa"/>
              <w:left w:w="15" w:type="dxa"/>
              <w:bottom w:w="0" w:type="dxa"/>
              <w:right w:w="15" w:type="dxa"/>
            </w:tcMar>
            <w:vAlign w:val="center"/>
            <w:hideMark/>
          </w:tcPr>
          <w:p w14:paraId="402D2ABD" w14:textId="77777777" w:rsidR="00CC5237" w:rsidRPr="00136737" w:rsidRDefault="00CC5237" w:rsidP="00841CEC">
            <w:pPr>
              <w:pStyle w:val="TableParagraph"/>
              <w:spacing w:before="142"/>
              <w:jc w:val="center"/>
              <w:rPr>
                <w:b/>
                <w:color w:val="FFFFFF" w:themeColor="background1"/>
                <w:sz w:val="18"/>
                <w:szCs w:val="18"/>
              </w:rPr>
            </w:pPr>
            <w:r w:rsidRPr="00136737">
              <w:rPr>
                <w:b/>
                <w:color w:val="FFFFFF" w:themeColor="background1"/>
                <w:sz w:val="18"/>
                <w:szCs w:val="18"/>
              </w:rPr>
              <w:t>Exoneradas</w:t>
            </w:r>
          </w:p>
        </w:tc>
        <w:tc>
          <w:tcPr>
            <w:tcW w:w="1926" w:type="dxa"/>
            <w:tcBorders>
              <w:top w:val="single" w:sz="8" w:space="0" w:color="7F7F7F"/>
              <w:left w:val="nil"/>
              <w:bottom w:val="single" w:sz="8" w:space="0" w:color="7F7F7F"/>
              <w:right w:val="nil"/>
            </w:tcBorders>
            <w:shd w:val="clear" w:color="auto" w:fill="002060"/>
            <w:tcMar>
              <w:top w:w="15" w:type="dxa"/>
              <w:left w:w="15" w:type="dxa"/>
              <w:bottom w:w="0" w:type="dxa"/>
              <w:right w:w="15" w:type="dxa"/>
            </w:tcMar>
            <w:vAlign w:val="center"/>
            <w:hideMark/>
          </w:tcPr>
          <w:p w14:paraId="1FCD6908" w14:textId="77777777" w:rsidR="00CC5237" w:rsidRPr="00136737" w:rsidRDefault="00CC5237" w:rsidP="00841CEC">
            <w:pPr>
              <w:pStyle w:val="TableParagraph"/>
              <w:spacing w:before="142"/>
              <w:jc w:val="center"/>
              <w:rPr>
                <w:b/>
                <w:color w:val="FFFFFF" w:themeColor="background1"/>
                <w:sz w:val="18"/>
                <w:szCs w:val="18"/>
              </w:rPr>
            </w:pPr>
            <w:r w:rsidRPr="00136737">
              <w:rPr>
                <w:b/>
                <w:color w:val="FFFFFF" w:themeColor="background1"/>
                <w:sz w:val="18"/>
                <w:szCs w:val="18"/>
              </w:rPr>
              <w:t>Totales de Primas Netas y Exoneradas</w:t>
            </w:r>
          </w:p>
        </w:tc>
        <w:tc>
          <w:tcPr>
            <w:tcW w:w="1105" w:type="dxa"/>
            <w:tcBorders>
              <w:top w:val="single" w:sz="8" w:space="0" w:color="7F7F7F"/>
              <w:left w:val="nil"/>
              <w:bottom w:val="single" w:sz="8" w:space="0" w:color="7F7F7F"/>
              <w:right w:val="nil"/>
            </w:tcBorders>
            <w:shd w:val="clear" w:color="auto" w:fill="002060"/>
            <w:tcMar>
              <w:top w:w="15" w:type="dxa"/>
              <w:left w:w="15" w:type="dxa"/>
              <w:bottom w:w="0" w:type="dxa"/>
              <w:right w:w="15" w:type="dxa"/>
            </w:tcMar>
            <w:vAlign w:val="center"/>
            <w:hideMark/>
          </w:tcPr>
          <w:p w14:paraId="26431F9D" w14:textId="77777777" w:rsidR="00CC5237" w:rsidRPr="00136737" w:rsidRDefault="00CC5237" w:rsidP="00841CEC">
            <w:pPr>
              <w:pStyle w:val="TableParagraph"/>
              <w:spacing w:before="142"/>
              <w:jc w:val="center"/>
              <w:rPr>
                <w:b/>
                <w:color w:val="FFFFFF" w:themeColor="background1"/>
                <w:sz w:val="18"/>
                <w:szCs w:val="18"/>
              </w:rPr>
            </w:pPr>
            <w:r w:rsidRPr="00136737">
              <w:rPr>
                <w:b/>
                <w:color w:val="FFFFFF" w:themeColor="background1"/>
                <w:sz w:val="18"/>
                <w:szCs w:val="18"/>
              </w:rPr>
              <w:t>Porcentaje (%) de Primas Exoneradas</w:t>
            </w:r>
          </w:p>
        </w:tc>
      </w:tr>
      <w:tr w:rsidR="00CC5237" w:rsidRPr="00136737" w14:paraId="421C930D" w14:textId="77777777" w:rsidTr="00A04FF5">
        <w:trPr>
          <w:trHeight w:val="276"/>
          <w:jc w:val="center"/>
        </w:trPr>
        <w:tc>
          <w:tcPr>
            <w:tcW w:w="1779" w:type="dxa"/>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1641854D" w14:textId="77777777" w:rsidR="00CC5237" w:rsidRPr="00136737" w:rsidRDefault="00CC5237" w:rsidP="00841CEC">
            <w:pPr>
              <w:pStyle w:val="TableParagraph"/>
              <w:spacing w:before="27"/>
              <w:ind w:left="81"/>
              <w:jc w:val="center"/>
              <w:rPr>
                <w:rFonts w:eastAsia="Calibri"/>
                <w:noProof/>
                <w:color w:val="4C4747"/>
                <w:spacing w:val="20"/>
                <w:sz w:val="18"/>
                <w:szCs w:val="24"/>
              </w:rPr>
            </w:pPr>
            <w:bookmarkStart w:id="25" w:name="_Hlk215038377"/>
            <w:r w:rsidRPr="00136737">
              <w:rPr>
                <w:rFonts w:eastAsia="Calibri"/>
                <w:noProof/>
                <w:color w:val="4C4747"/>
                <w:spacing w:val="20"/>
                <w:sz w:val="18"/>
                <w:szCs w:val="24"/>
              </w:rPr>
              <w:t>Accidentes Personales</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6AA39B5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1,752,026,675.35</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18B0D3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180,604,221.59</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6E86715C"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1,932,630,896.94</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36B7BEB9"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9%</w:t>
            </w:r>
          </w:p>
        </w:tc>
      </w:tr>
      <w:tr w:rsidR="00CC5237" w:rsidRPr="00136737" w14:paraId="79B7AE0F" w14:textId="77777777" w:rsidTr="00A04FF5">
        <w:trPr>
          <w:trHeight w:val="276"/>
          <w:jc w:val="center"/>
        </w:trPr>
        <w:tc>
          <w:tcPr>
            <w:tcW w:w="1779" w:type="dxa"/>
            <w:tcBorders>
              <w:top w:val="nil"/>
              <w:left w:val="nil"/>
              <w:bottom w:val="nil"/>
              <w:right w:val="nil"/>
            </w:tcBorders>
            <w:shd w:val="clear" w:color="auto" w:fill="auto"/>
            <w:noWrap/>
            <w:tcMar>
              <w:top w:w="15" w:type="dxa"/>
              <w:left w:w="15" w:type="dxa"/>
              <w:bottom w:w="0" w:type="dxa"/>
              <w:right w:w="15" w:type="dxa"/>
            </w:tcMar>
            <w:vAlign w:val="center"/>
            <w:hideMark/>
          </w:tcPr>
          <w:p w14:paraId="5D423D60"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Agrícola y Pecuario</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51397C0B"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558889D"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620,599,838.42</w:t>
            </w:r>
          </w:p>
        </w:tc>
        <w:tc>
          <w:tcPr>
            <w:tcW w:w="0" w:type="auto"/>
            <w:tcBorders>
              <w:top w:val="nil"/>
              <w:left w:val="nil"/>
              <w:bottom w:val="single" w:sz="8" w:space="0" w:color="7F7F7F"/>
              <w:right w:val="nil"/>
            </w:tcBorders>
            <w:shd w:val="clear" w:color="auto" w:fill="auto"/>
            <w:noWrap/>
            <w:tcMar>
              <w:top w:w="0" w:type="dxa"/>
              <w:left w:w="15" w:type="dxa"/>
              <w:bottom w:w="0" w:type="dxa"/>
              <w:right w:w="15" w:type="dxa"/>
            </w:tcMar>
            <w:vAlign w:val="center"/>
            <w:hideMark/>
          </w:tcPr>
          <w:p w14:paraId="507DC7F9"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620,599,838.42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6D8C9A"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100%</w:t>
            </w:r>
          </w:p>
        </w:tc>
      </w:tr>
      <w:tr w:rsidR="00CC5237" w:rsidRPr="00136737" w14:paraId="002853BB" w14:textId="77777777" w:rsidTr="00A04FF5">
        <w:trPr>
          <w:trHeight w:val="276"/>
          <w:jc w:val="center"/>
        </w:trPr>
        <w:tc>
          <w:tcPr>
            <w:tcW w:w="1779" w:type="dxa"/>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169D658B"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Fianzas</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F4D552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2,800,325,267.89</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44C84981"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151,825,212.29</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52B8A444"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2,952,150,480.19</w:t>
            </w:r>
          </w:p>
        </w:tc>
        <w:tc>
          <w:tcPr>
            <w:tcW w:w="0" w:type="auto"/>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1082ACB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5%</w:t>
            </w:r>
          </w:p>
        </w:tc>
      </w:tr>
      <w:tr w:rsidR="00CC5237" w:rsidRPr="00136737" w14:paraId="6FE2E534" w14:textId="77777777" w:rsidTr="00A04FF5">
        <w:trPr>
          <w:trHeight w:val="276"/>
          <w:jc w:val="center"/>
        </w:trPr>
        <w:tc>
          <w:tcPr>
            <w:tcW w:w="1779" w:type="dxa"/>
            <w:tcBorders>
              <w:top w:val="nil"/>
              <w:left w:val="nil"/>
              <w:bottom w:val="nil"/>
              <w:right w:val="nil"/>
            </w:tcBorders>
            <w:shd w:val="clear" w:color="auto" w:fill="auto"/>
            <w:noWrap/>
            <w:tcMar>
              <w:top w:w="15" w:type="dxa"/>
              <w:left w:w="15" w:type="dxa"/>
              <w:bottom w:w="0" w:type="dxa"/>
              <w:right w:w="15" w:type="dxa"/>
            </w:tcMar>
            <w:vAlign w:val="center"/>
            <w:hideMark/>
          </w:tcPr>
          <w:p w14:paraId="2620D459"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Incendio y Aliados</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547F22A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38,334,586,758.15</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C60BA4E"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2,453,335,766.91</w:t>
            </w:r>
          </w:p>
        </w:tc>
        <w:tc>
          <w:tcPr>
            <w:tcW w:w="0" w:type="auto"/>
            <w:tcBorders>
              <w:top w:val="nil"/>
              <w:left w:val="nil"/>
              <w:bottom w:val="single" w:sz="8" w:space="0" w:color="7F7F7F"/>
              <w:right w:val="nil"/>
            </w:tcBorders>
            <w:shd w:val="clear" w:color="auto" w:fill="auto"/>
            <w:noWrap/>
            <w:tcMar>
              <w:top w:w="0" w:type="dxa"/>
              <w:left w:w="15" w:type="dxa"/>
              <w:bottom w:w="0" w:type="dxa"/>
              <w:right w:w="15" w:type="dxa"/>
            </w:tcMar>
            <w:vAlign w:val="center"/>
            <w:hideMark/>
          </w:tcPr>
          <w:p w14:paraId="15D81C2E"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40,787,922,525.05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BDBC06"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7%</w:t>
            </w:r>
          </w:p>
        </w:tc>
      </w:tr>
      <w:tr w:rsidR="00CC5237" w:rsidRPr="00136737" w14:paraId="44ABC4EE" w14:textId="77777777" w:rsidTr="00A04FF5">
        <w:trPr>
          <w:trHeight w:val="276"/>
          <w:jc w:val="center"/>
        </w:trPr>
        <w:tc>
          <w:tcPr>
            <w:tcW w:w="1779" w:type="dxa"/>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6E7FF07A"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Nav. Marítimas y Aéreas</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3D396A70"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1,125,477,934.33</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5EB516BD"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559,496.47</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64363882"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1,126,037,430.81</w:t>
            </w:r>
          </w:p>
        </w:tc>
        <w:tc>
          <w:tcPr>
            <w:tcW w:w="0" w:type="auto"/>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0F22C9FE"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0%</w:t>
            </w:r>
          </w:p>
        </w:tc>
      </w:tr>
      <w:tr w:rsidR="00CC5237" w:rsidRPr="00136737" w14:paraId="3A535B32" w14:textId="77777777" w:rsidTr="00A04FF5">
        <w:trPr>
          <w:trHeight w:val="276"/>
          <w:jc w:val="center"/>
        </w:trPr>
        <w:tc>
          <w:tcPr>
            <w:tcW w:w="1779" w:type="dxa"/>
            <w:tcBorders>
              <w:top w:val="nil"/>
              <w:left w:val="nil"/>
              <w:bottom w:val="nil"/>
              <w:right w:val="nil"/>
            </w:tcBorders>
            <w:shd w:val="clear" w:color="auto" w:fill="auto"/>
            <w:noWrap/>
            <w:tcMar>
              <w:top w:w="15" w:type="dxa"/>
              <w:left w:w="15" w:type="dxa"/>
              <w:bottom w:w="0" w:type="dxa"/>
              <w:right w:w="15" w:type="dxa"/>
            </w:tcMar>
            <w:vAlign w:val="center"/>
            <w:hideMark/>
          </w:tcPr>
          <w:p w14:paraId="0CAEA60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Otros Seguros</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323D334"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8,157,950,986.36</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306A2D0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552,787,874.39</w:t>
            </w:r>
          </w:p>
        </w:tc>
        <w:tc>
          <w:tcPr>
            <w:tcW w:w="0" w:type="auto"/>
            <w:tcBorders>
              <w:top w:val="nil"/>
              <w:left w:val="nil"/>
              <w:bottom w:val="single" w:sz="8" w:space="0" w:color="7F7F7F"/>
              <w:right w:val="nil"/>
            </w:tcBorders>
            <w:shd w:val="clear" w:color="auto" w:fill="auto"/>
            <w:noWrap/>
            <w:tcMar>
              <w:top w:w="0" w:type="dxa"/>
              <w:left w:w="15" w:type="dxa"/>
              <w:bottom w:w="0" w:type="dxa"/>
              <w:right w:w="15" w:type="dxa"/>
            </w:tcMar>
            <w:vAlign w:val="center"/>
            <w:hideMark/>
          </w:tcPr>
          <w:p w14:paraId="744D8BA0"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8,710,738,860.75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F27A86"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4%</w:t>
            </w:r>
          </w:p>
        </w:tc>
      </w:tr>
      <w:bookmarkEnd w:id="25"/>
      <w:tr w:rsidR="00CC5237" w:rsidRPr="00136737" w14:paraId="2C549C39" w14:textId="77777777" w:rsidTr="00A04FF5">
        <w:trPr>
          <w:trHeight w:val="276"/>
          <w:jc w:val="center"/>
        </w:trPr>
        <w:tc>
          <w:tcPr>
            <w:tcW w:w="1779" w:type="dxa"/>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2ADE51F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Salud</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DFAA761"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61,893,086.64</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03F3EE6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36,254,843,360.81</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400CFDA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36,316,736,447.45</w:t>
            </w:r>
          </w:p>
        </w:tc>
        <w:tc>
          <w:tcPr>
            <w:tcW w:w="0" w:type="auto"/>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4D6B66D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100%</w:t>
            </w:r>
          </w:p>
        </w:tc>
      </w:tr>
      <w:tr w:rsidR="00CC5237" w:rsidRPr="00136737" w14:paraId="62523757" w14:textId="77777777" w:rsidTr="00A04FF5">
        <w:trPr>
          <w:trHeight w:val="276"/>
          <w:jc w:val="center"/>
        </w:trPr>
        <w:tc>
          <w:tcPr>
            <w:tcW w:w="1779" w:type="dxa"/>
            <w:tcBorders>
              <w:top w:val="nil"/>
              <w:left w:val="nil"/>
              <w:bottom w:val="nil"/>
              <w:right w:val="nil"/>
            </w:tcBorders>
            <w:shd w:val="clear" w:color="auto" w:fill="auto"/>
            <w:noWrap/>
            <w:tcMar>
              <w:top w:w="15" w:type="dxa"/>
              <w:left w:w="15" w:type="dxa"/>
              <w:bottom w:w="0" w:type="dxa"/>
              <w:right w:w="15" w:type="dxa"/>
            </w:tcMar>
            <w:vAlign w:val="center"/>
            <w:hideMark/>
          </w:tcPr>
          <w:p w14:paraId="44F9FBF1"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Transporte de Carga</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45432019"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1,586,418,263.15</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3B3326DD"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68,069,368.16</w:t>
            </w:r>
          </w:p>
        </w:tc>
        <w:tc>
          <w:tcPr>
            <w:tcW w:w="0" w:type="auto"/>
            <w:tcBorders>
              <w:top w:val="nil"/>
              <w:left w:val="nil"/>
              <w:bottom w:val="single" w:sz="8" w:space="0" w:color="7F7F7F"/>
              <w:right w:val="nil"/>
            </w:tcBorders>
            <w:shd w:val="clear" w:color="auto" w:fill="auto"/>
            <w:noWrap/>
            <w:tcMar>
              <w:top w:w="0" w:type="dxa"/>
              <w:left w:w="15" w:type="dxa"/>
              <w:bottom w:w="0" w:type="dxa"/>
              <w:right w:w="15" w:type="dxa"/>
            </w:tcMar>
            <w:vAlign w:val="center"/>
            <w:hideMark/>
          </w:tcPr>
          <w:p w14:paraId="3466C69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1,654,487,631.32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DCCA85"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w:t>
            </w:r>
          </w:p>
        </w:tc>
      </w:tr>
      <w:tr w:rsidR="00CC5237" w:rsidRPr="00136737" w14:paraId="6D25C155" w14:textId="77777777" w:rsidTr="00A04FF5">
        <w:trPr>
          <w:trHeight w:val="276"/>
          <w:jc w:val="center"/>
        </w:trPr>
        <w:tc>
          <w:tcPr>
            <w:tcW w:w="1779" w:type="dxa"/>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0721FB72"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Vehículos de Motor</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3DB7FB0A"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31,903,390,751.29</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56267211"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119,922,053.43</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1BF2E24D"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32,023,312,804.73</w:t>
            </w:r>
          </w:p>
        </w:tc>
        <w:tc>
          <w:tcPr>
            <w:tcW w:w="0" w:type="auto"/>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4FE05B92"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0%</w:t>
            </w:r>
          </w:p>
        </w:tc>
      </w:tr>
      <w:tr w:rsidR="00CC5237" w:rsidRPr="00136737" w14:paraId="6734DD7B" w14:textId="77777777" w:rsidTr="00A04FF5">
        <w:trPr>
          <w:trHeight w:val="276"/>
          <w:jc w:val="center"/>
        </w:trPr>
        <w:tc>
          <w:tcPr>
            <w:tcW w:w="1779" w:type="dxa"/>
            <w:tcBorders>
              <w:top w:val="nil"/>
              <w:left w:val="nil"/>
              <w:bottom w:val="nil"/>
              <w:right w:val="nil"/>
            </w:tcBorders>
            <w:shd w:val="clear" w:color="auto" w:fill="auto"/>
            <w:noWrap/>
            <w:tcMar>
              <w:top w:w="15" w:type="dxa"/>
              <w:left w:w="15" w:type="dxa"/>
              <w:bottom w:w="0" w:type="dxa"/>
              <w:right w:w="15" w:type="dxa"/>
            </w:tcMar>
            <w:vAlign w:val="center"/>
            <w:hideMark/>
          </w:tcPr>
          <w:p w14:paraId="5C76DD27"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Vida Colectivo</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570F03FF"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9,536,589,952.11</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76193DE0"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13,435,814,125.75</w:t>
            </w:r>
          </w:p>
        </w:tc>
        <w:tc>
          <w:tcPr>
            <w:tcW w:w="0" w:type="auto"/>
            <w:tcBorders>
              <w:top w:val="nil"/>
              <w:left w:val="nil"/>
              <w:bottom w:val="single" w:sz="8" w:space="0" w:color="7F7F7F"/>
              <w:right w:val="nil"/>
            </w:tcBorders>
            <w:shd w:val="clear" w:color="auto" w:fill="auto"/>
            <w:noWrap/>
            <w:tcMar>
              <w:top w:w="0" w:type="dxa"/>
              <w:left w:w="15" w:type="dxa"/>
              <w:bottom w:w="0" w:type="dxa"/>
              <w:right w:w="15" w:type="dxa"/>
            </w:tcMar>
            <w:vAlign w:val="center"/>
            <w:hideMark/>
          </w:tcPr>
          <w:p w14:paraId="4167BE5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22,972,404,077.86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FD4B0C"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56%</w:t>
            </w:r>
          </w:p>
        </w:tc>
      </w:tr>
      <w:tr w:rsidR="00CC5237" w:rsidRPr="00136737" w14:paraId="72F52AB8" w14:textId="77777777" w:rsidTr="00A04FF5">
        <w:trPr>
          <w:trHeight w:val="276"/>
          <w:jc w:val="center"/>
        </w:trPr>
        <w:tc>
          <w:tcPr>
            <w:tcW w:w="1779" w:type="dxa"/>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72219484"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Vida Individual</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0D4B8E2F"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674,420,931.77</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269A48DD"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1,401,604,995.87</w:t>
            </w:r>
          </w:p>
        </w:tc>
        <w:tc>
          <w:tcPr>
            <w:tcW w:w="0" w:type="auto"/>
            <w:tcBorders>
              <w:top w:val="nil"/>
              <w:left w:val="nil"/>
              <w:bottom w:val="single" w:sz="8" w:space="0" w:color="7F7F7F"/>
              <w:right w:val="nil"/>
            </w:tcBorders>
            <w:shd w:val="clear" w:color="auto" w:fill="auto"/>
            <w:noWrap/>
            <w:tcMar>
              <w:top w:w="15" w:type="dxa"/>
              <w:left w:w="15" w:type="dxa"/>
              <w:bottom w:w="0" w:type="dxa"/>
              <w:right w:w="15" w:type="dxa"/>
            </w:tcMar>
            <w:vAlign w:val="center"/>
            <w:hideMark/>
          </w:tcPr>
          <w:p w14:paraId="07EA0B1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2,076,025,927.64</w:t>
            </w:r>
          </w:p>
        </w:tc>
        <w:tc>
          <w:tcPr>
            <w:tcW w:w="0" w:type="auto"/>
            <w:tcBorders>
              <w:top w:val="single" w:sz="8" w:space="0" w:color="7F7F7F"/>
              <w:left w:val="nil"/>
              <w:bottom w:val="single" w:sz="8" w:space="0" w:color="7F7F7F"/>
              <w:right w:val="nil"/>
            </w:tcBorders>
            <w:shd w:val="clear" w:color="auto" w:fill="auto"/>
            <w:noWrap/>
            <w:tcMar>
              <w:top w:w="15" w:type="dxa"/>
              <w:left w:w="15" w:type="dxa"/>
              <w:bottom w:w="0" w:type="dxa"/>
              <w:right w:w="15" w:type="dxa"/>
            </w:tcMar>
            <w:vAlign w:val="center"/>
            <w:hideMark/>
          </w:tcPr>
          <w:p w14:paraId="38B781A3" w14:textId="77777777" w:rsidR="00CC5237" w:rsidRPr="00136737" w:rsidRDefault="00CC5237" w:rsidP="00841CEC">
            <w:pPr>
              <w:pStyle w:val="TableParagraph"/>
              <w:spacing w:before="27"/>
              <w:ind w:left="81"/>
              <w:jc w:val="center"/>
              <w:rPr>
                <w:rFonts w:eastAsia="Calibri"/>
                <w:noProof/>
                <w:color w:val="4C4747"/>
                <w:spacing w:val="20"/>
                <w:sz w:val="18"/>
                <w:szCs w:val="24"/>
              </w:rPr>
            </w:pPr>
            <w:r w:rsidRPr="00136737">
              <w:rPr>
                <w:rFonts w:eastAsia="Calibri"/>
                <w:noProof/>
                <w:color w:val="4C4747"/>
                <w:spacing w:val="20"/>
                <w:sz w:val="18"/>
                <w:szCs w:val="24"/>
              </w:rPr>
              <w:t>68%</w:t>
            </w:r>
          </w:p>
        </w:tc>
      </w:tr>
      <w:tr w:rsidR="00CC5237" w:rsidRPr="00136737" w14:paraId="472C92BA" w14:textId="77777777" w:rsidTr="00A04FF5">
        <w:trPr>
          <w:trHeight w:val="537"/>
          <w:jc w:val="center"/>
        </w:trPr>
        <w:tc>
          <w:tcPr>
            <w:tcW w:w="1779" w:type="dxa"/>
            <w:tcBorders>
              <w:top w:val="nil"/>
              <w:left w:val="nil"/>
              <w:bottom w:val="single" w:sz="8" w:space="0" w:color="7F7F7F"/>
              <w:right w:val="nil"/>
            </w:tcBorders>
            <w:shd w:val="clear" w:color="auto" w:fill="002060"/>
            <w:noWrap/>
            <w:tcMar>
              <w:top w:w="15" w:type="dxa"/>
              <w:left w:w="15" w:type="dxa"/>
              <w:bottom w:w="0" w:type="dxa"/>
              <w:right w:w="15" w:type="dxa"/>
            </w:tcMar>
            <w:vAlign w:val="center"/>
            <w:hideMark/>
          </w:tcPr>
          <w:p w14:paraId="4274D33F" w14:textId="77777777" w:rsidR="00CC5237" w:rsidRPr="00136737" w:rsidRDefault="00CC5237" w:rsidP="00841CEC">
            <w:pPr>
              <w:jc w:val="center"/>
              <w:rPr>
                <w:b/>
                <w:bCs/>
                <w:color w:val="FFFFFF"/>
                <w:sz w:val="18"/>
                <w:szCs w:val="18"/>
              </w:rPr>
            </w:pPr>
            <w:r w:rsidRPr="00136737">
              <w:rPr>
                <w:b/>
                <w:bCs/>
                <w:color w:val="FFFFFF"/>
                <w:sz w:val="18"/>
                <w:szCs w:val="18"/>
              </w:rPr>
              <w:t>Total</w:t>
            </w:r>
          </w:p>
        </w:tc>
        <w:tc>
          <w:tcPr>
            <w:tcW w:w="0" w:type="auto"/>
            <w:tcBorders>
              <w:top w:val="nil"/>
              <w:left w:val="nil"/>
              <w:bottom w:val="single" w:sz="8" w:space="0" w:color="7F7F7F"/>
              <w:right w:val="nil"/>
            </w:tcBorders>
            <w:shd w:val="clear" w:color="auto" w:fill="002060"/>
            <w:noWrap/>
            <w:tcMar>
              <w:top w:w="15" w:type="dxa"/>
              <w:left w:w="15" w:type="dxa"/>
              <w:bottom w:w="0" w:type="dxa"/>
              <w:right w:w="15" w:type="dxa"/>
            </w:tcMar>
            <w:vAlign w:val="center"/>
            <w:hideMark/>
          </w:tcPr>
          <w:p w14:paraId="16D90236" w14:textId="77777777" w:rsidR="00CC5237" w:rsidRPr="00136737" w:rsidRDefault="00CC5237" w:rsidP="00841CEC">
            <w:pPr>
              <w:jc w:val="center"/>
              <w:rPr>
                <w:b/>
                <w:bCs/>
                <w:color w:val="FFFFFF"/>
                <w:sz w:val="18"/>
                <w:szCs w:val="18"/>
              </w:rPr>
            </w:pPr>
            <w:r w:rsidRPr="00136737">
              <w:rPr>
                <w:b/>
                <w:bCs/>
                <w:color w:val="FFFFFF"/>
                <w:sz w:val="18"/>
                <w:szCs w:val="18"/>
              </w:rPr>
              <w:t>95,933,080,607</w:t>
            </w:r>
          </w:p>
        </w:tc>
        <w:tc>
          <w:tcPr>
            <w:tcW w:w="0" w:type="auto"/>
            <w:tcBorders>
              <w:top w:val="nil"/>
              <w:left w:val="nil"/>
              <w:bottom w:val="single" w:sz="8" w:space="0" w:color="7F7F7F"/>
              <w:right w:val="nil"/>
            </w:tcBorders>
            <w:shd w:val="clear" w:color="auto" w:fill="002060"/>
            <w:noWrap/>
            <w:tcMar>
              <w:top w:w="15" w:type="dxa"/>
              <w:left w:w="15" w:type="dxa"/>
              <w:bottom w:w="0" w:type="dxa"/>
              <w:right w:w="15" w:type="dxa"/>
            </w:tcMar>
            <w:vAlign w:val="center"/>
            <w:hideMark/>
          </w:tcPr>
          <w:p w14:paraId="1E36A1CB" w14:textId="77777777" w:rsidR="00CC5237" w:rsidRPr="00136737" w:rsidRDefault="00CC5237" w:rsidP="00841CEC">
            <w:pPr>
              <w:jc w:val="center"/>
              <w:rPr>
                <w:b/>
                <w:bCs/>
                <w:color w:val="FFFFFF"/>
                <w:sz w:val="18"/>
                <w:szCs w:val="18"/>
              </w:rPr>
            </w:pPr>
            <w:r w:rsidRPr="00136737">
              <w:rPr>
                <w:b/>
                <w:bCs/>
                <w:color w:val="FFFFFF"/>
                <w:sz w:val="18"/>
                <w:szCs w:val="18"/>
              </w:rPr>
              <w:t>55,239,966,314</w:t>
            </w:r>
          </w:p>
        </w:tc>
        <w:tc>
          <w:tcPr>
            <w:tcW w:w="0" w:type="auto"/>
            <w:tcBorders>
              <w:top w:val="nil"/>
              <w:left w:val="nil"/>
              <w:bottom w:val="single" w:sz="8" w:space="0" w:color="7F7F7F"/>
              <w:right w:val="nil"/>
            </w:tcBorders>
            <w:shd w:val="clear" w:color="auto" w:fill="002060"/>
            <w:noWrap/>
            <w:tcMar>
              <w:top w:w="15" w:type="dxa"/>
              <w:left w:w="15" w:type="dxa"/>
              <w:bottom w:w="0" w:type="dxa"/>
              <w:right w:w="15" w:type="dxa"/>
            </w:tcMar>
            <w:vAlign w:val="center"/>
            <w:hideMark/>
          </w:tcPr>
          <w:p w14:paraId="30E9A9DC" w14:textId="77777777" w:rsidR="00CC5237" w:rsidRPr="00136737" w:rsidRDefault="00CC5237" w:rsidP="00841CEC">
            <w:pPr>
              <w:jc w:val="center"/>
              <w:rPr>
                <w:b/>
                <w:bCs/>
                <w:color w:val="FFFFFF"/>
                <w:sz w:val="18"/>
                <w:szCs w:val="18"/>
              </w:rPr>
            </w:pPr>
            <w:r w:rsidRPr="00136737">
              <w:rPr>
                <w:b/>
                <w:bCs/>
                <w:color w:val="FFFFFF"/>
                <w:sz w:val="18"/>
                <w:szCs w:val="18"/>
              </w:rPr>
              <w:t>151,173,046,921</w:t>
            </w:r>
          </w:p>
        </w:tc>
        <w:tc>
          <w:tcPr>
            <w:tcW w:w="0" w:type="auto"/>
            <w:tcBorders>
              <w:top w:val="nil"/>
              <w:left w:val="nil"/>
              <w:bottom w:val="single" w:sz="8" w:space="0" w:color="7F7F7F"/>
              <w:right w:val="nil"/>
            </w:tcBorders>
            <w:shd w:val="clear" w:color="auto" w:fill="002060"/>
            <w:noWrap/>
            <w:tcMar>
              <w:top w:w="15" w:type="dxa"/>
              <w:left w:w="15" w:type="dxa"/>
              <w:bottom w:w="0" w:type="dxa"/>
              <w:right w:w="15" w:type="dxa"/>
            </w:tcMar>
            <w:vAlign w:val="center"/>
            <w:hideMark/>
          </w:tcPr>
          <w:p w14:paraId="0F2630D8" w14:textId="77777777" w:rsidR="00CC5237" w:rsidRPr="00136737" w:rsidRDefault="00CC5237" w:rsidP="00841CEC">
            <w:pPr>
              <w:jc w:val="center"/>
              <w:rPr>
                <w:b/>
                <w:bCs/>
                <w:color w:val="FFFFFF"/>
                <w:sz w:val="18"/>
                <w:szCs w:val="18"/>
              </w:rPr>
            </w:pPr>
            <w:r w:rsidRPr="00136737">
              <w:rPr>
                <w:b/>
                <w:bCs/>
                <w:color w:val="FFFFFF"/>
                <w:sz w:val="18"/>
                <w:szCs w:val="18"/>
              </w:rPr>
              <w:t>36%</w:t>
            </w:r>
          </w:p>
        </w:tc>
      </w:tr>
    </w:tbl>
    <w:bookmarkEnd w:id="24"/>
    <w:p w14:paraId="4715570C" w14:textId="77777777" w:rsidR="00136737" w:rsidRDefault="00CC5237" w:rsidP="00CC5237">
      <w:pPr>
        <w:spacing w:line="360" w:lineRule="auto"/>
        <w:jc w:val="both"/>
        <w:rPr>
          <w:sz w:val="18"/>
          <w:szCs w:val="18"/>
          <w:lang w:val="es-DO"/>
        </w:rPr>
      </w:pPr>
      <w:r w:rsidRPr="00DA0BEF">
        <w:rPr>
          <w:sz w:val="18"/>
          <w:szCs w:val="18"/>
          <w:lang w:val="es-DO"/>
        </w:rPr>
        <w:t xml:space="preserve">(*) Cifras proyectadas tomando en cuenta comportamiento histórico y del mercado. </w:t>
      </w:r>
    </w:p>
    <w:p w14:paraId="1405D59F" w14:textId="0A1E4A4E" w:rsidR="00CC5237" w:rsidRPr="00DA0BEF" w:rsidRDefault="00CC5237" w:rsidP="00CC5237">
      <w:pPr>
        <w:spacing w:line="360" w:lineRule="auto"/>
        <w:jc w:val="both"/>
        <w:rPr>
          <w:sz w:val="18"/>
          <w:szCs w:val="18"/>
          <w:lang w:val="es-DO"/>
        </w:rPr>
      </w:pPr>
      <w:r w:rsidRPr="00DA0BEF">
        <w:rPr>
          <w:b/>
          <w:sz w:val="18"/>
          <w:szCs w:val="18"/>
          <w:lang w:val="es-DO"/>
        </w:rPr>
        <w:t>Fuente:</w:t>
      </w:r>
      <w:r w:rsidRPr="00DA0BEF">
        <w:rPr>
          <w:sz w:val="18"/>
          <w:szCs w:val="18"/>
          <w:lang w:val="es-DO"/>
        </w:rPr>
        <w:t xml:space="preserve"> Dirección de Estudios del Sector Seguros.</w:t>
      </w:r>
    </w:p>
    <w:p w14:paraId="558E8302" w14:textId="77777777" w:rsidR="00136737" w:rsidRDefault="00136737" w:rsidP="00136737">
      <w:pPr>
        <w:spacing w:line="360" w:lineRule="auto"/>
        <w:jc w:val="both"/>
        <w:rPr>
          <w:lang w:val="es-DO"/>
        </w:rPr>
      </w:pPr>
    </w:p>
    <w:p w14:paraId="04068B65" w14:textId="77777777" w:rsidR="00136737" w:rsidRDefault="00136737" w:rsidP="00136737">
      <w:pPr>
        <w:spacing w:line="360" w:lineRule="auto"/>
        <w:jc w:val="both"/>
        <w:rPr>
          <w:lang w:val="es-DO"/>
        </w:rPr>
      </w:pPr>
    </w:p>
    <w:p w14:paraId="5879D8A4" w14:textId="5744C355" w:rsidR="00136737" w:rsidRPr="00136737" w:rsidRDefault="00136737" w:rsidP="00136737">
      <w:pPr>
        <w:spacing w:line="360" w:lineRule="auto"/>
        <w:jc w:val="both"/>
        <w:rPr>
          <w:rFonts w:eastAsia="Calibri"/>
          <w:noProof/>
          <w:color w:val="4C4747"/>
          <w:lang w:val="es-ES"/>
        </w:rPr>
      </w:pPr>
      <w:r w:rsidRPr="00136737">
        <w:rPr>
          <w:rFonts w:eastAsia="Calibri"/>
          <w:noProof/>
          <w:color w:val="4C4747"/>
          <w:lang w:val="es-ES"/>
        </w:rPr>
        <w:t xml:space="preserve">Con el objetivo de seguir contribuyendo al incremento de valor agregado desde el sector regulado por esta Superintendencia de Seguros, se ha venido trabajando durante el año en la reformulación de la reportería estadística y demás publicaciones, mediante las cuales se pone a disposición de los participantes del mercado asegurador las informaciones pertinentes para la toma de decisiones oportunas. </w:t>
      </w:r>
    </w:p>
    <w:p w14:paraId="72E5FF4E" w14:textId="77777777" w:rsidR="00136737" w:rsidRPr="00136737" w:rsidRDefault="00136737" w:rsidP="00136737">
      <w:pPr>
        <w:spacing w:line="360" w:lineRule="auto"/>
        <w:jc w:val="both"/>
        <w:rPr>
          <w:rFonts w:eastAsia="Calibri"/>
          <w:noProof/>
          <w:color w:val="4C4747"/>
          <w:lang w:val="es-ES"/>
        </w:rPr>
      </w:pPr>
      <w:r w:rsidRPr="00136737">
        <w:rPr>
          <w:rFonts w:eastAsia="Calibri"/>
          <w:noProof/>
          <w:color w:val="4C4747"/>
          <w:lang w:val="es-ES"/>
        </w:rPr>
        <w:t>En adición a esta reformulación y mejora a las publicaciones encontradas por esta gestión en la institución se han iniciado los trabajos concernientes al diseño, rediseño, actualización y puesta en marcha de nuevas y novedosas herramientas que permitan a los agentes económicos visualizar y utilizar los datos generados por las actividades del sector, cumpliendo así con los objetivos planteados por el Sr. Superintendente y con los objetivos y metas plasmadas en la Estrategia Nacional de Desarrollo (END-Ley No.1-12), que buscan democratizar el acceso a la información, la tecnificación de las instituciones del estado, el incentivo al desarrollo de los distintos sectores económicos, así como la promoción de la investigación</w:t>
      </w:r>
      <w:r>
        <w:rPr>
          <w:rFonts w:eastAsia="Calibri"/>
          <w:noProof/>
          <w:color w:val="4C4747"/>
          <w:lang w:val="es-ES"/>
        </w:rPr>
        <w:t xml:space="preserve"> </w:t>
      </w:r>
      <w:r w:rsidRPr="00136737">
        <w:rPr>
          <w:rFonts w:eastAsia="Calibri"/>
          <w:noProof/>
          <w:color w:val="4C4747"/>
          <w:lang w:val="es-ES"/>
        </w:rPr>
        <w:t xml:space="preserve">científica y el fortalecimiento de los distintos niveles académicos de </w:t>
      </w:r>
      <w:r w:rsidRPr="00136737">
        <w:rPr>
          <w:rFonts w:eastAsia="Calibri"/>
          <w:noProof/>
          <w:color w:val="4C4747"/>
          <w:lang w:val="es-ES"/>
        </w:rPr>
        <w:lastRenderedPageBreak/>
        <w:t>educación mediante la facilitación de datos que sustenten las labores de generación de conocimiento especializado.</w:t>
      </w:r>
    </w:p>
    <w:p w14:paraId="63259A76" w14:textId="7AD885E0" w:rsidR="00136737" w:rsidRPr="00136737" w:rsidRDefault="00136737" w:rsidP="00136737">
      <w:pPr>
        <w:spacing w:line="360" w:lineRule="auto"/>
        <w:jc w:val="both"/>
        <w:rPr>
          <w:rFonts w:eastAsia="Calibri"/>
          <w:noProof/>
          <w:color w:val="4C4747"/>
          <w:lang w:val="es-ES"/>
        </w:rPr>
      </w:pPr>
      <w:r w:rsidRPr="00136737">
        <w:rPr>
          <w:rFonts w:eastAsia="Calibri"/>
          <w:noProof/>
          <w:color w:val="4C4747"/>
          <w:lang w:val="es-ES"/>
        </w:rPr>
        <w:t>A través de nuestro Departamento de Inteligencia de Datos y Estadísticas ha mantenido actualizadas las publicaciones correspondientes a los informes y reportes de Primas Netas Cobradas a lo largo del año 2025 con 12 publicaciones de datos mensuales.</w:t>
      </w:r>
      <w:r>
        <w:rPr>
          <w:rFonts w:eastAsia="Calibri"/>
          <w:noProof/>
          <w:color w:val="4C4747"/>
          <w:lang w:val="es-ES"/>
        </w:rPr>
        <w:t xml:space="preserve"> </w:t>
      </w:r>
      <w:r w:rsidRPr="00136737">
        <w:rPr>
          <w:rFonts w:eastAsia="Calibri"/>
          <w:noProof/>
          <w:color w:val="4C4747"/>
          <w:lang w:val="es-ES"/>
        </w:rPr>
        <w:t xml:space="preserve">Adicionalmente, al lanzamiento de la Resolución núm. 01-24 sobre requerimientos y remisión de información por parte de las aseguradoras y reaseguradoras locales en enero del pasado año, durante el año 2025 fueron realizados encuentros con el sector para dar a conocer la metodología de trabajo, para la revisión de los documentos de trabajo y para tener una retroalimentación del sector respecto a los temas concernientes a esta resolución. </w:t>
      </w:r>
    </w:p>
    <w:p w14:paraId="0A1BF2A2" w14:textId="77777777" w:rsidR="00A04FF5" w:rsidRDefault="00136737" w:rsidP="00136737">
      <w:pPr>
        <w:spacing w:line="360" w:lineRule="auto"/>
        <w:jc w:val="both"/>
        <w:rPr>
          <w:rFonts w:eastAsia="Calibri"/>
          <w:noProof/>
          <w:color w:val="4C4747"/>
          <w:lang w:val="es-ES"/>
        </w:rPr>
      </w:pPr>
      <w:r w:rsidRPr="00136737">
        <w:rPr>
          <w:rFonts w:eastAsia="Calibri"/>
          <w:noProof/>
          <w:color w:val="4C4747"/>
          <w:lang w:val="es-ES"/>
        </w:rPr>
        <w:t>Luego de realizados los encuentros y sesiones de trabajo con los aseguradores y reaseguradores nacionales, fueron actualizados los documentos de trabajo, tanto manuales metodológicos para la homogeneización de las variables requeridas mediante la referida</w:t>
      </w:r>
      <w:r>
        <w:rPr>
          <w:rFonts w:eastAsia="Calibri"/>
          <w:noProof/>
          <w:color w:val="4C4747"/>
          <w:lang w:val="es-ES"/>
        </w:rPr>
        <w:t xml:space="preserve"> </w:t>
      </w:r>
      <w:r w:rsidRPr="00136737">
        <w:rPr>
          <w:rFonts w:eastAsia="Calibri"/>
          <w:noProof/>
          <w:color w:val="4C4747"/>
          <w:lang w:val="es-ES"/>
        </w:rPr>
        <w:t>resolución como los diccionarios de bases, y se elaboró el instructivo para el uso de las herramientas tecnológicas que servirán como medio de transmisión de los datos.</w:t>
      </w:r>
    </w:p>
    <w:p w14:paraId="23FA32AF" w14:textId="1AA6BFE2" w:rsidR="00136737" w:rsidRPr="00136737" w:rsidRDefault="00136737" w:rsidP="00136737">
      <w:pPr>
        <w:spacing w:line="360" w:lineRule="auto"/>
        <w:jc w:val="both"/>
        <w:rPr>
          <w:rFonts w:eastAsia="Calibri"/>
          <w:noProof/>
          <w:color w:val="4C4747"/>
          <w:lang w:val="es-ES"/>
        </w:rPr>
      </w:pPr>
      <w:r w:rsidRPr="00136737">
        <w:rPr>
          <w:rFonts w:eastAsia="Calibri"/>
          <w:noProof/>
          <w:color w:val="4C4747"/>
          <w:lang w:val="es-ES"/>
        </w:rPr>
        <w:lastRenderedPageBreak/>
        <w:t>El avance con la puesta en marcha de la Resolución Núm. 01-2024, además de ser un logro misional de esta superintendencia, que tenía en espera de ser emitida y de entrar en funcionamiento desde la primera mitad de 2021, sirve de herramienta fundamental para el logro de los objetivos enmarcados en el programa de “Burocracia cero” impulsado por la Presidencia de la República.</w:t>
      </w:r>
    </w:p>
    <w:p w14:paraId="37B3730C" w14:textId="2A09736D" w:rsidR="00136737" w:rsidRPr="00A04FF5" w:rsidRDefault="00136737" w:rsidP="00A04FF5">
      <w:pPr>
        <w:spacing w:line="360" w:lineRule="auto"/>
        <w:jc w:val="both"/>
        <w:rPr>
          <w:rFonts w:eastAsia="Calibri"/>
          <w:noProof/>
          <w:color w:val="4C4747"/>
          <w:lang w:val="es-ES"/>
        </w:rPr>
      </w:pPr>
      <w:r w:rsidRPr="00136737">
        <w:rPr>
          <w:rFonts w:eastAsia="Calibri"/>
          <w:noProof/>
          <w:color w:val="4C4747"/>
          <w:lang w:val="es-ES"/>
        </w:rPr>
        <w:t>Se realizaron informes financieros del total de empresas aseguradoras que operan en el sector de seguros en la República Dominicana. Estos informes hacen referencia a las informaciones financieras, tanto preliminares con corte trimestral como auditadas con cortes anuales, de las compañías aseguradoras autorizadas para operar en el territorio dominicano. El siguiente cuadro muestra la cantidad de informes realizados por este departamento a lo largo del periodo comprendido entre el 1 de enero y el 31 de diciembre del 2025:</w:t>
      </w:r>
    </w:p>
    <w:p w14:paraId="7A515E0F" w14:textId="77777777" w:rsidR="00136737" w:rsidRPr="006F37DC" w:rsidRDefault="00136737" w:rsidP="00136737">
      <w:pPr>
        <w:spacing w:after="0"/>
        <w:jc w:val="center"/>
        <w:rPr>
          <w:b/>
          <w:lang w:val="es-ES"/>
        </w:rPr>
      </w:pPr>
      <w:r w:rsidRPr="006F37DC">
        <w:rPr>
          <w:b/>
          <w:lang w:val="es-ES"/>
        </w:rPr>
        <w:t>Cuadro No. 3</w:t>
      </w:r>
    </w:p>
    <w:p w14:paraId="1E926953" w14:textId="77777777" w:rsidR="00136737" w:rsidRPr="006F37DC" w:rsidRDefault="00136737" w:rsidP="00136737">
      <w:pPr>
        <w:spacing w:after="0"/>
        <w:jc w:val="center"/>
        <w:rPr>
          <w:b/>
          <w:lang w:val="es-ES"/>
        </w:rPr>
      </w:pPr>
      <w:r w:rsidRPr="006F37DC">
        <w:rPr>
          <w:b/>
          <w:lang w:val="es-ES"/>
        </w:rPr>
        <w:t>Producción del Departamento de Análisis Financiero, año 2025*</w:t>
      </w:r>
    </w:p>
    <w:p w14:paraId="71DF6300" w14:textId="77777777" w:rsidR="00136737" w:rsidRPr="006F37DC" w:rsidRDefault="00136737" w:rsidP="00136737">
      <w:pPr>
        <w:jc w:val="center"/>
        <w:rPr>
          <w:b/>
          <w:lang w:val="es-ES"/>
        </w:rPr>
      </w:pPr>
      <w:r w:rsidRPr="006F37DC">
        <w:rPr>
          <w:b/>
          <w:lang w:val="es-ES"/>
        </w:rPr>
        <w:t xml:space="preserve">Valores en millones de RD$ </w:t>
      </w:r>
    </w:p>
    <w:tbl>
      <w:tblPr>
        <w:tblW w:w="7960" w:type="dxa"/>
        <w:jc w:val="center"/>
        <w:tblLook w:val="04A0" w:firstRow="1" w:lastRow="0" w:firstColumn="1" w:lastColumn="0" w:noHBand="0" w:noVBand="1"/>
      </w:tblPr>
      <w:tblGrid>
        <w:gridCol w:w="6700"/>
        <w:gridCol w:w="1260"/>
      </w:tblGrid>
      <w:tr w:rsidR="00136737" w:rsidRPr="00A04FF5" w14:paraId="71EE75DB" w14:textId="77777777" w:rsidTr="00841CEC">
        <w:trPr>
          <w:trHeight w:val="384"/>
          <w:jc w:val="center"/>
        </w:trPr>
        <w:tc>
          <w:tcPr>
            <w:tcW w:w="6700" w:type="dxa"/>
            <w:tcBorders>
              <w:top w:val="nil"/>
              <w:left w:val="nil"/>
              <w:bottom w:val="nil"/>
              <w:right w:val="nil"/>
            </w:tcBorders>
            <w:shd w:val="clear" w:color="000000" w:fill="264F73"/>
            <w:noWrap/>
            <w:vAlign w:val="center"/>
            <w:hideMark/>
          </w:tcPr>
          <w:p w14:paraId="21E5ECA4" w14:textId="77777777" w:rsidR="00136737" w:rsidRPr="00A04FF5" w:rsidRDefault="00136737" w:rsidP="00A04FF5">
            <w:pPr>
              <w:spacing w:line="240" w:lineRule="auto"/>
              <w:rPr>
                <w:b/>
                <w:bCs/>
                <w:i/>
                <w:iCs/>
                <w:color w:val="FFFFFF"/>
                <w:sz w:val="20"/>
              </w:rPr>
            </w:pPr>
            <w:r w:rsidRPr="00A04FF5">
              <w:rPr>
                <w:sz w:val="20"/>
                <w:lang w:val="es-DO"/>
              </w:rPr>
              <w:t xml:space="preserve"> </w:t>
            </w:r>
            <w:r w:rsidRPr="00A04FF5">
              <w:rPr>
                <w:b/>
                <w:bCs/>
                <w:i/>
                <w:iCs/>
                <w:color w:val="FFFFFF"/>
                <w:sz w:val="20"/>
                <w:lang w:val="es-DO"/>
              </w:rPr>
              <w:t xml:space="preserve">Producto </w:t>
            </w:r>
          </w:p>
        </w:tc>
        <w:tc>
          <w:tcPr>
            <w:tcW w:w="1260" w:type="dxa"/>
            <w:tcBorders>
              <w:top w:val="nil"/>
              <w:left w:val="nil"/>
              <w:bottom w:val="nil"/>
              <w:right w:val="nil"/>
            </w:tcBorders>
            <w:shd w:val="clear" w:color="000000" w:fill="264F73"/>
            <w:noWrap/>
            <w:vAlign w:val="center"/>
            <w:hideMark/>
          </w:tcPr>
          <w:p w14:paraId="0CB409F3" w14:textId="77777777" w:rsidR="00136737" w:rsidRPr="00A04FF5" w:rsidRDefault="00136737" w:rsidP="00A04FF5">
            <w:pPr>
              <w:spacing w:line="240" w:lineRule="auto"/>
              <w:jc w:val="center"/>
              <w:rPr>
                <w:b/>
                <w:bCs/>
                <w:i/>
                <w:iCs/>
                <w:color w:val="FFFFFF"/>
                <w:sz w:val="20"/>
              </w:rPr>
            </w:pPr>
            <w:proofErr w:type="spellStart"/>
            <w:r w:rsidRPr="00A04FF5">
              <w:rPr>
                <w:b/>
                <w:bCs/>
                <w:i/>
                <w:iCs/>
                <w:color w:val="FFFFFF"/>
                <w:sz w:val="20"/>
              </w:rPr>
              <w:t>Cantidad</w:t>
            </w:r>
            <w:proofErr w:type="spellEnd"/>
          </w:p>
        </w:tc>
      </w:tr>
      <w:tr w:rsidR="00136737" w:rsidRPr="00A04FF5" w14:paraId="0715B4F3" w14:textId="77777777" w:rsidTr="00841CEC">
        <w:trPr>
          <w:trHeight w:val="384"/>
          <w:jc w:val="center"/>
        </w:trPr>
        <w:tc>
          <w:tcPr>
            <w:tcW w:w="6700" w:type="dxa"/>
            <w:tcBorders>
              <w:top w:val="nil"/>
              <w:left w:val="nil"/>
              <w:bottom w:val="nil"/>
              <w:right w:val="nil"/>
            </w:tcBorders>
            <w:shd w:val="clear" w:color="000000" w:fill="FFFFFF"/>
            <w:noWrap/>
            <w:vAlign w:val="center"/>
            <w:hideMark/>
          </w:tcPr>
          <w:p w14:paraId="642C56CE" w14:textId="77777777" w:rsidR="00136737" w:rsidRPr="00A04FF5" w:rsidRDefault="00136737" w:rsidP="00A04FF5">
            <w:pPr>
              <w:spacing w:line="240" w:lineRule="auto"/>
              <w:rPr>
                <w:rFonts w:eastAsia="Calibri"/>
                <w:noProof/>
                <w:color w:val="4C4747"/>
                <w:sz w:val="20"/>
              </w:rPr>
            </w:pPr>
            <w:r w:rsidRPr="00A04FF5">
              <w:rPr>
                <w:rFonts w:eastAsia="Calibri"/>
                <w:noProof/>
                <w:color w:val="4C4747"/>
                <w:sz w:val="20"/>
              </w:rPr>
              <w:t>Informes financieros consolidado trimestral</w:t>
            </w:r>
          </w:p>
        </w:tc>
        <w:tc>
          <w:tcPr>
            <w:tcW w:w="1260" w:type="dxa"/>
            <w:tcBorders>
              <w:top w:val="nil"/>
              <w:left w:val="nil"/>
              <w:bottom w:val="nil"/>
              <w:right w:val="nil"/>
            </w:tcBorders>
            <w:shd w:val="clear" w:color="000000" w:fill="FFFFFF"/>
            <w:noWrap/>
            <w:vAlign w:val="center"/>
            <w:hideMark/>
          </w:tcPr>
          <w:p w14:paraId="140B0D9B"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3</w:t>
            </w:r>
          </w:p>
        </w:tc>
      </w:tr>
      <w:tr w:rsidR="00136737" w:rsidRPr="00A04FF5" w14:paraId="36E8BBDA" w14:textId="77777777" w:rsidTr="00841CEC">
        <w:trPr>
          <w:trHeight w:val="384"/>
          <w:jc w:val="center"/>
        </w:trPr>
        <w:tc>
          <w:tcPr>
            <w:tcW w:w="6700" w:type="dxa"/>
            <w:tcBorders>
              <w:top w:val="nil"/>
              <w:left w:val="nil"/>
              <w:bottom w:val="nil"/>
              <w:right w:val="nil"/>
            </w:tcBorders>
            <w:shd w:val="clear" w:color="000000" w:fill="F2F2F2"/>
            <w:noWrap/>
            <w:vAlign w:val="center"/>
            <w:hideMark/>
          </w:tcPr>
          <w:p w14:paraId="66CB863F" w14:textId="77777777" w:rsidR="00136737" w:rsidRPr="00A04FF5" w:rsidRDefault="00136737" w:rsidP="00A04FF5">
            <w:pPr>
              <w:spacing w:line="240" w:lineRule="auto"/>
              <w:rPr>
                <w:rFonts w:eastAsia="Calibri"/>
                <w:noProof/>
                <w:color w:val="4C4747"/>
                <w:sz w:val="20"/>
                <w:lang w:val="es-ES"/>
              </w:rPr>
            </w:pPr>
            <w:r w:rsidRPr="00A04FF5">
              <w:rPr>
                <w:rFonts w:eastAsia="Calibri"/>
                <w:noProof/>
                <w:color w:val="4C4747"/>
                <w:sz w:val="20"/>
                <w:lang w:val="es-ES"/>
              </w:rPr>
              <w:t>Informes financieros auditados por compañía</w:t>
            </w:r>
          </w:p>
        </w:tc>
        <w:tc>
          <w:tcPr>
            <w:tcW w:w="1260" w:type="dxa"/>
            <w:tcBorders>
              <w:top w:val="nil"/>
              <w:left w:val="nil"/>
              <w:bottom w:val="nil"/>
              <w:right w:val="nil"/>
            </w:tcBorders>
            <w:shd w:val="clear" w:color="000000" w:fill="F2F2F2"/>
            <w:noWrap/>
            <w:vAlign w:val="center"/>
            <w:hideMark/>
          </w:tcPr>
          <w:p w14:paraId="28EA1307"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34</w:t>
            </w:r>
          </w:p>
        </w:tc>
      </w:tr>
      <w:tr w:rsidR="00136737" w:rsidRPr="00A04FF5" w14:paraId="25327F12" w14:textId="77777777" w:rsidTr="00841CEC">
        <w:trPr>
          <w:trHeight w:val="384"/>
          <w:jc w:val="center"/>
        </w:trPr>
        <w:tc>
          <w:tcPr>
            <w:tcW w:w="6700" w:type="dxa"/>
            <w:tcBorders>
              <w:top w:val="nil"/>
              <w:left w:val="nil"/>
              <w:bottom w:val="nil"/>
              <w:right w:val="nil"/>
            </w:tcBorders>
            <w:shd w:val="clear" w:color="000000" w:fill="FFFFFF"/>
            <w:noWrap/>
            <w:vAlign w:val="center"/>
            <w:hideMark/>
          </w:tcPr>
          <w:p w14:paraId="197B588A" w14:textId="77777777" w:rsidR="00136737" w:rsidRPr="00A04FF5" w:rsidRDefault="00136737" w:rsidP="00A04FF5">
            <w:pPr>
              <w:spacing w:line="240" w:lineRule="auto"/>
              <w:rPr>
                <w:rFonts w:eastAsia="Calibri"/>
                <w:noProof/>
                <w:color w:val="4C4747"/>
                <w:sz w:val="20"/>
                <w:lang w:val="es-ES"/>
              </w:rPr>
            </w:pPr>
            <w:r w:rsidRPr="00A04FF5">
              <w:rPr>
                <w:rFonts w:eastAsia="Calibri"/>
                <w:noProof/>
                <w:color w:val="4C4747"/>
                <w:sz w:val="20"/>
                <w:lang w:val="es-ES"/>
              </w:rPr>
              <w:t>Informes financieros trimestrales por compañía</w:t>
            </w:r>
          </w:p>
        </w:tc>
        <w:tc>
          <w:tcPr>
            <w:tcW w:w="1260" w:type="dxa"/>
            <w:tcBorders>
              <w:top w:val="nil"/>
              <w:left w:val="nil"/>
              <w:bottom w:val="nil"/>
              <w:right w:val="nil"/>
            </w:tcBorders>
            <w:shd w:val="clear" w:color="000000" w:fill="FFFFFF"/>
            <w:noWrap/>
            <w:vAlign w:val="center"/>
            <w:hideMark/>
          </w:tcPr>
          <w:p w14:paraId="2C005E68"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105</w:t>
            </w:r>
          </w:p>
        </w:tc>
      </w:tr>
      <w:tr w:rsidR="00136737" w:rsidRPr="00A04FF5" w14:paraId="7A6112AB" w14:textId="77777777" w:rsidTr="00841CEC">
        <w:trPr>
          <w:trHeight w:val="384"/>
          <w:jc w:val="center"/>
        </w:trPr>
        <w:tc>
          <w:tcPr>
            <w:tcW w:w="6700" w:type="dxa"/>
            <w:tcBorders>
              <w:top w:val="nil"/>
              <w:left w:val="nil"/>
              <w:bottom w:val="nil"/>
              <w:right w:val="nil"/>
            </w:tcBorders>
            <w:shd w:val="clear" w:color="000000" w:fill="F2F2F2"/>
            <w:noWrap/>
            <w:vAlign w:val="center"/>
            <w:hideMark/>
          </w:tcPr>
          <w:p w14:paraId="1D418D5D" w14:textId="77777777" w:rsidR="00136737" w:rsidRPr="00A04FF5" w:rsidRDefault="00136737" w:rsidP="00A04FF5">
            <w:pPr>
              <w:spacing w:line="240" w:lineRule="auto"/>
              <w:rPr>
                <w:rFonts w:eastAsia="Calibri"/>
                <w:noProof/>
                <w:color w:val="4C4747"/>
                <w:sz w:val="20"/>
                <w:lang w:val="es-ES"/>
              </w:rPr>
            </w:pPr>
            <w:r w:rsidRPr="00A04FF5">
              <w:rPr>
                <w:rFonts w:eastAsia="Calibri"/>
                <w:noProof/>
                <w:color w:val="4C4747"/>
                <w:sz w:val="20"/>
                <w:lang w:val="es-ES"/>
              </w:rPr>
              <w:lastRenderedPageBreak/>
              <w:t>Reporte de índice de solvencia y liquidez trimestral</w:t>
            </w:r>
          </w:p>
        </w:tc>
        <w:tc>
          <w:tcPr>
            <w:tcW w:w="1260" w:type="dxa"/>
            <w:tcBorders>
              <w:top w:val="nil"/>
              <w:left w:val="nil"/>
              <w:bottom w:val="nil"/>
              <w:right w:val="nil"/>
            </w:tcBorders>
            <w:shd w:val="clear" w:color="000000" w:fill="F2F2F2"/>
            <w:noWrap/>
            <w:vAlign w:val="center"/>
            <w:hideMark/>
          </w:tcPr>
          <w:p w14:paraId="76D8E89F"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3</w:t>
            </w:r>
          </w:p>
        </w:tc>
      </w:tr>
      <w:tr w:rsidR="00136737" w:rsidRPr="00A04FF5" w14:paraId="0DD3301F" w14:textId="77777777" w:rsidTr="00841CEC">
        <w:trPr>
          <w:trHeight w:val="384"/>
          <w:jc w:val="center"/>
        </w:trPr>
        <w:tc>
          <w:tcPr>
            <w:tcW w:w="6700" w:type="dxa"/>
            <w:tcBorders>
              <w:top w:val="nil"/>
              <w:left w:val="nil"/>
              <w:bottom w:val="nil"/>
              <w:right w:val="nil"/>
            </w:tcBorders>
            <w:shd w:val="clear" w:color="000000" w:fill="FFFFFF"/>
            <w:noWrap/>
            <w:vAlign w:val="center"/>
            <w:hideMark/>
          </w:tcPr>
          <w:p w14:paraId="79163483" w14:textId="77777777" w:rsidR="00136737" w:rsidRPr="00A04FF5" w:rsidRDefault="00136737" w:rsidP="00A04FF5">
            <w:pPr>
              <w:spacing w:line="240" w:lineRule="auto"/>
              <w:rPr>
                <w:rFonts w:eastAsia="Calibri"/>
                <w:noProof/>
                <w:color w:val="4C4747"/>
                <w:sz w:val="20"/>
                <w:lang w:val="es-ES"/>
              </w:rPr>
            </w:pPr>
            <w:r w:rsidRPr="00A04FF5">
              <w:rPr>
                <w:rFonts w:eastAsia="Calibri"/>
                <w:noProof/>
                <w:color w:val="4C4747"/>
                <w:sz w:val="20"/>
                <w:lang w:val="es-ES"/>
              </w:rPr>
              <w:t>Reporte de índice y solvencia y liquidez auditado</w:t>
            </w:r>
          </w:p>
        </w:tc>
        <w:tc>
          <w:tcPr>
            <w:tcW w:w="1260" w:type="dxa"/>
            <w:tcBorders>
              <w:top w:val="nil"/>
              <w:left w:val="nil"/>
              <w:bottom w:val="nil"/>
              <w:right w:val="nil"/>
            </w:tcBorders>
            <w:shd w:val="clear" w:color="000000" w:fill="FFFFFF"/>
            <w:noWrap/>
            <w:vAlign w:val="center"/>
            <w:hideMark/>
          </w:tcPr>
          <w:p w14:paraId="63E9724F"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1</w:t>
            </w:r>
          </w:p>
        </w:tc>
      </w:tr>
      <w:tr w:rsidR="00136737" w:rsidRPr="00A04FF5" w14:paraId="15A0CAC5" w14:textId="77777777" w:rsidTr="00841CEC">
        <w:trPr>
          <w:trHeight w:val="384"/>
          <w:jc w:val="center"/>
        </w:trPr>
        <w:tc>
          <w:tcPr>
            <w:tcW w:w="6700" w:type="dxa"/>
            <w:tcBorders>
              <w:top w:val="nil"/>
              <w:left w:val="nil"/>
              <w:bottom w:val="nil"/>
              <w:right w:val="nil"/>
            </w:tcBorders>
            <w:shd w:val="clear" w:color="000000" w:fill="F2F2F2"/>
            <w:noWrap/>
            <w:vAlign w:val="center"/>
            <w:hideMark/>
          </w:tcPr>
          <w:p w14:paraId="79E9CC8E" w14:textId="77777777" w:rsidR="00136737" w:rsidRPr="00A04FF5" w:rsidRDefault="00136737" w:rsidP="00A04FF5">
            <w:pPr>
              <w:spacing w:line="240" w:lineRule="auto"/>
              <w:rPr>
                <w:rFonts w:eastAsia="Calibri"/>
                <w:noProof/>
                <w:color w:val="4C4747"/>
                <w:sz w:val="20"/>
                <w:lang w:val="es-ES"/>
              </w:rPr>
            </w:pPr>
            <w:r w:rsidRPr="00A04FF5">
              <w:rPr>
                <w:rFonts w:eastAsia="Calibri"/>
                <w:noProof/>
                <w:color w:val="4C4747"/>
                <w:sz w:val="20"/>
                <w:lang w:val="es-ES"/>
              </w:rPr>
              <w:t>Informes financieros de reaseguradores extranjeros</w:t>
            </w:r>
          </w:p>
        </w:tc>
        <w:tc>
          <w:tcPr>
            <w:tcW w:w="1260" w:type="dxa"/>
            <w:tcBorders>
              <w:top w:val="nil"/>
              <w:left w:val="nil"/>
              <w:bottom w:val="nil"/>
              <w:right w:val="nil"/>
            </w:tcBorders>
            <w:shd w:val="clear" w:color="000000" w:fill="F2F2F2"/>
            <w:noWrap/>
            <w:vAlign w:val="center"/>
            <w:hideMark/>
          </w:tcPr>
          <w:p w14:paraId="195965BD"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10</w:t>
            </w:r>
          </w:p>
        </w:tc>
      </w:tr>
      <w:tr w:rsidR="00136737" w:rsidRPr="00A04FF5" w14:paraId="47573C69" w14:textId="77777777" w:rsidTr="00841CEC">
        <w:trPr>
          <w:trHeight w:val="384"/>
          <w:jc w:val="center"/>
        </w:trPr>
        <w:tc>
          <w:tcPr>
            <w:tcW w:w="6700" w:type="dxa"/>
            <w:tcBorders>
              <w:top w:val="nil"/>
              <w:left w:val="nil"/>
              <w:bottom w:val="nil"/>
              <w:right w:val="nil"/>
            </w:tcBorders>
            <w:shd w:val="clear" w:color="000000" w:fill="FFFFFF"/>
            <w:noWrap/>
            <w:vAlign w:val="center"/>
            <w:hideMark/>
          </w:tcPr>
          <w:p w14:paraId="548FA981" w14:textId="77777777" w:rsidR="00136737" w:rsidRPr="00A04FF5" w:rsidRDefault="00136737" w:rsidP="00A04FF5">
            <w:pPr>
              <w:spacing w:line="240" w:lineRule="auto"/>
              <w:rPr>
                <w:rFonts w:eastAsia="Calibri"/>
                <w:noProof/>
                <w:color w:val="4C4747"/>
                <w:sz w:val="20"/>
                <w:lang w:val="es-ES"/>
              </w:rPr>
            </w:pPr>
            <w:r w:rsidRPr="00A04FF5">
              <w:rPr>
                <w:rFonts w:eastAsia="Calibri"/>
                <w:noProof/>
                <w:color w:val="4C4747"/>
                <w:sz w:val="20"/>
                <w:lang w:val="es-ES"/>
              </w:rPr>
              <w:t>Estados financieros de las empresas del sector</w:t>
            </w:r>
          </w:p>
        </w:tc>
        <w:tc>
          <w:tcPr>
            <w:tcW w:w="1260" w:type="dxa"/>
            <w:tcBorders>
              <w:top w:val="nil"/>
              <w:left w:val="nil"/>
              <w:bottom w:val="nil"/>
              <w:right w:val="nil"/>
            </w:tcBorders>
            <w:shd w:val="clear" w:color="000000" w:fill="FFFFFF"/>
            <w:noWrap/>
            <w:vAlign w:val="center"/>
            <w:hideMark/>
          </w:tcPr>
          <w:p w14:paraId="26668DB6" w14:textId="77777777" w:rsidR="00136737" w:rsidRPr="00A04FF5" w:rsidRDefault="00136737" w:rsidP="00A04FF5">
            <w:pPr>
              <w:spacing w:line="240" w:lineRule="auto"/>
              <w:jc w:val="center"/>
              <w:rPr>
                <w:rFonts w:eastAsia="Calibri"/>
                <w:noProof/>
                <w:color w:val="4C4747"/>
                <w:sz w:val="20"/>
              </w:rPr>
            </w:pPr>
            <w:r w:rsidRPr="00A04FF5">
              <w:rPr>
                <w:rFonts w:eastAsia="Calibri"/>
                <w:noProof/>
                <w:color w:val="4C4747"/>
                <w:sz w:val="20"/>
              </w:rPr>
              <w:t>90</w:t>
            </w:r>
          </w:p>
        </w:tc>
      </w:tr>
      <w:tr w:rsidR="00136737" w:rsidRPr="00A04FF5" w14:paraId="5DBD0321" w14:textId="77777777" w:rsidTr="00841CEC">
        <w:trPr>
          <w:trHeight w:val="384"/>
          <w:jc w:val="center"/>
        </w:trPr>
        <w:tc>
          <w:tcPr>
            <w:tcW w:w="6700" w:type="dxa"/>
            <w:tcBorders>
              <w:top w:val="nil"/>
              <w:left w:val="nil"/>
              <w:bottom w:val="nil"/>
              <w:right w:val="nil"/>
            </w:tcBorders>
            <w:shd w:val="clear" w:color="000000" w:fill="264F73"/>
            <w:noWrap/>
            <w:vAlign w:val="center"/>
            <w:hideMark/>
          </w:tcPr>
          <w:p w14:paraId="78B551F2" w14:textId="77777777" w:rsidR="00136737" w:rsidRPr="00A04FF5" w:rsidRDefault="00136737" w:rsidP="00A04FF5">
            <w:pPr>
              <w:spacing w:line="240" w:lineRule="auto"/>
              <w:rPr>
                <w:b/>
                <w:bCs/>
                <w:i/>
                <w:iCs/>
                <w:color w:val="FFFFFF"/>
                <w:sz w:val="20"/>
              </w:rPr>
            </w:pPr>
            <w:r w:rsidRPr="00A04FF5">
              <w:rPr>
                <w:b/>
                <w:bCs/>
                <w:i/>
                <w:iCs/>
                <w:color w:val="FFFFFF"/>
                <w:sz w:val="20"/>
                <w:lang w:val="es-DO"/>
              </w:rPr>
              <w:t>Total</w:t>
            </w:r>
          </w:p>
        </w:tc>
        <w:tc>
          <w:tcPr>
            <w:tcW w:w="1260" w:type="dxa"/>
            <w:tcBorders>
              <w:top w:val="nil"/>
              <w:left w:val="nil"/>
              <w:bottom w:val="nil"/>
              <w:right w:val="nil"/>
            </w:tcBorders>
            <w:shd w:val="clear" w:color="000000" w:fill="264F73"/>
            <w:noWrap/>
            <w:vAlign w:val="center"/>
            <w:hideMark/>
          </w:tcPr>
          <w:p w14:paraId="5F15ADE5" w14:textId="77777777" w:rsidR="00136737" w:rsidRPr="00A04FF5" w:rsidRDefault="00136737" w:rsidP="00A04FF5">
            <w:pPr>
              <w:spacing w:line="240" w:lineRule="auto"/>
              <w:jc w:val="right"/>
              <w:rPr>
                <w:b/>
                <w:bCs/>
                <w:i/>
                <w:iCs/>
                <w:color w:val="FF0000"/>
                <w:sz w:val="20"/>
              </w:rPr>
            </w:pPr>
            <w:r w:rsidRPr="00A04FF5">
              <w:rPr>
                <w:b/>
                <w:bCs/>
                <w:i/>
                <w:iCs/>
                <w:color w:val="FFFFFF" w:themeColor="background1"/>
                <w:sz w:val="20"/>
                <w:lang w:val="es-DO"/>
              </w:rPr>
              <w:t>246</w:t>
            </w:r>
          </w:p>
        </w:tc>
      </w:tr>
    </w:tbl>
    <w:p w14:paraId="372DFA22" w14:textId="77777777" w:rsidR="00136737" w:rsidRPr="006F37DC" w:rsidRDefault="00136737" w:rsidP="00136737">
      <w:pPr>
        <w:spacing w:line="360" w:lineRule="auto"/>
        <w:ind w:left="720"/>
        <w:rPr>
          <w:sz w:val="16"/>
          <w:lang w:val="es-ES"/>
        </w:rPr>
      </w:pPr>
      <w:r w:rsidRPr="006F37DC">
        <w:rPr>
          <w:sz w:val="16"/>
          <w:lang w:val="es-ES"/>
        </w:rPr>
        <w:t>(*) Cifras proyectadas para los meses de noviembre y diciembre tomando en cuenta       comportamiento histórico y del mercado.</w:t>
      </w:r>
    </w:p>
    <w:p w14:paraId="498C4948" w14:textId="55D09C37" w:rsidR="00136737" w:rsidRPr="00EF6A8E" w:rsidRDefault="00136737" w:rsidP="00EF6A8E">
      <w:pPr>
        <w:spacing w:line="360" w:lineRule="auto"/>
        <w:ind w:firstLine="720"/>
        <w:rPr>
          <w:sz w:val="20"/>
          <w:lang w:val="es-ES"/>
        </w:rPr>
      </w:pPr>
      <w:r w:rsidRPr="006F37DC">
        <w:rPr>
          <w:b/>
          <w:sz w:val="20"/>
          <w:lang w:val="es-ES"/>
        </w:rPr>
        <w:t xml:space="preserve">Fuente: </w:t>
      </w:r>
      <w:r w:rsidRPr="006F37DC">
        <w:rPr>
          <w:sz w:val="20"/>
          <w:lang w:val="es-ES"/>
        </w:rPr>
        <w:t>Dirección de Estudios del Sector Seguros.</w:t>
      </w:r>
    </w:p>
    <w:p w14:paraId="25E42CE5" w14:textId="77777777" w:rsidR="00136737" w:rsidRPr="00136737" w:rsidRDefault="00136737" w:rsidP="00136737">
      <w:pPr>
        <w:jc w:val="both"/>
        <w:rPr>
          <w:rFonts w:eastAsia="Calibri"/>
          <w:b/>
          <w:noProof/>
          <w:color w:val="4C4747"/>
          <w:lang w:val="es-ES"/>
        </w:rPr>
      </w:pPr>
      <w:r w:rsidRPr="00136737">
        <w:rPr>
          <w:rFonts w:eastAsia="Calibri"/>
          <w:b/>
          <w:noProof/>
          <w:color w:val="4C4747"/>
          <w:lang w:val="es-ES"/>
        </w:rPr>
        <w:t xml:space="preserve">Control y Supervisión: </w:t>
      </w:r>
    </w:p>
    <w:p w14:paraId="683450ED" w14:textId="61C3A70A" w:rsidR="00A70DE5" w:rsidRDefault="00A70DE5" w:rsidP="00136737">
      <w:pPr>
        <w:pStyle w:val="Textoindependiente"/>
        <w:spacing w:before="163" w:line="360" w:lineRule="auto"/>
        <w:ind w:right="-18"/>
        <w:jc w:val="both"/>
        <w:rPr>
          <w:rFonts w:eastAsia="Calibri"/>
          <w:noProof/>
          <w:color w:val="4C4747"/>
          <w:spacing w:val="20"/>
        </w:rPr>
      </w:pPr>
      <w:r>
        <w:rPr>
          <w:rFonts w:eastAsia="Calibri"/>
          <w:noProof/>
          <w:color w:val="4C4747"/>
          <w:spacing w:val="20"/>
        </w:rPr>
        <w:t xml:space="preserve">La </w:t>
      </w:r>
      <w:r w:rsidRPr="00A70DE5">
        <w:rPr>
          <w:rFonts w:eastAsia="Calibri"/>
          <w:noProof/>
          <w:color w:val="4C4747"/>
          <w:spacing w:val="20"/>
        </w:rPr>
        <w:t>Dirección de Control y Supervisión constituye el eje operativo mediante el cual la Superintendencia de Seguros materializa su razón de ser institucional. A través de esta Dirección se ejecutan las funciones de supervisión, control y seguimiento de las compañías de seguros y de los intermediarios, asegurando el cumplimiento de la normativa vigente</w:t>
      </w:r>
      <w:r>
        <w:rPr>
          <w:rFonts w:eastAsia="Calibri"/>
          <w:noProof/>
          <w:color w:val="4C4747"/>
          <w:spacing w:val="20"/>
        </w:rPr>
        <w:t>.</w:t>
      </w:r>
    </w:p>
    <w:p w14:paraId="42470056" w14:textId="6E204CEF" w:rsidR="00136737" w:rsidRPr="00136737" w:rsidRDefault="00136737" w:rsidP="00136737">
      <w:pPr>
        <w:pStyle w:val="Textoindependiente"/>
        <w:spacing w:before="163" w:line="360" w:lineRule="auto"/>
        <w:ind w:right="-18"/>
        <w:jc w:val="both"/>
        <w:rPr>
          <w:rFonts w:eastAsia="Calibri"/>
          <w:noProof/>
          <w:color w:val="4C4747"/>
          <w:spacing w:val="20"/>
        </w:rPr>
      </w:pPr>
      <w:r w:rsidRPr="00136737">
        <w:rPr>
          <w:rFonts w:eastAsia="Calibri"/>
          <w:noProof/>
          <w:color w:val="4C4747"/>
          <w:spacing w:val="20"/>
        </w:rPr>
        <w:t xml:space="preserve">En cuanto a las Compañías de Seguros y Reaseguros, se destaca que en el país operan un total de 35 compañías, de las cuales 33 son aseguradoras y 2 reaseguradoras. Se recibieron 35 estados financieros correspondientes al cuarto trimestre de 2024 y 35 estados financieros auditados al 31 de diciembre de 2024, los cuales constituyen la base de las auditorías realizadas en cumplimiento del Artículo 153 de la </w:t>
      </w:r>
      <w:r w:rsidRPr="00136737">
        <w:rPr>
          <w:rFonts w:eastAsia="Calibri"/>
          <w:noProof/>
          <w:color w:val="4C4747"/>
          <w:spacing w:val="20"/>
        </w:rPr>
        <w:lastRenderedPageBreak/>
        <w:t>Ley Núm. 146 - 02. Estos estados financieros fueron remitidos a tiempo, como establece la normativa, siendo analizados para asegurar el cumplimiento legal.</w:t>
      </w:r>
    </w:p>
    <w:p w14:paraId="149E17EC" w14:textId="10087D4C" w:rsidR="00A04FF5" w:rsidRPr="00136737" w:rsidRDefault="00136737" w:rsidP="00136737">
      <w:pPr>
        <w:pStyle w:val="Textoindependiente"/>
        <w:spacing w:before="163" w:line="360" w:lineRule="auto"/>
        <w:ind w:right="-18"/>
        <w:jc w:val="both"/>
        <w:rPr>
          <w:rFonts w:eastAsia="Calibri"/>
          <w:noProof/>
          <w:color w:val="4C4747"/>
          <w:spacing w:val="20"/>
        </w:rPr>
      </w:pPr>
      <w:r w:rsidRPr="00136737">
        <w:rPr>
          <w:rFonts w:eastAsia="Calibri"/>
          <w:noProof/>
          <w:color w:val="4C4747"/>
          <w:spacing w:val="20"/>
        </w:rPr>
        <w:t>En el marco de la implementación de la Resolución No. 09/2023, 34 compañías aseguradoras y reaseguradoras realizaron el pago correspondiente a las tasas por servicios y supervisión. También se recibieron y analizaron 102 estados financieros correspondientes a los tres primeros trimestres de 2025, remitidos por la Dirección de Estudios del Sector Seguros. De igual manera, 35 compañías actualizaron su registro mercantil y diligencias de accionistas, cumpliendo con la Circular No. 02 -2025.</w:t>
      </w:r>
    </w:p>
    <w:p w14:paraId="50C8C437" w14:textId="77777777" w:rsidR="00136737" w:rsidRPr="00136737" w:rsidRDefault="00136737" w:rsidP="00136737">
      <w:pPr>
        <w:spacing w:line="360" w:lineRule="auto"/>
        <w:jc w:val="both"/>
        <w:rPr>
          <w:rFonts w:eastAsia="Calibri"/>
          <w:noProof/>
          <w:color w:val="4C4747"/>
          <w:lang w:val="es-ES"/>
        </w:rPr>
      </w:pPr>
      <w:r w:rsidRPr="00136737">
        <w:rPr>
          <w:rFonts w:eastAsia="Calibri"/>
          <w:noProof/>
          <w:color w:val="4C4747"/>
          <w:lang w:val="es-ES"/>
        </w:rPr>
        <w:t>Se aprobaron 30 autorizaciones para la publicación de los estados financieros auditados de 2024 en periódicos de circulación nacional,</w:t>
      </w:r>
    </w:p>
    <w:p w14:paraId="411C412E" w14:textId="77777777" w:rsidR="00136737" w:rsidRPr="00136737" w:rsidRDefault="00136737" w:rsidP="00136737">
      <w:pPr>
        <w:pStyle w:val="Textoindependiente"/>
        <w:spacing w:before="162" w:line="360" w:lineRule="auto"/>
        <w:ind w:right="-18"/>
        <w:jc w:val="both"/>
        <w:rPr>
          <w:rFonts w:eastAsia="Calibri"/>
          <w:noProof/>
          <w:color w:val="4C4747"/>
          <w:spacing w:val="20"/>
        </w:rPr>
      </w:pPr>
      <w:r w:rsidRPr="00136737">
        <w:rPr>
          <w:rFonts w:eastAsia="Calibri"/>
          <w:noProof/>
          <w:color w:val="4C4747"/>
          <w:spacing w:val="20"/>
        </w:rPr>
        <w:t>conforme al Artículo 155 de la Ley Núm. 146 -02, y se recibieron 30 constancias de dichas publicaciones. Solo se sancionó una compañía de seguros por incumplimiento con los requisitos legales establecidos.</w:t>
      </w:r>
    </w:p>
    <w:p w14:paraId="73FD5B53" w14:textId="77777777" w:rsidR="00136737" w:rsidRPr="00136737" w:rsidRDefault="00136737" w:rsidP="00136737">
      <w:pPr>
        <w:pStyle w:val="Textoindependiente"/>
        <w:spacing w:before="162" w:line="360" w:lineRule="auto"/>
        <w:ind w:right="-18"/>
        <w:jc w:val="both"/>
        <w:rPr>
          <w:rFonts w:eastAsia="Calibri"/>
          <w:b/>
          <w:noProof/>
          <w:color w:val="4C4747"/>
          <w:spacing w:val="20"/>
        </w:rPr>
      </w:pPr>
      <w:r w:rsidRPr="00136737">
        <w:rPr>
          <w:rFonts w:eastAsia="Calibri"/>
          <w:b/>
          <w:noProof/>
          <w:color w:val="4C4747"/>
          <w:spacing w:val="20"/>
        </w:rPr>
        <w:t>Supervisión In-Situ y fortalecimiento prudencial:</w:t>
      </w:r>
    </w:p>
    <w:p w14:paraId="59A56248" w14:textId="77777777" w:rsidR="00136737" w:rsidRPr="00136737" w:rsidRDefault="00136737" w:rsidP="00136737">
      <w:pPr>
        <w:pStyle w:val="Textoindependiente"/>
        <w:spacing w:before="162" w:line="360" w:lineRule="auto"/>
        <w:ind w:right="-18"/>
        <w:jc w:val="both"/>
        <w:rPr>
          <w:rFonts w:eastAsia="Calibri"/>
          <w:noProof/>
          <w:color w:val="4C4747"/>
          <w:spacing w:val="20"/>
        </w:rPr>
      </w:pPr>
      <w:r w:rsidRPr="00136737">
        <w:rPr>
          <w:rFonts w:eastAsia="Calibri"/>
          <w:noProof/>
          <w:color w:val="4C4747"/>
          <w:spacing w:val="20"/>
        </w:rPr>
        <w:t>Se realizaron 4 inspecciones In-Situ Basadas en Riesgos, incluyendo una inspección prudencial consolidada con la SIMV, SIPEN y SB.</w:t>
      </w:r>
    </w:p>
    <w:p w14:paraId="38B849FC" w14:textId="77777777" w:rsidR="00136737" w:rsidRPr="00136737" w:rsidRDefault="00136737" w:rsidP="00136737">
      <w:pPr>
        <w:pStyle w:val="Textoindependiente"/>
        <w:spacing w:before="162" w:line="360" w:lineRule="auto"/>
        <w:ind w:right="-18"/>
        <w:jc w:val="both"/>
        <w:rPr>
          <w:rFonts w:eastAsia="Calibri"/>
          <w:noProof/>
          <w:color w:val="4C4747"/>
          <w:spacing w:val="20"/>
        </w:rPr>
      </w:pPr>
      <w:r w:rsidRPr="00136737">
        <w:rPr>
          <w:rFonts w:eastAsia="Calibri"/>
          <w:noProof/>
          <w:color w:val="4C4747"/>
          <w:spacing w:val="20"/>
        </w:rPr>
        <w:lastRenderedPageBreak/>
        <w:t>Aprobación de 7 solicitudes de aumento de capital y/o suscripción de acciones.</w:t>
      </w:r>
    </w:p>
    <w:p w14:paraId="10FB1C9F" w14:textId="77777777" w:rsidR="00136737" w:rsidRPr="00136737" w:rsidRDefault="00136737" w:rsidP="00136737">
      <w:pPr>
        <w:pStyle w:val="Textoindependiente"/>
        <w:spacing w:before="162" w:line="360" w:lineRule="auto"/>
        <w:ind w:right="-18"/>
        <w:jc w:val="both"/>
        <w:rPr>
          <w:rFonts w:eastAsia="Calibri"/>
          <w:noProof/>
          <w:color w:val="4C4747"/>
          <w:spacing w:val="20"/>
        </w:rPr>
      </w:pPr>
      <w:r w:rsidRPr="00136737">
        <w:rPr>
          <w:rFonts w:eastAsia="Calibri"/>
          <w:noProof/>
          <w:color w:val="4C4747"/>
          <w:spacing w:val="20"/>
        </w:rPr>
        <w:t>Otorgamiento de 11 prórrogas para el envío de Estados Financieros Preliminares, correspondientes a los tres primeros trimestres de 2025.</w:t>
      </w:r>
    </w:p>
    <w:p w14:paraId="0C85AB99" w14:textId="77777777" w:rsidR="00136737" w:rsidRPr="00C4077F" w:rsidRDefault="00136737" w:rsidP="00136737">
      <w:pPr>
        <w:pStyle w:val="Textoindependiente"/>
        <w:spacing w:before="162" w:line="360" w:lineRule="auto"/>
        <w:ind w:right="-18"/>
        <w:jc w:val="both"/>
        <w:rPr>
          <w:rFonts w:eastAsia="Calibri"/>
          <w:noProof/>
          <w:color w:val="4C4747"/>
          <w:spacing w:val="20"/>
          <w:u w:val="single"/>
        </w:rPr>
      </w:pPr>
      <w:r w:rsidRPr="00C4077F">
        <w:rPr>
          <w:rFonts w:eastAsia="Calibri"/>
          <w:noProof/>
          <w:color w:val="4C4747"/>
          <w:spacing w:val="20"/>
          <w:u w:val="single"/>
        </w:rPr>
        <w:t>Otros procesos de supervisión:</w:t>
      </w:r>
    </w:p>
    <w:p w14:paraId="7F14CA05" w14:textId="77777777" w:rsidR="00136737" w:rsidRPr="00136737" w:rsidRDefault="00136737" w:rsidP="00136737">
      <w:pPr>
        <w:pStyle w:val="Textoindependiente"/>
        <w:numPr>
          <w:ilvl w:val="0"/>
          <w:numId w:val="7"/>
        </w:numPr>
        <w:spacing w:before="162" w:line="360" w:lineRule="auto"/>
        <w:ind w:left="0" w:right="-18"/>
        <w:jc w:val="both"/>
        <w:rPr>
          <w:rFonts w:eastAsia="Calibri"/>
          <w:noProof/>
          <w:color w:val="4C4747"/>
          <w:spacing w:val="20"/>
        </w:rPr>
      </w:pPr>
      <w:r w:rsidRPr="00136737">
        <w:rPr>
          <w:rFonts w:eastAsia="Calibri"/>
          <w:noProof/>
          <w:color w:val="4C4747"/>
          <w:spacing w:val="20"/>
        </w:rPr>
        <w:t>Gestión de 39 debidas diligencias solicitadas por la Dirección Jurídica.</w:t>
      </w:r>
    </w:p>
    <w:p w14:paraId="5B971FEB" w14:textId="77777777" w:rsidR="00136737" w:rsidRPr="00136737" w:rsidRDefault="00136737" w:rsidP="00136737">
      <w:pPr>
        <w:pStyle w:val="Textoindependiente"/>
        <w:numPr>
          <w:ilvl w:val="0"/>
          <w:numId w:val="7"/>
        </w:numPr>
        <w:spacing w:before="162" w:line="360" w:lineRule="auto"/>
        <w:ind w:left="0" w:right="-18"/>
        <w:jc w:val="both"/>
        <w:rPr>
          <w:rFonts w:eastAsia="Calibri"/>
          <w:noProof/>
          <w:color w:val="4C4747"/>
          <w:spacing w:val="20"/>
        </w:rPr>
      </w:pPr>
      <w:r w:rsidRPr="00136737">
        <w:rPr>
          <w:rFonts w:eastAsia="Calibri"/>
          <w:noProof/>
          <w:color w:val="4C4747"/>
          <w:spacing w:val="20"/>
        </w:rPr>
        <w:t>Recepción de 213 reportes de comisiones pagadas y devengadas, según la Circular 4-2022.</w:t>
      </w:r>
    </w:p>
    <w:p w14:paraId="4FB06F2F" w14:textId="77777777" w:rsidR="00136737" w:rsidRPr="00136737" w:rsidRDefault="00136737" w:rsidP="00136737">
      <w:pPr>
        <w:pStyle w:val="Textoindependiente"/>
        <w:numPr>
          <w:ilvl w:val="0"/>
          <w:numId w:val="7"/>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Emisión de 213 comunicaciones DCS relacionadas con requerimientos internos y externos.</w:t>
      </w:r>
    </w:p>
    <w:p w14:paraId="3EA63EBB" w14:textId="77777777" w:rsidR="00136737" w:rsidRPr="00136737" w:rsidRDefault="00136737" w:rsidP="00136737">
      <w:pPr>
        <w:pStyle w:val="Textoindependiente"/>
        <w:numPr>
          <w:ilvl w:val="0"/>
          <w:numId w:val="8"/>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Realización de reuniones y exhortaciones formales para fomentar mejoras operativas en aseguradoras, reaseguradoras e intermediarios.</w:t>
      </w:r>
    </w:p>
    <w:p w14:paraId="0AC171EA" w14:textId="77777777" w:rsidR="00136737" w:rsidRPr="00136737" w:rsidRDefault="00136737" w:rsidP="00136737">
      <w:pPr>
        <w:pStyle w:val="Textoindependiente"/>
        <w:spacing w:before="162" w:line="360" w:lineRule="auto"/>
        <w:ind w:left="851" w:right="-18" w:hanging="851"/>
        <w:jc w:val="both"/>
        <w:rPr>
          <w:rFonts w:eastAsia="Calibri"/>
          <w:b/>
          <w:noProof/>
          <w:color w:val="4C4747"/>
          <w:spacing w:val="20"/>
        </w:rPr>
      </w:pPr>
      <w:r w:rsidRPr="00136737">
        <w:rPr>
          <w:rFonts w:eastAsia="Calibri"/>
          <w:b/>
          <w:noProof/>
          <w:color w:val="4C4747"/>
          <w:spacing w:val="20"/>
        </w:rPr>
        <w:t>Fortalecimiento técnico e institucional:</w:t>
      </w:r>
    </w:p>
    <w:p w14:paraId="3A3BD9A7" w14:textId="77777777" w:rsidR="00136737" w:rsidRPr="00136737" w:rsidRDefault="00136737" w:rsidP="00136737">
      <w:pPr>
        <w:pStyle w:val="Textoindependiente"/>
        <w:numPr>
          <w:ilvl w:val="0"/>
          <w:numId w:val="8"/>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Realización del primer seminario especializado en Supervisión Basada en Riesgos, organizado junto al FMI-CAPTAC y el Banco Central.</w:t>
      </w:r>
    </w:p>
    <w:p w14:paraId="2519A5A0" w14:textId="77777777" w:rsidR="00136737" w:rsidRPr="00136737" w:rsidRDefault="00136737" w:rsidP="00136737">
      <w:pPr>
        <w:pStyle w:val="Textoindependiente"/>
        <w:numPr>
          <w:ilvl w:val="0"/>
          <w:numId w:val="8"/>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lastRenderedPageBreak/>
        <w:t>Visita técnica del Toronto Centre, marcando el inicio de un plan estratégico robusto para la implementación plena de la Supervisión Basada en Riesgos en el sector asegurador.</w:t>
      </w:r>
    </w:p>
    <w:p w14:paraId="63F3A950" w14:textId="77777777" w:rsidR="00136737" w:rsidRPr="00136737" w:rsidRDefault="00136737" w:rsidP="00136737">
      <w:pPr>
        <w:pStyle w:val="Textoindependiente"/>
        <w:spacing w:before="162" w:line="360" w:lineRule="auto"/>
        <w:ind w:left="851" w:right="-18" w:hanging="851"/>
        <w:jc w:val="both"/>
        <w:rPr>
          <w:rFonts w:eastAsia="Calibri"/>
          <w:b/>
          <w:noProof/>
          <w:color w:val="4C4747"/>
          <w:spacing w:val="20"/>
        </w:rPr>
      </w:pPr>
      <w:r w:rsidRPr="00136737">
        <w:rPr>
          <w:rFonts w:eastAsia="Calibri"/>
          <w:b/>
          <w:noProof/>
          <w:color w:val="4C4747"/>
          <w:spacing w:val="20"/>
        </w:rPr>
        <w:t>Supervisión a Intermediarios de Seguros y Ajustadores</w:t>
      </w:r>
    </w:p>
    <w:p w14:paraId="15B35920" w14:textId="77777777" w:rsidR="00136737" w:rsidRPr="00136737" w:rsidRDefault="00136737" w:rsidP="00136737">
      <w:pPr>
        <w:pStyle w:val="Textoindependiente"/>
        <w:numPr>
          <w:ilvl w:val="0"/>
          <w:numId w:val="9"/>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Durante el mismo período, se avanzó de manera sostenida en la supervisión de corredores de seguros y ajustadores:</w:t>
      </w:r>
    </w:p>
    <w:p w14:paraId="1C6EEC28" w14:textId="77777777" w:rsidR="00136737" w:rsidRPr="00136737" w:rsidRDefault="00136737" w:rsidP="00136737">
      <w:pPr>
        <w:pStyle w:val="Textoindependiente"/>
        <w:numPr>
          <w:ilvl w:val="0"/>
          <w:numId w:val="9"/>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Recepción de 89 actualizaciones de Registro Mercantil y Debida Diligencia Ampliada de Corredores Morales (Circular 02-2025).</w:t>
      </w:r>
    </w:p>
    <w:p w14:paraId="6666719A" w14:textId="77777777" w:rsidR="00136737" w:rsidRPr="00136737" w:rsidRDefault="00136737" w:rsidP="00136737">
      <w:pPr>
        <w:pStyle w:val="Textoindependiente"/>
        <w:numPr>
          <w:ilvl w:val="0"/>
          <w:numId w:val="9"/>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Conclusión de 3 inspecciones In-Situ: 1 a Corredor Físico y 2 a Corredores Morales.</w:t>
      </w:r>
    </w:p>
    <w:p w14:paraId="03210E32" w14:textId="77777777" w:rsidR="00136737" w:rsidRPr="00136737" w:rsidRDefault="00136737" w:rsidP="00136737">
      <w:pPr>
        <w:pStyle w:val="Textoindependiente"/>
        <w:numPr>
          <w:ilvl w:val="0"/>
          <w:numId w:val="9"/>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Recepción de 95 Estados Financieros Auditados 2024 de Corredores Morales (Circular 05-2023).</w:t>
      </w:r>
    </w:p>
    <w:p w14:paraId="262A4133" w14:textId="77777777" w:rsidR="00136737" w:rsidRPr="00136737" w:rsidRDefault="00136737" w:rsidP="00136737">
      <w:pPr>
        <w:pStyle w:val="Textoindependiente"/>
        <w:numPr>
          <w:ilvl w:val="0"/>
          <w:numId w:val="9"/>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Recepción de 76 reportes de comisiones del primer semestre 2025 de Corredores Morales.</w:t>
      </w:r>
    </w:p>
    <w:p w14:paraId="3E13FB60" w14:textId="70025149" w:rsidR="00136737" w:rsidRDefault="00136737" w:rsidP="00136737">
      <w:pPr>
        <w:pStyle w:val="Textoindependiente"/>
        <w:numPr>
          <w:ilvl w:val="0"/>
          <w:numId w:val="9"/>
        </w:numPr>
        <w:spacing w:before="162" w:line="360" w:lineRule="auto"/>
        <w:ind w:left="851" w:right="-18" w:hanging="851"/>
        <w:jc w:val="both"/>
        <w:rPr>
          <w:rFonts w:eastAsia="Calibri"/>
          <w:noProof/>
          <w:color w:val="4C4747"/>
          <w:spacing w:val="20"/>
        </w:rPr>
      </w:pPr>
      <w:r w:rsidRPr="00136737">
        <w:rPr>
          <w:rFonts w:eastAsia="Calibri"/>
          <w:noProof/>
          <w:color w:val="4C4747"/>
          <w:spacing w:val="20"/>
        </w:rPr>
        <w:t>Recepción de 7 reportes de comisiones del año 2024 de Corredores Físicos.</w:t>
      </w:r>
    </w:p>
    <w:p w14:paraId="23F53F61" w14:textId="088F6AE8" w:rsidR="003F539D" w:rsidRDefault="003F539D" w:rsidP="003F539D">
      <w:pPr>
        <w:pStyle w:val="Textoindependiente"/>
        <w:spacing w:before="162" w:line="360" w:lineRule="auto"/>
        <w:ind w:left="851" w:right="-18"/>
        <w:jc w:val="both"/>
        <w:rPr>
          <w:rFonts w:eastAsia="Calibri"/>
          <w:noProof/>
          <w:color w:val="4C4747"/>
          <w:spacing w:val="20"/>
        </w:rPr>
      </w:pPr>
    </w:p>
    <w:p w14:paraId="38D9E309" w14:textId="77777777" w:rsidR="003F539D" w:rsidRPr="003F539D" w:rsidRDefault="003F539D" w:rsidP="003F539D">
      <w:pPr>
        <w:spacing w:line="360" w:lineRule="auto"/>
        <w:jc w:val="both"/>
        <w:rPr>
          <w:rFonts w:eastAsia="Calibri"/>
          <w:noProof/>
          <w:color w:val="4C4747"/>
          <w:lang w:val="es-ES"/>
        </w:rPr>
      </w:pPr>
      <w:r w:rsidRPr="003F539D">
        <w:rPr>
          <w:rFonts w:eastAsia="Calibri"/>
          <w:noProof/>
          <w:color w:val="4C4747"/>
          <w:lang w:val="es-ES"/>
        </w:rPr>
        <w:lastRenderedPageBreak/>
        <w:t>En cuanto a las Compañías de Seguros y Reaseguros, se destaca que en el país operan un total de 35 compañías, de las cuales 33 son aseguradoras y 2 reaseguradoras. Se recibieron 34 estados financieros correspondientes al cuarto trimestre de 2023 y 34 estados financieros auditados al 31 de diciembre de 2023, los cuales constituyen la base de las auditorías realizadas en cumplimiento del Artículo 153 de la Ley Núm. 146-02. Estos estados financieros fueron remitidos a tiempo, como establece la normativa, siendo analizados para asegurar el cumplimiento legal.</w:t>
      </w:r>
    </w:p>
    <w:p w14:paraId="19E79B80" w14:textId="77777777" w:rsidR="003F539D" w:rsidRPr="003F539D" w:rsidRDefault="003F539D" w:rsidP="003F539D">
      <w:pPr>
        <w:spacing w:line="360" w:lineRule="auto"/>
        <w:jc w:val="both"/>
        <w:rPr>
          <w:rFonts w:eastAsia="Calibri"/>
          <w:noProof/>
          <w:color w:val="4C4747"/>
          <w:lang w:val="es-ES"/>
        </w:rPr>
      </w:pPr>
      <w:r w:rsidRPr="003F539D">
        <w:rPr>
          <w:rFonts w:eastAsia="Calibri"/>
          <w:noProof/>
          <w:color w:val="4C4747"/>
          <w:lang w:val="es-ES"/>
        </w:rPr>
        <w:t>En el marco de la implementación de la Resolución No. 09/2023, 33 compañías aseguradoras y reaseguradoras realizaron el pago correspondiente a las tasas por servicios y supervisión. También se recibieron y analizaron 34 estados financieros correspondientes a los tres primeros trimestres de 2024, remitidos por la Dirección de Estudios del Sector Seguros. De igual manera, 34 compañías actualizaron su registro mercantil y diligencias de accionistas, cumpliendo con la Circular No. 06-2020.</w:t>
      </w:r>
    </w:p>
    <w:p w14:paraId="65454A86" w14:textId="77777777" w:rsidR="003F539D" w:rsidRPr="003F539D" w:rsidRDefault="003F539D" w:rsidP="003F539D">
      <w:pPr>
        <w:spacing w:line="360" w:lineRule="auto"/>
        <w:jc w:val="both"/>
        <w:rPr>
          <w:rFonts w:eastAsia="Calibri"/>
          <w:noProof/>
          <w:color w:val="4C4747"/>
          <w:lang w:val="es-ES"/>
        </w:rPr>
      </w:pPr>
      <w:r w:rsidRPr="003F539D">
        <w:rPr>
          <w:rFonts w:eastAsia="Calibri"/>
          <w:noProof/>
          <w:color w:val="4C4747"/>
          <w:lang w:val="es-ES"/>
        </w:rPr>
        <w:t xml:space="preserve">Se aprobaron 34 autorizaciones para la publicación de los estados financieros auditados de 2023 en periódicos de circulación nacional, conforme al Artículo 155 de la Ley Núm. 146-02, y se recibieron 34 constancias de dichas publicaciones. Además, se gestionaron seis </w:t>
      </w:r>
      <w:r w:rsidRPr="003F539D">
        <w:rPr>
          <w:rFonts w:eastAsia="Calibri"/>
          <w:noProof/>
          <w:color w:val="4C4747"/>
          <w:lang w:val="es-ES"/>
        </w:rPr>
        <w:lastRenderedPageBreak/>
        <w:t>solicitudes para aumento de capital o suscripción de acciones, cumpliendo con los requisitos legales establecidos.</w:t>
      </w:r>
    </w:p>
    <w:p w14:paraId="2E48EC65" w14:textId="608F5D5A" w:rsidR="003F539D" w:rsidRDefault="003F539D" w:rsidP="003F539D">
      <w:pPr>
        <w:spacing w:line="360" w:lineRule="auto"/>
        <w:jc w:val="both"/>
        <w:rPr>
          <w:rFonts w:eastAsia="Calibri"/>
          <w:noProof/>
          <w:color w:val="4C4747"/>
          <w:lang w:val="es-ES"/>
        </w:rPr>
      </w:pPr>
      <w:r w:rsidRPr="003F539D">
        <w:rPr>
          <w:rFonts w:eastAsia="Calibri"/>
          <w:noProof/>
          <w:color w:val="4C4747"/>
          <w:lang w:val="es-ES"/>
        </w:rPr>
        <w:t>En el ámbito de supervisión basada en riesgos, se remitieron dos informes relacionados con supervisiones In-Situ para los períodos enero-diciembre de 2022 y enero-junio de 2023, y Extra-Situ para el período julio-septiembre de 2023. También se concluyeron dos informes finales sobre supervisiones In-Situ y consolidadas, correspondientes a enero-diciembre de 2023 y enero-marzo de 2024. Adicionalmente, se remitió un informe final enfocado en Gobierno Corporativo.</w:t>
      </w:r>
    </w:p>
    <w:p w14:paraId="6819F7A7" w14:textId="77777777" w:rsidR="003F539D" w:rsidRPr="003F539D" w:rsidRDefault="003F539D" w:rsidP="003F539D">
      <w:pPr>
        <w:spacing w:line="360" w:lineRule="auto"/>
        <w:jc w:val="both"/>
        <w:rPr>
          <w:rFonts w:eastAsia="Calibri"/>
          <w:noProof/>
          <w:color w:val="4C4747"/>
          <w:lang w:val="es-ES"/>
        </w:rPr>
      </w:pPr>
      <w:r w:rsidRPr="003F539D">
        <w:rPr>
          <w:rFonts w:eastAsia="Calibri"/>
          <w:noProof/>
          <w:color w:val="4C4747"/>
          <w:lang w:val="es-ES"/>
        </w:rPr>
        <w:t>Se gestionaron 101 debidas diligencias solicitadas por la Dirección Jurídica y se recibieron 310 reportes de comisiones pagadas y devengadas de 31 aseguradoras. En total, se elaboraron 197 comunicaciones internas identificadas como DCS, relacionadas con requerimientos y solicitudes dirigidas a otras direcciones y departamentos. A través de reuniones, comunicaciones formales y correos electrónicos, se realizaron exhortaciones para mejoras dirigidas a compañías aseguradoras, reaseguradoras e intermediarios.</w:t>
      </w:r>
    </w:p>
    <w:p w14:paraId="473EC278" w14:textId="77777777" w:rsidR="003F539D" w:rsidRPr="003F539D" w:rsidRDefault="003F539D" w:rsidP="003F539D">
      <w:pPr>
        <w:spacing w:line="360" w:lineRule="auto"/>
        <w:jc w:val="both"/>
        <w:rPr>
          <w:rFonts w:eastAsia="Calibri"/>
          <w:noProof/>
          <w:color w:val="4C4747"/>
          <w:lang w:val="es-ES"/>
        </w:rPr>
      </w:pPr>
      <w:r w:rsidRPr="003F539D">
        <w:rPr>
          <w:rFonts w:eastAsia="Calibri"/>
          <w:noProof/>
          <w:color w:val="4C4747"/>
          <w:lang w:val="es-ES"/>
        </w:rPr>
        <w:t xml:space="preserve">Respecto a los Intermediarios de Seguros, se concluyeron 11 inspecciones a corredores de seguros, 9 de ellas realizadas In-Situ y </w:t>
      </w:r>
      <w:r w:rsidRPr="003F539D">
        <w:rPr>
          <w:rFonts w:eastAsia="Calibri"/>
          <w:noProof/>
          <w:color w:val="4C4747"/>
          <w:lang w:val="es-ES"/>
        </w:rPr>
        <w:lastRenderedPageBreak/>
        <w:t>2 Extra-Situ, basadas en riesgos y enfocadas en operaciones de corretaje, correspondientes al período enero-diciembre de 2023. Se recibieron 213 requerimientos de corredores morales y 53 de corredores físicos sobre la remisión de estados financieros auditados y comisiones correspondientes al año 2023. Además, se otorgaron 29 prórrogas para el envío de dichos estados financieros.</w:t>
      </w:r>
    </w:p>
    <w:p w14:paraId="4DB758A6" w14:textId="77777777" w:rsidR="003F539D" w:rsidRPr="003F539D" w:rsidRDefault="003F539D" w:rsidP="003F539D">
      <w:pPr>
        <w:spacing w:line="360" w:lineRule="auto"/>
        <w:jc w:val="both"/>
        <w:rPr>
          <w:rFonts w:eastAsia="Calibri"/>
          <w:noProof/>
          <w:color w:val="4C4747"/>
          <w:lang w:val="es-ES"/>
        </w:rPr>
      </w:pPr>
      <w:r w:rsidRPr="003F539D">
        <w:rPr>
          <w:rFonts w:eastAsia="Calibri"/>
          <w:noProof/>
          <w:color w:val="4C4747"/>
          <w:lang w:val="es-ES"/>
        </w:rPr>
        <w:t xml:space="preserve">Estas actividades reafirman el compromiso de la institución con la supervisión del sector asegurador y de intermediarios, garantizando el cumplimiento normativo y promoviendo mejoras continuas en los procesos. </w:t>
      </w:r>
    </w:p>
    <w:p w14:paraId="0DD0B718" w14:textId="77777777" w:rsidR="003F539D" w:rsidRPr="003F539D" w:rsidRDefault="003F539D" w:rsidP="003F539D">
      <w:pPr>
        <w:pStyle w:val="Textoindependiente"/>
        <w:spacing w:before="162"/>
        <w:jc w:val="both"/>
        <w:rPr>
          <w:rFonts w:eastAsia="Calibri"/>
          <w:b/>
          <w:noProof/>
          <w:color w:val="4C4747"/>
          <w:spacing w:val="20"/>
        </w:rPr>
      </w:pPr>
      <w:r w:rsidRPr="003F539D">
        <w:rPr>
          <w:rFonts w:eastAsia="Calibri"/>
          <w:b/>
          <w:noProof/>
          <w:color w:val="4C4747"/>
          <w:spacing w:val="20"/>
        </w:rPr>
        <w:t>Proyecciones para noviembre–diciembre 2025</w:t>
      </w:r>
    </w:p>
    <w:p w14:paraId="1B0CBE95" w14:textId="77777777" w:rsidR="003F539D" w:rsidRPr="003F539D" w:rsidRDefault="003F539D" w:rsidP="003F539D">
      <w:pPr>
        <w:pStyle w:val="Textoindependiente"/>
        <w:spacing w:before="162" w:line="360" w:lineRule="auto"/>
        <w:ind w:right="743"/>
        <w:jc w:val="both"/>
        <w:rPr>
          <w:rFonts w:eastAsia="Calibri"/>
          <w:noProof/>
          <w:color w:val="4C4747"/>
          <w:spacing w:val="20"/>
        </w:rPr>
      </w:pPr>
      <w:r w:rsidRPr="003F539D">
        <w:rPr>
          <w:rFonts w:eastAsia="Calibri"/>
          <w:noProof/>
          <w:color w:val="4C4747"/>
          <w:spacing w:val="20"/>
        </w:rPr>
        <w:t>Para el cierre del año, la Dirección continuará fortaleciendo sus procesos de control, supervisión y evaluación:</w:t>
      </w:r>
    </w:p>
    <w:p w14:paraId="52F809B5" w14:textId="77777777" w:rsidR="003F539D" w:rsidRPr="003F539D" w:rsidRDefault="003F539D" w:rsidP="003F539D">
      <w:pPr>
        <w:pStyle w:val="Textoindependiente"/>
        <w:numPr>
          <w:ilvl w:val="0"/>
          <w:numId w:val="10"/>
        </w:numPr>
        <w:spacing w:before="162" w:line="360" w:lineRule="auto"/>
        <w:ind w:left="0" w:right="743"/>
        <w:jc w:val="both"/>
        <w:rPr>
          <w:rFonts w:eastAsia="Calibri"/>
          <w:noProof/>
          <w:color w:val="4C4747"/>
          <w:spacing w:val="20"/>
        </w:rPr>
      </w:pPr>
      <w:r w:rsidRPr="003F539D">
        <w:rPr>
          <w:rFonts w:eastAsia="Calibri"/>
          <w:noProof/>
          <w:color w:val="4C4747"/>
          <w:spacing w:val="20"/>
        </w:rPr>
        <w:t>Seguimiento a requerimientos y documentación derivados de resoluciones, circulares y procesos In-Situ.</w:t>
      </w:r>
    </w:p>
    <w:p w14:paraId="10994BB5" w14:textId="77777777" w:rsidR="003F539D" w:rsidRPr="003F539D" w:rsidRDefault="003F539D" w:rsidP="003F539D">
      <w:pPr>
        <w:pStyle w:val="Textoindependiente"/>
        <w:numPr>
          <w:ilvl w:val="0"/>
          <w:numId w:val="10"/>
        </w:numPr>
        <w:spacing w:before="162" w:line="360" w:lineRule="auto"/>
        <w:ind w:left="0" w:right="743"/>
        <w:jc w:val="both"/>
        <w:rPr>
          <w:rFonts w:eastAsia="Calibri"/>
          <w:noProof/>
          <w:color w:val="4C4747"/>
          <w:spacing w:val="20"/>
        </w:rPr>
      </w:pPr>
      <w:r w:rsidRPr="003F539D">
        <w:rPr>
          <w:rFonts w:eastAsia="Calibri"/>
          <w:noProof/>
          <w:color w:val="4C4747"/>
          <w:spacing w:val="20"/>
        </w:rPr>
        <w:t>Recepción de documentación conforme a la Circular 03-2023 sobre Auditores Externos.</w:t>
      </w:r>
    </w:p>
    <w:p w14:paraId="63FA2842" w14:textId="77777777" w:rsidR="003F539D" w:rsidRPr="003F539D" w:rsidRDefault="003F539D" w:rsidP="003F539D">
      <w:pPr>
        <w:pStyle w:val="Textoindependiente"/>
        <w:numPr>
          <w:ilvl w:val="0"/>
          <w:numId w:val="10"/>
        </w:numPr>
        <w:spacing w:before="162" w:line="360" w:lineRule="auto"/>
        <w:ind w:left="0" w:right="743"/>
        <w:jc w:val="both"/>
        <w:rPr>
          <w:rFonts w:eastAsia="Calibri"/>
          <w:noProof/>
          <w:color w:val="4C4747"/>
          <w:spacing w:val="20"/>
        </w:rPr>
      </w:pPr>
      <w:r w:rsidRPr="003F539D">
        <w:rPr>
          <w:rFonts w:eastAsia="Calibri"/>
          <w:noProof/>
          <w:color w:val="4C4747"/>
          <w:spacing w:val="20"/>
        </w:rPr>
        <w:t>Conclusión de 7 revisiones In-Situ a compañías de seguros actualmente en curso.</w:t>
      </w:r>
    </w:p>
    <w:p w14:paraId="0EE74D16" w14:textId="77777777" w:rsidR="003F539D" w:rsidRPr="003F539D" w:rsidRDefault="003F539D" w:rsidP="003F539D">
      <w:pPr>
        <w:pStyle w:val="Textoindependiente"/>
        <w:numPr>
          <w:ilvl w:val="0"/>
          <w:numId w:val="10"/>
        </w:numPr>
        <w:spacing w:before="162" w:line="360" w:lineRule="auto"/>
        <w:ind w:left="0" w:right="743"/>
        <w:jc w:val="both"/>
        <w:rPr>
          <w:rFonts w:eastAsia="Calibri"/>
          <w:noProof/>
          <w:color w:val="4C4747"/>
          <w:spacing w:val="20"/>
        </w:rPr>
      </w:pPr>
      <w:r w:rsidRPr="003F539D">
        <w:rPr>
          <w:rFonts w:eastAsia="Calibri"/>
          <w:noProof/>
          <w:color w:val="4C4747"/>
          <w:spacing w:val="20"/>
        </w:rPr>
        <w:lastRenderedPageBreak/>
        <w:t>Finalización de 2 revisiones In-Situ a Corredores Morales.</w:t>
      </w:r>
    </w:p>
    <w:p w14:paraId="5A85080D" w14:textId="77777777" w:rsidR="003F539D" w:rsidRPr="003F539D" w:rsidRDefault="003F539D" w:rsidP="003F539D">
      <w:pPr>
        <w:pStyle w:val="Textoindependiente"/>
        <w:numPr>
          <w:ilvl w:val="0"/>
          <w:numId w:val="10"/>
        </w:numPr>
        <w:spacing w:before="162" w:line="360" w:lineRule="auto"/>
        <w:ind w:left="0" w:right="743"/>
        <w:jc w:val="both"/>
        <w:rPr>
          <w:rFonts w:eastAsia="Calibri"/>
          <w:noProof/>
          <w:color w:val="4C4747"/>
          <w:spacing w:val="20"/>
        </w:rPr>
      </w:pPr>
      <w:r w:rsidRPr="003F539D">
        <w:rPr>
          <w:rFonts w:eastAsia="Calibri"/>
          <w:noProof/>
          <w:color w:val="4C4747"/>
          <w:spacing w:val="20"/>
        </w:rPr>
        <w:t>Avance en la planificación de inspecciones relativas a las operaciones del año 2024.</w:t>
      </w:r>
    </w:p>
    <w:p w14:paraId="3C92CA5E" w14:textId="77777777" w:rsidR="003F539D" w:rsidRPr="003F539D" w:rsidRDefault="003F539D" w:rsidP="003F539D">
      <w:pPr>
        <w:pStyle w:val="Textoindependiente"/>
        <w:spacing w:before="159" w:line="360" w:lineRule="auto"/>
        <w:ind w:right="738"/>
        <w:jc w:val="both"/>
        <w:rPr>
          <w:rFonts w:eastAsia="Calibri"/>
          <w:noProof/>
          <w:color w:val="4C4747"/>
          <w:spacing w:val="20"/>
        </w:rPr>
      </w:pPr>
      <w:r w:rsidRPr="003F539D">
        <w:rPr>
          <w:rFonts w:eastAsia="Calibri"/>
          <w:noProof/>
          <w:color w:val="4C4747"/>
          <w:spacing w:val="20"/>
        </w:rPr>
        <w:t>Estas actividades reafirman el compromiso de la institución con la supervisión del sector asegurador y de intermediarios, garantizando el cumplimiento normativo y promoviendo mejoras continuas en los procesos.</w:t>
      </w:r>
    </w:p>
    <w:p w14:paraId="69BA97F4" w14:textId="77777777" w:rsidR="009F6CC8" w:rsidRPr="006F37DC" w:rsidRDefault="009F6CC8" w:rsidP="009F6CC8">
      <w:pPr>
        <w:spacing w:before="161" w:line="360" w:lineRule="auto"/>
        <w:ind w:right="754"/>
        <w:jc w:val="both"/>
        <w:rPr>
          <w:b/>
          <w:lang w:val="es-ES"/>
        </w:rPr>
      </w:pPr>
      <w:r w:rsidRPr="006F37DC">
        <w:rPr>
          <w:b/>
          <w:color w:val="767070"/>
          <w:lang w:val="es-ES"/>
        </w:rPr>
        <w:t xml:space="preserve">A </w:t>
      </w:r>
      <w:r w:rsidRPr="006F37DC">
        <w:rPr>
          <w:b/>
          <w:color w:val="767070"/>
          <w:spacing w:val="16"/>
          <w:lang w:val="es-ES"/>
        </w:rPr>
        <w:t xml:space="preserve">través </w:t>
      </w:r>
      <w:r w:rsidRPr="006F37DC">
        <w:rPr>
          <w:b/>
          <w:color w:val="767070"/>
          <w:spacing w:val="11"/>
          <w:lang w:val="es-ES"/>
        </w:rPr>
        <w:t xml:space="preserve">de </w:t>
      </w:r>
      <w:r w:rsidRPr="006F37DC">
        <w:rPr>
          <w:b/>
          <w:color w:val="767070"/>
          <w:spacing w:val="16"/>
          <w:lang w:val="es-ES"/>
        </w:rPr>
        <w:t xml:space="preserve">nuestra Dirección </w:t>
      </w:r>
      <w:r w:rsidRPr="006F37DC">
        <w:rPr>
          <w:b/>
          <w:color w:val="767070"/>
          <w:spacing w:val="11"/>
          <w:lang w:val="es-ES"/>
        </w:rPr>
        <w:t xml:space="preserve">de </w:t>
      </w:r>
      <w:r w:rsidRPr="006F37DC">
        <w:rPr>
          <w:b/>
          <w:color w:val="767070"/>
          <w:spacing w:val="16"/>
          <w:lang w:val="es-ES"/>
        </w:rPr>
        <w:t xml:space="preserve">Técnica </w:t>
      </w:r>
      <w:r w:rsidRPr="006F37DC">
        <w:rPr>
          <w:b/>
          <w:color w:val="767070"/>
          <w:spacing w:val="9"/>
          <w:lang w:val="es-ES"/>
        </w:rPr>
        <w:t xml:space="preserve">de </w:t>
      </w:r>
      <w:r w:rsidRPr="006F37DC">
        <w:rPr>
          <w:b/>
          <w:color w:val="767070"/>
          <w:spacing w:val="16"/>
          <w:lang w:val="es-ES"/>
        </w:rPr>
        <w:t xml:space="preserve">Seguros </w:t>
      </w:r>
      <w:r w:rsidRPr="006F37DC">
        <w:rPr>
          <w:b/>
          <w:color w:val="767070"/>
          <w:lang w:val="es-ES"/>
        </w:rPr>
        <w:t xml:space="preserve">y </w:t>
      </w:r>
      <w:r w:rsidRPr="006F37DC">
        <w:rPr>
          <w:b/>
          <w:color w:val="767070"/>
          <w:spacing w:val="17"/>
          <w:lang w:val="es-ES"/>
        </w:rPr>
        <w:t xml:space="preserve">Reaseguros </w:t>
      </w:r>
      <w:r w:rsidRPr="006F37DC">
        <w:rPr>
          <w:b/>
          <w:color w:val="767070"/>
          <w:spacing w:val="9"/>
          <w:lang w:val="es-ES"/>
        </w:rPr>
        <w:t>se</w:t>
      </w:r>
      <w:r w:rsidRPr="006F37DC">
        <w:rPr>
          <w:b/>
          <w:color w:val="767070"/>
          <w:spacing w:val="17"/>
          <w:lang w:val="es-ES"/>
        </w:rPr>
        <w:t xml:space="preserve"> realizaron</w:t>
      </w:r>
      <w:r w:rsidRPr="006F37DC">
        <w:rPr>
          <w:b/>
          <w:color w:val="767070"/>
          <w:spacing w:val="40"/>
          <w:lang w:val="es-ES"/>
        </w:rPr>
        <w:t xml:space="preserve"> </w:t>
      </w:r>
      <w:r w:rsidRPr="006F37DC">
        <w:rPr>
          <w:b/>
          <w:color w:val="767070"/>
          <w:spacing w:val="12"/>
          <w:lang w:val="es-ES"/>
        </w:rPr>
        <w:t>las</w:t>
      </w:r>
      <w:r w:rsidRPr="006F37DC">
        <w:rPr>
          <w:b/>
          <w:color w:val="767070"/>
          <w:spacing w:val="40"/>
          <w:lang w:val="es-ES"/>
        </w:rPr>
        <w:t xml:space="preserve"> </w:t>
      </w:r>
      <w:r w:rsidRPr="006F37DC">
        <w:rPr>
          <w:b/>
          <w:color w:val="767070"/>
          <w:spacing w:val="17"/>
          <w:lang w:val="es-ES"/>
        </w:rPr>
        <w:t xml:space="preserve">actividades </w:t>
      </w:r>
      <w:r w:rsidRPr="006F37DC">
        <w:rPr>
          <w:b/>
          <w:color w:val="767070"/>
          <w:spacing w:val="13"/>
          <w:lang w:val="es-ES"/>
        </w:rPr>
        <w:t>que</w:t>
      </w:r>
      <w:r w:rsidRPr="006F37DC">
        <w:rPr>
          <w:b/>
          <w:color w:val="767070"/>
          <w:spacing w:val="40"/>
          <w:lang w:val="es-ES"/>
        </w:rPr>
        <w:t xml:space="preserve"> </w:t>
      </w:r>
      <w:r w:rsidRPr="006F37DC">
        <w:rPr>
          <w:b/>
          <w:color w:val="767070"/>
          <w:lang w:val="es-ES"/>
        </w:rPr>
        <w:t>a</w:t>
      </w:r>
      <w:r w:rsidRPr="006F37DC">
        <w:rPr>
          <w:b/>
          <w:color w:val="767070"/>
          <w:spacing w:val="40"/>
          <w:lang w:val="es-ES"/>
        </w:rPr>
        <w:t xml:space="preserve"> </w:t>
      </w:r>
      <w:r w:rsidRPr="006F37DC">
        <w:rPr>
          <w:b/>
          <w:color w:val="767070"/>
          <w:spacing w:val="17"/>
          <w:lang w:val="es-ES"/>
        </w:rPr>
        <w:t>continuación</w:t>
      </w:r>
      <w:r w:rsidRPr="006F37DC">
        <w:rPr>
          <w:b/>
          <w:color w:val="767070"/>
          <w:spacing w:val="40"/>
          <w:lang w:val="es-ES"/>
        </w:rPr>
        <w:t xml:space="preserve"> </w:t>
      </w:r>
      <w:r w:rsidRPr="006F37DC">
        <w:rPr>
          <w:b/>
          <w:color w:val="767070"/>
          <w:spacing w:val="10"/>
          <w:lang w:val="es-ES"/>
        </w:rPr>
        <w:t>se</w:t>
      </w:r>
      <w:r w:rsidRPr="006F37DC">
        <w:rPr>
          <w:b/>
          <w:color w:val="767070"/>
          <w:spacing w:val="17"/>
          <w:lang w:val="es-ES"/>
        </w:rPr>
        <w:t xml:space="preserve"> describen:</w:t>
      </w:r>
    </w:p>
    <w:p w14:paraId="36645477" w14:textId="77777777" w:rsidR="009F6CC8" w:rsidRPr="009F6CC8" w:rsidRDefault="009F6CC8" w:rsidP="009F6CC8">
      <w:pPr>
        <w:pStyle w:val="Textoindependiente"/>
        <w:spacing w:before="159" w:line="360" w:lineRule="auto"/>
        <w:ind w:right="737"/>
        <w:jc w:val="both"/>
        <w:rPr>
          <w:rFonts w:eastAsia="Calibri"/>
          <w:noProof/>
          <w:color w:val="4C4747"/>
          <w:spacing w:val="20"/>
        </w:rPr>
      </w:pPr>
      <w:r w:rsidRPr="009F6CC8">
        <w:rPr>
          <w:rFonts w:eastAsia="Calibri"/>
          <w:noProof/>
          <w:color w:val="4C4747"/>
          <w:spacing w:val="20"/>
        </w:rPr>
        <w:t>Durante el período enero-octubre 2025, el Departamento de Expedición de Certificaciones, en cumplimiento con la Ley 146 - 02 sobre Seguros y Fianzas de la República Dominicana, se dedicó a garantizar la eficiencia en la gestión de solicitudes de certificaciones, trabajando con las 33 compañías aseguradoras y sus sucursales en todo el territorio nacional. Estas acciones fueron posibles gracias a un equipo de inspectores que recolectaron y verificaron las informaciones necesarias para la expedición de certificaciones en el menor tiempo posible.</w:t>
      </w:r>
    </w:p>
    <w:p w14:paraId="4209377E" w14:textId="278235DC"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lastRenderedPageBreak/>
        <w:t xml:space="preserve">Entre enero y octubre de 2025, se recibieron y procesaron </w:t>
      </w:r>
      <w:r w:rsidR="009D14E3" w:rsidRPr="009D14E3">
        <w:rPr>
          <w:rFonts w:eastAsia="Calibri"/>
          <w:noProof/>
          <w:color w:val="4C4747"/>
          <w:spacing w:val="20"/>
        </w:rPr>
        <w:t xml:space="preserve">4,665 </w:t>
      </w:r>
      <w:r w:rsidRPr="009F6CC8">
        <w:rPr>
          <w:rFonts w:eastAsia="Calibri"/>
          <w:noProof/>
          <w:color w:val="4C4747"/>
          <w:spacing w:val="20"/>
        </w:rPr>
        <w:t xml:space="preserve">solicitudes de certificaciones, distribuidas en 4,508 solicitudes normales (certificaciones de una aseguradora particular) y 157 solicitudes de rastreo (búsquedas en todas las compañías de seguros). </w:t>
      </w:r>
    </w:p>
    <w:p w14:paraId="76A2A394"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Para los meses de noviembre y diciembre de 2025, se proyecta recibir un estimado de 5 ,597 solicitudes, de las cuales 5,408 serán normales y   189 de rastreo.</w:t>
      </w:r>
    </w:p>
    <w:p w14:paraId="586A578E" w14:textId="77777777" w:rsidR="009F6CC8" w:rsidRPr="00D123AB" w:rsidRDefault="009F6CC8" w:rsidP="009F6CC8">
      <w:pPr>
        <w:pStyle w:val="Textoindependiente"/>
        <w:spacing w:before="162" w:line="360" w:lineRule="auto"/>
        <w:ind w:right="748"/>
        <w:jc w:val="both"/>
        <w:rPr>
          <w:b/>
          <w:color w:val="767070"/>
          <w:spacing w:val="15"/>
        </w:rPr>
      </w:pPr>
      <w:r w:rsidRPr="00D123AB">
        <w:rPr>
          <w:b/>
          <w:color w:val="767070"/>
          <w:spacing w:val="15"/>
        </w:rPr>
        <w:t>Departamento de Reaseguros: Actividades del período enero -octubre 2025 y proyección para noviembre-diciembre 2025.</w:t>
      </w:r>
    </w:p>
    <w:p w14:paraId="02ADC6EB"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El Departamento de Reaseguros gestionó 9 registros de reaseguradores y 3 registros de corredores no radicados, con una proyección de registrar dos reaseguradores y dos corredores adicionales para finales de 2025. También se realizaron 96 renovaciones de reaseguradores y 29 de corredores, con una proyección de 27 y 8 renovaciones adicionales respectivamente. En cuanto a contratos de reaseguros, se recibieron y registraron 25 contratos, proyectando cuatro más antes de finalizar el año.</w:t>
      </w:r>
    </w:p>
    <w:p w14:paraId="5FB4E12A" w14:textId="572938F1" w:rsid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 xml:space="preserve">Se gestionaron 24 formularios RC -1 y RC-2, con una </w:t>
      </w:r>
      <w:r w:rsidRPr="009F6CC8">
        <w:rPr>
          <w:rFonts w:eastAsia="Calibri"/>
          <w:noProof/>
          <w:color w:val="4C4747"/>
          <w:spacing w:val="20"/>
        </w:rPr>
        <w:lastRenderedPageBreak/>
        <w:t xml:space="preserve">proyección de recibir 6 adicionales. Además, se analizaron 140 expedientes de registros y renovaciones de reaseguradores y corredores no radicados, con un estimado de 35 solicitudes adicionales para noviembre y diciembre. El departamento también remitió dos memorandos para certificación de contratos de reaseguros de fianzas y tramitó diversas respuestas a requerimientos de reaseguradores. </w:t>
      </w:r>
    </w:p>
    <w:p w14:paraId="667B1E8A"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 xml:space="preserve">Durante estos procesos, dos (2) renovaciones no fueron otorgadas por incumplir lo establecido en la Resolución 01-2006 en lo referente a la calificación mínima requerida. </w:t>
      </w:r>
    </w:p>
    <w:p w14:paraId="1C4F9251" w14:textId="54C44BF2"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Un (1) expediente de Ajustador No Radicado fue retornado por no cumplir con los requisitos establecidos, a solicitud del propio cliente.</w:t>
      </w:r>
    </w:p>
    <w:p w14:paraId="09A26227" w14:textId="77777777" w:rsidR="009F6CC8" w:rsidRPr="00D123AB" w:rsidRDefault="009F6CC8" w:rsidP="009F6CC8">
      <w:pPr>
        <w:pStyle w:val="Textoindependiente"/>
        <w:spacing w:before="162" w:line="360" w:lineRule="auto"/>
        <w:ind w:right="748"/>
        <w:jc w:val="both"/>
        <w:rPr>
          <w:color w:val="767070"/>
          <w:spacing w:val="15"/>
        </w:rPr>
      </w:pPr>
    </w:p>
    <w:p w14:paraId="33ACDC68" w14:textId="77777777" w:rsidR="009F6CC8" w:rsidRPr="00D123AB" w:rsidRDefault="009F6CC8" w:rsidP="009F6CC8">
      <w:pPr>
        <w:pStyle w:val="Textoindependiente"/>
        <w:numPr>
          <w:ilvl w:val="0"/>
          <w:numId w:val="11"/>
        </w:numPr>
        <w:spacing w:before="162" w:line="360" w:lineRule="auto"/>
        <w:ind w:right="748"/>
        <w:jc w:val="both"/>
        <w:rPr>
          <w:b/>
          <w:color w:val="767070"/>
          <w:spacing w:val="15"/>
        </w:rPr>
      </w:pPr>
      <w:r w:rsidRPr="00D123AB">
        <w:rPr>
          <w:b/>
          <w:color w:val="767070"/>
          <w:spacing w:val="15"/>
        </w:rPr>
        <w:t xml:space="preserve">Otras Gestiones Relevantes </w:t>
      </w:r>
    </w:p>
    <w:p w14:paraId="0990575A" w14:textId="6743EEE6" w:rsidR="009F6CC8" w:rsidRPr="009F6CC8" w:rsidRDefault="009F6CC8" w:rsidP="009F6CC8">
      <w:pPr>
        <w:pStyle w:val="Textoindependiente"/>
        <w:numPr>
          <w:ilvl w:val="0"/>
          <w:numId w:val="12"/>
        </w:numPr>
        <w:spacing w:before="162" w:line="360" w:lineRule="auto"/>
        <w:ind w:right="748"/>
        <w:jc w:val="both"/>
        <w:rPr>
          <w:rFonts w:eastAsia="Calibri"/>
          <w:noProof/>
          <w:color w:val="4C4747"/>
          <w:spacing w:val="20"/>
        </w:rPr>
      </w:pPr>
      <w:r w:rsidRPr="009F6CC8">
        <w:rPr>
          <w:rFonts w:eastAsia="Calibri"/>
          <w:noProof/>
          <w:color w:val="4C4747"/>
          <w:spacing w:val="20"/>
        </w:rPr>
        <w:t xml:space="preserve">Tramitación de respuestas a diversos requerimientos de reaseguradores, corredores de reaseguros aceptados no radicados y representantes legales. </w:t>
      </w:r>
    </w:p>
    <w:p w14:paraId="0173DBCF" w14:textId="5001EC7B" w:rsidR="009F6CC8" w:rsidRPr="009F6CC8" w:rsidRDefault="009F6CC8" w:rsidP="009F6CC8">
      <w:pPr>
        <w:pStyle w:val="Textoindependiente"/>
        <w:numPr>
          <w:ilvl w:val="0"/>
          <w:numId w:val="12"/>
        </w:numPr>
        <w:spacing w:before="162" w:line="360" w:lineRule="auto"/>
        <w:ind w:right="748"/>
        <w:jc w:val="both"/>
        <w:rPr>
          <w:rFonts w:eastAsia="Calibri"/>
          <w:noProof/>
          <w:color w:val="4C4747"/>
          <w:spacing w:val="20"/>
        </w:rPr>
      </w:pPr>
      <w:r w:rsidRPr="009F6CC8">
        <w:rPr>
          <w:rFonts w:eastAsia="Calibri"/>
          <w:noProof/>
          <w:color w:val="4C4747"/>
          <w:spacing w:val="20"/>
        </w:rPr>
        <w:t xml:space="preserve">Elaboración y tramitación de la propuesta de </w:t>
      </w:r>
      <w:r w:rsidRPr="009F6CC8">
        <w:rPr>
          <w:rFonts w:eastAsia="Calibri"/>
          <w:noProof/>
          <w:color w:val="4C4747"/>
          <w:spacing w:val="20"/>
        </w:rPr>
        <w:lastRenderedPageBreak/>
        <w:t>actualización de los requisitos para el registro y renovación de reaseguradores y corredores aceptados no radicados, los cuales fueron cargados en la plataforma Web institucional.</w:t>
      </w:r>
    </w:p>
    <w:p w14:paraId="7EA82B90"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Departamento de Expedición y Renovación de Licencias</w:t>
      </w:r>
    </w:p>
    <w:p w14:paraId="149C267B"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En 2025, el Departamento procesó 2,394 licencias entre enero y octubre, distribuidas en 593 expediciones y 1,801 renovaciones. Se proyecta cerrar el año con 675 licencias adicionales, alcanzando un total de 3,069. Estas licencias abarcaron diversos roles del sector asegurador, incluyendo agentes, corredores y ajustadores.</w:t>
      </w:r>
    </w:p>
    <w:p w14:paraId="1BAD43CA" w14:textId="06335A20"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El Departamento está trabajando en el desarrollo de un nuevo software que permitirá mejorar el control, la fiabilidad y la velocidad de los procesos. Además, se está diseñando un nuevo carnet de licencia con código QR para mayor seguridad.</w:t>
      </w:r>
    </w:p>
    <w:p w14:paraId="610E6776" w14:textId="77777777" w:rsidR="009F6CC8" w:rsidRPr="009F6CC8" w:rsidRDefault="009F6CC8" w:rsidP="009F6CC8">
      <w:pPr>
        <w:pStyle w:val="Textoindependiente"/>
        <w:spacing w:before="162" w:line="360" w:lineRule="auto"/>
        <w:ind w:right="748"/>
        <w:jc w:val="both"/>
        <w:rPr>
          <w:rFonts w:eastAsia="Calibri"/>
          <w:b/>
          <w:noProof/>
          <w:color w:val="4C4747"/>
          <w:spacing w:val="20"/>
        </w:rPr>
      </w:pPr>
      <w:r w:rsidRPr="009F6CC8">
        <w:rPr>
          <w:rFonts w:eastAsia="Calibri"/>
          <w:b/>
          <w:noProof/>
          <w:color w:val="4C4747"/>
          <w:spacing w:val="20"/>
        </w:rPr>
        <w:t>A través de nuestra Dirección de Liquidación de Compañías se realizaron las actividades que a continuación se describen:</w:t>
      </w:r>
    </w:p>
    <w:p w14:paraId="00A3F3DC"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 xml:space="preserve">Durante el periodo enero-octubre 2025, la Dirección de </w:t>
      </w:r>
      <w:r w:rsidRPr="009F6CC8">
        <w:rPr>
          <w:rFonts w:eastAsia="Calibri"/>
          <w:noProof/>
          <w:color w:val="4C4747"/>
          <w:spacing w:val="20"/>
        </w:rPr>
        <w:lastRenderedPageBreak/>
        <w:t>Liquidación de Compañías ha mantenido un servicio activo y eficiente, con el objetivo de cumplir con los procesos de liquidación de diversas compañías aseguradoras. Entre las compañías en proceso de liquidación se encuentran</w:t>
      </w:r>
    </w:p>
    <w:p w14:paraId="2CCEF82B"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w:t>
      </w:r>
      <w:r w:rsidRPr="009F6CC8">
        <w:rPr>
          <w:rFonts w:eastAsia="Calibri"/>
          <w:noProof/>
          <w:color w:val="4C4747"/>
          <w:spacing w:val="20"/>
        </w:rPr>
        <w:tab/>
        <w:t>SEGNA, S. A.,</w:t>
      </w:r>
    </w:p>
    <w:p w14:paraId="1B135AC6"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w:t>
      </w:r>
      <w:r w:rsidRPr="009F6CC8">
        <w:rPr>
          <w:rFonts w:eastAsia="Calibri"/>
          <w:noProof/>
          <w:color w:val="4C4747"/>
          <w:spacing w:val="20"/>
        </w:rPr>
        <w:tab/>
        <w:t>Seguros Constitución, S. A.,</w:t>
      </w:r>
    </w:p>
    <w:p w14:paraId="508E120B"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w:t>
      </w:r>
      <w:r w:rsidRPr="009F6CC8">
        <w:rPr>
          <w:rFonts w:eastAsia="Calibri"/>
          <w:noProof/>
          <w:color w:val="4C4747"/>
          <w:spacing w:val="20"/>
        </w:rPr>
        <w:tab/>
        <w:t>La Comercial de Seguros, S.A., y</w:t>
      </w:r>
    </w:p>
    <w:p w14:paraId="7557035A"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w:t>
      </w:r>
      <w:r w:rsidRPr="009F6CC8">
        <w:rPr>
          <w:rFonts w:eastAsia="Calibri"/>
          <w:noProof/>
          <w:color w:val="4C4747"/>
          <w:spacing w:val="20"/>
        </w:rPr>
        <w:tab/>
        <w:t>Unión de Seguros, S. A.</w:t>
      </w:r>
    </w:p>
    <w:p w14:paraId="7B4EEC70" w14:textId="7B1528A1"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w:t>
      </w:r>
      <w:r w:rsidRPr="009F6CC8">
        <w:rPr>
          <w:rFonts w:eastAsia="Calibri"/>
          <w:noProof/>
          <w:color w:val="4C4747"/>
          <w:spacing w:val="20"/>
        </w:rPr>
        <w:tab/>
        <w:t>Intercontinental de Seguros, S.A.</w:t>
      </w:r>
    </w:p>
    <w:p w14:paraId="1DD177EE"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En términos financieros, se efectuaron pagos a 298 reclamantes por conceptos como: devoluciones de primas, reclamaciones, honorarios profesionales, servicios prestados, pagos de sentencias y otros compromisos. Estas transacciones representaron un desembolso total de RD$90,961,599.89. Además, se elaboraron informes financieros detallados, conciliaciones bancarias, análisis de flujos de efectivo y relaciones de embargos, lo que incluyó la emisión de 298 cheques relacionados con las liquidaciones en curso.</w:t>
      </w:r>
    </w:p>
    <w:p w14:paraId="07F2A707"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 xml:space="preserve">La Dirección de Liquidación de Compañías continúa </w:t>
      </w:r>
      <w:r w:rsidRPr="009F6CC8">
        <w:rPr>
          <w:rFonts w:eastAsia="Calibri"/>
          <w:noProof/>
          <w:color w:val="4C4747"/>
          <w:spacing w:val="20"/>
        </w:rPr>
        <w:lastRenderedPageBreak/>
        <w:t>avanzando en las tareas necesarias para el cierre definitivo de todas las entidades bajo su administración, gestionando las autorizaciones y conciliaciones requeridas entre las partes involucradas.</w:t>
      </w:r>
    </w:p>
    <w:p w14:paraId="02FE688D"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De igual manera, se mantiene la recepción y evaluación de solicitudes de interesados con procesos pendientes, procurando siempre la resolución oportuna de los casos y la protección de los derechos de los acreedores.</w:t>
      </w:r>
    </w:p>
    <w:p w14:paraId="74FD94C1"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Compañías Cerradas: mediante la Resolución 02/2025, fueron cerradas nueve (9) compañías:</w:t>
      </w:r>
    </w:p>
    <w:p w14:paraId="3F409E69"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1.</w:t>
      </w:r>
      <w:r w:rsidRPr="009F6CC8">
        <w:rPr>
          <w:rFonts w:eastAsia="Calibri"/>
          <w:noProof/>
          <w:color w:val="4C4747"/>
          <w:spacing w:val="20"/>
        </w:rPr>
        <w:tab/>
        <w:t>Seguros del Caribe, S.A.</w:t>
      </w:r>
    </w:p>
    <w:p w14:paraId="2D09FB16"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2.</w:t>
      </w:r>
      <w:r w:rsidRPr="009F6CC8">
        <w:rPr>
          <w:rFonts w:eastAsia="Calibri"/>
          <w:noProof/>
          <w:color w:val="4C4747"/>
          <w:spacing w:val="20"/>
        </w:rPr>
        <w:tab/>
        <w:t>Interoceánica de Seguros, S.A.</w:t>
      </w:r>
    </w:p>
    <w:p w14:paraId="72F245C5"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3.</w:t>
      </w:r>
      <w:r w:rsidRPr="009F6CC8">
        <w:rPr>
          <w:rFonts w:eastAsia="Calibri"/>
          <w:noProof/>
          <w:color w:val="4C4747"/>
          <w:spacing w:val="20"/>
        </w:rPr>
        <w:tab/>
        <w:t>Citizens Dominicana, S.A.</w:t>
      </w:r>
    </w:p>
    <w:p w14:paraId="536B7B0B"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4.</w:t>
      </w:r>
      <w:r w:rsidRPr="009F6CC8">
        <w:rPr>
          <w:rFonts w:eastAsia="Calibri"/>
          <w:noProof/>
          <w:color w:val="4C4747"/>
          <w:spacing w:val="20"/>
        </w:rPr>
        <w:tab/>
        <w:t>Vanguardia de Seguros, S.A.</w:t>
      </w:r>
    </w:p>
    <w:p w14:paraId="5D5C452A"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5.</w:t>
      </w:r>
      <w:r w:rsidRPr="009F6CC8">
        <w:rPr>
          <w:rFonts w:eastAsia="Calibri"/>
          <w:noProof/>
          <w:color w:val="4C4747"/>
          <w:spacing w:val="20"/>
        </w:rPr>
        <w:tab/>
        <w:t>La Principal de Seguros, S.A.</w:t>
      </w:r>
    </w:p>
    <w:p w14:paraId="37D632E0"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6.</w:t>
      </w:r>
      <w:r w:rsidRPr="009F6CC8">
        <w:rPr>
          <w:rFonts w:eastAsia="Calibri"/>
          <w:noProof/>
          <w:color w:val="4C4747"/>
          <w:spacing w:val="20"/>
        </w:rPr>
        <w:tab/>
        <w:t>Alemana de Seguros, S.A.</w:t>
      </w:r>
    </w:p>
    <w:p w14:paraId="2F6A9451"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7.</w:t>
      </w:r>
      <w:r w:rsidRPr="009F6CC8">
        <w:rPr>
          <w:rFonts w:eastAsia="Calibri"/>
          <w:noProof/>
          <w:color w:val="4C4747"/>
          <w:spacing w:val="20"/>
        </w:rPr>
        <w:tab/>
        <w:t>Centro de Reaseguros Universal, S.A.</w:t>
      </w:r>
    </w:p>
    <w:p w14:paraId="26C8B235"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lastRenderedPageBreak/>
        <w:t>8.</w:t>
      </w:r>
      <w:r w:rsidRPr="009F6CC8">
        <w:rPr>
          <w:rFonts w:eastAsia="Calibri"/>
          <w:noProof/>
          <w:color w:val="4C4747"/>
          <w:spacing w:val="20"/>
        </w:rPr>
        <w:tab/>
        <w:t>La Isleña de Seguros, S.A.</w:t>
      </w:r>
    </w:p>
    <w:p w14:paraId="7C69595E"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9.</w:t>
      </w:r>
      <w:r w:rsidRPr="009F6CC8">
        <w:rPr>
          <w:rFonts w:eastAsia="Calibri"/>
          <w:noProof/>
          <w:color w:val="4C4747"/>
          <w:spacing w:val="20"/>
        </w:rPr>
        <w:tab/>
        <w:t>Central de Seguros, S.A.</w:t>
      </w:r>
    </w:p>
    <w:p w14:paraId="70965B3D" w14:textId="77777777" w:rsidR="009F6CC8" w:rsidRPr="009F6CC8" w:rsidRDefault="009F6CC8" w:rsidP="009F6CC8">
      <w:pPr>
        <w:pStyle w:val="Textoindependiente"/>
        <w:spacing w:before="162" w:line="360" w:lineRule="auto"/>
        <w:ind w:right="748"/>
        <w:jc w:val="both"/>
        <w:rPr>
          <w:rFonts w:eastAsia="Calibri"/>
          <w:noProof/>
          <w:color w:val="4C4747"/>
          <w:spacing w:val="20"/>
        </w:rPr>
      </w:pPr>
      <w:r w:rsidRPr="009F6CC8">
        <w:rPr>
          <w:rFonts w:eastAsia="Calibri"/>
          <w:noProof/>
          <w:color w:val="4C4747"/>
          <w:spacing w:val="20"/>
        </w:rPr>
        <w:t>Asimismo, mediante la Resolución 06/2025, fue creado el Fondo de Contingencia para las compañías cerradas, destinado a atender pagos y compromisos que puedan surgir durante la fase final de liquidación.</w:t>
      </w:r>
    </w:p>
    <w:p w14:paraId="637A50D0" w14:textId="5337292C" w:rsidR="009F6CC8" w:rsidRPr="009F6CC8" w:rsidRDefault="009F6CC8" w:rsidP="009F6CC8">
      <w:pPr>
        <w:pStyle w:val="Textoindependiente"/>
        <w:spacing w:before="162" w:line="360" w:lineRule="auto"/>
        <w:ind w:right="748"/>
        <w:jc w:val="both"/>
        <w:rPr>
          <w:rFonts w:eastAsia="Calibri"/>
          <w:b/>
          <w:noProof/>
          <w:color w:val="4C4747"/>
          <w:spacing w:val="20"/>
        </w:rPr>
      </w:pPr>
      <w:r w:rsidRPr="009F6CC8">
        <w:rPr>
          <w:rFonts w:eastAsia="Calibri"/>
          <w:b/>
          <w:noProof/>
          <w:color w:val="4C4747"/>
          <w:spacing w:val="20"/>
        </w:rPr>
        <w:t>Proyecciones Octubre-diciembre 2025</w:t>
      </w:r>
    </w:p>
    <w:p w14:paraId="4922659A" w14:textId="77777777" w:rsidR="009F6CC8" w:rsidRDefault="009F6CC8" w:rsidP="009F6CC8">
      <w:pPr>
        <w:pStyle w:val="Textoindependiente"/>
        <w:spacing w:before="22"/>
        <w:ind w:right="-18"/>
      </w:pPr>
    </w:p>
    <w:p w14:paraId="47A0A767" w14:textId="77777777" w:rsidR="009F6CC8" w:rsidRPr="009F6CC8" w:rsidRDefault="009F6CC8" w:rsidP="009F6CC8">
      <w:pPr>
        <w:pStyle w:val="Textoindependiente"/>
        <w:spacing w:line="360" w:lineRule="auto"/>
        <w:ind w:right="-18"/>
        <w:jc w:val="both"/>
        <w:rPr>
          <w:rFonts w:eastAsia="Calibri"/>
          <w:noProof/>
          <w:color w:val="4C4747"/>
          <w:spacing w:val="20"/>
        </w:rPr>
      </w:pPr>
      <w:r w:rsidRPr="009F6CC8">
        <w:rPr>
          <w:rFonts w:eastAsia="Calibri"/>
          <w:noProof/>
          <w:color w:val="4C4747"/>
          <w:spacing w:val="20"/>
        </w:rPr>
        <w:t>Para el último trimestre del año, se proyecta realizar pagos por un total de RD$31,805,065.06, cubriendo conceptos como reclamaciones, honorarios profesionales, devoluciones de primas y pagos a abogados, suplidores, agentes, intermediarios y talleres. Este esfuerzo busca continuar avanzando en la liquidación de estas aseguradoras, con miras al cierre definitivo de sus procesos.</w:t>
      </w:r>
    </w:p>
    <w:p w14:paraId="7942E7D1" w14:textId="77777777" w:rsidR="009F6CC8" w:rsidRPr="009F6CC8" w:rsidRDefault="009F6CC8" w:rsidP="009F6CC8">
      <w:pPr>
        <w:pStyle w:val="Textoindependiente"/>
        <w:ind w:right="-18"/>
        <w:rPr>
          <w:rFonts w:eastAsia="Calibri"/>
          <w:noProof/>
          <w:color w:val="4C4747"/>
          <w:spacing w:val="20"/>
        </w:rPr>
      </w:pPr>
    </w:p>
    <w:p w14:paraId="6D37FA07" w14:textId="2555B058" w:rsidR="009F6CC8" w:rsidRDefault="009F6CC8" w:rsidP="009F6CC8">
      <w:pPr>
        <w:pStyle w:val="Textoindependiente"/>
        <w:spacing w:line="360" w:lineRule="auto"/>
        <w:ind w:right="-18"/>
        <w:jc w:val="both"/>
        <w:rPr>
          <w:rFonts w:eastAsia="Calibri"/>
          <w:noProof/>
          <w:color w:val="4C4747"/>
          <w:spacing w:val="20"/>
        </w:rPr>
      </w:pPr>
      <w:r w:rsidRPr="009F6CC8">
        <w:rPr>
          <w:rFonts w:eastAsia="Calibri"/>
          <w:noProof/>
          <w:color w:val="4C4747"/>
          <w:spacing w:val="20"/>
        </w:rPr>
        <w:t>El período enero–octubre 2025 se caracterizó por avances significativos en los procesos de liquidación, logrando el cierre formal de nueve compañías, la conclusión de numerosos expedientes y la consolidación de mecanismos administrativos y financieros orientados a la eficiencia y transparencia institucional.</w:t>
      </w:r>
    </w:p>
    <w:p w14:paraId="635AF6E2" w14:textId="77777777" w:rsidR="00A04FF5" w:rsidRPr="00A04FF5" w:rsidRDefault="00A04FF5" w:rsidP="009F6CC8">
      <w:pPr>
        <w:pStyle w:val="Textoindependiente"/>
        <w:spacing w:line="360" w:lineRule="auto"/>
        <w:ind w:right="-18"/>
        <w:jc w:val="both"/>
        <w:rPr>
          <w:rFonts w:eastAsia="Calibri"/>
          <w:noProof/>
          <w:color w:val="4C4747"/>
          <w:spacing w:val="20"/>
        </w:rPr>
      </w:pPr>
    </w:p>
    <w:p w14:paraId="1D389F7B" w14:textId="1A814B71" w:rsidR="009F6CC8" w:rsidRPr="009F6CC8" w:rsidRDefault="009F6CC8" w:rsidP="009F6CC8">
      <w:pPr>
        <w:pStyle w:val="Textoindependiente"/>
        <w:spacing w:line="360" w:lineRule="auto"/>
        <w:ind w:right="-18"/>
        <w:jc w:val="both"/>
        <w:rPr>
          <w:rFonts w:eastAsia="Calibri"/>
          <w:b/>
          <w:noProof/>
          <w:color w:val="4C4747"/>
          <w:spacing w:val="20"/>
        </w:rPr>
      </w:pPr>
      <w:r w:rsidRPr="009F6CC8">
        <w:rPr>
          <w:rFonts w:eastAsia="Calibri"/>
          <w:b/>
          <w:noProof/>
          <w:color w:val="4C4747"/>
          <w:spacing w:val="20"/>
        </w:rPr>
        <w:lastRenderedPageBreak/>
        <w:t>A través de nuestro Departamento de Prevención de Lavado de Activos y Financiamiento del Terrorismo se realizaron las actividades que a continuación se describen:</w:t>
      </w:r>
    </w:p>
    <w:p w14:paraId="204AEB61" w14:textId="52CE7E5E" w:rsidR="009F6CC8" w:rsidRDefault="009F6CC8" w:rsidP="009F6CC8">
      <w:pPr>
        <w:pStyle w:val="Textoindependiente"/>
        <w:spacing w:line="360" w:lineRule="auto"/>
        <w:ind w:right="-18"/>
        <w:jc w:val="both"/>
        <w:rPr>
          <w:rFonts w:eastAsia="Calibri"/>
          <w:noProof/>
          <w:color w:val="4C4747"/>
          <w:spacing w:val="20"/>
        </w:rPr>
      </w:pPr>
      <w:r w:rsidRPr="009F6CC8">
        <w:rPr>
          <w:rFonts w:eastAsia="Calibri"/>
          <w:noProof/>
          <w:color w:val="4C4747"/>
          <w:spacing w:val="20"/>
        </w:rPr>
        <w:t>El Departamento de Prevención de Lavado de Activos y Financiamiento al Terrorismo ha mantenido su compromiso de asistir a las demás direcciones y departamentos de esta Superintendencia, asegurando que la información relevante y actualizada esté siempre disponible para la ciudadanía, instituciones, organismos y Sujetos Obligados. Este esfuerzo permite ejercer de manera eficiente nuestra labor de supervisión y cumplimiento normativo.</w:t>
      </w:r>
    </w:p>
    <w:p w14:paraId="56D2ADD2" w14:textId="77777777" w:rsidR="009F6CC8" w:rsidRPr="009F6CC8" w:rsidRDefault="009F6CC8" w:rsidP="009F6CC8">
      <w:pPr>
        <w:pStyle w:val="Textoindependiente"/>
        <w:spacing w:line="360" w:lineRule="auto"/>
        <w:ind w:right="-18"/>
        <w:jc w:val="both"/>
        <w:rPr>
          <w:rFonts w:eastAsia="Calibri"/>
          <w:noProof/>
          <w:color w:val="4C4747"/>
          <w:spacing w:val="20"/>
        </w:rPr>
      </w:pPr>
    </w:p>
    <w:p w14:paraId="7534BCD4" w14:textId="77777777" w:rsidR="009F6CC8" w:rsidRPr="009F6CC8" w:rsidRDefault="009F6CC8" w:rsidP="009F6CC8">
      <w:pPr>
        <w:pStyle w:val="Textoindependiente"/>
        <w:spacing w:line="360" w:lineRule="auto"/>
        <w:ind w:right="-18"/>
        <w:jc w:val="both"/>
        <w:rPr>
          <w:rFonts w:eastAsia="Calibri"/>
          <w:b/>
          <w:noProof/>
          <w:color w:val="4C4747"/>
          <w:spacing w:val="20"/>
          <w:u w:val="single"/>
        </w:rPr>
      </w:pPr>
      <w:r w:rsidRPr="009F6CC8">
        <w:rPr>
          <w:rFonts w:eastAsia="Calibri"/>
          <w:b/>
          <w:noProof/>
          <w:color w:val="4C4747"/>
          <w:spacing w:val="20"/>
          <w:u w:val="single"/>
        </w:rPr>
        <w:t>Logros Alcanzados:</w:t>
      </w:r>
    </w:p>
    <w:p w14:paraId="01FE5560" w14:textId="6DFC622A" w:rsidR="009F6CC8" w:rsidRPr="009F6CC8" w:rsidRDefault="009F6CC8" w:rsidP="009F6CC8">
      <w:pPr>
        <w:spacing w:line="360" w:lineRule="auto"/>
        <w:jc w:val="both"/>
        <w:rPr>
          <w:rFonts w:eastAsia="Calibri"/>
          <w:noProof/>
          <w:color w:val="4C4747"/>
          <w:lang w:val="es-ES"/>
        </w:rPr>
      </w:pPr>
      <w:r>
        <w:rPr>
          <w:rFonts w:eastAsia="Calibri"/>
          <w:noProof/>
          <w:color w:val="4C4747"/>
          <w:lang w:val="es-ES"/>
        </w:rPr>
        <w:t xml:space="preserve"> </w:t>
      </w:r>
    </w:p>
    <w:p w14:paraId="151E0058"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 xml:space="preserve">La Superintendencia de Seguros fue reelegida para la Coordinación de la Mesa de Trabajo del Comité Técnico del Comité Nacional Contra el Lavado de Activos y Financiamiento del Terrorismo (CONCLAFIT) durante el año 2025. La Mesa de Supervisión es un órgano de discusión de temas técnicos donde sus principales funciones son: fortalecer la Supervisión Basada en Riesgo en República Dominicana; intercambiar </w:t>
      </w:r>
      <w:r w:rsidRPr="009F6CC8">
        <w:rPr>
          <w:rFonts w:eastAsia="Calibri"/>
          <w:noProof/>
          <w:color w:val="4C4747"/>
          <w:lang w:val="es-ES"/>
        </w:rPr>
        <w:lastRenderedPageBreak/>
        <w:t xml:space="preserve">capacidades entre los reguladores y dar apoyo en todo lo que solicite el CONCLAFIT. </w:t>
      </w:r>
    </w:p>
    <w:p w14:paraId="3AFFF9DA"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 xml:space="preserve">Se remitió a la Dirección Jurídica ocho (08) informes que detallan probables faltas administrativas para iniciar procesos de sanciones administrativas contra los Sujetos Obligados por inobservancias a la Ley núm. 155-17, de acuerdo a lo establecido en la Resolución núm. 08-23. </w:t>
      </w:r>
    </w:p>
    <w:p w14:paraId="0920EE6D"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 xml:space="preserve">Fue publicado el Informe sobre la Evaluación Nacional de Riesgos (ENR) el cual arrojó resultados sumamente positivos para el sector seguros y la implementación de medidas para la prevención de lavado de activos y financiamiento del terrorismo. </w:t>
      </w:r>
    </w:p>
    <w:p w14:paraId="4F6770FC"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 xml:space="preserve">Se realizaron jornadas de sensibilización del Informe sobre la Evaluación Nacional de Riesgos (ENR) a los Sujetos Obligados del sector de seguros, en conjunto con la Unidad de Análisis Financiero (UAF). </w:t>
      </w:r>
    </w:p>
    <w:p w14:paraId="4E6665E3"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 xml:space="preserve">Se requirió a la Unidad de Análisis Financiero otorgar acceso al sistema GoAML al equipo de abogados y analistas del Departamento PLAFT, con el objetivo de contar con los insumos necesarios Av. México No. 54, </w:t>
      </w:r>
      <w:r w:rsidRPr="009F6CC8">
        <w:rPr>
          <w:rFonts w:eastAsia="Calibri"/>
          <w:noProof/>
          <w:color w:val="4C4747"/>
          <w:lang w:val="es-ES"/>
        </w:rPr>
        <w:lastRenderedPageBreak/>
        <w:t xml:space="preserve">Gazcue, Santo Domingo, Distrito Nacional, Apartado postal 2207, República Dominicana. Tel.: 809-221-2606 • Fax: 809-685-5096 provenientes de los reportes de operaciones sospechosas y de transacciones en efectivo, a fin de disponer de una mejor base de datos para la supervisión del sector y ya el equipo de supervisión cuenta con dicho acceso. </w:t>
      </w:r>
    </w:p>
    <w:p w14:paraId="495F9659"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 xml:space="preserve">Participamos en el 1º Seminario en Supervisión Basado en Riesgo para el sector seguros, impartido por el Fondo Monetario Internacional (FMI). </w:t>
      </w:r>
    </w:p>
    <w:p w14:paraId="7317A8D9" w14:textId="77777777" w:rsidR="009F6CC8" w:rsidRPr="009F6CC8" w:rsidRDefault="009F6CC8" w:rsidP="009F6CC8">
      <w:pPr>
        <w:numPr>
          <w:ilvl w:val="2"/>
          <w:numId w:val="14"/>
        </w:numPr>
        <w:spacing w:line="360" w:lineRule="auto"/>
        <w:ind w:right="-18"/>
        <w:jc w:val="both"/>
        <w:rPr>
          <w:rFonts w:eastAsia="Calibri"/>
          <w:noProof/>
          <w:color w:val="4C4747"/>
          <w:lang w:val="es-ES"/>
        </w:rPr>
      </w:pPr>
      <w:r w:rsidRPr="009F6CC8">
        <w:rPr>
          <w:rFonts w:eastAsia="Calibri"/>
          <w:noProof/>
          <w:color w:val="4C4747"/>
          <w:lang w:val="es-ES"/>
        </w:rPr>
        <w:t>Participación en el Congreso de Prevención de Lavado de Activos organizado por la UAF en celebración del Día Nacional de la Prevención del Lavado de Activos celebrado el 29 y 30 de octubre.</w:t>
      </w:r>
    </w:p>
    <w:p w14:paraId="684F6B42" w14:textId="77777777" w:rsidR="009F6CC8" w:rsidRPr="009F6CC8" w:rsidRDefault="009F6CC8" w:rsidP="009F6CC8">
      <w:pPr>
        <w:spacing w:line="360" w:lineRule="auto"/>
        <w:ind w:right="-18"/>
        <w:jc w:val="both"/>
        <w:rPr>
          <w:rFonts w:eastAsia="Calibri"/>
          <w:b/>
          <w:noProof/>
          <w:color w:val="4C4747"/>
          <w:lang w:val="es-ES"/>
        </w:rPr>
      </w:pPr>
      <w:r w:rsidRPr="009F6CC8">
        <w:rPr>
          <w:rFonts w:eastAsia="Calibri"/>
          <w:b/>
          <w:noProof/>
          <w:color w:val="4C4747"/>
          <w:lang w:val="es-ES"/>
        </w:rPr>
        <w:t xml:space="preserve"> Proyección (noviembre 2025 - diciembre 2025):</w:t>
      </w:r>
    </w:p>
    <w:p w14:paraId="49D2A402" w14:textId="77777777" w:rsidR="009F6CC8" w:rsidRPr="009F6CC8" w:rsidRDefault="009F6CC8" w:rsidP="009F6CC8">
      <w:pPr>
        <w:spacing w:line="360" w:lineRule="auto"/>
        <w:ind w:right="-18"/>
        <w:jc w:val="both"/>
        <w:rPr>
          <w:rFonts w:eastAsia="Calibri"/>
          <w:noProof/>
          <w:color w:val="4C4747"/>
          <w:lang w:val="es-ES"/>
        </w:rPr>
      </w:pPr>
      <w:r w:rsidRPr="009F6CC8">
        <w:rPr>
          <w:rFonts w:eastAsia="Calibri"/>
          <w:noProof/>
          <w:color w:val="4C4747"/>
          <w:lang w:val="es-ES"/>
        </w:rPr>
        <w:t>El departamento trabajará para alcanzar el 100% de sus metas propuestas, optimizando procedimientos internos y apoyando a los Sujetos Obligados en el cumplimiento normativo, con el objetivo de prevenir la entrada de activos ilícitos al sector asegurador. Las acciones planificadas incluyen:</w:t>
      </w:r>
    </w:p>
    <w:p w14:paraId="30EAC32F"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noProof/>
          <w:color w:val="4C4747"/>
          <w:lang w:val="es-ES"/>
        </w:rPr>
        <w:lastRenderedPageBreak/>
        <w:t>Elaboración de procesos y protocolos y matrices internas del Departamento PLA/FT, concernientes a eficientizar y estandarizar los trabajos internos del Departamento.</w:t>
      </w:r>
    </w:p>
    <w:p w14:paraId="394EAF7A"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noProof/>
          <w:color w:val="4C4747"/>
          <w:lang w:val="es-ES"/>
        </w:rPr>
        <w:t>Inclusión del personal con perfiles técnicos probados para la realización de supervisiones de escritorio, supervisiones de campo, análisis legal y gestión de riesgo.</w:t>
      </w:r>
    </w:p>
    <w:p w14:paraId="1AAEA726"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noProof/>
          <w:color w:val="4C4747"/>
          <w:lang w:val="es-ES"/>
        </w:rPr>
        <w:t>Actualización las normativas que regulan la Prevención de Lavado de Activos y Financiamiento del Terrorismo para el Sector Seguros.</w:t>
      </w:r>
    </w:p>
    <w:p w14:paraId="394F2FC0"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noProof/>
          <w:color w:val="4C4747"/>
          <w:lang w:val="es-ES"/>
        </w:rPr>
        <w:t>Creación de parámetros objetivos y basado en riesgo para la selección de los Sujetos Obligados a supervisar conjuntamente con el equipo de la Dirección de Estudios de la SIS.</w:t>
      </w:r>
    </w:p>
    <w:p w14:paraId="2DE7B583"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noProof/>
          <w:color w:val="4C4747"/>
          <w:lang w:val="es-ES"/>
        </w:rPr>
        <w:t>Mejora en el apoderamiento a la Dirección Jurídica de los Procesos Sancionadores en materia de PLA/FT, conforme el procedimiento sancionador administrativo.</w:t>
      </w:r>
    </w:p>
    <w:p w14:paraId="54D9598B" w14:textId="77777777" w:rsidR="009F6CC8" w:rsidRPr="009F6CC8" w:rsidRDefault="009F6CC8" w:rsidP="009F6CC8">
      <w:pPr>
        <w:spacing w:line="360" w:lineRule="auto"/>
        <w:jc w:val="both"/>
        <w:rPr>
          <w:b/>
          <w:lang w:val="es-DO"/>
        </w:rPr>
      </w:pPr>
      <w:r w:rsidRPr="009F6CC8">
        <w:rPr>
          <w:b/>
          <w:lang w:val="es-DO"/>
        </w:rPr>
        <w:t xml:space="preserve">A través de nuestra Escuela de Formación de la Superintendencia de Seguros (ESFOSIS) realizamos lo siguiente: </w:t>
      </w:r>
    </w:p>
    <w:p w14:paraId="17CC95EF"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b/>
          <w:noProof/>
          <w:color w:val="4C4747"/>
          <w:lang w:val="es-ES"/>
        </w:rPr>
        <w:t>Cursos Ofrecidos:</w:t>
      </w:r>
      <w:r w:rsidRPr="009F6CC8">
        <w:rPr>
          <w:rFonts w:eastAsia="Calibri"/>
          <w:noProof/>
          <w:color w:val="4C4747"/>
          <w:lang w:val="es-ES"/>
        </w:rPr>
        <w:t xml:space="preserve"> durante el período, se han lanzado y actualizado más de 12 cursos y un diplomado en colaboración con la universidad Católica de Buenos Aires Argentina y Alianza de Seguros de Madrid España, incluyendo formación </w:t>
      </w:r>
      <w:r w:rsidRPr="009F6CC8">
        <w:rPr>
          <w:rFonts w:eastAsia="Calibri"/>
          <w:noProof/>
          <w:color w:val="4C4747"/>
          <w:lang w:val="es-ES"/>
        </w:rPr>
        <w:lastRenderedPageBreak/>
        <w:t xml:space="preserve">básica, avanzada y especializada en seguros y reaseguro y Prevención de Lavado de Activos y otros. </w:t>
      </w:r>
    </w:p>
    <w:p w14:paraId="1EA0A9DF" w14:textId="77777777" w:rsidR="009F6CC8" w:rsidRPr="009F6CC8" w:rsidRDefault="009F6CC8" w:rsidP="009F6CC8">
      <w:pPr>
        <w:pStyle w:val="Prrafodelista"/>
        <w:numPr>
          <w:ilvl w:val="0"/>
          <w:numId w:val="15"/>
        </w:numPr>
        <w:spacing w:line="360" w:lineRule="auto"/>
        <w:ind w:right="-18"/>
        <w:jc w:val="both"/>
        <w:rPr>
          <w:rFonts w:eastAsia="Calibri"/>
          <w:noProof/>
          <w:color w:val="4C4747"/>
          <w:lang w:val="es-ES"/>
        </w:rPr>
      </w:pPr>
      <w:r w:rsidRPr="009F6CC8">
        <w:rPr>
          <w:rFonts w:eastAsia="Calibri"/>
          <w:b/>
          <w:noProof/>
          <w:color w:val="4C4747"/>
          <w:lang w:val="es-ES"/>
        </w:rPr>
        <w:t>Modalidad de Enseñanza:</w:t>
      </w:r>
      <w:r w:rsidRPr="009F6CC8">
        <w:rPr>
          <w:rFonts w:eastAsia="Calibri"/>
          <w:noProof/>
          <w:color w:val="4C4747"/>
          <w:lang w:val="es-ES"/>
        </w:rPr>
        <w:t xml:space="preserve"> se implementaron métodos de enseñanza híbridos, combinando clases presenciales con plataformas en línea, facilitando así el acceso a la formación.</w:t>
      </w:r>
    </w:p>
    <w:p w14:paraId="14A1A4C2" w14:textId="77777777" w:rsidR="009F6CC8" w:rsidRPr="009F6CC8" w:rsidRDefault="009F6CC8" w:rsidP="009F6CC8">
      <w:pPr>
        <w:spacing w:line="360" w:lineRule="auto"/>
        <w:jc w:val="both"/>
        <w:rPr>
          <w:rFonts w:eastAsia="Calibri"/>
          <w:b/>
          <w:noProof/>
          <w:color w:val="4C4747"/>
          <w:lang w:val="es-ES"/>
        </w:rPr>
      </w:pPr>
      <w:r w:rsidRPr="009F6CC8">
        <w:rPr>
          <w:rFonts w:eastAsia="Calibri"/>
          <w:b/>
          <w:noProof/>
          <w:color w:val="4C4747"/>
          <w:lang w:val="es-ES"/>
        </w:rPr>
        <w:t>Certificaciones y Acreditaciones</w:t>
      </w:r>
    </w:p>
    <w:p w14:paraId="183A6AAA" w14:textId="77777777" w:rsidR="009F6CC8" w:rsidRPr="009F6CC8" w:rsidRDefault="009F6CC8" w:rsidP="009F6CC8">
      <w:pPr>
        <w:spacing w:line="360" w:lineRule="auto"/>
        <w:jc w:val="both"/>
        <w:rPr>
          <w:rFonts w:eastAsia="Calibri"/>
          <w:i/>
          <w:noProof/>
          <w:color w:val="4C4747"/>
          <w:lang w:val="es-ES"/>
        </w:rPr>
      </w:pPr>
      <w:r w:rsidRPr="009F6CC8">
        <w:rPr>
          <w:rFonts w:eastAsia="Calibri"/>
          <w:i/>
          <w:noProof/>
          <w:color w:val="4C4747"/>
          <w:lang w:val="es-ES"/>
        </w:rPr>
        <w:t>Certificaciones Nuevas:</w:t>
      </w:r>
      <w:r w:rsidRPr="009F6CC8">
        <w:rPr>
          <w:rFonts w:eastAsia="Calibri"/>
          <w:noProof/>
          <w:color w:val="4C4747"/>
          <w:lang w:val="es-ES"/>
        </w:rPr>
        <w:t xml:space="preserve"> se introdujeron nuevas certificaciones para áreas emergentes del sector, como seguros paramétricos y Renta vitalicia.</w:t>
      </w:r>
    </w:p>
    <w:p w14:paraId="141ABA7A" w14:textId="77777777" w:rsidR="009F6CC8" w:rsidRPr="009F6CC8" w:rsidRDefault="009F6CC8" w:rsidP="009F6CC8">
      <w:pPr>
        <w:spacing w:line="360" w:lineRule="auto"/>
        <w:jc w:val="both"/>
        <w:rPr>
          <w:rFonts w:eastAsia="Calibri"/>
          <w:noProof/>
          <w:color w:val="4C4747"/>
          <w:lang w:val="es-ES"/>
        </w:rPr>
      </w:pPr>
      <w:r w:rsidRPr="009F6CC8">
        <w:rPr>
          <w:rFonts w:eastAsia="Calibri"/>
          <w:i/>
          <w:noProof/>
          <w:color w:val="4C4747"/>
          <w:lang w:val="es-ES"/>
        </w:rPr>
        <w:t>Tasa de Éxito:</w:t>
      </w:r>
      <w:r w:rsidRPr="009F6CC8">
        <w:rPr>
          <w:rFonts w:eastAsia="Calibri"/>
          <w:noProof/>
          <w:color w:val="4C4747"/>
          <w:lang w:val="es-ES"/>
        </w:rPr>
        <w:t xml:space="preserve"> La tasa de aprobación en los exámenes de certificación ha mostrado un incremento del 60% en comparación con el período anterior. </w:t>
      </w:r>
    </w:p>
    <w:p w14:paraId="60708F11" w14:textId="77777777" w:rsidR="009F6CC8" w:rsidRPr="009F6CC8" w:rsidRDefault="009F6CC8" w:rsidP="009F6CC8">
      <w:pPr>
        <w:spacing w:line="360" w:lineRule="auto"/>
        <w:jc w:val="both"/>
        <w:rPr>
          <w:rFonts w:eastAsia="Calibri"/>
          <w:b/>
          <w:noProof/>
          <w:color w:val="4C4747"/>
          <w:lang w:val="es-ES"/>
        </w:rPr>
      </w:pPr>
      <w:r w:rsidRPr="009F6CC8">
        <w:rPr>
          <w:rFonts w:eastAsia="Calibri"/>
          <w:b/>
          <w:noProof/>
          <w:color w:val="4C4747"/>
          <w:lang w:val="es-ES"/>
        </w:rPr>
        <w:t>Formación en Línea</w:t>
      </w:r>
    </w:p>
    <w:p w14:paraId="592D7A95" w14:textId="6EA6BCA2" w:rsidR="009F6CC8" w:rsidRPr="009F6CC8" w:rsidRDefault="009F6CC8" w:rsidP="009F6CC8">
      <w:pPr>
        <w:spacing w:line="360" w:lineRule="auto"/>
        <w:jc w:val="both"/>
        <w:rPr>
          <w:rFonts w:eastAsia="Calibri"/>
          <w:noProof/>
          <w:color w:val="4C4747"/>
          <w:lang w:val="es-ES"/>
        </w:rPr>
      </w:pPr>
      <w:r w:rsidRPr="009F6CC8">
        <w:rPr>
          <w:rFonts w:eastAsia="Calibri"/>
          <w:i/>
          <w:noProof/>
          <w:color w:val="4C4747"/>
          <w:lang w:val="es-ES"/>
        </w:rPr>
        <w:t>Plataforma Digital</w:t>
      </w:r>
      <w:r w:rsidRPr="009F6CC8">
        <w:rPr>
          <w:rFonts w:eastAsia="Calibri"/>
          <w:noProof/>
          <w:color w:val="4C4747"/>
          <w:lang w:val="es-ES"/>
        </w:rPr>
        <w:t>: La plataforma de aprendizaje en línea se mejoró significativamente, con una mayor oferta de cursos interactivos y recursos educativos.</w:t>
      </w:r>
    </w:p>
    <w:p w14:paraId="55737384" w14:textId="2EA3EFD3" w:rsidR="009F6CC8" w:rsidRPr="009F6CC8" w:rsidRDefault="009F6CC8" w:rsidP="009F6CC8">
      <w:pPr>
        <w:spacing w:line="360" w:lineRule="auto"/>
        <w:jc w:val="both"/>
        <w:rPr>
          <w:rFonts w:eastAsia="Calibri"/>
          <w:noProof/>
          <w:color w:val="4C4747"/>
          <w:lang w:val="es-ES"/>
        </w:rPr>
      </w:pPr>
      <w:r w:rsidRPr="009F6CC8">
        <w:rPr>
          <w:rFonts w:eastAsia="Calibri"/>
          <w:i/>
          <w:noProof/>
          <w:color w:val="4C4747"/>
          <w:lang w:val="es-ES"/>
        </w:rPr>
        <w:t xml:space="preserve">Usuarios Activos: </w:t>
      </w:r>
      <w:r w:rsidRPr="009F6CC8">
        <w:rPr>
          <w:rFonts w:eastAsia="Calibri"/>
          <w:noProof/>
          <w:color w:val="4C4747"/>
          <w:lang w:val="es-ES"/>
        </w:rPr>
        <w:t>Se registró un incremento del 60% en la cantidad de usuarios activos en la plataforma durante este período.</w:t>
      </w:r>
    </w:p>
    <w:p w14:paraId="5EFBBA4D" w14:textId="77777777" w:rsidR="00A04FF5" w:rsidRDefault="00A04FF5" w:rsidP="009F6CC8">
      <w:pPr>
        <w:spacing w:line="360" w:lineRule="auto"/>
        <w:jc w:val="both"/>
        <w:rPr>
          <w:rFonts w:eastAsia="Calibri"/>
          <w:b/>
          <w:noProof/>
          <w:color w:val="4C4747"/>
          <w:lang w:val="es-ES"/>
        </w:rPr>
      </w:pPr>
    </w:p>
    <w:p w14:paraId="49237C46" w14:textId="731A9CBC" w:rsidR="009F6CC8" w:rsidRPr="009F6CC8" w:rsidRDefault="009F6CC8" w:rsidP="009F6CC8">
      <w:pPr>
        <w:spacing w:line="360" w:lineRule="auto"/>
        <w:jc w:val="both"/>
        <w:rPr>
          <w:rFonts w:eastAsia="Calibri"/>
          <w:b/>
          <w:noProof/>
          <w:color w:val="4C4747"/>
          <w:lang w:val="es-ES"/>
        </w:rPr>
      </w:pPr>
      <w:r w:rsidRPr="009F6CC8">
        <w:rPr>
          <w:rFonts w:eastAsia="Calibri"/>
          <w:b/>
          <w:noProof/>
          <w:color w:val="4C4747"/>
          <w:lang w:val="es-ES"/>
        </w:rPr>
        <w:lastRenderedPageBreak/>
        <w:t>Impacto en el Sector</w:t>
      </w:r>
    </w:p>
    <w:p w14:paraId="716363CA" w14:textId="77777777" w:rsidR="009F6CC8" w:rsidRPr="009F6CC8" w:rsidRDefault="009F6CC8" w:rsidP="009F6CC8">
      <w:pPr>
        <w:spacing w:line="360" w:lineRule="auto"/>
        <w:jc w:val="both"/>
        <w:rPr>
          <w:rFonts w:eastAsia="Calibri"/>
          <w:noProof/>
          <w:color w:val="4C4747"/>
          <w:lang w:val="es-ES"/>
        </w:rPr>
      </w:pPr>
      <w:r w:rsidRPr="009F6CC8">
        <w:rPr>
          <w:rFonts w:eastAsia="Calibri"/>
          <w:noProof/>
          <w:color w:val="4C4747"/>
          <w:lang w:val="es-ES"/>
        </w:rPr>
        <w:t xml:space="preserve">Nos han reportado una mejora en el ejercicio de sus funciones gracias a los conocimientos adquiridos en los distintos cursos que realizan con nosotros llegando incluso a solicitarlo introducir temas que para ellos son de vital importancia para mejora sus servicios. </w:t>
      </w:r>
    </w:p>
    <w:p w14:paraId="0CF83ED6" w14:textId="77777777" w:rsidR="009F6CC8" w:rsidRPr="009F6CC8" w:rsidRDefault="009F6CC8" w:rsidP="009F6CC8">
      <w:pPr>
        <w:spacing w:line="360" w:lineRule="auto"/>
        <w:jc w:val="both"/>
        <w:rPr>
          <w:rFonts w:eastAsia="Calibri"/>
          <w:noProof/>
          <w:color w:val="4C4747"/>
          <w:lang w:val="es-ES"/>
        </w:rPr>
      </w:pPr>
      <w:r w:rsidRPr="00D52D5E">
        <w:rPr>
          <w:rFonts w:eastAsia="Calibri"/>
          <w:i/>
          <w:noProof/>
          <w:color w:val="4C4747"/>
          <w:lang w:val="es-ES"/>
        </w:rPr>
        <w:t>Cumplimiento Regulatorio:</w:t>
      </w:r>
      <w:r w:rsidRPr="009F6CC8">
        <w:rPr>
          <w:rFonts w:eastAsia="Calibri"/>
          <w:noProof/>
          <w:color w:val="4C4747"/>
          <w:lang w:val="es-ES"/>
        </w:rPr>
        <w:t xml:space="preserve"> Un aumento del 60% en el cumplimiento de las normativas por parte de las empresas formadas por ESFOSIS fue observado.</w:t>
      </w:r>
    </w:p>
    <w:p w14:paraId="2A8F545C" w14:textId="77777777" w:rsidR="009F6CC8" w:rsidRPr="00D52D5E" w:rsidRDefault="009F6CC8" w:rsidP="009F6CC8">
      <w:pPr>
        <w:spacing w:line="360" w:lineRule="auto"/>
        <w:jc w:val="both"/>
        <w:rPr>
          <w:rFonts w:eastAsia="Calibri"/>
          <w:b/>
          <w:i/>
          <w:noProof/>
          <w:color w:val="4C4747"/>
          <w:lang w:val="es-ES"/>
        </w:rPr>
      </w:pPr>
      <w:r w:rsidRPr="00D52D5E">
        <w:rPr>
          <w:rFonts w:eastAsia="Calibri"/>
          <w:b/>
          <w:i/>
          <w:noProof/>
          <w:color w:val="4C4747"/>
          <w:lang w:val="es-ES"/>
        </w:rPr>
        <w:t>Estadísticas de Participación</w:t>
      </w:r>
    </w:p>
    <w:p w14:paraId="57A4253D" w14:textId="77777777" w:rsidR="009F6CC8" w:rsidRPr="00D52D5E" w:rsidRDefault="009F6CC8" w:rsidP="00D52D5E">
      <w:pPr>
        <w:pStyle w:val="Prrafodelista"/>
        <w:numPr>
          <w:ilvl w:val="0"/>
          <w:numId w:val="16"/>
        </w:numPr>
        <w:spacing w:line="360" w:lineRule="auto"/>
        <w:jc w:val="both"/>
        <w:rPr>
          <w:rFonts w:eastAsia="Calibri"/>
          <w:noProof/>
          <w:color w:val="4C4747"/>
          <w:lang w:val="es-ES"/>
        </w:rPr>
      </w:pPr>
      <w:r w:rsidRPr="00D52D5E">
        <w:rPr>
          <w:rFonts w:eastAsia="Calibri"/>
          <w:noProof/>
          <w:color w:val="4C4747"/>
          <w:lang w:val="es-ES"/>
        </w:rPr>
        <w:t>Se capacitaron desde enero hasta octubre más de 690 técnicos durante el período, con un 342.94 % de incremento anual en la participación.</w:t>
      </w:r>
    </w:p>
    <w:p w14:paraId="4F356A81" w14:textId="77777777" w:rsidR="009F6CC8" w:rsidRPr="00D52D5E" w:rsidRDefault="009F6CC8" w:rsidP="00D52D5E">
      <w:pPr>
        <w:pStyle w:val="Prrafodelista"/>
        <w:numPr>
          <w:ilvl w:val="0"/>
          <w:numId w:val="16"/>
        </w:numPr>
        <w:spacing w:line="360" w:lineRule="auto"/>
        <w:jc w:val="both"/>
        <w:rPr>
          <w:rFonts w:eastAsia="Calibri"/>
          <w:noProof/>
          <w:color w:val="4C4747"/>
          <w:lang w:val="es-ES"/>
        </w:rPr>
      </w:pPr>
      <w:r w:rsidRPr="00D52D5E">
        <w:rPr>
          <w:rFonts w:eastAsia="Calibri"/>
          <w:noProof/>
          <w:color w:val="4C4747"/>
          <w:lang w:val="es-ES"/>
        </w:rPr>
        <w:t>Se realizo un taller presencial sobre Renta Vitalicia dedicado a los empleados de la SIS de las principales áreas sustantivas con la participación 45 colaboradores.</w:t>
      </w:r>
    </w:p>
    <w:p w14:paraId="4F43AC6E" w14:textId="77777777" w:rsidR="009F6CC8" w:rsidRPr="00D52D5E" w:rsidRDefault="009F6CC8" w:rsidP="00D52D5E">
      <w:pPr>
        <w:pStyle w:val="Prrafodelista"/>
        <w:numPr>
          <w:ilvl w:val="0"/>
          <w:numId w:val="16"/>
        </w:numPr>
        <w:spacing w:line="360" w:lineRule="auto"/>
        <w:jc w:val="both"/>
        <w:rPr>
          <w:rFonts w:eastAsia="Calibri"/>
          <w:noProof/>
          <w:color w:val="4C4747"/>
          <w:lang w:val="es-ES"/>
        </w:rPr>
      </w:pPr>
      <w:r w:rsidRPr="00D52D5E">
        <w:rPr>
          <w:rFonts w:eastAsia="Calibri"/>
          <w:noProof/>
          <w:color w:val="4C4747"/>
          <w:lang w:val="es-ES"/>
        </w:rPr>
        <w:t xml:space="preserve">Se ha dinamizado la formación a nivel de la cada una de la Direcciones de la Superintendencia realizando cursos presenciales en la escuela como tecnología, área técnica, protocolo, Ética y la participación de 6 funcionarios en el Diplomado Dirección de entidades aseguradora y asesor </w:t>
      </w:r>
      <w:r w:rsidRPr="00D52D5E">
        <w:rPr>
          <w:rFonts w:eastAsia="Calibri"/>
          <w:noProof/>
          <w:color w:val="4C4747"/>
          <w:lang w:val="es-ES"/>
        </w:rPr>
        <w:lastRenderedPageBreak/>
        <w:t>financiero impartido por la Fundación Iberoamericana de seguros con quienes tenemos un acuerdo de formación y profesionalización junto de la Escuela de negocio con la Universidades Católica de Argentina.</w:t>
      </w:r>
    </w:p>
    <w:p w14:paraId="723AE26E" w14:textId="77777777" w:rsidR="009F6CC8" w:rsidRPr="00D52D5E" w:rsidRDefault="009F6CC8" w:rsidP="00D52D5E">
      <w:pPr>
        <w:pStyle w:val="Prrafodelista"/>
        <w:numPr>
          <w:ilvl w:val="0"/>
          <w:numId w:val="16"/>
        </w:numPr>
        <w:spacing w:line="360" w:lineRule="auto"/>
        <w:jc w:val="both"/>
        <w:rPr>
          <w:rFonts w:eastAsia="Calibri"/>
          <w:noProof/>
          <w:color w:val="4C4747"/>
          <w:lang w:val="es-ES"/>
        </w:rPr>
      </w:pPr>
      <w:r w:rsidRPr="00D52D5E">
        <w:rPr>
          <w:rFonts w:eastAsia="Calibri"/>
          <w:noProof/>
          <w:color w:val="4C4747"/>
          <w:lang w:val="es-ES"/>
        </w:rPr>
        <w:t xml:space="preserve">La formación en conciencia y cultura de seguros proyecto dirigido a los estudiantes de último año de colegios, Liceos, Politécnicos del país impactando a cientos de estudiantes de la parte norte.  </w:t>
      </w:r>
    </w:p>
    <w:p w14:paraId="580D9A6F" w14:textId="77777777" w:rsidR="009F6CC8" w:rsidRPr="00D52D5E" w:rsidRDefault="009F6CC8" w:rsidP="00D52D5E">
      <w:pPr>
        <w:pStyle w:val="Prrafodelista"/>
        <w:numPr>
          <w:ilvl w:val="0"/>
          <w:numId w:val="16"/>
        </w:numPr>
        <w:spacing w:line="360" w:lineRule="auto"/>
        <w:jc w:val="both"/>
        <w:rPr>
          <w:rFonts w:eastAsia="Calibri"/>
          <w:noProof/>
          <w:color w:val="4C4747"/>
          <w:lang w:val="es-ES"/>
        </w:rPr>
      </w:pPr>
      <w:r w:rsidRPr="00D52D5E">
        <w:rPr>
          <w:rFonts w:eastAsia="Calibri"/>
          <w:noProof/>
          <w:color w:val="4C4747"/>
          <w:lang w:val="es-ES"/>
        </w:rPr>
        <w:t>Firma del acuerdo con la Fundación Iberoamericana de seguros y la SIS para la realización de marzo 2026 de la Cumbre Mundial de seguros en RD.</w:t>
      </w:r>
    </w:p>
    <w:p w14:paraId="1CEA738F" w14:textId="77777777" w:rsidR="009F6CC8" w:rsidRPr="00D52D5E" w:rsidRDefault="009F6CC8" w:rsidP="00D52D5E">
      <w:pPr>
        <w:pStyle w:val="Prrafodelista"/>
        <w:numPr>
          <w:ilvl w:val="0"/>
          <w:numId w:val="16"/>
        </w:numPr>
        <w:spacing w:line="360" w:lineRule="auto"/>
        <w:jc w:val="both"/>
        <w:rPr>
          <w:rFonts w:eastAsia="Calibri"/>
          <w:noProof/>
          <w:color w:val="4C4747"/>
          <w:lang w:val="es-ES"/>
        </w:rPr>
      </w:pPr>
      <w:r w:rsidRPr="00D52D5E">
        <w:rPr>
          <w:rFonts w:eastAsia="Calibri"/>
          <w:noProof/>
          <w:color w:val="4C4747"/>
          <w:lang w:val="es-ES"/>
        </w:rPr>
        <w:t>Satisfacción de los Participantes: Él índice de satisfacción alcanzó un promedio de 95%, basado en encuestas de retroalimentación</w:t>
      </w:r>
    </w:p>
    <w:p w14:paraId="51E04B43" w14:textId="47D9539C" w:rsidR="00A70DE5" w:rsidRPr="00A70DE5" w:rsidRDefault="00A70DE5" w:rsidP="00A70DE5">
      <w:pPr>
        <w:spacing w:line="360" w:lineRule="auto"/>
        <w:ind w:left="360"/>
        <w:jc w:val="both"/>
        <w:rPr>
          <w:rFonts w:eastAsia="Calibri"/>
          <w:b/>
          <w:noProof/>
          <w:color w:val="4C4747"/>
          <w:lang w:val="es-ES"/>
        </w:rPr>
      </w:pPr>
      <w:r w:rsidRPr="00A70DE5">
        <w:rPr>
          <w:rFonts w:eastAsia="Calibri"/>
          <w:b/>
          <w:noProof/>
          <w:color w:val="4C4747"/>
          <w:lang w:val="es-ES"/>
        </w:rPr>
        <w:t>Participación de la SIS en eventos, congresos, capacitaciones y foros nacionales e internacionale</w:t>
      </w:r>
      <w:r>
        <w:rPr>
          <w:rFonts w:eastAsia="Calibri"/>
          <w:b/>
          <w:noProof/>
          <w:color w:val="4C4747"/>
          <w:lang w:val="es-ES"/>
        </w:rPr>
        <w:t>s.</w:t>
      </w:r>
      <w:r w:rsidRPr="00A70DE5">
        <w:rPr>
          <w:rFonts w:eastAsia="Calibri"/>
          <w:b/>
          <w:noProof/>
          <w:color w:val="4C4747"/>
          <w:lang w:val="es-ES"/>
        </w:rPr>
        <w:t xml:space="preserve"> </w:t>
      </w:r>
    </w:p>
    <w:p w14:paraId="24B42A73" w14:textId="77777777" w:rsidR="00A70DE5" w:rsidRPr="00A70DE5" w:rsidRDefault="00A70DE5" w:rsidP="00A70DE5">
      <w:pPr>
        <w:spacing w:line="360" w:lineRule="auto"/>
        <w:ind w:left="360"/>
        <w:jc w:val="both"/>
        <w:rPr>
          <w:rFonts w:eastAsia="Calibri"/>
          <w:noProof/>
          <w:color w:val="4C4747"/>
          <w:lang w:val="es-ES"/>
        </w:rPr>
      </w:pPr>
      <w:r w:rsidRPr="00A70DE5">
        <w:rPr>
          <w:rFonts w:eastAsia="Calibri"/>
          <w:noProof/>
          <w:color w:val="4C4747"/>
          <w:lang w:val="es-ES"/>
        </w:rPr>
        <w:t xml:space="preserve">Hemos mantenido una agenda activa de representación institucional en eventos, congresos y espacios de formación tanto a nivel nacional como internacional. Esta participación ha fortalecido las capacidades técnicas del personal, ampliado la </w:t>
      </w:r>
      <w:r w:rsidRPr="00A70DE5">
        <w:rPr>
          <w:rFonts w:eastAsia="Calibri"/>
          <w:noProof/>
          <w:color w:val="4C4747"/>
          <w:lang w:val="es-ES"/>
        </w:rPr>
        <w:lastRenderedPageBreak/>
        <w:t>cooperación interinstitucional y posicionado al país dentro de las mejores prácticas regulatorias de la región.</w:t>
      </w:r>
    </w:p>
    <w:p w14:paraId="2ECD40D7" w14:textId="77777777" w:rsidR="00A70DE5" w:rsidRPr="00A70DE5" w:rsidRDefault="00A70DE5" w:rsidP="00A70DE5">
      <w:pPr>
        <w:spacing w:line="360" w:lineRule="auto"/>
        <w:ind w:left="360"/>
        <w:jc w:val="both"/>
        <w:rPr>
          <w:rFonts w:eastAsia="Calibri"/>
          <w:noProof/>
          <w:color w:val="4C4747"/>
          <w:lang w:val="es-ES"/>
        </w:rPr>
      </w:pPr>
      <w:r w:rsidRPr="00A70DE5">
        <w:rPr>
          <w:rFonts w:eastAsia="Calibri"/>
          <w:noProof/>
          <w:color w:val="4C4747"/>
          <w:lang w:val="es-ES"/>
        </w:rPr>
        <w:t xml:space="preserve">Hemos intensificado nuestra participación en actividades técnicas y de difusión durante 2024–2025, destacándonos en la organización del Congreso de Innovación y Seguros de la República Dominicana (CISRD 2025), representación y aportes en seminarios/regionales vinculados a ASSAL–IAIS, y la puesta en marcha de iniciativas formativas y de cooperación internacional (incluyendo una primera certificación antilavado diseñada para el sector seguros). Estas acciones han buscado combinar innovación regulatoria, capacitación técnica y cooperación transfronteriza para apoyar la reforma normativa y el fortalecimiento del sistema asegurador nacional. A continuación, enlistamos algunos de los eventos más importantes:  </w:t>
      </w:r>
    </w:p>
    <w:p w14:paraId="133D4163" w14:textId="31B92BEE"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Congreso de Innovación y Seguros de la República Dominicana (CISRD 2025).</w:t>
      </w:r>
    </w:p>
    <w:p w14:paraId="30023F2B" w14:textId="092ABFCE"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 xml:space="preserve">Seminario Regional ASSAL – IAIS (participación internacional 27 y 28 de marzo 2025). </w:t>
      </w:r>
    </w:p>
    <w:p w14:paraId="69E98AB8" w14:textId="2142BDEC"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Convenios y mesas técnicas internacionales / regionales.</w:t>
      </w:r>
    </w:p>
    <w:p w14:paraId="4259B545" w14:textId="432E9BC8"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Participación en Consejo Centroamericano de Superintendentes.</w:t>
      </w:r>
    </w:p>
    <w:p w14:paraId="2FC2A6B9" w14:textId="7C94D40F"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lastRenderedPageBreak/>
        <w:t>Cumbre Iberoamericana del Seguro.</w:t>
      </w:r>
    </w:p>
    <w:p w14:paraId="5982C7B8" w14:textId="4EA8D0B5"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Convenios de cooperación internacional (PNUD, FIBA, universidades, Consejos regionales) para formación y supervisión transfronteriza</w:t>
      </w:r>
    </w:p>
    <w:p w14:paraId="0934C6BF" w14:textId="000839F7"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 xml:space="preserve">Programas de certificación (AMLCA) para el sector seguros — primer programa regional impulsado por la SIS. </w:t>
      </w:r>
    </w:p>
    <w:p w14:paraId="48B94C40" w14:textId="7ACCD676"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 xml:space="preserve">Ciclo de eventos formativos (CISRD) con producción de conferencias y propuestas técnicas relacionadas con la reforma de la Ley 146-02. </w:t>
      </w:r>
    </w:p>
    <w:p w14:paraId="07AF1C4E" w14:textId="5165E445"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Participación en foros/regionales (ASSAL–IAIS) para actualización sobre supervisión, reaseguro y buenas prácticas regulatorias.</w:t>
      </w:r>
    </w:p>
    <w:p w14:paraId="63DD82C6" w14:textId="21E4EBE5"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 xml:space="preserve">Asociación de Supervisores de Seguros de América Latina (ASSAL) – San Salvador (Octubre 2025). </w:t>
      </w:r>
    </w:p>
    <w:p w14:paraId="43EEC6BD" w14:textId="6C80E116" w:rsidR="00A70DE5" w:rsidRPr="00A70DE5" w:rsidRDefault="00A70DE5" w:rsidP="00A70DE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Actividad oficial del Superintendente en Paraguay (septiembre 2025).</w:t>
      </w:r>
    </w:p>
    <w:p w14:paraId="6C6D0761" w14:textId="51C14EE7" w:rsidR="00A70DE5" w:rsidRPr="00A04FF5" w:rsidRDefault="00A70DE5" w:rsidP="00A04FF5">
      <w:pPr>
        <w:pStyle w:val="Prrafodelista"/>
        <w:numPr>
          <w:ilvl w:val="0"/>
          <w:numId w:val="47"/>
        </w:numPr>
        <w:spacing w:line="360" w:lineRule="auto"/>
        <w:jc w:val="both"/>
        <w:rPr>
          <w:rFonts w:eastAsia="Calibri"/>
          <w:noProof/>
          <w:color w:val="4C4747"/>
          <w:lang w:val="es-ES"/>
        </w:rPr>
      </w:pPr>
      <w:r w:rsidRPr="00A70DE5">
        <w:rPr>
          <w:rFonts w:eastAsia="Calibri"/>
          <w:noProof/>
          <w:color w:val="4C4747"/>
          <w:lang w:val="es-ES"/>
        </w:rPr>
        <w:t xml:space="preserve">Semana del Seguro – Madrid (febrero 2025). </w:t>
      </w:r>
    </w:p>
    <w:p w14:paraId="2DC1054E" w14:textId="77777777" w:rsidR="00A70DE5" w:rsidRPr="00A70DE5" w:rsidRDefault="00A70DE5" w:rsidP="00A70DE5">
      <w:pPr>
        <w:spacing w:line="360" w:lineRule="auto"/>
        <w:ind w:left="360"/>
        <w:jc w:val="both"/>
        <w:rPr>
          <w:rFonts w:eastAsia="Calibri"/>
          <w:b/>
          <w:noProof/>
          <w:color w:val="4C4747"/>
          <w:lang w:val="es-ES"/>
        </w:rPr>
      </w:pPr>
      <w:r w:rsidRPr="00A70DE5">
        <w:rPr>
          <w:rFonts w:eastAsia="Calibri"/>
          <w:b/>
          <w:noProof/>
          <w:color w:val="4C4747"/>
          <w:lang w:val="es-ES"/>
        </w:rPr>
        <w:t xml:space="preserve">Resultados: </w:t>
      </w:r>
    </w:p>
    <w:p w14:paraId="60F55EEB" w14:textId="77777777" w:rsidR="00A70DE5" w:rsidRPr="00A70DE5" w:rsidRDefault="00A70DE5" w:rsidP="00A70DE5">
      <w:pPr>
        <w:spacing w:line="360" w:lineRule="auto"/>
        <w:ind w:left="360"/>
        <w:jc w:val="both"/>
        <w:rPr>
          <w:rFonts w:eastAsia="Calibri"/>
          <w:noProof/>
          <w:color w:val="4C4747"/>
          <w:lang w:val="es-ES"/>
        </w:rPr>
      </w:pPr>
      <w:r w:rsidRPr="00A70DE5">
        <w:rPr>
          <w:rFonts w:eastAsia="Calibri"/>
          <w:noProof/>
          <w:color w:val="4C4747"/>
          <w:lang w:val="es-ES"/>
        </w:rPr>
        <w:t></w:t>
      </w:r>
      <w:r w:rsidRPr="00A70DE5">
        <w:rPr>
          <w:rFonts w:eastAsia="Calibri"/>
          <w:noProof/>
          <w:color w:val="4C4747"/>
          <w:lang w:val="es-ES"/>
        </w:rPr>
        <w:tab/>
        <w:t xml:space="preserve">Visibilidad y liderazgo técnico: La SIS ha mostrado una estrategia clara de visibilidad pública combinada con agendas </w:t>
      </w:r>
      <w:r w:rsidRPr="00A70DE5">
        <w:rPr>
          <w:rFonts w:eastAsia="Calibri"/>
          <w:noProof/>
          <w:color w:val="4C4747"/>
          <w:lang w:val="es-ES"/>
        </w:rPr>
        <w:lastRenderedPageBreak/>
        <w:t xml:space="preserve">técnicas (congresos propios y representaciones internacionales) para posicionarse como actor regional en supervisión. </w:t>
      </w:r>
    </w:p>
    <w:p w14:paraId="4047588E" w14:textId="77777777" w:rsidR="00A70DE5" w:rsidRPr="00A70DE5" w:rsidRDefault="00A70DE5" w:rsidP="00A70DE5">
      <w:pPr>
        <w:spacing w:line="360" w:lineRule="auto"/>
        <w:ind w:left="360"/>
        <w:jc w:val="both"/>
        <w:rPr>
          <w:rFonts w:eastAsia="Calibri"/>
          <w:noProof/>
          <w:color w:val="4C4747"/>
          <w:lang w:val="es-ES"/>
        </w:rPr>
      </w:pPr>
      <w:r w:rsidRPr="00A70DE5">
        <w:rPr>
          <w:rFonts w:eastAsia="Calibri"/>
          <w:noProof/>
          <w:color w:val="4C4747"/>
          <w:lang w:val="es-ES"/>
        </w:rPr>
        <w:t></w:t>
      </w:r>
      <w:r w:rsidRPr="00A70DE5">
        <w:rPr>
          <w:rFonts w:eastAsia="Calibri"/>
          <w:noProof/>
          <w:color w:val="4C4747"/>
          <w:lang w:val="es-ES"/>
        </w:rPr>
        <w:tab/>
        <w:t xml:space="preserve">Cooperación y capacitación: La firma de convenios y el impulso a programas de certificación antilavado reflejan un enfoque en elevar capacidades técnicas del sector y alinear la supervisión con estándares internacionales. </w:t>
      </w:r>
    </w:p>
    <w:p w14:paraId="1F08CD11" w14:textId="226761AB" w:rsidR="00654164" w:rsidRDefault="00A70DE5" w:rsidP="00A04FF5">
      <w:pPr>
        <w:spacing w:line="360" w:lineRule="auto"/>
        <w:ind w:left="360"/>
        <w:jc w:val="both"/>
        <w:rPr>
          <w:rFonts w:eastAsia="Calibri"/>
          <w:noProof/>
          <w:color w:val="4C4747"/>
          <w:lang w:val="es-ES"/>
        </w:rPr>
      </w:pPr>
      <w:r w:rsidRPr="00A70DE5">
        <w:rPr>
          <w:rFonts w:eastAsia="Calibri"/>
          <w:noProof/>
          <w:color w:val="4C4747"/>
          <w:lang w:val="es-ES"/>
        </w:rPr>
        <w:t></w:t>
      </w:r>
      <w:r w:rsidRPr="00A70DE5">
        <w:rPr>
          <w:rFonts w:eastAsia="Calibri"/>
          <w:noProof/>
          <w:color w:val="4C4747"/>
          <w:lang w:val="es-ES"/>
        </w:rPr>
        <w:tab/>
        <w:t>Aporte al proceso normativo local: Los eventos y seminarios se han usado como plataforma para alimentar el proceso de reforma normativa (Ley 146-02) y consultas públicas técnicas.</w:t>
      </w:r>
    </w:p>
    <w:p w14:paraId="7856B818" w14:textId="77777777" w:rsidR="00A70DE5" w:rsidRPr="0058331C" w:rsidRDefault="00A70DE5" w:rsidP="00654164">
      <w:pPr>
        <w:rPr>
          <w:color w:val="4C4747"/>
          <w:lang w:val="es-DO"/>
        </w:rPr>
      </w:pPr>
    </w:p>
    <w:p w14:paraId="480AB252" w14:textId="4C35FFD3" w:rsidR="00654164" w:rsidRPr="0058331C" w:rsidRDefault="00654164" w:rsidP="00A70DE5">
      <w:pPr>
        <w:pStyle w:val="Ttulo1"/>
        <w:numPr>
          <w:ilvl w:val="0"/>
          <w:numId w:val="46"/>
        </w:numPr>
        <w:ind w:left="426"/>
        <w:rPr>
          <w:rFonts w:cs="Times New Roman"/>
          <w:color w:val="4C4747"/>
          <w:lang w:val="es-DO"/>
        </w:rPr>
      </w:pPr>
      <w:bookmarkStart w:id="26" w:name="_Toc216875870"/>
      <w:r w:rsidRPr="0058331C">
        <w:rPr>
          <w:rFonts w:cs="Times New Roman"/>
          <w:color w:val="4C4747"/>
          <w:lang w:val="es-DO"/>
        </w:rPr>
        <w:t>RESULTADOS DE LAS ÁREAS TRANSVERSALES Y DE APOYO</w:t>
      </w:r>
      <w:bookmarkEnd w:id="26"/>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5FB85E0B" w:rsidR="00654164" w:rsidRPr="00A70DE5" w:rsidRDefault="00654164" w:rsidP="00D52D5E">
      <w:pPr>
        <w:jc w:val="center"/>
        <w:rPr>
          <w:rFonts w:eastAsia="Calibri"/>
          <w:color w:val="4C4747"/>
          <w:szCs w:val="36"/>
          <w:lang w:val="es-ES"/>
        </w:rPr>
      </w:pPr>
      <w:r w:rsidRPr="00A70DE5">
        <w:rPr>
          <w:rFonts w:eastAsia="Calibri"/>
          <w:color w:val="4C4747"/>
          <w:szCs w:val="36"/>
          <w:lang w:val="es-ES"/>
        </w:rPr>
        <w:t xml:space="preserve">Memoria </w:t>
      </w:r>
      <w:r w:rsidR="009547F0" w:rsidRPr="00A70DE5">
        <w:rPr>
          <w:rFonts w:eastAsia="Calibri"/>
          <w:color w:val="4C4747"/>
          <w:szCs w:val="36"/>
          <w:lang w:val="es-ES"/>
        </w:rPr>
        <w:t>I</w:t>
      </w:r>
      <w:r w:rsidRPr="00A70DE5">
        <w:rPr>
          <w:rFonts w:eastAsia="Calibri"/>
          <w:color w:val="4C4747"/>
          <w:szCs w:val="36"/>
          <w:lang w:val="es-ES"/>
        </w:rPr>
        <w:t xml:space="preserve">nstitucional </w:t>
      </w:r>
      <w:r w:rsidR="007471AC" w:rsidRPr="00A70DE5">
        <w:rPr>
          <w:rFonts w:eastAsia="Calibri"/>
          <w:color w:val="4C4747"/>
          <w:szCs w:val="36"/>
          <w:lang w:val="es-ES"/>
        </w:rPr>
        <w:t>202</w:t>
      </w:r>
      <w:r w:rsidR="0051332F" w:rsidRPr="00A70DE5">
        <w:rPr>
          <w:rFonts w:eastAsia="Calibri"/>
          <w:color w:val="4C4747"/>
          <w:szCs w:val="36"/>
          <w:lang w:val="es-ES"/>
        </w:rPr>
        <w:t>5</w:t>
      </w:r>
    </w:p>
    <w:p w14:paraId="3EFCAA42" w14:textId="77777777" w:rsidR="00D52D5E" w:rsidRPr="00A70DE5" w:rsidRDefault="00D52D5E" w:rsidP="00D52D5E">
      <w:pPr>
        <w:jc w:val="center"/>
        <w:rPr>
          <w:rFonts w:eastAsia="Calibri"/>
          <w:color w:val="4C4747"/>
          <w:szCs w:val="36"/>
          <w:lang w:val="es-ES"/>
        </w:rPr>
      </w:pPr>
    </w:p>
    <w:p w14:paraId="0AA50A7E" w14:textId="77777777" w:rsidR="00D52D5E" w:rsidRPr="00D52D5E" w:rsidRDefault="00D52D5E" w:rsidP="00D52D5E">
      <w:pPr>
        <w:pStyle w:val="Ttulo2"/>
        <w:rPr>
          <w:b/>
          <w:lang w:val="es-DO"/>
        </w:rPr>
      </w:pPr>
      <w:bookmarkStart w:id="27" w:name="_Toc123645701"/>
      <w:bookmarkStart w:id="28" w:name="_Toc185255082"/>
      <w:bookmarkStart w:id="29" w:name="_Toc216875871"/>
      <w:bookmarkStart w:id="30" w:name="_Hlk216091897"/>
      <w:r w:rsidRPr="00D52D5E">
        <w:rPr>
          <w:b/>
          <w:lang w:val="es-DO"/>
        </w:rPr>
        <w:t>4.1 Desempeño del Área Administrativa y Financiera</w:t>
      </w:r>
      <w:bookmarkEnd w:id="27"/>
      <w:bookmarkEnd w:id="28"/>
      <w:bookmarkEnd w:id="29"/>
    </w:p>
    <w:p w14:paraId="78902E08" w14:textId="77777777" w:rsidR="00D52D5E" w:rsidRPr="00BE66C1" w:rsidRDefault="00D52D5E" w:rsidP="00D52D5E">
      <w:pPr>
        <w:jc w:val="center"/>
        <w:rPr>
          <w:noProof/>
          <w:lang w:val="es-DO"/>
        </w:rPr>
      </w:pPr>
    </w:p>
    <w:p w14:paraId="17D6B3B7" w14:textId="314881D4" w:rsidR="00974984" w:rsidRDefault="00D52D5E" w:rsidP="00D52D5E">
      <w:pPr>
        <w:spacing w:line="360" w:lineRule="auto"/>
        <w:jc w:val="both"/>
        <w:rPr>
          <w:rFonts w:eastAsia="Calibri"/>
          <w:noProof/>
          <w:color w:val="4C4747"/>
          <w:lang w:val="es-ES"/>
        </w:rPr>
      </w:pPr>
      <w:r w:rsidRPr="00D52D5E">
        <w:rPr>
          <w:rFonts w:eastAsia="Calibri"/>
          <w:noProof/>
          <w:color w:val="4C4747"/>
          <w:lang w:val="es-ES"/>
        </w:rPr>
        <w:t xml:space="preserve">La Dirección Administrativa y sus dependencias han cumplido con los requerimientos institucionales durante el período enero-octubre de 2025, asegurando la eficiencia en la gestión de servicios, Servicios </w:t>
      </w:r>
      <w:r w:rsidRPr="00D52D5E">
        <w:rPr>
          <w:rFonts w:eastAsia="Calibri"/>
          <w:noProof/>
          <w:color w:val="4C4747"/>
          <w:lang w:val="es-ES"/>
        </w:rPr>
        <w:lastRenderedPageBreak/>
        <w:t>Generales, Control de Bienes, Suministros, Correspondencia y Archivo. Se han desarrollado actividades clave en limpieza, mantenimiento, transporte, gestión de bienes, correspondencia y distribución de materiales, asegurando la operatividad y el cumplimiento de los objetivos institucionales. Estas acciones reflejan el compromiso con la eficiencia, la transparencia y el uso adecuado de los recursos asignados.</w:t>
      </w:r>
    </w:p>
    <w:p w14:paraId="45A97B08" w14:textId="073DFC91" w:rsidR="009B4D99" w:rsidRPr="009B4D99" w:rsidRDefault="009B4D99" w:rsidP="009B4D99">
      <w:pPr>
        <w:spacing w:line="360" w:lineRule="auto"/>
        <w:jc w:val="both"/>
        <w:rPr>
          <w:rFonts w:eastAsia="Calibri"/>
          <w:noProof/>
          <w:color w:val="4C4747"/>
          <w:lang w:val="es-DO"/>
        </w:rPr>
      </w:pPr>
      <w:r w:rsidRPr="009B4D99">
        <w:rPr>
          <w:rFonts w:eastAsia="Calibri"/>
          <w:noProof/>
          <w:color w:val="4C4747"/>
          <w:lang w:val="es-DO"/>
        </w:rPr>
        <w:t>Gracias al descargo de 37 vehículos obsoletos (chatarras), la implementación del sistema Visa Flotilla en</w:t>
      </w:r>
      <w:r>
        <w:rPr>
          <w:rFonts w:eastAsia="Calibri"/>
          <w:noProof/>
          <w:color w:val="4C4747"/>
          <w:lang w:val="es-DO"/>
        </w:rPr>
        <w:t xml:space="preserve"> </w:t>
      </w:r>
      <w:r w:rsidRPr="009B4D99">
        <w:rPr>
          <w:rFonts w:eastAsia="Calibri"/>
          <w:noProof/>
          <w:color w:val="4C4747"/>
          <w:lang w:val="es-DO"/>
        </w:rPr>
        <w:t>colaboración con el Banco de Reservas, y otras medidas de control interno, la Superintendencia de Seguros</w:t>
      </w:r>
      <w:r>
        <w:rPr>
          <w:rFonts w:eastAsia="Calibri"/>
          <w:noProof/>
          <w:color w:val="4C4747"/>
          <w:lang w:val="es-DO"/>
        </w:rPr>
        <w:t xml:space="preserve"> </w:t>
      </w:r>
      <w:r w:rsidRPr="009B4D99">
        <w:rPr>
          <w:rFonts w:eastAsia="Calibri"/>
          <w:noProof/>
          <w:color w:val="4C4747"/>
          <w:lang w:val="es-DO"/>
        </w:rPr>
        <w:t>experimentó una reducción del gasto en combustible de RD$ 15,360,000 en 2024 a RD$ 11,816,000 al</w:t>
      </w:r>
      <w:r>
        <w:rPr>
          <w:rFonts w:eastAsia="Calibri"/>
          <w:noProof/>
          <w:color w:val="4C4747"/>
          <w:lang w:val="es-DO"/>
        </w:rPr>
        <w:t xml:space="preserve"> </w:t>
      </w:r>
      <w:r w:rsidRPr="009B4D99">
        <w:rPr>
          <w:rFonts w:eastAsia="Calibri"/>
          <w:noProof/>
          <w:color w:val="4C4747"/>
          <w:lang w:val="es-DO"/>
        </w:rPr>
        <w:t>cierre de 2025. Esto representa un ahorro estimado de RD$ 3,544,000, equivalente a un 23%, reflejando</w:t>
      </w:r>
      <w:r>
        <w:rPr>
          <w:rFonts w:eastAsia="Calibri"/>
          <w:noProof/>
          <w:color w:val="4C4747"/>
          <w:lang w:val="es-DO"/>
        </w:rPr>
        <w:t xml:space="preserve"> </w:t>
      </w:r>
      <w:r w:rsidRPr="009B4D99">
        <w:rPr>
          <w:rFonts w:eastAsia="Calibri"/>
          <w:noProof/>
          <w:color w:val="4C4747"/>
          <w:lang w:val="es-DO"/>
        </w:rPr>
        <w:t>un uso más eficiente, transparente y racional de los recursos públicos.</w:t>
      </w:r>
    </w:p>
    <w:p w14:paraId="47DB4832" w14:textId="426D901D" w:rsidR="00974984" w:rsidRDefault="00974984" w:rsidP="00974984">
      <w:pPr>
        <w:spacing w:line="360" w:lineRule="auto"/>
        <w:jc w:val="both"/>
        <w:rPr>
          <w:rFonts w:eastAsia="Calibri"/>
          <w:b/>
          <w:noProof/>
          <w:color w:val="4C4747"/>
          <w:lang w:val="es-ES"/>
        </w:rPr>
      </w:pPr>
      <w:r w:rsidRPr="00974984">
        <w:rPr>
          <w:rFonts w:eastAsia="Calibri"/>
          <w:b/>
          <w:noProof/>
          <w:color w:val="4C4747"/>
          <w:lang w:val="es-ES"/>
        </w:rPr>
        <w:t xml:space="preserve">Departamento de Compras </w:t>
      </w:r>
    </w:p>
    <w:p w14:paraId="2533E344" w14:textId="7CA65AE8" w:rsidR="00974984" w:rsidRPr="00974984" w:rsidRDefault="009B4D99" w:rsidP="00974984">
      <w:pPr>
        <w:spacing w:line="360" w:lineRule="auto"/>
        <w:jc w:val="both"/>
        <w:rPr>
          <w:rFonts w:eastAsia="Calibri"/>
          <w:noProof/>
          <w:color w:val="4C4747"/>
          <w:lang w:val="es-ES"/>
        </w:rPr>
      </w:pPr>
      <w:r>
        <w:rPr>
          <w:rFonts w:eastAsia="Calibri"/>
          <w:noProof/>
          <w:color w:val="4C4747"/>
          <w:lang w:val="es-ES"/>
        </w:rPr>
        <w:t xml:space="preserve">Durante el perido en cuestión, </w:t>
      </w:r>
      <w:r w:rsidR="00974984" w:rsidRPr="00974984">
        <w:rPr>
          <w:rFonts w:eastAsia="Calibri"/>
          <w:noProof/>
          <w:color w:val="4C4747"/>
          <w:lang w:val="es-ES"/>
        </w:rPr>
        <w:t xml:space="preserve">de la Superintendencia de Seguros, </w:t>
      </w:r>
      <w:r>
        <w:rPr>
          <w:rFonts w:eastAsia="Calibri"/>
          <w:noProof/>
          <w:color w:val="4C4747"/>
          <w:lang w:val="es-ES"/>
        </w:rPr>
        <w:t xml:space="preserve">tuvo </w:t>
      </w:r>
      <w:r w:rsidR="00974984" w:rsidRPr="00974984">
        <w:rPr>
          <w:rFonts w:eastAsia="Calibri"/>
          <w:noProof/>
          <w:color w:val="4C4747"/>
          <w:lang w:val="es-ES"/>
        </w:rPr>
        <w:t xml:space="preserve">una planificación financiera y operativa sólida por parte del Departamento de Compras. El monto estimado total del plan asciende a RD$126,953,136.45, mientras que el monto total contratado alcanza </w:t>
      </w:r>
      <w:r w:rsidR="00974984" w:rsidRPr="00974984">
        <w:rPr>
          <w:rFonts w:eastAsia="Calibri"/>
          <w:noProof/>
          <w:color w:val="4C4747"/>
          <w:lang w:val="es-ES"/>
        </w:rPr>
        <w:lastRenderedPageBreak/>
        <w:t>RD$47,837,759.00, lo que evidencia una ejecución parcial y gradual, consistente con una gestión responsable del gasto público y con el calendario de necesidades institucionales.</w:t>
      </w:r>
    </w:p>
    <w:p w14:paraId="3E5C2E29" w14:textId="0563DAF1" w:rsidR="00974984" w:rsidRPr="00974984" w:rsidRDefault="00974984" w:rsidP="00974984">
      <w:pPr>
        <w:spacing w:line="360" w:lineRule="auto"/>
        <w:jc w:val="both"/>
        <w:rPr>
          <w:rFonts w:eastAsia="Calibri"/>
          <w:noProof/>
          <w:color w:val="4C4747"/>
          <w:lang w:val="es-ES"/>
        </w:rPr>
      </w:pPr>
      <w:r w:rsidRPr="00974984">
        <w:rPr>
          <w:rFonts w:eastAsia="Calibri"/>
          <w:noProof/>
          <w:color w:val="4C4747"/>
          <w:lang w:val="es-ES"/>
        </w:rPr>
        <w:t xml:space="preserve">Durante el período evaluado se registraron un total de </w:t>
      </w:r>
      <w:r w:rsidR="0040593F">
        <w:rPr>
          <w:rFonts w:eastAsia="Calibri"/>
          <w:noProof/>
          <w:color w:val="4C4747"/>
          <w:lang w:val="es-ES"/>
        </w:rPr>
        <w:t>85</w:t>
      </w:r>
      <w:r w:rsidRPr="00974984">
        <w:rPr>
          <w:rFonts w:eastAsia="Calibri"/>
          <w:noProof/>
          <w:color w:val="4C4747"/>
          <w:lang w:val="es-ES"/>
        </w:rPr>
        <w:t xml:space="preserve"> procesos de compra</w:t>
      </w:r>
      <w:r w:rsidR="0040593F">
        <w:rPr>
          <w:rFonts w:eastAsia="Calibri"/>
          <w:noProof/>
          <w:color w:val="4C4747"/>
          <w:lang w:val="es-ES"/>
        </w:rPr>
        <w:t>s</w:t>
      </w:r>
      <w:r w:rsidRPr="00974984">
        <w:rPr>
          <w:rFonts w:eastAsia="Calibri"/>
          <w:noProof/>
          <w:color w:val="4C4747"/>
          <w:lang w:val="es-ES"/>
        </w:rPr>
        <w:t>, lo que refleja una actividad significativa y una adecuada capacidad operativa de la unidad de compras para gestionar múltiples procedimientos de manera simultánea. Este volumen de procesos demuestra un nivel adecuado de planificación, coordinación interinstitucional y seguimiento, elementos clave para garantizar la provisión oportuna de bienes y servicios requeridos para el cumplimiento de los objetivos institucionales.</w:t>
      </w:r>
    </w:p>
    <w:p w14:paraId="19C8BA15" w14:textId="646749D5" w:rsidR="00974984" w:rsidRPr="00974984" w:rsidRDefault="00974984" w:rsidP="00974984">
      <w:pPr>
        <w:spacing w:line="360" w:lineRule="auto"/>
        <w:jc w:val="both"/>
        <w:rPr>
          <w:rFonts w:eastAsia="Calibri"/>
          <w:noProof/>
          <w:color w:val="4C4747"/>
          <w:lang w:val="es-ES"/>
        </w:rPr>
      </w:pPr>
      <w:r w:rsidRPr="00974984">
        <w:rPr>
          <w:rFonts w:eastAsia="Calibri"/>
          <w:noProof/>
          <w:color w:val="4C4747"/>
          <w:lang w:val="es-ES"/>
        </w:rPr>
        <w:t>En cuanto a la naturaleza del gasto, los recursos contratados se concentran principalmente en bienes y servicios, con montos estimados de RD$23,670,263.00 y RD$24,157,496.00, respectivamente. No se contemplan obras ni servicios de consultoría, lo cual sugiere que el enfoque del plan estuvo orientado a cubrir necesidades operativas, administrativas y de soporte institucional, priorizando la continuidad de los servicios y el fortalecimiento de la gestión interna.</w:t>
      </w:r>
    </w:p>
    <w:p w14:paraId="02789F84" w14:textId="700EEFF5" w:rsidR="00974984" w:rsidRPr="00974984" w:rsidRDefault="00974984" w:rsidP="00974984">
      <w:pPr>
        <w:spacing w:line="360" w:lineRule="auto"/>
        <w:jc w:val="both"/>
        <w:rPr>
          <w:rFonts w:eastAsia="Calibri"/>
          <w:noProof/>
          <w:color w:val="4C4747"/>
          <w:lang w:val="es-ES"/>
        </w:rPr>
      </w:pPr>
      <w:r w:rsidRPr="00974984">
        <w:rPr>
          <w:rFonts w:eastAsia="Calibri"/>
          <w:noProof/>
          <w:color w:val="4C4747"/>
          <w:lang w:val="es-ES"/>
        </w:rPr>
        <w:lastRenderedPageBreak/>
        <w:t>Un aspecto relevante del desempeño del Departamento de Compras es la incorporación de criterios de fomento a las MIPYMES. Del total de los montos estimados, RD$15,673,464.00 corresponden a MIPYMES y RD$12,666,617.00 a MIPYMES lideradas por mujeres, lo que evidencia un esfuerzo deliberado por promover la inclusión, la equidad y el desarrollo del tejido productivo nacional, en consonancia con las políticas públicas de compras y contrataciones.</w:t>
      </w:r>
    </w:p>
    <w:p w14:paraId="66D6988C" w14:textId="6988699C" w:rsidR="00974984" w:rsidRPr="00974984" w:rsidRDefault="00974984" w:rsidP="00974984">
      <w:pPr>
        <w:spacing w:line="360" w:lineRule="auto"/>
        <w:jc w:val="both"/>
        <w:rPr>
          <w:rFonts w:eastAsia="Calibri"/>
          <w:noProof/>
          <w:color w:val="4C4747"/>
          <w:lang w:val="es-ES"/>
        </w:rPr>
      </w:pPr>
      <w:r w:rsidRPr="00974984">
        <w:rPr>
          <w:rFonts w:eastAsia="Calibri"/>
          <w:noProof/>
          <w:color w:val="4C4747"/>
          <w:lang w:val="es-ES"/>
        </w:rPr>
        <w:t>Respecto a los procedimientos utilizados, predomina la modalidad de compra menor, con un monto estimado de RD$34,214,359.00, seguida por la comparación de precios y las compras por debajo del umbral. Esta distribución sugiere una adecuada selección de los mecanismos de contratación, ajustados al monto y naturaleza de los bienes y servicios requeridos, lo que contribuye a una mayor agilidad administrativa sin detrimento de la transparencia ni del cumplimiento normativo.</w:t>
      </w:r>
    </w:p>
    <w:p w14:paraId="40BD9E29" w14:textId="5C95B68B" w:rsidR="0040593F" w:rsidRPr="0040593F" w:rsidRDefault="00974984" w:rsidP="0040593F">
      <w:pPr>
        <w:spacing w:after="0" w:line="360" w:lineRule="auto"/>
        <w:jc w:val="both"/>
        <w:rPr>
          <w:rFonts w:eastAsia="Calibri"/>
          <w:noProof/>
          <w:color w:val="4C4747"/>
          <w:lang w:val="es-ES"/>
        </w:rPr>
      </w:pPr>
      <w:r w:rsidRPr="00974984">
        <w:rPr>
          <w:rFonts w:eastAsia="Calibri"/>
          <w:noProof/>
          <w:color w:val="4C4747"/>
          <w:lang w:val="es-ES"/>
        </w:rPr>
        <w:t xml:space="preserve">En términos generales, el desempeño del Departamento de Compras durante el período analizado puede calificarse como satisfactorio, caracterizado por una planificación adecuada, una ejecución responsable del presupuesto y un uso eficiente de los distintos procedimientos de contratación. Estos resultados reflejan una gestión alineada con los principios de eficiencia, transparencia y </w:t>
      </w:r>
      <w:r w:rsidRPr="00974984">
        <w:rPr>
          <w:rFonts w:eastAsia="Calibri"/>
          <w:noProof/>
          <w:color w:val="4C4747"/>
          <w:lang w:val="es-ES"/>
        </w:rPr>
        <w:lastRenderedPageBreak/>
        <w:t>racionalidad del gasto, aportando de manera directa al fortalecimiento institucional de la Superintendencia de Seguros.</w:t>
      </w:r>
      <w:r w:rsidR="0040593F">
        <w:rPr>
          <w:rFonts w:eastAsia="Calibri"/>
          <w:noProof/>
          <w:color w:val="4C4747"/>
          <w:lang w:val="es-ES"/>
        </w:rPr>
        <w:t xml:space="preserve"> Lo cual se refleja en </w:t>
      </w:r>
      <w:r w:rsidR="0040593F" w:rsidRPr="0040593F">
        <w:rPr>
          <w:rFonts w:eastAsia="Calibri"/>
          <w:noProof/>
          <w:color w:val="4C4747"/>
          <w:lang w:val="es-ES"/>
        </w:rPr>
        <w:t xml:space="preserve">la Calificación de Desempeño, </w:t>
      </w:r>
      <w:r w:rsidR="0040593F">
        <w:rPr>
          <w:rFonts w:eastAsia="Calibri"/>
          <w:noProof/>
          <w:color w:val="4C4747"/>
          <w:lang w:val="es-ES"/>
        </w:rPr>
        <w:t xml:space="preserve">donde </w:t>
      </w:r>
      <w:r w:rsidR="0040593F" w:rsidRPr="0040593F">
        <w:rPr>
          <w:rFonts w:eastAsia="Calibri"/>
          <w:noProof/>
          <w:color w:val="4C4747"/>
          <w:lang w:val="es-ES"/>
        </w:rPr>
        <w:t>obtuv</w:t>
      </w:r>
      <w:r w:rsidR="0040593F">
        <w:rPr>
          <w:rFonts w:eastAsia="Calibri"/>
          <w:noProof/>
          <w:color w:val="4C4747"/>
          <w:lang w:val="es-ES"/>
        </w:rPr>
        <w:t>imos</w:t>
      </w:r>
      <w:r w:rsidR="0040593F" w:rsidRPr="0040593F">
        <w:rPr>
          <w:rFonts w:eastAsia="Calibri"/>
          <w:noProof/>
          <w:color w:val="4C4747"/>
          <w:lang w:val="es-ES"/>
        </w:rPr>
        <w:t xml:space="preserve"> una puntuación </w:t>
      </w:r>
      <w:r w:rsidR="0040593F">
        <w:rPr>
          <w:rFonts w:eastAsia="Calibri"/>
          <w:noProof/>
          <w:color w:val="4C4747"/>
          <w:lang w:val="es-ES"/>
        </w:rPr>
        <w:t xml:space="preserve">superior a los </w:t>
      </w:r>
      <w:r w:rsidR="0040593F" w:rsidRPr="0040593F">
        <w:rPr>
          <w:rFonts w:eastAsia="Calibri"/>
          <w:noProof/>
          <w:color w:val="4C4747"/>
          <w:lang w:val="es-ES"/>
        </w:rPr>
        <w:t>9</w:t>
      </w:r>
      <w:r w:rsidR="0040593F">
        <w:rPr>
          <w:rFonts w:eastAsia="Calibri"/>
          <w:noProof/>
          <w:color w:val="4C4747"/>
          <w:lang w:val="es-ES"/>
        </w:rPr>
        <w:t>4</w:t>
      </w:r>
      <w:r w:rsidR="0040593F" w:rsidRPr="0040593F">
        <w:rPr>
          <w:rFonts w:eastAsia="Calibri"/>
          <w:noProof/>
          <w:color w:val="4C4747"/>
          <w:lang w:val="es-ES"/>
        </w:rPr>
        <w:t xml:space="preserve"> puntos en </w:t>
      </w:r>
      <w:r w:rsidR="0040593F">
        <w:rPr>
          <w:rFonts w:eastAsia="Calibri"/>
          <w:noProof/>
          <w:color w:val="4C4747"/>
          <w:lang w:val="es-ES"/>
        </w:rPr>
        <w:t>el</w:t>
      </w:r>
      <w:r w:rsidR="0040593F" w:rsidRPr="0040593F">
        <w:rPr>
          <w:rFonts w:eastAsia="Calibri"/>
          <w:noProof/>
          <w:color w:val="4C4747"/>
          <w:lang w:val="es-ES"/>
        </w:rPr>
        <w:t xml:space="preserve"> indicador del Uso del Sistema Nacional de</w:t>
      </w:r>
      <w:r w:rsidR="0040593F">
        <w:rPr>
          <w:rFonts w:eastAsia="Calibri"/>
          <w:noProof/>
          <w:color w:val="4C4747"/>
          <w:lang w:val="es-ES"/>
        </w:rPr>
        <w:t xml:space="preserve"> </w:t>
      </w:r>
      <w:r w:rsidR="0040593F" w:rsidRPr="0040593F">
        <w:rPr>
          <w:rFonts w:eastAsia="Calibri"/>
          <w:noProof/>
          <w:color w:val="4C4747"/>
          <w:lang w:val="es-ES"/>
        </w:rPr>
        <w:t>Compras y Contrataciones (SISCOMPRAS)</w:t>
      </w:r>
      <w:r w:rsidR="0040593F">
        <w:rPr>
          <w:rFonts w:eastAsia="Calibri"/>
          <w:noProof/>
          <w:color w:val="4C4747"/>
          <w:lang w:val="es-ES"/>
        </w:rPr>
        <w:t xml:space="preserve"> en el reporte del 3er trimetre</w:t>
      </w:r>
      <w:r w:rsidR="0040593F" w:rsidRPr="0040593F">
        <w:rPr>
          <w:rFonts w:eastAsia="Calibri"/>
          <w:noProof/>
          <w:color w:val="4C4747"/>
          <w:lang w:val="es-ES"/>
        </w:rPr>
        <w:t>, reflejando eficiencia</w:t>
      </w:r>
      <w:r w:rsidR="0040593F">
        <w:rPr>
          <w:rFonts w:eastAsia="Calibri"/>
          <w:noProof/>
          <w:color w:val="4C4747"/>
          <w:lang w:val="es-ES"/>
        </w:rPr>
        <w:t xml:space="preserve"> </w:t>
      </w:r>
      <w:r w:rsidR="0040593F" w:rsidRPr="0040593F">
        <w:rPr>
          <w:rFonts w:eastAsia="Calibri"/>
          <w:noProof/>
          <w:color w:val="4C4747"/>
          <w:lang w:val="es-ES"/>
        </w:rPr>
        <w:t>,cumplimiento normativo y buenas prácticas.</w:t>
      </w:r>
    </w:p>
    <w:tbl>
      <w:tblPr>
        <w:tblStyle w:val="TableNormal"/>
        <w:tblpPr w:leftFromText="180" w:rightFromText="180" w:vertAnchor="text" w:horzAnchor="margin" w:tblpY="308"/>
        <w:tblW w:w="8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4640"/>
        <w:gridCol w:w="2518"/>
      </w:tblGrid>
      <w:tr w:rsidR="0040593F" w:rsidRPr="004317ED" w14:paraId="32915BE9" w14:textId="77777777" w:rsidTr="0040593F">
        <w:trPr>
          <w:trHeight w:val="588"/>
        </w:trPr>
        <w:tc>
          <w:tcPr>
            <w:tcW w:w="1119" w:type="dxa"/>
            <w:shd w:val="clear" w:color="auto" w:fill="001F5F"/>
          </w:tcPr>
          <w:p w14:paraId="4EA4F473" w14:textId="77777777" w:rsidR="0040593F" w:rsidRPr="004317ED" w:rsidRDefault="0040593F" w:rsidP="0040593F">
            <w:pPr>
              <w:spacing w:line="275" w:lineRule="exact"/>
              <w:ind w:left="7"/>
              <w:jc w:val="center"/>
              <w:rPr>
                <w:rFonts w:ascii="Times New Roman" w:eastAsia="Times New Roman" w:hAnsi="Times New Roman" w:cs="Times New Roman"/>
                <w:b/>
                <w:sz w:val="20"/>
                <w:lang w:val="es-ES"/>
              </w:rPr>
            </w:pPr>
            <w:bookmarkStart w:id="31" w:name="_Hlk216088014"/>
            <w:r w:rsidRPr="004317ED">
              <w:rPr>
                <w:rFonts w:ascii="Times New Roman" w:eastAsia="Times New Roman" w:hAnsi="Times New Roman" w:cs="Times New Roman"/>
                <w:b/>
                <w:color w:val="FFFFFF"/>
                <w:spacing w:val="-2"/>
                <w:sz w:val="20"/>
                <w:lang w:val="es-ES"/>
              </w:rPr>
              <w:t>CUENTA</w:t>
            </w:r>
          </w:p>
          <w:p w14:paraId="2942BF9D" w14:textId="77777777" w:rsidR="0040593F" w:rsidRPr="004317ED" w:rsidRDefault="0040593F" w:rsidP="0040593F">
            <w:pPr>
              <w:spacing w:line="257" w:lineRule="exact"/>
              <w:ind w:left="7" w:right="1"/>
              <w:jc w:val="center"/>
              <w:rPr>
                <w:rFonts w:ascii="Times New Roman" w:eastAsia="Times New Roman" w:hAnsi="Times New Roman" w:cs="Times New Roman"/>
                <w:b/>
                <w:sz w:val="20"/>
                <w:lang w:val="es-ES"/>
              </w:rPr>
            </w:pPr>
            <w:r w:rsidRPr="004317ED">
              <w:rPr>
                <w:rFonts w:ascii="Times New Roman" w:eastAsia="Times New Roman" w:hAnsi="Times New Roman" w:cs="Times New Roman"/>
                <w:b/>
                <w:color w:val="FFFFFF"/>
                <w:spacing w:val="-5"/>
                <w:sz w:val="20"/>
                <w:lang w:val="es-ES"/>
              </w:rPr>
              <w:t>No</w:t>
            </w:r>
          </w:p>
        </w:tc>
        <w:tc>
          <w:tcPr>
            <w:tcW w:w="4640" w:type="dxa"/>
            <w:shd w:val="clear" w:color="auto" w:fill="001F5F"/>
          </w:tcPr>
          <w:p w14:paraId="00BDA9BA" w14:textId="77777777" w:rsidR="0040593F" w:rsidRPr="004317ED" w:rsidRDefault="0040593F" w:rsidP="0040593F">
            <w:pPr>
              <w:spacing w:before="135"/>
              <w:ind w:left="1397"/>
              <w:rPr>
                <w:rFonts w:ascii="Times New Roman" w:eastAsia="Times New Roman" w:hAnsi="Times New Roman" w:cs="Times New Roman"/>
                <w:b/>
                <w:sz w:val="20"/>
                <w:lang w:val="es-ES"/>
              </w:rPr>
            </w:pPr>
            <w:r w:rsidRPr="004317ED">
              <w:rPr>
                <w:rFonts w:ascii="Times New Roman" w:eastAsia="Times New Roman" w:hAnsi="Times New Roman" w:cs="Times New Roman"/>
                <w:b/>
                <w:color w:val="FFFFFF"/>
                <w:spacing w:val="-2"/>
                <w:sz w:val="20"/>
                <w:lang w:val="es-ES"/>
              </w:rPr>
              <w:t>DESCRIPCION</w:t>
            </w:r>
          </w:p>
        </w:tc>
        <w:tc>
          <w:tcPr>
            <w:tcW w:w="2518" w:type="dxa"/>
            <w:shd w:val="clear" w:color="auto" w:fill="001F5F"/>
          </w:tcPr>
          <w:p w14:paraId="0725072F" w14:textId="77777777" w:rsidR="0040593F" w:rsidRPr="004317ED" w:rsidRDefault="0040593F" w:rsidP="0040593F">
            <w:pPr>
              <w:spacing w:before="135"/>
              <w:ind w:left="277"/>
              <w:rPr>
                <w:rFonts w:ascii="Times New Roman" w:eastAsia="Times New Roman" w:hAnsi="Times New Roman" w:cs="Times New Roman"/>
                <w:b/>
                <w:sz w:val="20"/>
                <w:lang w:val="es-ES"/>
              </w:rPr>
            </w:pPr>
            <w:r w:rsidRPr="004317ED">
              <w:rPr>
                <w:rFonts w:ascii="Times New Roman" w:eastAsia="Times New Roman" w:hAnsi="Times New Roman" w:cs="Times New Roman"/>
                <w:b/>
                <w:color w:val="FFFFFF"/>
                <w:sz w:val="20"/>
                <w:lang w:val="es-ES"/>
              </w:rPr>
              <w:t>VALOR</w:t>
            </w:r>
            <w:r w:rsidRPr="004317ED">
              <w:rPr>
                <w:rFonts w:ascii="Times New Roman" w:eastAsia="Times New Roman" w:hAnsi="Times New Roman" w:cs="Times New Roman"/>
                <w:b/>
                <w:color w:val="FFFFFF"/>
                <w:spacing w:val="-1"/>
                <w:sz w:val="20"/>
                <w:lang w:val="es-ES"/>
              </w:rPr>
              <w:t xml:space="preserve"> </w:t>
            </w:r>
            <w:r w:rsidRPr="004317ED">
              <w:rPr>
                <w:rFonts w:ascii="Times New Roman" w:eastAsia="Times New Roman" w:hAnsi="Times New Roman" w:cs="Times New Roman"/>
                <w:b/>
                <w:color w:val="FFFFFF"/>
                <w:spacing w:val="-5"/>
                <w:sz w:val="20"/>
                <w:lang w:val="es-ES"/>
              </w:rPr>
              <w:t>RD$</w:t>
            </w:r>
          </w:p>
        </w:tc>
      </w:tr>
      <w:tr w:rsidR="0040593F" w:rsidRPr="004317ED" w14:paraId="1FD94A74" w14:textId="77777777" w:rsidTr="0040593F">
        <w:trPr>
          <w:trHeight w:val="442"/>
        </w:trPr>
        <w:tc>
          <w:tcPr>
            <w:tcW w:w="1119" w:type="dxa"/>
          </w:tcPr>
          <w:p w14:paraId="0D7FC3B7" w14:textId="77777777" w:rsidR="0040593F" w:rsidRPr="004317ED" w:rsidRDefault="0040593F" w:rsidP="0040593F">
            <w:pPr>
              <w:spacing w:line="275" w:lineRule="exact"/>
              <w:ind w:left="107"/>
              <w:rPr>
                <w:rFonts w:ascii="Times New Roman" w:eastAsia="Times New Roman" w:hAnsi="Times New Roman" w:cs="Times New Roman"/>
                <w:sz w:val="20"/>
                <w:lang w:val="es-ES"/>
              </w:rPr>
            </w:pPr>
            <w:r w:rsidRPr="004317ED">
              <w:rPr>
                <w:rFonts w:ascii="Times New Roman" w:eastAsia="Times New Roman" w:hAnsi="Times New Roman" w:cs="Times New Roman"/>
                <w:color w:val="767070"/>
                <w:spacing w:val="-2"/>
                <w:sz w:val="20"/>
                <w:lang w:val="es-ES"/>
              </w:rPr>
              <w:t>1020272</w:t>
            </w:r>
          </w:p>
        </w:tc>
        <w:tc>
          <w:tcPr>
            <w:tcW w:w="4640" w:type="dxa"/>
          </w:tcPr>
          <w:p w14:paraId="7983F8F0" w14:textId="77777777" w:rsidR="0040593F" w:rsidRPr="004317ED" w:rsidRDefault="0040593F" w:rsidP="0040593F">
            <w:pPr>
              <w:spacing w:line="275" w:lineRule="exact"/>
              <w:ind w:left="107"/>
              <w:rPr>
                <w:rFonts w:ascii="Times New Roman" w:eastAsia="Times New Roman" w:hAnsi="Times New Roman" w:cs="Times New Roman"/>
                <w:sz w:val="20"/>
                <w:lang w:val="es-DO"/>
              </w:rPr>
            </w:pPr>
            <w:r w:rsidRPr="004317ED">
              <w:rPr>
                <w:rFonts w:ascii="Times New Roman" w:eastAsia="Times New Roman" w:hAnsi="Times New Roman" w:cs="Times New Roman"/>
                <w:color w:val="767070"/>
                <w:sz w:val="20"/>
                <w:lang w:val="es-DO"/>
              </w:rPr>
              <w:t>ASIGNACIÓN POR IMPUTAR VIA TESORERÍA</w:t>
            </w:r>
          </w:p>
        </w:tc>
        <w:tc>
          <w:tcPr>
            <w:tcW w:w="2518" w:type="dxa"/>
          </w:tcPr>
          <w:p w14:paraId="56F2133F" w14:textId="77777777" w:rsidR="0040593F" w:rsidRPr="004317ED" w:rsidRDefault="0040593F" w:rsidP="0040593F">
            <w:pPr>
              <w:spacing w:line="275" w:lineRule="exact"/>
              <w:ind w:right="100"/>
              <w:jc w:val="right"/>
              <w:rPr>
                <w:rFonts w:ascii="Times New Roman" w:eastAsia="Times New Roman" w:hAnsi="Times New Roman" w:cs="Times New Roman"/>
                <w:sz w:val="20"/>
                <w:lang w:val="es-ES"/>
              </w:rPr>
            </w:pPr>
            <w:r w:rsidRPr="004317ED">
              <w:rPr>
                <w:rFonts w:ascii="Times New Roman" w:eastAsia="Times New Roman" w:hAnsi="Times New Roman" w:cs="Times New Roman"/>
                <w:color w:val="767070"/>
                <w:spacing w:val="-2"/>
                <w:sz w:val="20"/>
                <w:lang w:val="es-ES"/>
              </w:rPr>
              <w:t>139, 051,870.95</w:t>
            </w:r>
          </w:p>
        </w:tc>
      </w:tr>
      <w:tr w:rsidR="0040593F" w:rsidRPr="004317ED" w14:paraId="22783F38" w14:textId="77777777" w:rsidTr="0040593F">
        <w:trPr>
          <w:trHeight w:val="440"/>
        </w:trPr>
        <w:tc>
          <w:tcPr>
            <w:tcW w:w="1119" w:type="dxa"/>
          </w:tcPr>
          <w:p w14:paraId="6E0A1390" w14:textId="77777777" w:rsidR="0040593F" w:rsidRPr="004317ED" w:rsidRDefault="0040593F" w:rsidP="0040593F">
            <w:pPr>
              <w:spacing w:line="275" w:lineRule="exact"/>
              <w:ind w:left="107"/>
              <w:rPr>
                <w:rFonts w:ascii="Times New Roman" w:eastAsia="Times New Roman" w:hAnsi="Times New Roman" w:cs="Times New Roman"/>
                <w:sz w:val="20"/>
                <w:lang w:val="es-ES"/>
              </w:rPr>
            </w:pPr>
            <w:r w:rsidRPr="004317ED">
              <w:rPr>
                <w:rFonts w:ascii="Times New Roman" w:eastAsia="Times New Roman" w:hAnsi="Times New Roman" w:cs="Times New Roman"/>
                <w:color w:val="767070"/>
                <w:spacing w:val="-2"/>
                <w:sz w:val="20"/>
                <w:lang w:val="es-ES"/>
              </w:rPr>
              <w:t>102502</w:t>
            </w:r>
          </w:p>
        </w:tc>
        <w:tc>
          <w:tcPr>
            <w:tcW w:w="4640" w:type="dxa"/>
          </w:tcPr>
          <w:p w14:paraId="139D69D6" w14:textId="77777777" w:rsidR="0040593F" w:rsidRPr="004317ED" w:rsidRDefault="0040593F" w:rsidP="0040593F">
            <w:pPr>
              <w:spacing w:line="275" w:lineRule="exact"/>
              <w:ind w:left="107"/>
              <w:rPr>
                <w:rFonts w:ascii="Times New Roman" w:eastAsia="Times New Roman" w:hAnsi="Times New Roman" w:cs="Times New Roman"/>
                <w:sz w:val="20"/>
                <w:lang w:val="es-US"/>
              </w:rPr>
            </w:pPr>
            <w:r w:rsidRPr="004317ED">
              <w:rPr>
                <w:rFonts w:ascii="Times New Roman" w:eastAsia="Times New Roman" w:hAnsi="Times New Roman" w:cs="Times New Roman"/>
                <w:color w:val="767070"/>
                <w:sz w:val="20"/>
                <w:lang w:val="es-US"/>
              </w:rPr>
              <w:t xml:space="preserve">OTRAS CUENTAS </w:t>
            </w:r>
            <w:r w:rsidRPr="004317ED">
              <w:rPr>
                <w:rFonts w:ascii="Times New Roman" w:eastAsia="Times New Roman" w:hAnsi="Times New Roman" w:cs="Times New Roman"/>
                <w:color w:val="767070"/>
                <w:spacing w:val="-1"/>
                <w:sz w:val="20"/>
                <w:lang w:val="es-US"/>
              </w:rPr>
              <w:t>POR</w:t>
            </w:r>
            <w:r w:rsidRPr="004317ED">
              <w:rPr>
                <w:rFonts w:ascii="Times New Roman" w:eastAsia="Times New Roman" w:hAnsi="Times New Roman" w:cs="Times New Roman"/>
                <w:color w:val="767070"/>
                <w:sz w:val="20"/>
                <w:lang w:val="es-US"/>
              </w:rPr>
              <w:t xml:space="preserve"> COBRAR</w:t>
            </w:r>
          </w:p>
        </w:tc>
        <w:tc>
          <w:tcPr>
            <w:tcW w:w="2518" w:type="dxa"/>
          </w:tcPr>
          <w:p w14:paraId="18F1E739" w14:textId="77777777" w:rsidR="0040593F" w:rsidRPr="004317ED" w:rsidRDefault="0040593F" w:rsidP="0040593F">
            <w:pPr>
              <w:spacing w:line="275" w:lineRule="exact"/>
              <w:ind w:right="100"/>
              <w:jc w:val="right"/>
              <w:rPr>
                <w:rFonts w:ascii="Times New Roman" w:eastAsia="Times New Roman" w:hAnsi="Times New Roman" w:cs="Times New Roman"/>
                <w:color w:val="767070"/>
                <w:spacing w:val="-2"/>
                <w:sz w:val="20"/>
                <w:lang w:val="es-ES"/>
              </w:rPr>
            </w:pPr>
            <w:r w:rsidRPr="004317ED">
              <w:rPr>
                <w:rFonts w:ascii="Times New Roman" w:eastAsia="Times New Roman" w:hAnsi="Times New Roman" w:cs="Times New Roman"/>
                <w:color w:val="767070"/>
                <w:spacing w:val="-2"/>
                <w:sz w:val="20"/>
                <w:lang w:val="es-ES"/>
              </w:rPr>
              <w:t>98,815.81</w:t>
            </w:r>
          </w:p>
          <w:p w14:paraId="13403D31" w14:textId="77777777" w:rsidR="0040593F" w:rsidRPr="004317ED" w:rsidRDefault="0040593F" w:rsidP="0040593F">
            <w:pPr>
              <w:spacing w:line="275" w:lineRule="exact"/>
              <w:ind w:right="100"/>
              <w:jc w:val="right"/>
              <w:rPr>
                <w:rFonts w:ascii="Times New Roman" w:eastAsia="Times New Roman" w:hAnsi="Times New Roman" w:cs="Times New Roman"/>
                <w:sz w:val="20"/>
                <w:lang w:val="es-ES"/>
              </w:rPr>
            </w:pPr>
          </w:p>
        </w:tc>
      </w:tr>
      <w:tr w:rsidR="0040593F" w:rsidRPr="004317ED" w14:paraId="54E5F0D6" w14:textId="77777777" w:rsidTr="0040593F">
        <w:trPr>
          <w:trHeight w:val="565"/>
        </w:trPr>
        <w:tc>
          <w:tcPr>
            <w:tcW w:w="1119" w:type="dxa"/>
          </w:tcPr>
          <w:p w14:paraId="7A1E0694" w14:textId="77777777" w:rsidR="0040593F" w:rsidRPr="004317ED" w:rsidRDefault="0040593F" w:rsidP="0040593F">
            <w:pPr>
              <w:spacing w:before="207"/>
              <w:ind w:left="107"/>
              <w:rPr>
                <w:rFonts w:ascii="Times New Roman" w:eastAsia="Times New Roman" w:hAnsi="Times New Roman" w:cs="Times New Roman"/>
                <w:sz w:val="20"/>
                <w:lang w:val="es-ES"/>
              </w:rPr>
            </w:pPr>
            <w:r w:rsidRPr="004317ED">
              <w:rPr>
                <w:rFonts w:ascii="Times New Roman" w:eastAsia="Times New Roman" w:hAnsi="Times New Roman" w:cs="Times New Roman"/>
                <w:color w:val="767070"/>
                <w:spacing w:val="-2"/>
                <w:sz w:val="20"/>
                <w:lang w:val="es-ES"/>
              </w:rPr>
              <w:t>10204</w:t>
            </w:r>
          </w:p>
        </w:tc>
        <w:tc>
          <w:tcPr>
            <w:tcW w:w="4640" w:type="dxa"/>
          </w:tcPr>
          <w:p w14:paraId="6CEF67A8" w14:textId="77777777" w:rsidR="0040593F" w:rsidRPr="004317ED" w:rsidRDefault="0040593F" w:rsidP="0040593F">
            <w:pPr>
              <w:tabs>
                <w:tab w:val="left" w:pos="1203"/>
                <w:tab w:val="left" w:pos="1846"/>
                <w:tab w:val="left" w:pos="2784"/>
                <w:tab w:val="left" w:pos="4135"/>
              </w:tabs>
              <w:spacing w:before="1"/>
              <w:ind w:left="107"/>
              <w:rPr>
                <w:rFonts w:ascii="Times New Roman" w:eastAsia="Times New Roman" w:hAnsi="Times New Roman" w:cs="Times New Roman"/>
                <w:sz w:val="20"/>
                <w:lang w:val="es-DO"/>
              </w:rPr>
            </w:pPr>
            <w:r w:rsidRPr="004317ED">
              <w:rPr>
                <w:rFonts w:ascii="Times New Roman" w:eastAsia="Times New Roman" w:hAnsi="Times New Roman" w:cs="Times New Roman"/>
                <w:color w:val="767070"/>
                <w:spacing w:val="-2"/>
                <w:sz w:val="20"/>
                <w:lang w:val="es-DO"/>
              </w:rPr>
              <w:t>CUENTAS</w:t>
            </w:r>
            <w:r w:rsidRPr="004317ED">
              <w:rPr>
                <w:rFonts w:ascii="Times New Roman" w:eastAsia="Times New Roman" w:hAnsi="Times New Roman" w:cs="Times New Roman"/>
                <w:color w:val="767070"/>
                <w:sz w:val="20"/>
                <w:lang w:val="es-DO"/>
              </w:rPr>
              <w:tab/>
            </w:r>
            <w:r w:rsidRPr="004317ED">
              <w:rPr>
                <w:rFonts w:ascii="Times New Roman" w:eastAsia="Times New Roman" w:hAnsi="Times New Roman" w:cs="Times New Roman"/>
                <w:color w:val="767070"/>
                <w:spacing w:val="-5"/>
                <w:sz w:val="20"/>
                <w:lang w:val="es-DO"/>
              </w:rPr>
              <w:t>POR</w:t>
            </w:r>
            <w:r w:rsidRPr="004317ED">
              <w:rPr>
                <w:rFonts w:ascii="Times New Roman" w:eastAsia="Times New Roman" w:hAnsi="Times New Roman" w:cs="Times New Roman"/>
                <w:color w:val="767070"/>
                <w:sz w:val="20"/>
                <w:lang w:val="es-DO"/>
              </w:rPr>
              <w:tab/>
            </w:r>
            <w:r w:rsidRPr="004317ED">
              <w:rPr>
                <w:rFonts w:ascii="Times New Roman" w:eastAsia="Times New Roman" w:hAnsi="Times New Roman" w:cs="Times New Roman"/>
                <w:color w:val="767070"/>
                <w:spacing w:val="-2"/>
                <w:sz w:val="20"/>
                <w:lang w:val="es-DO"/>
              </w:rPr>
              <w:t>COBRAR</w:t>
            </w:r>
            <w:r w:rsidRPr="004317ED">
              <w:rPr>
                <w:rFonts w:ascii="Times New Roman" w:eastAsia="Times New Roman" w:hAnsi="Times New Roman" w:cs="Times New Roman"/>
                <w:color w:val="767070"/>
                <w:sz w:val="20"/>
                <w:lang w:val="es-DO"/>
              </w:rPr>
              <w:tab/>
            </w:r>
            <w:r w:rsidRPr="004317ED">
              <w:rPr>
                <w:rFonts w:ascii="Times New Roman" w:eastAsia="Times New Roman" w:hAnsi="Times New Roman" w:cs="Times New Roman"/>
                <w:color w:val="767070"/>
                <w:spacing w:val="-2"/>
                <w:sz w:val="20"/>
                <w:lang w:val="es-DO"/>
              </w:rPr>
              <w:t>COMPAÑÍAS</w:t>
            </w:r>
            <w:r w:rsidRPr="004317ED">
              <w:rPr>
                <w:rFonts w:ascii="Times New Roman" w:eastAsia="Times New Roman" w:hAnsi="Times New Roman" w:cs="Times New Roman"/>
                <w:color w:val="767070"/>
                <w:sz w:val="20"/>
                <w:lang w:val="es-DO"/>
              </w:rPr>
              <w:tab/>
            </w:r>
            <w:r w:rsidRPr="004317ED">
              <w:rPr>
                <w:rFonts w:ascii="Times New Roman" w:eastAsia="Times New Roman" w:hAnsi="Times New Roman" w:cs="Times New Roman"/>
                <w:color w:val="767070"/>
                <w:spacing w:val="-5"/>
                <w:sz w:val="20"/>
                <w:lang w:val="es-DO"/>
              </w:rPr>
              <w:t>EN</w:t>
            </w:r>
          </w:p>
          <w:p w14:paraId="376876AB" w14:textId="77777777" w:rsidR="0040593F" w:rsidRPr="004317ED" w:rsidRDefault="0040593F" w:rsidP="0040593F">
            <w:pPr>
              <w:spacing w:before="137"/>
              <w:ind w:left="107"/>
              <w:rPr>
                <w:rFonts w:ascii="Times New Roman" w:eastAsia="Times New Roman" w:hAnsi="Times New Roman" w:cs="Times New Roman"/>
                <w:sz w:val="20"/>
                <w:lang w:val="es-DO"/>
              </w:rPr>
            </w:pPr>
            <w:r w:rsidRPr="004317ED">
              <w:rPr>
                <w:rFonts w:ascii="Times New Roman" w:eastAsia="Times New Roman" w:hAnsi="Times New Roman" w:cs="Times New Roman"/>
                <w:color w:val="767070"/>
                <w:spacing w:val="-2"/>
                <w:sz w:val="20"/>
                <w:lang w:val="es-DO"/>
              </w:rPr>
              <w:t>LIQUIDACIÓN</w:t>
            </w:r>
          </w:p>
        </w:tc>
        <w:tc>
          <w:tcPr>
            <w:tcW w:w="2518" w:type="dxa"/>
          </w:tcPr>
          <w:p w14:paraId="3D9D417B" w14:textId="77777777" w:rsidR="0040593F" w:rsidRPr="004317ED" w:rsidRDefault="0040593F" w:rsidP="0040593F">
            <w:pPr>
              <w:spacing w:before="207"/>
              <w:ind w:right="100"/>
              <w:jc w:val="right"/>
              <w:rPr>
                <w:rFonts w:ascii="Times New Roman" w:eastAsia="Times New Roman" w:hAnsi="Times New Roman" w:cs="Times New Roman"/>
                <w:sz w:val="20"/>
                <w:lang w:val="es-ES"/>
              </w:rPr>
            </w:pPr>
            <w:r w:rsidRPr="004317ED">
              <w:rPr>
                <w:rFonts w:ascii="Times New Roman" w:eastAsia="Times New Roman" w:hAnsi="Times New Roman" w:cs="Times New Roman"/>
                <w:color w:val="767070"/>
                <w:spacing w:val="-2"/>
                <w:sz w:val="20"/>
                <w:lang w:val="es-ES"/>
              </w:rPr>
              <w:t>783,656.39</w:t>
            </w:r>
          </w:p>
        </w:tc>
      </w:tr>
      <w:tr w:rsidR="0040593F" w:rsidRPr="004317ED" w14:paraId="0170B5D7" w14:textId="77777777" w:rsidTr="0040593F">
        <w:trPr>
          <w:trHeight w:val="442"/>
        </w:trPr>
        <w:tc>
          <w:tcPr>
            <w:tcW w:w="5759" w:type="dxa"/>
            <w:gridSpan w:val="2"/>
            <w:tcBorders>
              <w:top w:val="nil"/>
            </w:tcBorders>
            <w:shd w:val="clear" w:color="auto" w:fill="002060"/>
          </w:tcPr>
          <w:p w14:paraId="145523D4" w14:textId="77777777" w:rsidR="0040593F" w:rsidRPr="004317ED" w:rsidRDefault="0040593F" w:rsidP="0040593F">
            <w:pPr>
              <w:spacing w:line="275" w:lineRule="exact"/>
              <w:ind w:left="107"/>
              <w:jc w:val="right"/>
              <w:rPr>
                <w:rFonts w:ascii="Times New Roman" w:eastAsia="Times New Roman" w:hAnsi="Times New Roman" w:cs="Times New Roman"/>
                <w:b/>
                <w:color w:val="FFFFFF"/>
                <w:sz w:val="20"/>
                <w:lang w:val="es-DO"/>
              </w:rPr>
            </w:pPr>
            <w:r w:rsidRPr="004317ED">
              <w:rPr>
                <w:rFonts w:ascii="Times New Roman" w:eastAsia="Times New Roman" w:hAnsi="Times New Roman" w:cs="Times New Roman"/>
                <w:b/>
                <w:color w:val="FFFFFF"/>
                <w:sz w:val="20"/>
                <w:lang w:val="es-DO"/>
              </w:rPr>
              <w:t xml:space="preserve">TOTAL </w:t>
            </w:r>
          </w:p>
        </w:tc>
        <w:tc>
          <w:tcPr>
            <w:tcW w:w="2518" w:type="dxa"/>
            <w:tcBorders>
              <w:top w:val="nil"/>
            </w:tcBorders>
            <w:shd w:val="clear" w:color="auto" w:fill="002060"/>
          </w:tcPr>
          <w:p w14:paraId="214C2694" w14:textId="77777777" w:rsidR="0040593F" w:rsidRPr="004317ED" w:rsidRDefault="0040593F" w:rsidP="0040593F">
            <w:pPr>
              <w:spacing w:line="275" w:lineRule="exact"/>
              <w:ind w:right="100"/>
              <w:jc w:val="right"/>
              <w:rPr>
                <w:rFonts w:ascii="Times New Roman" w:eastAsia="Times New Roman" w:hAnsi="Times New Roman" w:cs="Times New Roman"/>
                <w:b/>
                <w:color w:val="FFFFFF"/>
                <w:sz w:val="20"/>
                <w:u w:val="single"/>
                <w:lang w:val="es-ES"/>
              </w:rPr>
            </w:pPr>
            <w:r w:rsidRPr="004317ED">
              <w:rPr>
                <w:rFonts w:ascii="Times New Roman" w:eastAsia="Times New Roman" w:hAnsi="Times New Roman" w:cs="Times New Roman"/>
                <w:b/>
                <w:color w:val="FFFFFF"/>
                <w:spacing w:val="-2"/>
                <w:sz w:val="20"/>
                <w:u w:val="single"/>
                <w:lang w:val="es-ES"/>
              </w:rPr>
              <w:t>139,934,343.15</w:t>
            </w:r>
          </w:p>
        </w:tc>
      </w:tr>
      <w:bookmarkEnd w:id="31"/>
    </w:tbl>
    <w:p w14:paraId="16E41A8D" w14:textId="62D31468" w:rsidR="00974984" w:rsidRPr="0040593F" w:rsidRDefault="00974984" w:rsidP="00D52D5E">
      <w:pPr>
        <w:spacing w:line="360" w:lineRule="auto"/>
        <w:jc w:val="both"/>
        <w:rPr>
          <w:rFonts w:eastAsia="Calibri"/>
          <w:noProof/>
          <w:color w:val="4C4747"/>
          <w:lang w:val="es-ES"/>
        </w:rPr>
      </w:pPr>
    </w:p>
    <w:p w14:paraId="70226F2D" w14:textId="59B2CB31" w:rsidR="00D52D5E" w:rsidRPr="00A70DE5" w:rsidRDefault="00974984" w:rsidP="00D52D5E">
      <w:pPr>
        <w:spacing w:line="360" w:lineRule="auto"/>
        <w:jc w:val="both"/>
        <w:rPr>
          <w:rFonts w:eastAsia="Calibri"/>
          <w:noProof/>
          <w:color w:val="4C4747"/>
          <w:lang w:val="es-ES"/>
        </w:rPr>
      </w:pPr>
      <w:r>
        <w:rPr>
          <w:rFonts w:eastAsia="Calibri"/>
          <w:noProof/>
          <w:color w:val="4C4747"/>
          <w:lang w:val="es-ES"/>
        </w:rPr>
        <w:t>De igual forma</w:t>
      </w:r>
      <w:r w:rsidR="00D52D5E" w:rsidRPr="00D52D5E">
        <w:rPr>
          <w:rFonts w:eastAsia="Calibri"/>
          <w:noProof/>
          <w:color w:val="4C4747"/>
          <w:lang w:val="es-ES"/>
        </w:rPr>
        <w:t xml:space="preserve">, la Dirección Financiera ha cumplido con todas las disposiciones y normativas establecidas por las altas instancias financieras del Estado, incluyendo la Contraloría General de la República, la Dirección General de Presupuesto y la Dirección General de Contabilidad Gubernamental. A través de sus áreas principales: Contabilidad, Presupuesto, Tesorería y Cobros, se ha </w:t>
      </w:r>
      <w:r w:rsidR="00D52D5E" w:rsidRPr="00D52D5E">
        <w:rPr>
          <w:rFonts w:eastAsia="Calibri"/>
          <w:noProof/>
          <w:color w:val="4C4747"/>
          <w:lang w:val="es-ES"/>
        </w:rPr>
        <w:lastRenderedPageBreak/>
        <w:t>garantizado una gestión eficiente de los recursos institucionales, asegurando su correcta ejecución y transparencia.</w:t>
      </w:r>
    </w:p>
    <w:p w14:paraId="5040A6C8" w14:textId="6CA424BE" w:rsidR="00D52D5E" w:rsidRPr="00672317" w:rsidRDefault="00D52D5E" w:rsidP="00D52D5E">
      <w:pPr>
        <w:spacing w:line="360" w:lineRule="auto"/>
        <w:jc w:val="both"/>
        <w:rPr>
          <w:rFonts w:eastAsia="Calibri"/>
          <w:b/>
          <w:noProof/>
          <w:u w:val="single"/>
          <w:lang w:val="es-DO"/>
        </w:rPr>
      </w:pPr>
      <w:r w:rsidRPr="00672317">
        <w:rPr>
          <w:rFonts w:eastAsia="Calibri"/>
          <w:b/>
          <w:noProof/>
          <w:u w:val="single"/>
          <w:lang w:val="es-DO"/>
        </w:rPr>
        <w:t>Cuentas por Cobrar</w:t>
      </w:r>
    </w:p>
    <w:p w14:paraId="27392313" w14:textId="5A7A3A1F" w:rsidR="00D52D5E" w:rsidRPr="00A70DE5" w:rsidRDefault="00D52D5E" w:rsidP="00BA2267">
      <w:pPr>
        <w:spacing w:line="360" w:lineRule="auto"/>
        <w:jc w:val="both"/>
        <w:rPr>
          <w:rFonts w:eastAsia="Calibri"/>
          <w:noProof/>
          <w:color w:val="4C4747"/>
          <w:lang w:val="es-ES"/>
        </w:rPr>
      </w:pPr>
      <w:r w:rsidRPr="00D52D5E">
        <w:rPr>
          <w:rFonts w:eastAsia="Calibri"/>
          <w:noProof/>
          <w:color w:val="4C4747"/>
          <w:lang w:val="es-ES"/>
        </w:rPr>
        <w:t>Al 31 de octubre del 2025, las cuentas por cobrar ascienden a RD$139,934,343.15</w:t>
      </w:r>
      <w:r w:rsidR="00974984">
        <w:rPr>
          <w:rFonts w:eastAsia="Calibri"/>
          <w:noProof/>
          <w:color w:val="4C4747"/>
          <w:lang w:val="es-ES"/>
        </w:rPr>
        <w:t>.</w:t>
      </w:r>
      <w:bookmarkEnd w:id="30"/>
    </w:p>
    <w:p w14:paraId="0B276524" w14:textId="77777777" w:rsidR="00D52D5E" w:rsidRPr="00D52D5E" w:rsidRDefault="00D52D5E" w:rsidP="00D52D5E">
      <w:pPr>
        <w:spacing w:line="360" w:lineRule="auto"/>
        <w:jc w:val="both"/>
        <w:rPr>
          <w:rFonts w:eastAsia="Calibri"/>
          <w:b/>
          <w:noProof/>
          <w:color w:val="4C4747"/>
          <w:lang w:val="es-ES"/>
        </w:rPr>
      </w:pPr>
      <w:r w:rsidRPr="00D52D5E">
        <w:rPr>
          <w:rFonts w:eastAsia="Calibri"/>
          <w:b/>
          <w:noProof/>
          <w:color w:val="4C4747"/>
          <w:lang w:val="es-ES"/>
        </w:rPr>
        <w:t>Departamento de Presupuesto</w:t>
      </w:r>
    </w:p>
    <w:p w14:paraId="0BD45471" w14:textId="7FFCE6A1" w:rsidR="00A70DE5" w:rsidRPr="00D52D5E" w:rsidRDefault="00D52D5E" w:rsidP="00D52D5E">
      <w:pPr>
        <w:spacing w:line="360" w:lineRule="auto"/>
        <w:jc w:val="both"/>
        <w:rPr>
          <w:rFonts w:eastAsia="Calibri"/>
          <w:noProof/>
          <w:color w:val="4C4747"/>
          <w:lang w:val="es-ES"/>
        </w:rPr>
      </w:pPr>
      <w:r w:rsidRPr="00D52D5E">
        <w:rPr>
          <w:rFonts w:eastAsia="Calibri"/>
          <w:noProof/>
          <w:color w:val="4C4747"/>
          <w:lang w:val="es-ES"/>
        </w:rPr>
        <w:t>Durante el período comprendido entre enero y octubre de 2025, el Departamento de Presupuesto desempeñó sus funciones con eficiencia, cumpliendo con los procedimientos establecidos para la gestión de pagos solicitados por la Dirección Administrativa y la Alta Gerencia. A continuación, se presentan las principales actividades realizadas y los resultados obtenidos:</w:t>
      </w:r>
    </w:p>
    <w:p w14:paraId="22EB9C7D" w14:textId="77777777" w:rsidR="00D52D5E" w:rsidRPr="00D52D5E" w:rsidRDefault="00D52D5E" w:rsidP="00D52D5E">
      <w:pPr>
        <w:spacing w:line="360" w:lineRule="auto"/>
        <w:jc w:val="both"/>
        <w:rPr>
          <w:rFonts w:eastAsia="Calibri"/>
          <w:b/>
          <w:noProof/>
          <w:color w:val="4C4747"/>
          <w:lang w:val="es-ES"/>
        </w:rPr>
      </w:pPr>
      <w:r w:rsidRPr="00D52D5E">
        <w:rPr>
          <w:rFonts w:eastAsia="Calibri"/>
          <w:b/>
          <w:noProof/>
          <w:color w:val="4C4747"/>
          <w:lang w:val="es-ES"/>
        </w:rPr>
        <w:t>Actividades Realizadas</w:t>
      </w:r>
    </w:p>
    <w:p w14:paraId="43DF3004" w14:textId="77777777" w:rsidR="00D52D5E" w:rsidRPr="00D52D5E" w:rsidRDefault="00D52D5E" w:rsidP="00D52D5E">
      <w:pPr>
        <w:pStyle w:val="Prrafodelista"/>
        <w:numPr>
          <w:ilvl w:val="0"/>
          <w:numId w:val="18"/>
        </w:numPr>
        <w:spacing w:line="360" w:lineRule="auto"/>
        <w:jc w:val="both"/>
        <w:rPr>
          <w:rFonts w:eastAsia="Calibri"/>
          <w:noProof/>
          <w:color w:val="4C4747"/>
          <w:lang w:val="es-ES"/>
        </w:rPr>
      </w:pPr>
      <w:r w:rsidRPr="00D52D5E">
        <w:rPr>
          <w:rFonts w:eastAsia="Calibri"/>
          <w:i/>
          <w:noProof/>
          <w:color w:val="4C4747"/>
          <w:lang w:val="es-ES"/>
        </w:rPr>
        <w:t>Garantía</w:t>
      </w:r>
      <w:r w:rsidRPr="00D52D5E">
        <w:rPr>
          <w:rFonts w:eastAsia="Calibri"/>
          <w:i/>
          <w:noProof/>
          <w:color w:val="4C4747"/>
          <w:lang w:val="es-ES"/>
        </w:rPr>
        <w:tab/>
        <w:t>de</w:t>
      </w:r>
      <w:r w:rsidRPr="00D52D5E">
        <w:rPr>
          <w:rFonts w:eastAsia="Calibri"/>
          <w:i/>
          <w:noProof/>
          <w:color w:val="4C4747"/>
          <w:lang w:val="es-ES"/>
        </w:rPr>
        <w:tab/>
        <w:t>Disponibilidad</w:t>
      </w:r>
      <w:r w:rsidRPr="00D52D5E">
        <w:rPr>
          <w:rFonts w:eastAsia="Calibri"/>
          <w:i/>
          <w:noProof/>
          <w:color w:val="4C4747"/>
          <w:lang w:val="es-ES"/>
        </w:rPr>
        <w:tab/>
        <w:t>de</w:t>
      </w:r>
      <w:r w:rsidRPr="00D52D5E">
        <w:rPr>
          <w:rFonts w:eastAsia="Calibri"/>
          <w:i/>
          <w:noProof/>
          <w:color w:val="4C4747"/>
          <w:lang w:val="es-ES"/>
        </w:rPr>
        <w:tab/>
        <w:t>Recursos:</w:t>
      </w:r>
      <w:r w:rsidRPr="00D52D5E">
        <w:rPr>
          <w:rFonts w:eastAsia="Calibri"/>
          <w:noProof/>
          <w:color w:val="4C4747"/>
          <w:lang w:val="es-ES"/>
        </w:rPr>
        <w:t xml:space="preserve"> se aseguró la disponibilidad de los recursos presupuestarios necesarios para cubrir todos los compromisos financieros de la institución. Esto permitió que los pagos se realizaran de manera oportuna y sin contratiempos, cumpliendo con los objetivos institucionales.</w:t>
      </w:r>
    </w:p>
    <w:p w14:paraId="5A8C803F" w14:textId="2F96822E" w:rsidR="00D52D5E" w:rsidRPr="00D52D5E" w:rsidRDefault="00D52D5E" w:rsidP="00D52D5E">
      <w:pPr>
        <w:pStyle w:val="Prrafodelista"/>
        <w:numPr>
          <w:ilvl w:val="0"/>
          <w:numId w:val="18"/>
        </w:numPr>
        <w:spacing w:line="360" w:lineRule="auto"/>
        <w:jc w:val="both"/>
        <w:rPr>
          <w:rFonts w:eastAsia="Calibri"/>
          <w:noProof/>
          <w:color w:val="4C4747"/>
          <w:lang w:val="es-ES"/>
        </w:rPr>
      </w:pPr>
      <w:r w:rsidRPr="00D52D5E">
        <w:rPr>
          <w:rFonts w:eastAsia="Calibri"/>
          <w:i/>
          <w:noProof/>
          <w:color w:val="4C4747"/>
          <w:lang w:val="es-ES"/>
        </w:rPr>
        <w:lastRenderedPageBreak/>
        <w:t>Elaboración de Informes de Ejecución Presupuestaria:</w:t>
      </w:r>
      <w:r w:rsidRPr="00D52D5E">
        <w:rPr>
          <w:rFonts w:eastAsia="Calibri"/>
          <w:noProof/>
          <w:color w:val="4C4747"/>
          <w:lang w:val="es-ES"/>
        </w:rPr>
        <w:t xml:space="preserve"> Se elaboraron informes mensuales sobre la ejecución presupuestaria, en formatos físico y digital. Estos informes, desglosados por actividad, ofrecieron una visión clara y detallada del estado y avance de los recursos asignados, facilitando el monitoreo y la transparencia en la utilización del presupuesto.</w:t>
      </w:r>
    </w:p>
    <w:p w14:paraId="3A6DBE13" w14:textId="77777777" w:rsidR="00841CEC" w:rsidRPr="00841CEC" w:rsidRDefault="00841CEC" w:rsidP="00841CEC">
      <w:pPr>
        <w:spacing w:line="360" w:lineRule="auto"/>
        <w:jc w:val="both"/>
        <w:rPr>
          <w:rFonts w:eastAsia="Calibri"/>
          <w:b/>
          <w:noProof/>
          <w:color w:val="4C4747"/>
          <w:u w:val="single"/>
          <w:lang w:val="es-ES"/>
        </w:rPr>
      </w:pPr>
      <w:r w:rsidRPr="00841CEC">
        <w:rPr>
          <w:rFonts w:eastAsia="Calibri"/>
          <w:b/>
          <w:noProof/>
          <w:color w:val="4C4747"/>
          <w:u w:val="single"/>
          <w:lang w:val="es-ES"/>
        </w:rPr>
        <w:t>Resumen Presupuestario 2025</w:t>
      </w:r>
    </w:p>
    <w:p w14:paraId="6BECE05D" w14:textId="41EF628F" w:rsidR="00841CEC" w:rsidRPr="00841CEC" w:rsidRDefault="00841CEC" w:rsidP="00841CEC">
      <w:pPr>
        <w:spacing w:line="360" w:lineRule="auto"/>
        <w:jc w:val="both"/>
        <w:rPr>
          <w:rFonts w:eastAsia="Calibri"/>
          <w:b/>
          <w:noProof/>
          <w:color w:val="4C4747"/>
          <w:lang w:val="es-ES"/>
        </w:rPr>
      </w:pPr>
      <w:r w:rsidRPr="00841CEC">
        <w:rPr>
          <w:rFonts w:eastAsia="Calibri"/>
          <w:b/>
          <w:noProof/>
          <w:color w:val="4C4747"/>
          <w:lang w:val="es-ES"/>
        </w:rPr>
        <w:t>Asignación de Presupuesto:</w:t>
      </w:r>
      <w:r>
        <w:rPr>
          <w:rFonts w:eastAsia="Calibri"/>
          <w:b/>
          <w:noProof/>
          <w:color w:val="4C4747"/>
          <w:lang w:val="es-ES"/>
        </w:rPr>
        <w:t xml:space="preserve"> </w:t>
      </w:r>
      <w:r>
        <w:rPr>
          <w:rFonts w:eastAsia="Calibri"/>
          <w:noProof/>
          <w:color w:val="4C4747"/>
          <w:lang w:val="es-ES"/>
        </w:rPr>
        <w:t>d</w:t>
      </w:r>
      <w:r w:rsidRPr="00841CEC">
        <w:rPr>
          <w:rFonts w:eastAsia="Calibri"/>
          <w:noProof/>
          <w:color w:val="4C4747"/>
          <w:lang w:val="es-ES"/>
        </w:rPr>
        <w:t xml:space="preserve">urante el período </w:t>
      </w:r>
      <w:r>
        <w:rPr>
          <w:rFonts w:eastAsia="Calibri"/>
          <w:noProof/>
          <w:color w:val="4C4747"/>
          <w:lang w:val="es-ES"/>
        </w:rPr>
        <w:t>en cuestión</w:t>
      </w:r>
      <w:r w:rsidRPr="00841CEC">
        <w:rPr>
          <w:rFonts w:eastAsia="Calibri"/>
          <w:noProof/>
          <w:color w:val="4C4747"/>
          <w:lang w:val="es-ES"/>
        </w:rPr>
        <w:t>, la institución recibió un presupuesto inicial de RD$790,110,913.55, distribuido entre dos fondos principales:</w:t>
      </w:r>
    </w:p>
    <w:p w14:paraId="79685215" w14:textId="4147E531" w:rsidR="00841CEC" w:rsidRPr="00841CEC" w:rsidRDefault="00841CEC" w:rsidP="00841CEC">
      <w:pPr>
        <w:spacing w:line="360" w:lineRule="auto"/>
        <w:jc w:val="both"/>
        <w:rPr>
          <w:rFonts w:eastAsia="Calibri"/>
          <w:noProof/>
          <w:color w:val="4C4747"/>
          <w:lang w:val="es-ES"/>
        </w:rPr>
      </w:pPr>
      <w:r>
        <w:rPr>
          <w:rFonts w:eastAsia="Calibri"/>
          <w:noProof/>
          <w:color w:val="4C4747"/>
          <w:lang w:val="es-ES"/>
        </w:rPr>
        <w:t xml:space="preserve">- </w:t>
      </w:r>
      <w:r w:rsidRPr="00841CEC">
        <w:rPr>
          <w:rFonts w:eastAsia="Calibri"/>
          <w:noProof/>
          <w:color w:val="4C4747"/>
          <w:lang w:val="es-ES"/>
        </w:rPr>
        <w:t>Fondo 0100: Presupuesto General.</w:t>
      </w:r>
    </w:p>
    <w:p w14:paraId="3221EB09" w14:textId="2002A978" w:rsidR="00841CEC" w:rsidRPr="00841CEC" w:rsidRDefault="00841CEC" w:rsidP="00841CEC">
      <w:pPr>
        <w:spacing w:line="360" w:lineRule="auto"/>
        <w:jc w:val="both"/>
        <w:rPr>
          <w:rFonts w:eastAsia="Calibri"/>
          <w:noProof/>
          <w:color w:val="4C4747"/>
          <w:lang w:val="es-ES"/>
        </w:rPr>
      </w:pPr>
      <w:r>
        <w:rPr>
          <w:rFonts w:eastAsia="Calibri"/>
          <w:noProof/>
          <w:color w:val="4C4747"/>
          <w:lang w:val="es-ES"/>
        </w:rPr>
        <w:t xml:space="preserve">- </w:t>
      </w:r>
      <w:r w:rsidRPr="00841CEC">
        <w:rPr>
          <w:rFonts w:eastAsia="Calibri"/>
          <w:noProof/>
          <w:color w:val="4C4747"/>
          <w:lang w:val="es-ES"/>
        </w:rPr>
        <w:t>Fondo 9998: Recaudaciones de Captación Directa.</w:t>
      </w:r>
    </w:p>
    <w:p w14:paraId="47DD82FB" w14:textId="0504C35B" w:rsidR="00841CEC" w:rsidRPr="00841CEC" w:rsidRDefault="00841CEC" w:rsidP="00841CEC">
      <w:pPr>
        <w:spacing w:line="360" w:lineRule="auto"/>
        <w:jc w:val="both"/>
        <w:rPr>
          <w:rFonts w:eastAsia="Calibri"/>
          <w:b/>
          <w:noProof/>
          <w:color w:val="4C4747"/>
          <w:lang w:val="es-ES"/>
        </w:rPr>
      </w:pPr>
      <w:r w:rsidRPr="00841CEC">
        <w:rPr>
          <w:rFonts w:eastAsia="Calibri"/>
          <w:b/>
          <w:noProof/>
          <w:color w:val="4C4747"/>
          <w:lang w:val="es-ES"/>
        </w:rPr>
        <w:t>Ejecución Presupuestaria:</w:t>
      </w:r>
      <w:r>
        <w:rPr>
          <w:rFonts w:eastAsia="Calibri"/>
          <w:b/>
          <w:noProof/>
          <w:color w:val="4C4747"/>
          <w:lang w:val="es-ES"/>
        </w:rPr>
        <w:t xml:space="preserve"> </w:t>
      </w:r>
      <w:r w:rsidRPr="00841CEC">
        <w:rPr>
          <w:rFonts w:eastAsia="Calibri"/>
          <w:noProof/>
          <w:color w:val="4C4747"/>
          <w:lang w:val="es-ES"/>
        </w:rPr>
        <w:t xml:space="preserve">A la fecha, se ha ejecutado un total de RD$513,967,202.75, lo que representa un </w:t>
      </w:r>
      <w:r>
        <w:rPr>
          <w:rFonts w:eastAsia="Calibri"/>
          <w:noProof/>
          <w:color w:val="4C4747"/>
          <w:lang w:val="es-ES"/>
        </w:rPr>
        <w:t xml:space="preserve">nivel de ejecución </w:t>
      </w:r>
      <w:r w:rsidRPr="00841CEC">
        <w:rPr>
          <w:rFonts w:eastAsia="Calibri"/>
          <w:noProof/>
          <w:color w:val="4C4747"/>
          <w:lang w:val="es-ES"/>
        </w:rPr>
        <w:t xml:space="preserve"> del 65% en la utilización de los recursos asignados.</w:t>
      </w:r>
    </w:p>
    <w:p w14:paraId="6DBE472D" w14:textId="614A2D18" w:rsidR="00841CEC" w:rsidRPr="00841CEC" w:rsidRDefault="00841CEC" w:rsidP="00841CEC">
      <w:pPr>
        <w:spacing w:line="360" w:lineRule="auto"/>
        <w:jc w:val="both"/>
        <w:rPr>
          <w:rFonts w:eastAsia="Calibri"/>
          <w:b/>
          <w:noProof/>
          <w:color w:val="4C4747"/>
          <w:lang w:val="es-ES"/>
        </w:rPr>
      </w:pPr>
      <w:r w:rsidRPr="00841CEC">
        <w:rPr>
          <w:rFonts w:eastAsia="Calibri"/>
          <w:b/>
          <w:noProof/>
          <w:color w:val="4C4747"/>
          <w:lang w:val="es-ES"/>
        </w:rPr>
        <w:t>Saldo Disponible:</w:t>
      </w:r>
      <w:r>
        <w:rPr>
          <w:rFonts w:eastAsia="Calibri"/>
          <w:b/>
          <w:noProof/>
          <w:color w:val="4C4747"/>
          <w:lang w:val="es-ES"/>
        </w:rPr>
        <w:t xml:space="preserve"> </w:t>
      </w:r>
      <w:r w:rsidRPr="00841CEC">
        <w:rPr>
          <w:rFonts w:eastAsia="Calibri"/>
          <w:noProof/>
          <w:color w:val="4C4747"/>
          <w:lang w:val="es-ES"/>
        </w:rPr>
        <w:t>El saldo   no   comprometido   asciende   a RD$276,130,561.93, correspondiente a fondos aún disponibles del Fondo 0100 y el Fondo 9998.</w:t>
      </w:r>
    </w:p>
    <w:p w14:paraId="4BFA9810" w14:textId="77777777" w:rsidR="00841CEC" w:rsidRDefault="00841CEC" w:rsidP="00841CEC">
      <w:pPr>
        <w:spacing w:after="0" w:line="360" w:lineRule="auto"/>
        <w:jc w:val="both"/>
        <w:rPr>
          <w:rFonts w:eastAsia="Calibri"/>
          <w:b/>
          <w:i/>
          <w:noProof/>
          <w:color w:val="4C4747"/>
          <w:lang w:val="es-ES"/>
        </w:rPr>
      </w:pPr>
    </w:p>
    <w:p w14:paraId="6A2EEDE0" w14:textId="7B369935" w:rsidR="00D52D5E" w:rsidRDefault="00841CEC" w:rsidP="00841CEC">
      <w:pPr>
        <w:spacing w:after="0" w:line="360" w:lineRule="auto"/>
        <w:jc w:val="both"/>
        <w:rPr>
          <w:rFonts w:eastAsia="Calibri"/>
          <w:b/>
          <w:i/>
          <w:noProof/>
          <w:color w:val="4C4747"/>
          <w:lang w:val="es-ES"/>
        </w:rPr>
      </w:pPr>
      <w:r>
        <w:rPr>
          <w:rFonts w:eastAsia="Calibri"/>
          <w:b/>
          <w:i/>
          <w:noProof/>
          <w:color w:val="4C4747"/>
          <w:lang w:val="es-ES"/>
        </w:rPr>
        <w:t xml:space="preserve">Para más detalle ver </w:t>
      </w:r>
      <w:r w:rsidRPr="00841CEC">
        <w:rPr>
          <w:rFonts w:eastAsia="Calibri"/>
          <w:b/>
          <w:i/>
          <w:noProof/>
          <w:color w:val="4C4747"/>
          <w:lang w:val="es-ES"/>
        </w:rPr>
        <w:t xml:space="preserve"> ANEXO 1. Ejecución Presupuestaria Por Objeto del Gasto, del 01 de enero al 31 de octubre 2025 y proyecciones de cierre.</w:t>
      </w:r>
    </w:p>
    <w:p w14:paraId="4FA7A2B7" w14:textId="6D1A24F6" w:rsidR="000C6C68" w:rsidRDefault="000C6C68" w:rsidP="00841CEC">
      <w:pPr>
        <w:spacing w:after="0" w:line="360" w:lineRule="auto"/>
        <w:jc w:val="both"/>
        <w:rPr>
          <w:rFonts w:eastAsia="Calibri"/>
          <w:b/>
          <w:i/>
          <w:noProof/>
          <w:color w:val="4C4747"/>
          <w:lang w:val="es-ES"/>
        </w:rPr>
      </w:pPr>
    </w:p>
    <w:p w14:paraId="103DF01B" w14:textId="34FE6C46" w:rsidR="000C6C68" w:rsidRPr="00A70DE5" w:rsidRDefault="000C6C68" w:rsidP="000C6C68">
      <w:pPr>
        <w:pStyle w:val="Textoindependiente"/>
        <w:spacing w:before="1"/>
        <w:jc w:val="both"/>
        <w:rPr>
          <w:rFonts w:eastAsia="Calibri"/>
          <w:noProof/>
          <w:color w:val="4C4747"/>
          <w:spacing w:val="20"/>
          <w:u w:val="single"/>
        </w:rPr>
      </w:pPr>
      <w:r w:rsidRPr="00A70DE5">
        <w:rPr>
          <w:rFonts w:eastAsia="Calibri"/>
          <w:noProof/>
          <w:color w:val="4C4747"/>
          <w:spacing w:val="20"/>
          <w:u w:val="single"/>
        </w:rPr>
        <w:t>Departamento de Tesorería</w:t>
      </w:r>
    </w:p>
    <w:p w14:paraId="3331070A" w14:textId="77777777" w:rsidR="000C6C68" w:rsidRPr="00A70DE5" w:rsidRDefault="000C6C68" w:rsidP="000C6C68">
      <w:pPr>
        <w:pStyle w:val="Textoindependiente"/>
        <w:spacing w:before="21"/>
        <w:rPr>
          <w:rFonts w:eastAsia="Calibri"/>
          <w:noProof/>
          <w:color w:val="4C4747"/>
          <w:spacing w:val="20"/>
        </w:rPr>
      </w:pPr>
    </w:p>
    <w:p w14:paraId="1F08F372" w14:textId="2F8EECCD" w:rsidR="000C6C68" w:rsidRDefault="000C6C68" w:rsidP="000C6C68">
      <w:pPr>
        <w:spacing w:after="0" w:line="360" w:lineRule="auto"/>
        <w:jc w:val="both"/>
        <w:rPr>
          <w:rFonts w:eastAsia="Calibri"/>
          <w:b/>
          <w:noProof/>
          <w:color w:val="4C4747"/>
          <w:lang w:val="es-ES"/>
        </w:rPr>
      </w:pPr>
      <w:r w:rsidRPr="00A70DE5">
        <w:rPr>
          <w:rFonts w:eastAsia="Calibri"/>
          <w:noProof/>
          <w:color w:val="4C4747"/>
          <w:lang w:val="es-ES"/>
        </w:rPr>
        <w:t xml:space="preserve">Durante este período enero-octubre 2025, se recibieron ingresos por un monto total de </w:t>
      </w:r>
      <w:r w:rsidRPr="00A70DE5">
        <w:rPr>
          <w:rFonts w:eastAsia="Calibri"/>
          <w:b/>
          <w:noProof/>
          <w:color w:val="4C4747"/>
          <w:lang w:val="es-ES"/>
        </w:rPr>
        <w:t>RD$539, 636,963.96,</w:t>
      </w:r>
      <w:r w:rsidRPr="00A70DE5">
        <w:rPr>
          <w:rFonts w:eastAsia="Calibri"/>
          <w:noProof/>
          <w:color w:val="4C4747"/>
          <w:lang w:val="es-ES"/>
        </w:rPr>
        <w:t xml:space="preserve"> provenientes de pagos a suplidores, sueldos fijos, fondos por reintegros, subsidios maternidad y enfermedades comunes, así como reintegros relacionados con diversas causas. </w:t>
      </w:r>
      <w:r w:rsidRPr="000C6C68">
        <w:rPr>
          <w:rFonts w:eastAsia="Calibri"/>
          <w:noProof/>
          <w:color w:val="4C4747"/>
          <w:lang w:val="es-ES"/>
        </w:rPr>
        <w:t xml:space="preserve">Además, los servicios brindados a compañías de seguros y al público en general, tales como renovación, solicitud y transferencias de licencias, derecho a examen, certificaciones, Resolución 3 -91 y material didáctico, generaron ingresos adicionales por </w:t>
      </w:r>
      <w:r w:rsidRPr="000C6C68">
        <w:rPr>
          <w:rFonts w:eastAsia="Calibri"/>
          <w:b/>
          <w:noProof/>
          <w:color w:val="4C4747"/>
          <w:lang w:val="es-ES"/>
        </w:rPr>
        <w:t>RD$77,889,012.90.</w:t>
      </w:r>
    </w:p>
    <w:p w14:paraId="191F404E" w14:textId="5EF29CEB" w:rsidR="000C6C68" w:rsidRPr="000C6C68" w:rsidRDefault="000C6C68" w:rsidP="000C6C68">
      <w:pPr>
        <w:spacing w:after="0" w:line="360" w:lineRule="auto"/>
        <w:jc w:val="both"/>
        <w:rPr>
          <w:rFonts w:eastAsia="Calibri"/>
          <w:noProof/>
          <w:color w:val="4C4747"/>
          <w:lang w:val="es-ES"/>
        </w:rPr>
      </w:pPr>
    </w:p>
    <w:p w14:paraId="7B2D90AB" w14:textId="178228FD" w:rsidR="000C6C68" w:rsidRDefault="000C6C68" w:rsidP="000C6C68">
      <w:pPr>
        <w:spacing w:before="34"/>
        <w:rPr>
          <w:rFonts w:eastAsia="Calibri"/>
          <w:b/>
          <w:noProof/>
          <w:color w:val="4C4747"/>
          <w:lang w:val="es-ES"/>
        </w:rPr>
      </w:pPr>
      <w:r w:rsidRPr="000C6C68">
        <w:rPr>
          <w:rFonts w:eastAsia="Calibri"/>
          <w:noProof/>
          <w:color w:val="4C4747"/>
          <w:lang w:val="es-ES"/>
        </w:rPr>
        <w:t>El total de ingresos por concepto d</w:t>
      </w:r>
      <w:r>
        <w:rPr>
          <w:rFonts w:eastAsia="Calibri"/>
          <w:noProof/>
          <w:color w:val="4C4747"/>
          <w:lang w:val="es-ES"/>
        </w:rPr>
        <w:t xml:space="preserve">e </w:t>
      </w:r>
      <w:r w:rsidRPr="000C6C68">
        <w:rPr>
          <w:rFonts w:eastAsia="Calibri"/>
          <w:noProof/>
          <w:color w:val="4C4747"/>
          <w:lang w:val="es-ES"/>
        </w:rPr>
        <w:t>tasas por servicio</w:t>
      </w:r>
      <w:r>
        <w:rPr>
          <w:rFonts w:eastAsia="Calibri"/>
          <w:noProof/>
          <w:color w:val="4C4747"/>
          <w:lang w:val="es-ES"/>
        </w:rPr>
        <w:t>s</w:t>
      </w:r>
      <w:r w:rsidRPr="000C6C68">
        <w:rPr>
          <w:rFonts w:eastAsia="Calibri"/>
          <w:noProof/>
          <w:color w:val="4C4747"/>
          <w:lang w:val="es-ES"/>
        </w:rPr>
        <w:t xml:space="preserve"> durnate </w:t>
      </w:r>
      <w:r w:rsidR="00F0027B">
        <w:rPr>
          <w:rFonts w:eastAsia="Calibri"/>
          <w:noProof/>
          <w:color w:val="4C4747"/>
          <w:lang w:val="es-ES"/>
        </w:rPr>
        <w:t>e</w:t>
      </w:r>
      <w:r w:rsidRPr="000C6C68">
        <w:rPr>
          <w:rFonts w:eastAsia="Calibri"/>
          <w:noProof/>
          <w:color w:val="4C4747"/>
          <w:lang w:val="es-ES"/>
        </w:rPr>
        <w:t xml:space="preserve">l año en cuestiòn fue de </w:t>
      </w:r>
      <w:r w:rsidRPr="000C6C68">
        <w:rPr>
          <w:rFonts w:eastAsia="Calibri"/>
          <w:b/>
          <w:noProof/>
          <w:color w:val="4C4747"/>
          <w:lang w:val="es-ES"/>
        </w:rPr>
        <w:t>RD$ 27,365,837.63.</w:t>
      </w:r>
    </w:p>
    <w:p w14:paraId="776B2E00" w14:textId="65D0A9C3" w:rsidR="00EF4FF4" w:rsidRDefault="00EF4FF4" w:rsidP="000C6C68">
      <w:pPr>
        <w:spacing w:before="34"/>
        <w:rPr>
          <w:rFonts w:eastAsia="Calibri"/>
          <w:b/>
          <w:noProof/>
          <w:color w:val="4C4747"/>
          <w:lang w:val="es-ES"/>
        </w:rPr>
      </w:pPr>
    </w:p>
    <w:p w14:paraId="110D901C" w14:textId="77777777" w:rsidR="00EF4FF4" w:rsidRDefault="00EF4FF4" w:rsidP="000C6C68">
      <w:pPr>
        <w:spacing w:before="34"/>
        <w:rPr>
          <w:rFonts w:eastAsia="Calibri"/>
          <w:b/>
          <w:noProof/>
          <w:color w:val="4C4747"/>
          <w:lang w:val="es-ES"/>
        </w:rPr>
      </w:pPr>
    </w:p>
    <w:p w14:paraId="79EF212F" w14:textId="65D8FC10" w:rsidR="00EF4FF4" w:rsidRDefault="00EF4FF4" w:rsidP="000C6C68">
      <w:pPr>
        <w:spacing w:before="34"/>
        <w:rPr>
          <w:rFonts w:eastAsia="Calibri"/>
          <w:noProof/>
          <w:color w:val="4C4747"/>
          <w:lang w:val="es-ES"/>
        </w:rPr>
      </w:pPr>
    </w:p>
    <w:p w14:paraId="504AD28B" w14:textId="505E35B9" w:rsidR="00EF4FF4" w:rsidRPr="00EF4FF4" w:rsidRDefault="00EF4FF4" w:rsidP="00EF4FF4">
      <w:pPr>
        <w:spacing w:line="360" w:lineRule="auto"/>
        <w:jc w:val="both"/>
        <w:rPr>
          <w:rFonts w:eastAsia="Calibri"/>
          <w:b/>
          <w:i/>
          <w:noProof/>
          <w:color w:val="4C4747"/>
          <w:u w:val="single"/>
          <w:lang w:val="es-ES"/>
        </w:rPr>
      </w:pPr>
      <w:r w:rsidRPr="00E64239">
        <w:rPr>
          <w:rFonts w:eastAsia="Calibri"/>
          <w:b/>
          <w:i/>
          <w:noProof/>
          <w:color w:val="4C4747"/>
          <w:u w:val="single"/>
          <w:lang w:val="es-ES"/>
        </w:rPr>
        <w:lastRenderedPageBreak/>
        <w:t>Proyecciones Noviembre-Diciembre 2025</w:t>
      </w:r>
    </w:p>
    <w:p w14:paraId="4E2D874C" w14:textId="7FAB9652" w:rsidR="000C6C68" w:rsidRDefault="000C6C68" w:rsidP="000C6C68">
      <w:pPr>
        <w:spacing w:after="0" w:line="360" w:lineRule="auto"/>
        <w:jc w:val="both"/>
        <w:rPr>
          <w:rFonts w:eastAsia="Calibri"/>
          <w:noProof/>
          <w:color w:val="4C4747"/>
          <w:lang w:val="es-ES"/>
        </w:rPr>
      </w:pPr>
      <w:r w:rsidRPr="00EF4FF4">
        <w:rPr>
          <w:rFonts w:eastAsia="Calibri"/>
          <w:b/>
          <w:noProof/>
          <w:color w:val="4C4747"/>
          <w:lang w:val="es-ES"/>
        </w:rPr>
        <w:t>Para los meses de noviembre y diciembre, las proyecciones se basan en los ingresos y gastos, tomamos como base los ingresos recibidos</w:t>
      </w:r>
      <w:r w:rsidR="00EF4FF4">
        <w:rPr>
          <w:rFonts w:eastAsia="Calibri"/>
          <w:b/>
          <w:noProof/>
          <w:color w:val="4C4747"/>
          <w:lang w:val="es-ES"/>
        </w:rPr>
        <w:t>.</w:t>
      </w:r>
      <w:r w:rsidRPr="000C6C68">
        <w:rPr>
          <w:rFonts w:eastAsia="Calibri"/>
          <w:noProof/>
          <w:color w:val="4C4747"/>
          <w:lang w:val="es-ES"/>
        </w:rPr>
        <w:t xml:space="preserve"> </w:t>
      </w:r>
    </w:p>
    <w:p w14:paraId="49D5E692" w14:textId="77777777" w:rsidR="00EF4FF4" w:rsidRPr="00EF4FF4" w:rsidRDefault="00EF4FF4" w:rsidP="00EF4FF4">
      <w:pPr>
        <w:spacing w:after="0" w:line="360" w:lineRule="auto"/>
        <w:jc w:val="both"/>
        <w:rPr>
          <w:rFonts w:eastAsia="Calibri"/>
          <w:noProof/>
          <w:color w:val="4C4747"/>
          <w:lang w:val="es-ES"/>
        </w:rPr>
      </w:pPr>
      <w:r w:rsidRPr="00EF4FF4">
        <w:rPr>
          <w:rFonts w:eastAsia="Calibri"/>
          <w:noProof/>
          <w:color w:val="4C4747"/>
          <w:lang w:val="es-ES"/>
        </w:rPr>
        <w:t>En atención a la programación trimestral del gasto correspondiente al cuarto trimestre del ejercicio fiscal, la institución proyecta ejecutar durante los meses de noviembre y diciembre el monto pendiente del presupuesto vigente, partiendo de una ejecución acumulada a octubre de RD$513,967,202.88, equivalente al 65 % del total programado. Conforme a dicha programación, el cuarto trimestre concentra una ejecución estimada de RD$276,130,561.93, lo que permitirá alcanzar una ejecución total cercana al 100 % del presupuesto vigente, ascendente a RD$790,110,913.55, en coherencia con los compromisos institucionales previstos para el cierre del año.</w:t>
      </w:r>
    </w:p>
    <w:p w14:paraId="2DFB5684" w14:textId="77777777" w:rsidR="00EF4FF4" w:rsidRPr="00EF4FF4" w:rsidRDefault="00EF4FF4" w:rsidP="00EF4FF4">
      <w:pPr>
        <w:spacing w:after="0" w:line="360" w:lineRule="auto"/>
        <w:jc w:val="both"/>
        <w:rPr>
          <w:rFonts w:eastAsia="Calibri"/>
          <w:noProof/>
          <w:color w:val="4C4747"/>
          <w:lang w:val="es-ES"/>
        </w:rPr>
      </w:pPr>
    </w:p>
    <w:p w14:paraId="74B2D1CE" w14:textId="6ABDFB69" w:rsidR="00EF4FF4" w:rsidRDefault="00EF4FF4" w:rsidP="00EF4FF4">
      <w:pPr>
        <w:spacing w:after="0" w:line="360" w:lineRule="auto"/>
        <w:jc w:val="both"/>
        <w:rPr>
          <w:rFonts w:eastAsia="Calibri"/>
          <w:noProof/>
          <w:color w:val="4C4747"/>
          <w:lang w:val="es-ES"/>
        </w:rPr>
      </w:pPr>
      <w:r w:rsidRPr="00EF4FF4">
        <w:rPr>
          <w:rFonts w:eastAsia="Calibri"/>
          <w:noProof/>
          <w:color w:val="4C4747"/>
          <w:lang w:val="es-ES"/>
        </w:rPr>
        <w:t>De manera complementaria, la DirecciónFinanciera continuará ejecutando de forma íntegra las actividades contenidas en su Plan Operativo Anual (POA) programadas para el período, garantizando el cumplimiento oportuno y eficiente de las funciones sustantivas de cada una de sus unidades operativas. En ese sentido, áreas como Tesorería, Departamento de Presupuesto, Contabilidad</w:t>
      </w:r>
      <w:r>
        <w:rPr>
          <w:rFonts w:eastAsia="Calibri"/>
          <w:noProof/>
          <w:color w:val="4C4747"/>
          <w:lang w:val="es-ES"/>
        </w:rPr>
        <w:t xml:space="preserve"> </w:t>
      </w:r>
      <w:r w:rsidRPr="00EF4FF4">
        <w:rPr>
          <w:rFonts w:eastAsia="Calibri"/>
          <w:noProof/>
          <w:color w:val="4C4747"/>
          <w:lang w:val="es-ES"/>
        </w:rPr>
        <w:t xml:space="preserve">y demás </w:t>
      </w:r>
      <w:r w:rsidRPr="00EF4FF4">
        <w:rPr>
          <w:rFonts w:eastAsia="Calibri"/>
          <w:noProof/>
          <w:color w:val="4C4747"/>
          <w:lang w:val="es-ES"/>
        </w:rPr>
        <w:lastRenderedPageBreak/>
        <w:t>unidades de apoyo mantendrán la continuidad de los procesos de programación, ejecución, registro, control y pago del gasto, así como la gestión de activos y la rendición financiera correspondiente, asegurando la operatividad institucional, la observancia de la normativa vigente y el adecuado soporte a las áreas misionales de la entidad.</w:t>
      </w:r>
    </w:p>
    <w:p w14:paraId="7D1D8B7C" w14:textId="717D09AE" w:rsidR="000C6C68" w:rsidRDefault="000C6C68" w:rsidP="000C6C68">
      <w:pPr>
        <w:spacing w:after="0" w:line="360" w:lineRule="auto"/>
        <w:jc w:val="both"/>
        <w:rPr>
          <w:rFonts w:eastAsia="Calibri"/>
          <w:noProof/>
          <w:color w:val="4C4747"/>
          <w:lang w:val="es-ES"/>
        </w:rPr>
      </w:pPr>
    </w:p>
    <w:p w14:paraId="43FE9B83" w14:textId="77777777" w:rsidR="000C6C68" w:rsidRPr="000C6C68" w:rsidRDefault="000C6C68" w:rsidP="000C6C68">
      <w:pPr>
        <w:pStyle w:val="Textoindependiente"/>
        <w:spacing w:before="11"/>
        <w:rPr>
          <w:rFonts w:eastAsiaTheme="majorEastAsia" w:cstheme="majorBidi"/>
          <w:b/>
          <w:color w:val="595959" w:themeColor="text1" w:themeTint="A6"/>
          <w:spacing w:val="20"/>
          <w:szCs w:val="26"/>
          <w:lang w:val="es-DO"/>
        </w:rPr>
      </w:pPr>
    </w:p>
    <w:p w14:paraId="19A0C2A4" w14:textId="54D43E34" w:rsidR="000C6C68" w:rsidRPr="000C6C68" w:rsidRDefault="000C6C68" w:rsidP="009420B7">
      <w:pPr>
        <w:pStyle w:val="Ttulo2"/>
        <w:keepNext w:val="0"/>
        <w:keepLines w:val="0"/>
        <w:widowControl w:val="0"/>
        <w:numPr>
          <w:ilvl w:val="1"/>
          <w:numId w:val="20"/>
        </w:numPr>
        <w:tabs>
          <w:tab w:val="left" w:pos="1158"/>
        </w:tabs>
        <w:autoSpaceDE w:val="0"/>
        <w:autoSpaceDN w:val="0"/>
        <w:spacing w:before="0" w:line="240" w:lineRule="auto"/>
        <w:rPr>
          <w:b/>
          <w:lang w:val="es-DO"/>
        </w:rPr>
      </w:pPr>
      <w:bookmarkStart w:id="32" w:name="_bookmark13"/>
      <w:bookmarkStart w:id="33" w:name="_Toc216875872"/>
      <w:bookmarkEnd w:id="32"/>
      <w:r w:rsidRPr="000C6C68">
        <w:rPr>
          <w:b/>
          <w:lang w:val="es-DO"/>
        </w:rPr>
        <w:t>Desempeño de Recursos Humanos</w:t>
      </w:r>
      <w:bookmarkEnd w:id="33"/>
      <w:r w:rsidRPr="000C6C68">
        <w:rPr>
          <w:b/>
          <w:lang w:val="es-DO"/>
        </w:rPr>
        <w:t xml:space="preserve"> </w:t>
      </w:r>
    </w:p>
    <w:p w14:paraId="4757BD15" w14:textId="77777777" w:rsidR="000C6C68" w:rsidRPr="009420B7" w:rsidRDefault="000C6C68" w:rsidP="000C6C68">
      <w:pPr>
        <w:pStyle w:val="Textoindependiente"/>
        <w:spacing w:before="202"/>
        <w:rPr>
          <w:rFonts w:eastAsia="Calibri"/>
          <w:b/>
          <w:noProof/>
          <w:color w:val="4C4747"/>
          <w:spacing w:val="20"/>
          <w:lang w:val="en-US"/>
        </w:rPr>
      </w:pPr>
    </w:p>
    <w:p w14:paraId="0BFDAE9E" w14:textId="7AA85309" w:rsidR="000C6C68" w:rsidRPr="00A70DE5" w:rsidRDefault="000C6C68" w:rsidP="009420B7">
      <w:pPr>
        <w:pStyle w:val="Textoindependiente"/>
        <w:spacing w:line="360" w:lineRule="auto"/>
        <w:ind w:right="743"/>
        <w:jc w:val="both"/>
        <w:rPr>
          <w:rFonts w:eastAsia="Calibri"/>
          <w:noProof/>
          <w:color w:val="4C4747"/>
          <w:spacing w:val="20"/>
        </w:rPr>
      </w:pPr>
      <w:r w:rsidRPr="009420B7">
        <w:rPr>
          <w:rFonts w:eastAsia="Calibri"/>
          <w:b/>
          <w:noProof/>
          <w:color w:val="4C4747"/>
          <w:spacing w:val="20"/>
        </w:rPr>
        <w:t>Gestión General y Composición del Personal:</w:t>
      </w:r>
      <w:r w:rsidRPr="009420B7">
        <w:rPr>
          <w:rFonts w:eastAsia="Calibri"/>
          <w:noProof/>
          <w:color w:val="4C4747"/>
          <w:spacing w:val="20"/>
        </w:rPr>
        <w:t xml:space="preserve"> La </w:t>
      </w:r>
      <w:r w:rsidR="009420B7" w:rsidRPr="009420B7">
        <w:rPr>
          <w:rFonts w:eastAsia="Calibri"/>
          <w:noProof/>
          <w:color w:val="4C4747"/>
          <w:spacing w:val="20"/>
        </w:rPr>
        <w:t>d</w:t>
      </w:r>
      <w:r w:rsidRPr="009420B7">
        <w:rPr>
          <w:rFonts w:eastAsia="Calibri"/>
          <w:noProof/>
          <w:color w:val="4C4747"/>
          <w:spacing w:val="20"/>
        </w:rPr>
        <w:t xml:space="preserve">irección </w:t>
      </w:r>
      <w:r w:rsidR="009420B7">
        <w:rPr>
          <w:rFonts w:eastAsia="Calibri"/>
          <w:noProof/>
          <w:color w:val="4C4747"/>
          <w:spacing w:val="20"/>
        </w:rPr>
        <w:t xml:space="preserve">de RRHH </w:t>
      </w:r>
      <w:r w:rsidRPr="009420B7">
        <w:rPr>
          <w:rFonts w:eastAsia="Calibri"/>
          <w:noProof/>
          <w:color w:val="4C4747"/>
          <w:spacing w:val="20"/>
        </w:rPr>
        <w:t xml:space="preserve">gestionó procesos claves como la emisión de certificaciones laborales, permisos, licencias, vacaciones, comunicaciones internas y circulares. </w:t>
      </w:r>
      <w:r w:rsidRPr="00A70DE5">
        <w:rPr>
          <w:rFonts w:eastAsia="Calibri"/>
          <w:noProof/>
          <w:color w:val="4C4747"/>
          <w:spacing w:val="20"/>
        </w:rPr>
        <w:t>Además, se garantizó el cumplimiento de las metas relacionadas con el personal, compuesto por un total de 662 colaboradores distribuidos en cinco grupos ocupacionales:</w:t>
      </w:r>
    </w:p>
    <w:p w14:paraId="1E208AAA" w14:textId="77777777" w:rsidR="000C6C68" w:rsidRPr="009420B7" w:rsidRDefault="000C6C68" w:rsidP="000C6C68">
      <w:pPr>
        <w:pStyle w:val="Prrafodelista"/>
        <w:widowControl w:val="0"/>
        <w:numPr>
          <w:ilvl w:val="2"/>
          <w:numId w:val="19"/>
        </w:numPr>
        <w:tabs>
          <w:tab w:val="left" w:pos="1440"/>
        </w:tabs>
        <w:autoSpaceDE w:val="0"/>
        <w:autoSpaceDN w:val="0"/>
        <w:spacing w:before="163" w:after="0" w:line="240" w:lineRule="auto"/>
        <w:contextualSpacing w:val="0"/>
        <w:rPr>
          <w:rFonts w:eastAsia="Calibri"/>
          <w:noProof/>
          <w:color w:val="4C4747"/>
        </w:rPr>
      </w:pPr>
      <w:r w:rsidRPr="009420B7">
        <w:rPr>
          <w:rFonts w:eastAsia="Calibri"/>
          <w:noProof/>
          <w:color w:val="4C4747"/>
        </w:rPr>
        <w:t>Servicios Generales: 165 (29%)</w:t>
      </w:r>
    </w:p>
    <w:p w14:paraId="61745620" w14:textId="77777777" w:rsidR="000C6C68" w:rsidRPr="009420B7" w:rsidRDefault="000C6C68" w:rsidP="000C6C68">
      <w:pPr>
        <w:pStyle w:val="Prrafodelista"/>
        <w:widowControl w:val="0"/>
        <w:numPr>
          <w:ilvl w:val="2"/>
          <w:numId w:val="19"/>
        </w:numPr>
        <w:tabs>
          <w:tab w:val="left" w:pos="1440"/>
        </w:tabs>
        <w:autoSpaceDE w:val="0"/>
        <w:autoSpaceDN w:val="0"/>
        <w:spacing w:before="138" w:after="0" w:line="240" w:lineRule="auto"/>
        <w:contextualSpacing w:val="0"/>
        <w:rPr>
          <w:rFonts w:eastAsia="Calibri"/>
          <w:noProof/>
          <w:color w:val="4C4747"/>
        </w:rPr>
      </w:pPr>
      <w:r w:rsidRPr="009420B7">
        <w:rPr>
          <w:rFonts w:eastAsia="Calibri"/>
          <w:noProof/>
          <w:color w:val="4C4747"/>
        </w:rPr>
        <w:t>Supervisión y Apoyo: 168 (29%)</w:t>
      </w:r>
    </w:p>
    <w:p w14:paraId="4718F692" w14:textId="77777777" w:rsidR="000C6C68" w:rsidRPr="009420B7" w:rsidRDefault="000C6C68" w:rsidP="000C6C68">
      <w:pPr>
        <w:pStyle w:val="Prrafodelista"/>
        <w:widowControl w:val="0"/>
        <w:numPr>
          <w:ilvl w:val="2"/>
          <w:numId w:val="19"/>
        </w:numPr>
        <w:tabs>
          <w:tab w:val="left" w:pos="1440"/>
        </w:tabs>
        <w:autoSpaceDE w:val="0"/>
        <w:autoSpaceDN w:val="0"/>
        <w:spacing w:before="136" w:after="0" w:line="240" w:lineRule="auto"/>
        <w:contextualSpacing w:val="0"/>
        <w:rPr>
          <w:rFonts w:eastAsia="Calibri"/>
          <w:noProof/>
          <w:color w:val="4C4747"/>
        </w:rPr>
      </w:pPr>
      <w:r w:rsidRPr="009420B7">
        <w:rPr>
          <w:rFonts w:eastAsia="Calibri"/>
          <w:noProof/>
          <w:color w:val="4C4747"/>
        </w:rPr>
        <w:t>Técnicos: 97 (17%)</w:t>
      </w:r>
    </w:p>
    <w:p w14:paraId="23B81CED" w14:textId="77777777" w:rsidR="000C6C68" w:rsidRPr="009420B7" w:rsidRDefault="000C6C68" w:rsidP="000C6C68">
      <w:pPr>
        <w:pStyle w:val="Prrafodelista"/>
        <w:widowControl w:val="0"/>
        <w:numPr>
          <w:ilvl w:val="2"/>
          <w:numId w:val="19"/>
        </w:numPr>
        <w:tabs>
          <w:tab w:val="left" w:pos="1440"/>
        </w:tabs>
        <w:autoSpaceDE w:val="0"/>
        <w:autoSpaceDN w:val="0"/>
        <w:spacing w:before="138" w:after="0" w:line="240" w:lineRule="auto"/>
        <w:contextualSpacing w:val="0"/>
        <w:rPr>
          <w:rFonts w:eastAsia="Calibri"/>
          <w:noProof/>
          <w:color w:val="4C4747"/>
        </w:rPr>
      </w:pPr>
      <w:r w:rsidRPr="009420B7">
        <w:rPr>
          <w:rFonts w:eastAsia="Calibri"/>
          <w:noProof/>
          <w:color w:val="4C4747"/>
        </w:rPr>
        <w:t>Profesionales: 87 (15%)</w:t>
      </w:r>
    </w:p>
    <w:p w14:paraId="693A7A6D" w14:textId="77777777" w:rsidR="000C6C68" w:rsidRPr="009420B7" w:rsidRDefault="000C6C68" w:rsidP="000C6C68">
      <w:pPr>
        <w:pStyle w:val="Prrafodelista"/>
        <w:widowControl w:val="0"/>
        <w:numPr>
          <w:ilvl w:val="2"/>
          <w:numId w:val="19"/>
        </w:numPr>
        <w:tabs>
          <w:tab w:val="left" w:pos="1440"/>
        </w:tabs>
        <w:autoSpaceDE w:val="0"/>
        <w:autoSpaceDN w:val="0"/>
        <w:spacing w:before="138" w:after="0" w:line="240" w:lineRule="auto"/>
        <w:contextualSpacing w:val="0"/>
        <w:rPr>
          <w:rFonts w:eastAsia="Calibri"/>
          <w:noProof/>
          <w:color w:val="4C4747"/>
        </w:rPr>
      </w:pPr>
      <w:r w:rsidRPr="009420B7">
        <w:rPr>
          <w:rFonts w:eastAsia="Calibri"/>
          <w:noProof/>
          <w:color w:val="4C4747"/>
        </w:rPr>
        <w:lastRenderedPageBreak/>
        <w:t>Dirección: 60 (10%)</w:t>
      </w:r>
    </w:p>
    <w:p w14:paraId="037788A2" w14:textId="77777777" w:rsidR="000C6C68" w:rsidRPr="009420B7" w:rsidRDefault="000C6C68" w:rsidP="000C6C68">
      <w:pPr>
        <w:pStyle w:val="Textoindependiente"/>
        <w:spacing w:before="19"/>
        <w:rPr>
          <w:rFonts w:eastAsia="Calibri"/>
          <w:b/>
          <w:noProof/>
          <w:color w:val="4C4747"/>
          <w:spacing w:val="20"/>
          <w:lang w:val="en-US"/>
        </w:rPr>
      </w:pPr>
    </w:p>
    <w:p w14:paraId="66309350" w14:textId="26867E13" w:rsidR="000C6C68" w:rsidRPr="00A70DE5" w:rsidRDefault="000C6C68" w:rsidP="009420B7">
      <w:pPr>
        <w:pStyle w:val="Textoindependiente"/>
        <w:spacing w:line="360" w:lineRule="auto"/>
        <w:ind w:right="741"/>
        <w:jc w:val="both"/>
        <w:rPr>
          <w:rFonts w:eastAsia="Calibri"/>
          <w:noProof/>
          <w:color w:val="4C4747"/>
          <w:spacing w:val="20"/>
        </w:rPr>
      </w:pPr>
      <w:r w:rsidRPr="00A70DE5">
        <w:rPr>
          <w:rFonts w:eastAsia="Calibri"/>
          <w:b/>
          <w:noProof/>
          <w:color w:val="4C4747"/>
          <w:spacing w:val="20"/>
        </w:rPr>
        <w:t>Ingresos y Egresos de Personal:</w:t>
      </w:r>
      <w:r w:rsidRPr="00A70DE5">
        <w:rPr>
          <w:rFonts w:eastAsia="Calibri"/>
          <w:noProof/>
          <w:color w:val="4C4747"/>
          <w:spacing w:val="20"/>
        </w:rPr>
        <w:t xml:space="preserve"> Entre enero y diciembre, se registraron 82 ingresos, con un 22% concentrado en febrero. Asimismo, se reportaron 156 egresos, de los cuales el 28 % ocurrió en enero.</w:t>
      </w:r>
    </w:p>
    <w:p w14:paraId="0CD2942A" w14:textId="1881C015" w:rsidR="000C6C68" w:rsidRPr="00A70DE5" w:rsidRDefault="000C6C68" w:rsidP="00EF6A8E">
      <w:pPr>
        <w:pStyle w:val="Textoindependiente"/>
        <w:spacing w:before="79" w:line="360" w:lineRule="auto"/>
        <w:ind w:right="733"/>
        <w:jc w:val="both"/>
        <w:rPr>
          <w:rFonts w:eastAsia="Calibri"/>
          <w:noProof/>
          <w:color w:val="4C4747"/>
          <w:spacing w:val="20"/>
        </w:rPr>
      </w:pPr>
      <w:r w:rsidRPr="009420B7">
        <w:rPr>
          <w:rFonts w:eastAsia="Calibri"/>
          <w:b/>
          <w:noProof/>
          <w:color w:val="4C4747"/>
          <w:spacing w:val="20"/>
        </w:rPr>
        <w:t>Relaciones Laborales y Otros Procesos:</w:t>
      </w:r>
      <w:r w:rsidRPr="009420B7">
        <w:rPr>
          <w:rFonts w:eastAsia="Calibri"/>
          <w:noProof/>
          <w:color w:val="4C4747"/>
          <w:spacing w:val="20"/>
        </w:rPr>
        <w:t xml:space="preserve"> Se procesaron 1,369 solicitudes relacionadas con permisos (65%), licencias (22%) y vacaciones (13%). </w:t>
      </w:r>
      <w:r w:rsidRPr="00A70DE5">
        <w:rPr>
          <w:rFonts w:eastAsia="Calibri"/>
          <w:noProof/>
          <w:color w:val="4C4747"/>
          <w:spacing w:val="20"/>
        </w:rPr>
        <w:t xml:space="preserve">Además, se gestionaron casos especiales, incluyendo pensiones 18 pensiones por decreto para DGJP, y 3 fallecimientos. </w:t>
      </w:r>
    </w:p>
    <w:p w14:paraId="52B29266" w14:textId="77777777" w:rsidR="000C6C68" w:rsidRPr="000C6C68" w:rsidRDefault="000C6C68" w:rsidP="000C6C68">
      <w:pPr>
        <w:spacing w:after="0" w:line="360" w:lineRule="auto"/>
        <w:jc w:val="both"/>
        <w:rPr>
          <w:rFonts w:eastAsia="Calibri"/>
          <w:noProof/>
          <w:color w:val="4C4747"/>
          <w:lang w:val="es-ES"/>
        </w:rPr>
      </w:pPr>
    </w:p>
    <w:p w14:paraId="4E66E955" w14:textId="78103217" w:rsidR="009420B7" w:rsidRPr="00A70DE5" w:rsidRDefault="009420B7" w:rsidP="009420B7">
      <w:pPr>
        <w:spacing w:after="0" w:line="360" w:lineRule="auto"/>
        <w:jc w:val="both"/>
        <w:rPr>
          <w:rFonts w:eastAsia="Calibri"/>
          <w:noProof/>
          <w:color w:val="4C4747"/>
          <w:lang w:val="es-ES"/>
        </w:rPr>
      </w:pPr>
      <w:r w:rsidRPr="00A70DE5">
        <w:rPr>
          <w:rFonts w:eastAsia="Calibri"/>
          <w:noProof/>
          <w:color w:val="4C4747"/>
          <w:lang w:val="es-ES"/>
        </w:rPr>
        <w:t>En cuanto a indemnizaciones, se realizaron pagos por un total de RD$ 26,120,836. 63 durante el período enero- noviembre 2025.</w:t>
      </w:r>
    </w:p>
    <w:p w14:paraId="205EA57A" w14:textId="77777777" w:rsidR="009420B7" w:rsidRPr="00A70DE5" w:rsidRDefault="009420B7" w:rsidP="009420B7">
      <w:pPr>
        <w:spacing w:after="0" w:line="360" w:lineRule="auto"/>
        <w:jc w:val="both"/>
        <w:rPr>
          <w:rFonts w:eastAsia="Calibri"/>
          <w:b/>
          <w:noProof/>
          <w:color w:val="4C4747"/>
          <w:lang w:val="es-ES"/>
        </w:rPr>
      </w:pPr>
    </w:p>
    <w:p w14:paraId="5D123EA4" w14:textId="69FEFC61" w:rsidR="009420B7" w:rsidRPr="00A70DE5" w:rsidRDefault="009420B7" w:rsidP="009420B7">
      <w:pPr>
        <w:spacing w:after="0" w:line="360" w:lineRule="auto"/>
        <w:jc w:val="both"/>
        <w:rPr>
          <w:rFonts w:eastAsia="Calibri"/>
          <w:noProof/>
          <w:color w:val="4C4747"/>
          <w:lang w:val="es-ES"/>
        </w:rPr>
      </w:pPr>
      <w:r w:rsidRPr="00A70DE5">
        <w:rPr>
          <w:rFonts w:eastAsia="Calibri"/>
          <w:b/>
          <w:noProof/>
          <w:color w:val="4C4747"/>
          <w:lang w:val="es-ES"/>
        </w:rPr>
        <w:t>Capacitaciones y Desarrollo del Talento:</w:t>
      </w:r>
      <w:r w:rsidRPr="00A70DE5">
        <w:rPr>
          <w:rFonts w:eastAsia="Calibri"/>
          <w:noProof/>
          <w:color w:val="4C4747"/>
          <w:lang w:val="es-ES"/>
        </w:rPr>
        <w:t xml:space="preserve"> La capacitación del personal ha sido una prioridad, logrando entrenar a 1,400 colaboradores en diversos cursos, talleres y diplomados. Entre las principales actividades se destacan:</w:t>
      </w:r>
    </w:p>
    <w:p w14:paraId="762504E1" w14:textId="77777777" w:rsidR="009420B7" w:rsidRPr="00A70DE5" w:rsidRDefault="009420B7" w:rsidP="009420B7">
      <w:pPr>
        <w:spacing w:after="0" w:line="360" w:lineRule="auto"/>
        <w:jc w:val="both"/>
        <w:rPr>
          <w:rFonts w:eastAsia="Calibri"/>
          <w:noProof/>
          <w:color w:val="4C4747"/>
          <w:lang w:val="es-ES"/>
        </w:rPr>
      </w:pPr>
    </w:p>
    <w:p w14:paraId="1FF9EE79" w14:textId="77777777" w:rsidR="009420B7" w:rsidRPr="009420B7" w:rsidRDefault="009420B7" w:rsidP="009420B7">
      <w:pPr>
        <w:spacing w:after="0" w:line="360" w:lineRule="auto"/>
        <w:jc w:val="both"/>
        <w:rPr>
          <w:rFonts w:eastAsia="Calibri"/>
          <w:b/>
          <w:bCs/>
          <w:i/>
          <w:noProof/>
          <w:color w:val="4C4747"/>
          <w:lang w:val="es-DO"/>
        </w:rPr>
      </w:pPr>
      <w:r w:rsidRPr="009420B7">
        <w:rPr>
          <w:rFonts w:eastAsia="Calibri"/>
          <w:b/>
          <w:bCs/>
          <w:i/>
          <w:noProof/>
          <w:color w:val="4C4747"/>
          <w:lang w:val="es-DO"/>
        </w:rPr>
        <w:t>Desarrollo institucional y administración pública</w:t>
      </w:r>
    </w:p>
    <w:p w14:paraId="523E6A14" w14:textId="77777777"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t>Introducción a la Administración Pública</w:t>
      </w:r>
    </w:p>
    <w:p w14:paraId="3F785E1A" w14:textId="77777777"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lastRenderedPageBreak/>
        <w:t>Inducción a la Administración Pública</w:t>
      </w:r>
    </w:p>
    <w:p w14:paraId="07BEE750" w14:textId="77777777"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t>Taller de Ética en la Gestión Pública</w:t>
      </w:r>
    </w:p>
    <w:p w14:paraId="41BC8FB3" w14:textId="77777777"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t>Gestión de Calidad en la Administración Pública</w:t>
      </w:r>
    </w:p>
    <w:p w14:paraId="79E1A33C" w14:textId="77777777"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t>Atención al Ciudadano y Calidad en el Servicio</w:t>
      </w:r>
    </w:p>
    <w:p w14:paraId="60403380" w14:textId="77777777"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t>Protocolo Corporativo y Gubernamental</w:t>
      </w:r>
    </w:p>
    <w:p w14:paraId="3CE1C3EF" w14:textId="4E1EEED2" w:rsidR="009420B7" w:rsidRPr="009420B7" w:rsidRDefault="009420B7" w:rsidP="009420B7">
      <w:pPr>
        <w:numPr>
          <w:ilvl w:val="0"/>
          <w:numId w:val="21"/>
        </w:numPr>
        <w:spacing w:after="0" w:line="360" w:lineRule="auto"/>
        <w:jc w:val="both"/>
        <w:rPr>
          <w:rFonts w:eastAsia="Calibri"/>
          <w:i/>
          <w:noProof/>
          <w:color w:val="4C4747"/>
          <w:lang w:val="es-DO"/>
        </w:rPr>
      </w:pPr>
      <w:r w:rsidRPr="009420B7">
        <w:rPr>
          <w:rFonts w:eastAsia="Calibri"/>
          <w:i/>
          <w:noProof/>
          <w:color w:val="4C4747"/>
          <w:lang w:val="es-DO"/>
        </w:rPr>
        <w:t>Diplomado en Compras y Contrataciones Públicas Orientado a Resultados</w:t>
      </w:r>
    </w:p>
    <w:p w14:paraId="3C266A70" w14:textId="77777777" w:rsidR="009420B7" w:rsidRPr="009420B7" w:rsidRDefault="009420B7" w:rsidP="009420B7">
      <w:pPr>
        <w:spacing w:after="0" w:line="360" w:lineRule="auto"/>
        <w:jc w:val="both"/>
        <w:rPr>
          <w:rFonts w:eastAsia="Calibri"/>
          <w:b/>
          <w:bCs/>
          <w:i/>
          <w:noProof/>
          <w:color w:val="4C4747"/>
          <w:lang w:val="es-DO"/>
        </w:rPr>
      </w:pPr>
      <w:r w:rsidRPr="009420B7">
        <w:rPr>
          <w:rFonts w:eastAsia="Calibri"/>
          <w:b/>
          <w:bCs/>
          <w:i/>
          <w:noProof/>
          <w:color w:val="4C4747"/>
          <w:lang w:val="es-DO"/>
        </w:rPr>
        <w:t>Desarrollo humano, liderazgo y bienestar</w:t>
      </w:r>
    </w:p>
    <w:p w14:paraId="28CE1086"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Inteligencia Emocional</w:t>
      </w:r>
    </w:p>
    <w:p w14:paraId="045CA340"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Manejo de relaciones interpersonales</w:t>
      </w:r>
    </w:p>
    <w:p w14:paraId="70EF750F"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Liderazgo Estratégico / Liderazgo Estratégico Transformacional</w:t>
      </w:r>
    </w:p>
    <w:p w14:paraId="2D6AC41A"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Gestión del Talento Humano</w:t>
      </w:r>
    </w:p>
    <w:p w14:paraId="73F1D277"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Gestión Estratégica de la Seguridad Laboral</w:t>
      </w:r>
    </w:p>
    <w:p w14:paraId="1F2401D7"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Violencia de Género</w:t>
      </w:r>
    </w:p>
    <w:p w14:paraId="43674A14"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Transversalización de la Perspectiva de Género</w:t>
      </w:r>
    </w:p>
    <w:p w14:paraId="6C91CB36"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Introducción a la Perspectiva de Género</w:t>
      </w:r>
    </w:p>
    <w:p w14:paraId="302DD0AD"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Manejo del Estrés</w:t>
      </w:r>
    </w:p>
    <w:p w14:paraId="68AB52A3"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Redacción de Informes</w:t>
      </w:r>
    </w:p>
    <w:p w14:paraId="37E61E9E" w14:textId="77777777" w:rsidR="009420B7" w:rsidRPr="007E4BE8" w:rsidRDefault="009420B7" w:rsidP="009420B7">
      <w:pPr>
        <w:pStyle w:val="Textoindependiente"/>
        <w:spacing w:before="175" w:line="360" w:lineRule="auto"/>
        <w:ind w:left="720" w:right="754"/>
        <w:jc w:val="both"/>
        <w:rPr>
          <w:b/>
          <w:bCs/>
          <w:color w:val="767070"/>
          <w:spacing w:val="15"/>
          <w:lang w:val="es-DO"/>
        </w:rPr>
      </w:pPr>
      <w:r w:rsidRPr="007E4BE8">
        <w:rPr>
          <w:b/>
          <w:bCs/>
          <w:color w:val="767070"/>
          <w:spacing w:val="15"/>
          <w:lang w:val="es-DO"/>
        </w:rPr>
        <w:t>Competencias técnicas y tecnológicas</w:t>
      </w:r>
    </w:p>
    <w:p w14:paraId="12316D3E"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Power BI</w:t>
      </w:r>
    </w:p>
    <w:p w14:paraId="0D388ED6"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lastRenderedPageBreak/>
        <w:t>Paquete de Oficina Avanzado</w:t>
      </w:r>
    </w:p>
    <w:p w14:paraId="4DCC5AC5"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Introducción a la Ofimática</w:t>
      </w:r>
    </w:p>
    <w:p w14:paraId="33C305CB" w14:textId="77777777" w:rsidR="009420B7" w:rsidRPr="009420B7" w:rsidRDefault="009420B7" w:rsidP="009420B7">
      <w:pPr>
        <w:numPr>
          <w:ilvl w:val="0"/>
          <w:numId w:val="22"/>
        </w:numPr>
        <w:spacing w:after="0" w:line="360" w:lineRule="auto"/>
        <w:jc w:val="both"/>
        <w:rPr>
          <w:rFonts w:eastAsia="Calibri"/>
          <w:i/>
          <w:noProof/>
          <w:color w:val="4C4747"/>
          <w:lang w:val="es-DO"/>
        </w:rPr>
      </w:pPr>
      <w:r w:rsidRPr="009420B7">
        <w:rPr>
          <w:rFonts w:eastAsia="Calibri"/>
          <w:i/>
          <w:noProof/>
          <w:color w:val="4C4747"/>
          <w:lang w:val="es-DO"/>
        </w:rPr>
        <w:t>Curso de Servicio al Cliente</w:t>
      </w:r>
    </w:p>
    <w:p w14:paraId="4E21CC1D" w14:textId="4849A80B" w:rsidR="009420B7" w:rsidRDefault="009420B7" w:rsidP="009420B7">
      <w:pPr>
        <w:spacing w:after="0" w:line="360" w:lineRule="auto"/>
        <w:jc w:val="both"/>
        <w:rPr>
          <w:rFonts w:eastAsia="Calibri"/>
          <w:noProof/>
          <w:color w:val="4C4747"/>
          <w:lang w:val="es-ES"/>
        </w:rPr>
      </w:pPr>
      <w:r w:rsidRPr="00A70DE5">
        <w:rPr>
          <w:rFonts w:eastAsia="Calibri"/>
          <w:noProof/>
          <w:color w:val="4C4747"/>
          <w:lang w:val="es-ES"/>
        </w:rPr>
        <w:t>Estas capacitaciones se enfocaron en fortalecer las competencias técnicas y de gestión del personal, con una participación del 68% femenina y 32 % masculina.</w:t>
      </w:r>
    </w:p>
    <w:p w14:paraId="4CC09373" w14:textId="77777777" w:rsidR="00A04FF5" w:rsidRPr="00A70DE5" w:rsidRDefault="00A04FF5" w:rsidP="009420B7">
      <w:pPr>
        <w:spacing w:after="0" w:line="360" w:lineRule="auto"/>
        <w:jc w:val="both"/>
        <w:rPr>
          <w:rFonts w:eastAsia="Calibri"/>
          <w:noProof/>
          <w:color w:val="4C4747"/>
          <w:lang w:val="es-ES"/>
        </w:rPr>
      </w:pPr>
    </w:p>
    <w:p w14:paraId="3DCCE27A" w14:textId="77777777" w:rsidR="009420B7" w:rsidRPr="00A70DE5" w:rsidRDefault="009420B7" w:rsidP="009420B7">
      <w:pPr>
        <w:spacing w:after="0" w:line="360" w:lineRule="auto"/>
        <w:jc w:val="both"/>
        <w:rPr>
          <w:rFonts w:eastAsia="Calibri"/>
          <w:noProof/>
          <w:color w:val="4C4747"/>
          <w:lang w:val="es-ES"/>
        </w:rPr>
      </w:pPr>
      <w:r w:rsidRPr="00A70DE5">
        <w:rPr>
          <w:rFonts w:eastAsia="Calibri"/>
          <w:b/>
          <w:i/>
          <w:noProof/>
          <w:color w:val="4C4747"/>
          <w:lang w:val="es-ES"/>
        </w:rPr>
        <w:t>Proyecciones de capacitación noviembre-diciembre 2025:</w:t>
      </w:r>
      <w:r w:rsidRPr="00A70DE5">
        <w:rPr>
          <w:rFonts w:eastAsia="Calibri"/>
          <w:noProof/>
          <w:color w:val="4C4747"/>
          <w:lang w:val="es-ES"/>
        </w:rPr>
        <w:t xml:space="preserve"> En los últimos meses del año, se prevé completar el proceso de evaluación del desempeño laboral 2025 cargado en el SISMAP. Asimismo, se continuará fortaleciendo las competencias del personal mediante la detección de nuevas necesidades formativas.</w:t>
      </w:r>
    </w:p>
    <w:p w14:paraId="78194333" w14:textId="77777777" w:rsidR="009420B7" w:rsidRPr="00A70DE5" w:rsidRDefault="009420B7" w:rsidP="009420B7">
      <w:pPr>
        <w:spacing w:after="0" w:line="360" w:lineRule="auto"/>
        <w:jc w:val="both"/>
        <w:rPr>
          <w:rFonts w:eastAsia="Calibri"/>
          <w:noProof/>
          <w:color w:val="4C4747"/>
          <w:lang w:val="es-ES"/>
        </w:rPr>
      </w:pPr>
    </w:p>
    <w:p w14:paraId="7BEBE190" w14:textId="55A4B758" w:rsidR="009420B7" w:rsidRPr="00A70DE5" w:rsidRDefault="009420B7" w:rsidP="009420B7">
      <w:pPr>
        <w:spacing w:after="0" w:line="360" w:lineRule="auto"/>
        <w:jc w:val="both"/>
        <w:rPr>
          <w:rFonts w:eastAsia="Calibri"/>
          <w:noProof/>
          <w:color w:val="4C4747"/>
          <w:lang w:val="es-ES"/>
        </w:rPr>
      </w:pPr>
      <w:r w:rsidRPr="00A70DE5">
        <w:rPr>
          <w:rFonts w:eastAsia="Calibri"/>
          <w:noProof/>
          <w:color w:val="4C4747"/>
          <w:lang w:val="es-ES"/>
        </w:rPr>
        <w:t xml:space="preserve">En lo concerniente al SISMAP, Actualmente, el Sistema de Monitoreo de la Administración Pública (SISMAP) registra una puntuación promedio de </w:t>
      </w:r>
      <w:r w:rsidRPr="00A70DE5">
        <w:rPr>
          <w:rFonts w:eastAsia="Calibri"/>
          <w:b/>
          <w:noProof/>
          <w:color w:val="4C4747"/>
          <w:lang w:val="es-ES"/>
        </w:rPr>
        <w:t>81.4%.</w:t>
      </w:r>
      <w:r w:rsidRPr="00A70DE5">
        <w:rPr>
          <w:rFonts w:eastAsia="Calibri"/>
          <w:noProof/>
          <w:color w:val="4C4747"/>
          <w:lang w:val="es-ES"/>
        </w:rPr>
        <w:t xml:space="preserve"> Cabe destacar que la institución ha mantenido una puntuación cercana al 80%, logrando importantes avances en diversos indicadores. </w:t>
      </w:r>
    </w:p>
    <w:p w14:paraId="2B1A9B96" w14:textId="77777777" w:rsidR="009420B7" w:rsidRPr="00A70DE5" w:rsidRDefault="009420B7" w:rsidP="009420B7">
      <w:pPr>
        <w:spacing w:after="0" w:line="360" w:lineRule="auto"/>
        <w:jc w:val="both"/>
        <w:rPr>
          <w:rFonts w:eastAsia="Calibri"/>
          <w:noProof/>
          <w:color w:val="4C4747"/>
          <w:lang w:val="es-ES"/>
        </w:rPr>
      </w:pPr>
    </w:p>
    <w:p w14:paraId="7C33F668" w14:textId="01A0410B" w:rsidR="009420B7" w:rsidRPr="009420B7" w:rsidRDefault="009420B7" w:rsidP="009420B7">
      <w:pPr>
        <w:spacing w:after="0" w:line="360" w:lineRule="auto"/>
        <w:jc w:val="both"/>
        <w:rPr>
          <w:rFonts w:eastAsia="Calibri"/>
          <w:b/>
          <w:noProof/>
          <w:color w:val="4C4747"/>
          <w:lang w:val="es-ES"/>
        </w:rPr>
      </w:pPr>
      <w:r w:rsidRPr="009420B7">
        <w:rPr>
          <w:rFonts w:eastAsia="Calibri"/>
          <w:b/>
          <w:noProof/>
          <w:color w:val="4C4747"/>
          <w:lang w:val="es-ES"/>
        </w:rPr>
        <w:t>Durante el período, se llevaron a cabo esfuerzos clave como:</w:t>
      </w:r>
    </w:p>
    <w:p w14:paraId="56C26529" w14:textId="77777777" w:rsidR="009420B7" w:rsidRPr="00A70DE5" w:rsidRDefault="009420B7" w:rsidP="009420B7">
      <w:pPr>
        <w:spacing w:after="0" w:line="360" w:lineRule="auto"/>
        <w:jc w:val="both"/>
        <w:rPr>
          <w:rFonts w:eastAsia="Calibri"/>
          <w:noProof/>
          <w:color w:val="4C4747"/>
          <w:lang w:val="es-ES"/>
        </w:rPr>
      </w:pPr>
    </w:p>
    <w:p w14:paraId="7080EFC9" w14:textId="36CFA38F" w:rsidR="009420B7" w:rsidRPr="009420B7" w:rsidRDefault="009420B7" w:rsidP="009420B7">
      <w:pPr>
        <w:pStyle w:val="Prrafodelista"/>
        <w:numPr>
          <w:ilvl w:val="0"/>
          <w:numId w:val="24"/>
        </w:numPr>
        <w:spacing w:after="0" w:line="360" w:lineRule="auto"/>
        <w:jc w:val="both"/>
        <w:rPr>
          <w:rFonts w:eastAsia="Calibri"/>
          <w:noProof/>
          <w:color w:val="4C4747"/>
          <w:lang w:val="es-ES"/>
        </w:rPr>
      </w:pPr>
      <w:r w:rsidRPr="009420B7">
        <w:rPr>
          <w:rFonts w:eastAsia="Calibri"/>
          <w:noProof/>
          <w:color w:val="4C4747"/>
          <w:lang w:val="es-ES"/>
        </w:rPr>
        <w:lastRenderedPageBreak/>
        <w:t>Implementación del Sistema de Seguridad y Salud en el Trabajo.</w:t>
      </w:r>
    </w:p>
    <w:p w14:paraId="1D7BE38A" w14:textId="5407F8B5" w:rsidR="009420B7" w:rsidRPr="009420B7" w:rsidRDefault="009420B7" w:rsidP="009420B7">
      <w:pPr>
        <w:pStyle w:val="Prrafodelista"/>
        <w:numPr>
          <w:ilvl w:val="0"/>
          <w:numId w:val="24"/>
        </w:numPr>
        <w:spacing w:after="0" w:line="360" w:lineRule="auto"/>
        <w:jc w:val="both"/>
        <w:rPr>
          <w:rFonts w:eastAsia="Calibri"/>
          <w:noProof/>
          <w:color w:val="4C4747"/>
          <w:lang w:val="es-ES"/>
        </w:rPr>
      </w:pPr>
      <w:r w:rsidRPr="009420B7">
        <w:rPr>
          <w:rFonts w:eastAsia="Calibri"/>
          <w:noProof/>
          <w:color w:val="4C4747"/>
          <w:lang w:val="es-ES"/>
        </w:rPr>
        <w:t>Realizaciòn de la encuesta de clima laboral.</w:t>
      </w:r>
    </w:p>
    <w:p w14:paraId="5A711B9E" w14:textId="403D6B98" w:rsidR="009420B7" w:rsidRPr="00A70DE5" w:rsidRDefault="009420B7" w:rsidP="009420B7">
      <w:pPr>
        <w:pStyle w:val="Prrafodelista"/>
        <w:numPr>
          <w:ilvl w:val="0"/>
          <w:numId w:val="24"/>
        </w:numPr>
        <w:spacing w:after="0" w:line="360" w:lineRule="auto"/>
        <w:jc w:val="both"/>
        <w:rPr>
          <w:rFonts w:eastAsia="Calibri"/>
          <w:noProof/>
          <w:color w:val="4C4747"/>
          <w:lang w:val="es-ES"/>
        </w:rPr>
      </w:pPr>
      <w:r w:rsidRPr="00A70DE5">
        <w:rPr>
          <w:rFonts w:eastAsia="Calibri"/>
          <w:noProof/>
          <w:color w:val="4C4747"/>
          <w:lang w:val="es-ES"/>
        </w:rPr>
        <w:t>Avances en la implementación del SASP con el apoyo de la Dirección de Tecnología.</w:t>
      </w:r>
    </w:p>
    <w:p w14:paraId="659A9DED" w14:textId="1D796A37" w:rsidR="009420B7" w:rsidRPr="009420B7" w:rsidRDefault="009420B7" w:rsidP="009420B7">
      <w:pPr>
        <w:pStyle w:val="Prrafodelista"/>
        <w:numPr>
          <w:ilvl w:val="0"/>
          <w:numId w:val="24"/>
        </w:numPr>
        <w:spacing w:after="0" w:line="360" w:lineRule="auto"/>
        <w:jc w:val="both"/>
        <w:rPr>
          <w:rFonts w:eastAsia="Calibri"/>
          <w:noProof/>
          <w:color w:val="4C4747"/>
          <w:lang w:val="es-ES"/>
        </w:rPr>
      </w:pPr>
      <w:r w:rsidRPr="009420B7">
        <w:rPr>
          <w:rFonts w:eastAsia="Calibri"/>
          <w:noProof/>
          <w:color w:val="4C4747"/>
          <w:lang w:val="es-ES"/>
        </w:rPr>
        <w:t>Presentamos la tabla actual de puntuación del SISMAP y cada uno de los indicadores, con un promedio actual del 81.4 %</w:t>
      </w:r>
      <w:r>
        <w:rPr>
          <w:rFonts w:eastAsia="Calibri"/>
          <w:noProof/>
          <w:color w:val="4C4747"/>
          <w:lang w:val="es-ES"/>
        </w:rPr>
        <w:t>.</w:t>
      </w:r>
    </w:p>
    <w:tbl>
      <w:tblPr>
        <w:tblW w:w="78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2562"/>
        <w:gridCol w:w="1583"/>
        <w:gridCol w:w="1227"/>
        <w:gridCol w:w="1294"/>
      </w:tblGrid>
      <w:tr w:rsidR="009420B7" w:rsidRPr="00A70DE5" w14:paraId="49197021" w14:textId="77777777" w:rsidTr="00A5394C">
        <w:trPr>
          <w:trHeight w:val="658"/>
          <w:jc w:val="center"/>
        </w:trPr>
        <w:tc>
          <w:tcPr>
            <w:tcW w:w="1227" w:type="dxa"/>
            <w:shd w:val="clear" w:color="auto" w:fill="001F5F"/>
          </w:tcPr>
          <w:p w14:paraId="73446F1C" w14:textId="77777777" w:rsidR="009420B7" w:rsidRPr="00A70DE5" w:rsidRDefault="009420B7" w:rsidP="009420B7">
            <w:pPr>
              <w:spacing w:after="0" w:line="360" w:lineRule="auto"/>
              <w:ind w:left="-134"/>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CODIGO</w:t>
            </w:r>
          </w:p>
        </w:tc>
        <w:tc>
          <w:tcPr>
            <w:tcW w:w="2562" w:type="dxa"/>
            <w:shd w:val="clear" w:color="auto" w:fill="001F5F"/>
          </w:tcPr>
          <w:p w14:paraId="23678873"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INDICADOR</w:t>
            </w:r>
          </w:p>
        </w:tc>
        <w:tc>
          <w:tcPr>
            <w:tcW w:w="1583" w:type="dxa"/>
            <w:shd w:val="clear" w:color="auto" w:fill="001F5F"/>
          </w:tcPr>
          <w:p w14:paraId="55EA603E"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 DE</w:t>
            </w:r>
          </w:p>
          <w:p w14:paraId="1B7B1AC5"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CUMPLIMIENTO</w:t>
            </w:r>
          </w:p>
        </w:tc>
        <w:tc>
          <w:tcPr>
            <w:tcW w:w="1227" w:type="dxa"/>
            <w:shd w:val="clear" w:color="auto" w:fill="001F5F"/>
          </w:tcPr>
          <w:p w14:paraId="5CBEAECA"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PESO DEL</w:t>
            </w:r>
          </w:p>
          <w:p w14:paraId="1A445034"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INDICADOR</w:t>
            </w:r>
          </w:p>
        </w:tc>
        <w:tc>
          <w:tcPr>
            <w:tcW w:w="1294" w:type="dxa"/>
            <w:shd w:val="clear" w:color="auto" w:fill="001F5F"/>
          </w:tcPr>
          <w:p w14:paraId="49C5A60B"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VALOR</w:t>
            </w:r>
          </w:p>
          <w:p w14:paraId="3E7FD4F4"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OBTENIDO</w:t>
            </w:r>
          </w:p>
        </w:tc>
      </w:tr>
      <w:tr w:rsidR="009420B7" w:rsidRPr="00A70DE5" w14:paraId="7A0E95DB" w14:textId="77777777" w:rsidTr="00A5394C">
        <w:trPr>
          <w:trHeight w:val="365"/>
          <w:jc w:val="center"/>
        </w:trPr>
        <w:tc>
          <w:tcPr>
            <w:tcW w:w="1227" w:type="dxa"/>
          </w:tcPr>
          <w:p w14:paraId="6FEF738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1. 1</w:t>
            </w:r>
          </w:p>
        </w:tc>
        <w:tc>
          <w:tcPr>
            <w:tcW w:w="2562" w:type="dxa"/>
          </w:tcPr>
          <w:p w14:paraId="502F340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Autoevaluación CAF</w:t>
            </w:r>
          </w:p>
        </w:tc>
        <w:tc>
          <w:tcPr>
            <w:tcW w:w="1583" w:type="dxa"/>
          </w:tcPr>
          <w:p w14:paraId="3DEC608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3040601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9. 43</w:t>
            </w:r>
          </w:p>
        </w:tc>
        <w:tc>
          <w:tcPr>
            <w:tcW w:w="1294" w:type="dxa"/>
          </w:tcPr>
          <w:p w14:paraId="30B3BAB6"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9. 43</w:t>
            </w:r>
          </w:p>
        </w:tc>
      </w:tr>
      <w:tr w:rsidR="009420B7" w:rsidRPr="00A70DE5" w14:paraId="71FF563E" w14:textId="77777777" w:rsidTr="00A5394C">
        <w:trPr>
          <w:trHeight w:val="729"/>
          <w:jc w:val="center"/>
        </w:trPr>
        <w:tc>
          <w:tcPr>
            <w:tcW w:w="1227" w:type="dxa"/>
          </w:tcPr>
          <w:p w14:paraId="1C97E62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1. 2</w:t>
            </w:r>
          </w:p>
        </w:tc>
        <w:tc>
          <w:tcPr>
            <w:tcW w:w="2562" w:type="dxa"/>
          </w:tcPr>
          <w:p w14:paraId="0A660A5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Plan de Mejora Modelo</w:t>
            </w:r>
          </w:p>
          <w:p w14:paraId="07A6813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CAF</w:t>
            </w:r>
          </w:p>
        </w:tc>
        <w:tc>
          <w:tcPr>
            <w:tcW w:w="1583" w:type="dxa"/>
          </w:tcPr>
          <w:p w14:paraId="19B8193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50</w:t>
            </w:r>
          </w:p>
        </w:tc>
        <w:tc>
          <w:tcPr>
            <w:tcW w:w="1227" w:type="dxa"/>
          </w:tcPr>
          <w:p w14:paraId="46ACEF1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7.43</w:t>
            </w:r>
          </w:p>
        </w:tc>
        <w:tc>
          <w:tcPr>
            <w:tcW w:w="1294" w:type="dxa"/>
          </w:tcPr>
          <w:p w14:paraId="735DD69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3.72</w:t>
            </w:r>
          </w:p>
        </w:tc>
      </w:tr>
      <w:tr w:rsidR="009420B7" w:rsidRPr="00A70DE5" w14:paraId="3521EEBE" w14:textId="77777777" w:rsidTr="00A5394C">
        <w:trPr>
          <w:trHeight w:val="731"/>
          <w:jc w:val="center"/>
        </w:trPr>
        <w:tc>
          <w:tcPr>
            <w:tcW w:w="1227" w:type="dxa"/>
          </w:tcPr>
          <w:p w14:paraId="6B9C899F"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1. 3</w:t>
            </w:r>
          </w:p>
        </w:tc>
        <w:tc>
          <w:tcPr>
            <w:tcW w:w="2562" w:type="dxa"/>
          </w:tcPr>
          <w:p w14:paraId="6F5897C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Estandarización de</w:t>
            </w:r>
          </w:p>
          <w:p w14:paraId="34C30F8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Procesos</w:t>
            </w:r>
          </w:p>
        </w:tc>
        <w:tc>
          <w:tcPr>
            <w:tcW w:w="1583" w:type="dxa"/>
          </w:tcPr>
          <w:p w14:paraId="3A38438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50</w:t>
            </w:r>
          </w:p>
        </w:tc>
        <w:tc>
          <w:tcPr>
            <w:tcW w:w="1227" w:type="dxa"/>
          </w:tcPr>
          <w:p w14:paraId="1B8276F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4.43</w:t>
            </w:r>
          </w:p>
        </w:tc>
        <w:tc>
          <w:tcPr>
            <w:tcW w:w="1294" w:type="dxa"/>
          </w:tcPr>
          <w:p w14:paraId="7719D58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2.22</w:t>
            </w:r>
          </w:p>
        </w:tc>
      </w:tr>
      <w:tr w:rsidR="009420B7" w:rsidRPr="00A70DE5" w14:paraId="58E6EEC0" w14:textId="77777777" w:rsidTr="00A5394C">
        <w:trPr>
          <w:trHeight w:val="365"/>
          <w:jc w:val="center"/>
        </w:trPr>
        <w:tc>
          <w:tcPr>
            <w:tcW w:w="1227" w:type="dxa"/>
          </w:tcPr>
          <w:p w14:paraId="71D0C02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1. 4</w:t>
            </w:r>
          </w:p>
        </w:tc>
        <w:tc>
          <w:tcPr>
            <w:tcW w:w="2562" w:type="dxa"/>
          </w:tcPr>
          <w:p w14:paraId="706926F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Carta Compro miso</w:t>
            </w:r>
          </w:p>
        </w:tc>
        <w:tc>
          <w:tcPr>
            <w:tcW w:w="1583" w:type="dxa"/>
          </w:tcPr>
          <w:p w14:paraId="0D08703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99</w:t>
            </w:r>
          </w:p>
        </w:tc>
        <w:tc>
          <w:tcPr>
            <w:tcW w:w="1227" w:type="dxa"/>
          </w:tcPr>
          <w:p w14:paraId="17C6383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7.43</w:t>
            </w:r>
          </w:p>
        </w:tc>
        <w:tc>
          <w:tcPr>
            <w:tcW w:w="1294" w:type="dxa"/>
          </w:tcPr>
          <w:p w14:paraId="2A6752F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7.36</w:t>
            </w:r>
          </w:p>
        </w:tc>
      </w:tr>
      <w:tr w:rsidR="009420B7" w:rsidRPr="00A70DE5" w14:paraId="322698CB" w14:textId="77777777" w:rsidTr="00A5394C">
        <w:trPr>
          <w:trHeight w:val="1095"/>
          <w:jc w:val="center"/>
        </w:trPr>
        <w:tc>
          <w:tcPr>
            <w:tcW w:w="1227" w:type="dxa"/>
          </w:tcPr>
          <w:p w14:paraId="2E6222DA" w14:textId="77777777" w:rsidR="009420B7" w:rsidRPr="00A70DE5" w:rsidRDefault="009420B7" w:rsidP="009420B7">
            <w:pPr>
              <w:spacing w:after="0" w:line="360" w:lineRule="auto"/>
              <w:jc w:val="both"/>
              <w:rPr>
                <w:rFonts w:eastAsia="Calibri"/>
                <w:noProof/>
                <w:color w:val="4C4747"/>
                <w:sz w:val="16"/>
                <w:szCs w:val="16"/>
                <w:lang w:val="es-ES"/>
              </w:rPr>
            </w:pPr>
          </w:p>
          <w:p w14:paraId="05DFDCA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1. 5</w:t>
            </w:r>
          </w:p>
        </w:tc>
        <w:tc>
          <w:tcPr>
            <w:tcW w:w="2562" w:type="dxa"/>
          </w:tcPr>
          <w:p w14:paraId="7820321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Transparencia en las</w:t>
            </w:r>
          </w:p>
          <w:p w14:paraId="062E137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Informaciones de Servicios y funcionarios</w:t>
            </w:r>
          </w:p>
        </w:tc>
        <w:tc>
          <w:tcPr>
            <w:tcW w:w="1583" w:type="dxa"/>
          </w:tcPr>
          <w:p w14:paraId="30AC985D" w14:textId="77777777" w:rsidR="009420B7" w:rsidRPr="00A70DE5" w:rsidRDefault="009420B7" w:rsidP="009420B7">
            <w:pPr>
              <w:spacing w:after="0" w:line="360" w:lineRule="auto"/>
              <w:jc w:val="both"/>
              <w:rPr>
                <w:rFonts w:eastAsia="Calibri"/>
                <w:noProof/>
                <w:color w:val="4C4747"/>
                <w:sz w:val="16"/>
                <w:szCs w:val="16"/>
                <w:lang w:val="es-ES"/>
              </w:rPr>
            </w:pPr>
          </w:p>
          <w:p w14:paraId="685DF81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78041938" w14:textId="77777777" w:rsidR="009420B7" w:rsidRPr="00A70DE5" w:rsidRDefault="009420B7" w:rsidP="009420B7">
            <w:pPr>
              <w:spacing w:after="0" w:line="360" w:lineRule="auto"/>
              <w:jc w:val="both"/>
              <w:rPr>
                <w:rFonts w:eastAsia="Calibri"/>
                <w:noProof/>
                <w:color w:val="4C4747"/>
                <w:sz w:val="16"/>
                <w:szCs w:val="16"/>
                <w:lang w:val="es-ES"/>
              </w:rPr>
            </w:pPr>
          </w:p>
          <w:p w14:paraId="50486B6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054C7A21" w14:textId="77777777" w:rsidR="009420B7" w:rsidRPr="00A70DE5" w:rsidRDefault="009420B7" w:rsidP="009420B7">
            <w:pPr>
              <w:spacing w:after="0" w:line="360" w:lineRule="auto"/>
              <w:jc w:val="both"/>
              <w:rPr>
                <w:rFonts w:eastAsia="Calibri"/>
                <w:noProof/>
                <w:color w:val="4C4747"/>
                <w:sz w:val="16"/>
                <w:szCs w:val="16"/>
                <w:lang w:val="es-ES"/>
              </w:rPr>
            </w:pPr>
          </w:p>
          <w:p w14:paraId="61F5EA3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r>
      <w:tr w:rsidR="009420B7" w:rsidRPr="00A70DE5" w14:paraId="2BABEC0D" w14:textId="77777777" w:rsidTr="00A5394C">
        <w:trPr>
          <w:trHeight w:val="731"/>
          <w:jc w:val="center"/>
        </w:trPr>
        <w:tc>
          <w:tcPr>
            <w:tcW w:w="1227" w:type="dxa"/>
          </w:tcPr>
          <w:p w14:paraId="0DC07DA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1. 6</w:t>
            </w:r>
          </w:p>
        </w:tc>
        <w:tc>
          <w:tcPr>
            <w:tcW w:w="2562" w:type="dxa"/>
          </w:tcPr>
          <w:p w14:paraId="2CA1950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Monitoreo de la Calidad de</w:t>
            </w:r>
          </w:p>
          <w:p w14:paraId="4DDF4F8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los Servicios</w:t>
            </w:r>
          </w:p>
        </w:tc>
        <w:tc>
          <w:tcPr>
            <w:tcW w:w="1583" w:type="dxa"/>
          </w:tcPr>
          <w:p w14:paraId="0AFB2FB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6163078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2F24A3C8"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r>
      <w:tr w:rsidR="009420B7" w:rsidRPr="00A70DE5" w14:paraId="616AAF0B" w14:textId="77777777" w:rsidTr="00A5394C">
        <w:trPr>
          <w:trHeight w:val="729"/>
          <w:jc w:val="center"/>
        </w:trPr>
        <w:tc>
          <w:tcPr>
            <w:tcW w:w="1227" w:type="dxa"/>
          </w:tcPr>
          <w:p w14:paraId="7D8B71A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1. 7</w:t>
            </w:r>
          </w:p>
        </w:tc>
        <w:tc>
          <w:tcPr>
            <w:tcW w:w="2562" w:type="dxa"/>
          </w:tcPr>
          <w:p w14:paraId="6993358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Índice de Satisfacción</w:t>
            </w:r>
          </w:p>
          <w:p w14:paraId="4F7A836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Ciudadana</w:t>
            </w:r>
          </w:p>
        </w:tc>
        <w:tc>
          <w:tcPr>
            <w:tcW w:w="1583" w:type="dxa"/>
          </w:tcPr>
          <w:p w14:paraId="2A0F885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93 </w:t>
            </w:r>
          </w:p>
        </w:tc>
        <w:tc>
          <w:tcPr>
            <w:tcW w:w="1227" w:type="dxa"/>
          </w:tcPr>
          <w:p w14:paraId="30EF4D5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677728F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3.19</w:t>
            </w:r>
          </w:p>
        </w:tc>
      </w:tr>
      <w:tr w:rsidR="009420B7" w:rsidRPr="00A70DE5" w14:paraId="0626F467" w14:textId="77777777" w:rsidTr="00A5394C">
        <w:trPr>
          <w:trHeight w:val="1098"/>
          <w:jc w:val="center"/>
        </w:trPr>
        <w:tc>
          <w:tcPr>
            <w:tcW w:w="1227" w:type="dxa"/>
          </w:tcPr>
          <w:p w14:paraId="54CA1EBF" w14:textId="77777777" w:rsidR="009420B7" w:rsidRPr="00A70DE5" w:rsidRDefault="009420B7" w:rsidP="009420B7">
            <w:pPr>
              <w:spacing w:after="0" w:line="360" w:lineRule="auto"/>
              <w:jc w:val="both"/>
              <w:rPr>
                <w:rFonts w:eastAsia="Calibri"/>
                <w:noProof/>
                <w:color w:val="4C4747"/>
                <w:sz w:val="16"/>
                <w:szCs w:val="16"/>
                <w:lang w:val="es-ES"/>
              </w:rPr>
            </w:pPr>
          </w:p>
          <w:p w14:paraId="690A78D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2. 1</w:t>
            </w:r>
          </w:p>
        </w:tc>
        <w:tc>
          <w:tcPr>
            <w:tcW w:w="2562" w:type="dxa"/>
          </w:tcPr>
          <w:p w14:paraId="51CB198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Nivel de Administración del Sistema de Carrera</w:t>
            </w:r>
          </w:p>
          <w:p w14:paraId="779E9A0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Administrativa.</w:t>
            </w:r>
          </w:p>
        </w:tc>
        <w:tc>
          <w:tcPr>
            <w:tcW w:w="1583" w:type="dxa"/>
          </w:tcPr>
          <w:p w14:paraId="1A878D15" w14:textId="77777777" w:rsidR="009420B7" w:rsidRPr="00A70DE5" w:rsidRDefault="009420B7" w:rsidP="009420B7">
            <w:pPr>
              <w:spacing w:after="0" w:line="360" w:lineRule="auto"/>
              <w:jc w:val="both"/>
              <w:rPr>
                <w:rFonts w:eastAsia="Calibri"/>
                <w:noProof/>
                <w:color w:val="4C4747"/>
                <w:sz w:val="16"/>
                <w:szCs w:val="16"/>
                <w:lang w:val="es-ES"/>
              </w:rPr>
            </w:pPr>
          </w:p>
          <w:p w14:paraId="5D3C1B6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80 </w:t>
            </w:r>
          </w:p>
        </w:tc>
        <w:tc>
          <w:tcPr>
            <w:tcW w:w="1227" w:type="dxa"/>
          </w:tcPr>
          <w:p w14:paraId="65F3D771" w14:textId="77777777" w:rsidR="009420B7" w:rsidRPr="00A70DE5" w:rsidRDefault="009420B7" w:rsidP="009420B7">
            <w:pPr>
              <w:spacing w:after="0" w:line="360" w:lineRule="auto"/>
              <w:jc w:val="both"/>
              <w:rPr>
                <w:rFonts w:eastAsia="Calibri"/>
                <w:noProof/>
                <w:color w:val="4C4747"/>
                <w:sz w:val="16"/>
                <w:szCs w:val="16"/>
                <w:lang w:val="es-ES"/>
              </w:rPr>
            </w:pPr>
          </w:p>
          <w:p w14:paraId="569CFD8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5FB68745" w14:textId="77777777" w:rsidR="009420B7" w:rsidRPr="00A70DE5" w:rsidRDefault="009420B7" w:rsidP="009420B7">
            <w:pPr>
              <w:spacing w:after="0" w:line="360" w:lineRule="auto"/>
              <w:jc w:val="both"/>
              <w:rPr>
                <w:rFonts w:eastAsia="Calibri"/>
                <w:noProof/>
                <w:color w:val="4C4747"/>
                <w:sz w:val="16"/>
                <w:szCs w:val="16"/>
                <w:lang w:val="es-ES"/>
              </w:rPr>
            </w:pPr>
          </w:p>
          <w:p w14:paraId="7870457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2.75</w:t>
            </w:r>
          </w:p>
        </w:tc>
      </w:tr>
      <w:tr w:rsidR="009420B7" w:rsidRPr="00A70DE5" w14:paraId="1244AB69" w14:textId="77777777" w:rsidTr="00A5394C">
        <w:trPr>
          <w:trHeight w:val="365"/>
          <w:jc w:val="center"/>
        </w:trPr>
        <w:tc>
          <w:tcPr>
            <w:tcW w:w="1227" w:type="dxa"/>
          </w:tcPr>
          <w:p w14:paraId="1F7AD030"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3. 1</w:t>
            </w:r>
          </w:p>
        </w:tc>
        <w:tc>
          <w:tcPr>
            <w:tcW w:w="2562" w:type="dxa"/>
          </w:tcPr>
          <w:p w14:paraId="459180D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Planificación de RR. HH.</w:t>
            </w:r>
          </w:p>
        </w:tc>
        <w:tc>
          <w:tcPr>
            <w:tcW w:w="1583" w:type="dxa"/>
          </w:tcPr>
          <w:p w14:paraId="7A08121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100</w:t>
            </w:r>
          </w:p>
        </w:tc>
        <w:tc>
          <w:tcPr>
            <w:tcW w:w="1227" w:type="dxa"/>
          </w:tcPr>
          <w:p w14:paraId="22ABDF38"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369F246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r>
      <w:tr w:rsidR="009420B7" w:rsidRPr="00A70DE5" w14:paraId="7BF8DBF4" w14:textId="77777777" w:rsidTr="00A5394C">
        <w:trPr>
          <w:trHeight w:val="658"/>
          <w:jc w:val="center"/>
        </w:trPr>
        <w:tc>
          <w:tcPr>
            <w:tcW w:w="1227" w:type="dxa"/>
            <w:shd w:val="clear" w:color="auto" w:fill="001F5F"/>
          </w:tcPr>
          <w:p w14:paraId="6F7097C2"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CODIGO</w:t>
            </w:r>
          </w:p>
        </w:tc>
        <w:tc>
          <w:tcPr>
            <w:tcW w:w="2562" w:type="dxa"/>
            <w:shd w:val="clear" w:color="auto" w:fill="001F5F"/>
          </w:tcPr>
          <w:p w14:paraId="4D7AEBA8"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INDICADOR</w:t>
            </w:r>
          </w:p>
        </w:tc>
        <w:tc>
          <w:tcPr>
            <w:tcW w:w="1583" w:type="dxa"/>
            <w:shd w:val="clear" w:color="auto" w:fill="001F5F"/>
          </w:tcPr>
          <w:p w14:paraId="7FAF615F"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 DE</w:t>
            </w:r>
          </w:p>
          <w:p w14:paraId="06377572"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CUMPLIMIENTO</w:t>
            </w:r>
          </w:p>
        </w:tc>
        <w:tc>
          <w:tcPr>
            <w:tcW w:w="1227" w:type="dxa"/>
            <w:shd w:val="clear" w:color="auto" w:fill="001F5F"/>
          </w:tcPr>
          <w:p w14:paraId="18A15AAD"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PESO DEL</w:t>
            </w:r>
          </w:p>
          <w:p w14:paraId="01206489"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INDICADOR</w:t>
            </w:r>
          </w:p>
        </w:tc>
        <w:tc>
          <w:tcPr>
            <w:tcW w:w="1294" w:type="dxa"/>
            <w:shd w:val="clear" w:color="auto" w:fill="001F5F"/>
          </w:tcPr>
          <w:p w14:paraId="52BD8C66"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VALOR</w:t>
            </w:r>
          </w:p>
          <w:p w14:paraId="4CBFFA79" w14:textId="77777777" w:rsidR="009420B7" w:rsidRPr="00A70DE5" w:rsidRDefault="009420B7" w:rsidP="009420B7">
            <w:pPr>
              <w:spacing w:after="0" w:line="360" w:lineRule="auto"/>
              <w:jc w:val="both"/>
              <w:rPr>
                <w:rFonts w:eastAsia="Calibri"/>
                <w:b/>
                <w:noProof/>
                <w:color w:val="FFFFFF" w:themeColor="background1"/>
                <w:sz w:val="16"/>
                <w:szCs w:val="16"/>
                <w:lang w:val="es-ES"/>
              </w:rPr>
            </w:pPr>
            <w:r w:rsidRPr="00A70DE5">
              <w:rPr>
                <w:rFonts w:eastAsia="Calibri"/>
                <w:b/>
                <w:noProof/>
                <w:color w:val="FFFFFF" w:themeColor="background1"/>
                <w:sz w:val="16"/>
                <w:szCs w:val="16"/>
                <w:lang w:val="es-ES"/>
              </w:rPr>
              <w:t>OBTENIDO</w:t>
            </w:r>
          </w:p>
        </w:tc>
      </w:tr>
      <w:tr w:rsidR="009420B7" w:rsidRPr="00A70DE5" w14:paraId="4E4395BA" w14:textId="77777777" w:rsidTr="00A5394C">
        <w:trPr>
          <w:trHeight w:val="365"/>
          <w:jc w:val="center"/>
        </w:trPr>
        <w:tc>
          <w:tcPr>
            <w:tcW w:w="1227" w:type="dxa"/>
          </w:tcPr>
          <w:p w14:paraId="151B245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4. 1</w:t>
            </w:r>
          </w:p>
        </w:tc>
        <w:tc>
          <w:tcPr>
            <w:tcW w:w="2562" w:type="dxa"/>
          </w:tcPr>
          <w:p w14:paraId="4D4DEB7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Estructura Organizativa</w:t>
            </w:r>
          </w:p>
        </w:tc>
        <w:tc>
          <w:tcPr>
            <w:tcW w:w="1583" w:type="dxa"/>
          </w:tcPr>
          <w:p w14:paraId="414EB6C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70 </w:t>
            </w:r>
          </w:p>
        </w:tc>
        <w:tc>
          <w:tcPr>
            <w:tcW w:w="1227" w:type="dxa"/>
          </w:tcPr>
          <w:p w14:paraId="03C6D0E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4. 43</w:t>
            </w:r>
          </w:p>
        </w:tc>
        <w:tc>
          <w:tcPr>
            <w:tcW w:w="1294" w:type="dxa"/>
          </w:tcPr>
          <w:p w14:paraId="7D48006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3.1</w:t>
            </w:r>
          </w:p>
        </w:tc>
      </w:tr>
      <w:tr w:rsidR="009420B7" w:rsidRPr="00A70DE5" w14:paraId="7F86BA29" w14:textId="77777777" w:rsidTr="00A5394C">
        <w:trPr>
          <w:trHeight w:val="729"/>
          <w:jc w:val="center"/>
        </w:trPr>
        <w:tc>
          <w:tcPr>
            <w:tcW w:w="1227" w:type="dxa"/>
          </w:tcPr>
          <w:p w14:paraId="11D3F09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4. 2</w:t>
            </w:r>
          </w:p>
        </w:tc>
        <w:tc>
          <w:tcPr>
            <w:tcW w:w="2562" w:type="dxa"/>
          </w:tcPr>
          <w:p w14:paraId="0AC1998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Manual de Organización y</w:t>
            </w:r>
          </w:p>
          <w:p w14:paraId="402BFDF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Funciones</w:t>
            </w:r>
          </w:p>
        </w:tc>
        <w:tc>
          <w:tcPr>
            <w:tcW w:w="1583" w:type="dxa"/>
          </w:tcPr>
          <w:p w14:paraId="72BA43A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6EC2E2A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4. 43</w:t>
            </w:r>
          </w:p>
        </w:tc>
        <w:tc>
          <w:tcPr>
            <w:tcW w:w="1294" w:type="dxa"/>
          </w:tcPr>
          <w:p w14:paraId="457DA098"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4. 43</w:t>
            </w:r>
          </w:p>
        </w:tc>
      </w:tr>
      <w:tr w:rsidR="009420B7" w:rsidRPr="00A70DE5" w14:paraId="71DCE85B" w14:textId="77777777" w:rsidTr="00A5394C">
        <w:trPr>
          <w:trHeight w:val="731"/>
          <w:jc w:val="center"/>
        </w:trPr>
        <w:tc>
          <w:tcPr>
            <w:tcW w:w="1227" w:type="dxa"/>
          </w:tcPr>
          <w:p w14:paraId="6EA0BA0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4. 3</w:t>
            </w:r>
          </w:p>
        </w:tc>
        <w:tc>
          <w:tcPr>
            <w:tcW w:w="2562" w:type="dxa"/>
          </w:tcPr>
          <w:p w14:paraId="270D26D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Manual de Cargos</w:t>
            </w:r>
          </w:p>
          <w:p w14:paraId="3E98A60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Elaborado</w:t>
            </w:r>
          </w:p>
        </w:tc>
        <w:tc>
          <w:tcPr>
            <w:tcW w:w="1583" w:type="dxa"/>
          </w:tcPr>
          <w:p w14:paraId="012742A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30</w:t>
            </w:r>
          </w:p>
        </w:tc>
        <w:tc>
          <w:tcPr>
            <w:tcW w:w="1227" w:type="dxa"/>
          </w:tcPr>
          <w:p w14:paraId="5A34B2C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4.43</w:t>
            </w:r>
          </w:p>
        </w:tc>
        <w:tc>
          <w:tcPr>
            <w:tcW w:w="1294" w:type="dxa"/>
          </w:tcPr>
          <w:p w14:paraId="32BC037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1.33</w:t>
            </w:r>
          </w:p>
        </w:tc>
      </w:tr>
      <w:tr w:rsidR="009420B7" w:rsidRPr="00A70DE5" w14:paraId="7918A21D" w14:textId="77777777" w:rsidTr="00A5394C">
        <w:trPr>
          <w:trHeight w:val="365"/>
          <w:jc w:val="center"/>
        </w:trPr>
        <w:tc>
          <w:tcPr>
            <w:tcW w:w="1227" w:type="dxa"/>
          </w:tcPr>
          <w:p w14:paraId="42CAD0E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5. 1</w:t>
            </w:r>
          </w:p>
        </w:tc>
        <w:tc>
          <w:tcPr>
            <w:tcW w:w="2562" w:type="dxa"/>
          </w:tcPr>
          <w:p w14:paraId="79BC689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Concursos Públicos</w:t>
            </w:r>
          </w:p>
        </w:tc>
        <w:tc>
          <w:tcPr>
            <w:tcW w:w="1583" w:type="dxa"/>
          </w:tcPr>
          <w:p w14:paraId="4C0601D6"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0</w:t>
            </w:r>
          </w:p>
        </w:tc>
        <w:tc>
          <w:tcPr>
            <w:tcW w:w="1227" w:type="dxa"/>
          </w:tcPr>
          <w:p w14:paraId="1D814E9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4. 43</w:t>
            </w:r>
          </w:p>
        </w:tc>
        <w:tc>
          <w:tcPr>
            <w:tcW w:w="1294" w:type="dxa"/>
          </w:tcPr>
          <w:p w14:paraId="04B0437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0. 00</w:t>
            </w:r>
          </w:p>
        </w:tc>
      </w:tr>
      <w:tr w:rsidR="009420B7" w:rsidRPr="00A70DE5" w14:paraId="4455D3F8" w14:textId="77777777" w:rsidTr="00A5394C">
        <w:trPr>
          <w:trHeight w:val="1096"/>
          <w:jc w:val="center"/>
        </w:trPr>
        <w:tc>
          <w:tcPr>
            <w:tcW w:w="1227" w:type="dxa"/>
          </w:tcPr>
          <w:p w14:paraId="41101EBB" w14:textId="77777777" w:rsidR="009420B7" w:rsidRPr="00A70DE5" w:rsidRDefault="009420B7" w:rsidP="009420B7">
            <w:pPr>
              <w:spacing w:after="0" w:line="360" w:lineRule="auto"/>
              <w:jc w:val="both"/>
              <w:rPr>
                <w:rFonts w:eastAsia="Calibri"/>
                <w:noProof/>
                <w:color w:val="4C4747"/>
                <w:sz w:val="16"/>
                <w:szCs w:val="16"/>
                <w:lang w:val="es-ES"/>
              </w:rPr>
            </w:pPr>
          </w:p>
          <w:p w14:paraId="2277D0D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5. 2</w:t>
            </w:r>
          </w:p>
        </w:tc>
        <w:tc>
          <w:tcPr>
            <w:tcW w:w="2562" w:type="dxa"/>
          </w:tcPr>
          <w:p w14:paraId="69947B76"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Sistema de Ad ministración de Servidores Públicos</w:t>
            </w:r>
          </w:p>
          <w:p w14:paraId="00513B28"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(SASP)</w:t>
            </w:r>
          </w:p>
        </w:tc>
        <w:tc>
          <w:tcPr>
            <w:tcW w:w="1583" w:type="dxa"/>
          </w:tcPr>
          <w:p w14:paraId="4757267A" w14:textId="77777777" w:rsidR="009420B7" w:rsidRPr="00A70DE5" w:rsidRDefault="009420B7" w:rsidP="009420B7">
            <w:pPr>
              <w:spacing w:after="0" w:line="360" w:lineRule="auto"/>
              <w:jc w:val="both"/>
              <w:rPr>
                <w:rFonts w:eastAsia="Calibri"/>
                <w:noProof/>
                <w:color w:val="4C4747"/>
                <w:sz w:val="16"/>
                <w:szCs w:val="16"/>
                <w:lang w:val="es-ES"/>
              </w:rPr>
            </w:pPr>
          </w:p>
          <w:p w14:paraId="756BF1F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492E31D9" w14:textId="77777777" w:rsidR="009420B7" w:rsidRPr="00A70DE5" w:rsidRDefault="009420B7" w:rsidP="009420B7">
            <w:pPr>
              <w:spacing w:after="0" w:line="360" w:lineRule="auto"/>
              <w:jc w:val="both"/>
              <w:rPr>
                <w:rFonts w:eastAsia="Calibri"/>
                <w:noProof/>
                <w:color w:val="4C4747"/>
                <w:sz w:val="16"/>
                <w:szCs w:val="16"/>
                <w:lang w:val="es-ES"/>
              </w:rPr>
            </w:pPr>
          </w:p>
          <w:p w14:paraId="0C3B36C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56B0A404" w14:textId="77777777" w:rsidR="009420B7" w:rsidRPr="00A70DE5" w:rsidRDefault="009420B7" w:rsidP="009420B7">
            <w:pPr>
              <w:spacing w:after="0" w:line="360" w:lineRule="auto"/>
              <w:jc w:val="both"/>
              <w:rPr>
                <w:rFonts w:eastAsia="Calibri"/>
                <w:noProof/>
                <w:color w:val="4C4747"/>
                <w:sz w:val="16"/>
                <w:szCs w:val="16"/>
                <w:lang w:val="es-ES"/>
              </w:rPr>
            </w:pPr>
          </w:p>
          <w:p w14:paraId="51910AB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r>
      <w:tr w:rsidR="009420B7" w:rsidRPr="00A70DE5" w14:paraId="172BED4C" w14:textId="77777777" w:rsidTr="00A5394C">
        <w:trPr>
          <w:trHeight w:val="731"/>
          <w:jc w:val="center"/>
        </w:trPr>
        <w:tc>
          <w:tcPr>
            <w:tcW w:w="1227" w:type="dxa"/>
          </w:tcPr>
          <w:p w14:paraId="2BB1ACB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7. 1</w:t>
            </w:r>
          </w:p>
        </w:tc>
        <w:tc>
          <w:tcPr>
            <w:tcW w:w="2562" w:type="dxa"/>
          </w:tcPr>
          <w:p w14:paraId="5A3C6164"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Gestión de Acuerdos de</w:t>
            </w:r>
          </w:p>
          <w:p w14:paraId="597122E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Desempeño</w:t>
            </w:r>
          </w:p>
        </w:tc>
        <w:tc>
          <w:tcPr>
            <w:tcW w:w="1583" w:type="dxa"/>
          </w:tcPr>
          <w:p w14:paraId="6454CF2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84 </w:t>
            </w:r>
          </w:p>
        </w:tc>
        <w:tc>
          <w:tcPr>
            <w:tcW w:w="1227" w:type="dxa"/>
          </w:tcPr>
          <w:p w14:paraId="249B35AD"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4.43</w:t>
            </w:r>
          </w:p>
        </w:tc>
        <w:tc>
          <w:tcPr>
            <w:tcW w:w="1294" w:type="dxa"/>
          </w:tcPr>
          <w:p w14:paraId="7166FE0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3.73</w:t>
            </w:r>
          </w:p>
        </w:tc>
      </w:tr>
      <w:tr w:rsidR="009420B7" w:rsidRPr="00A70DE5" w14:paraId="57D5FA1E" w14:textId="77777777" w:rsidTr="00A5394C">
        <w:trPr>
          <w:trHeight w:val="927"/>
          <w:jc w:val="center"/>
        </w:trPr>
        <w:tc>
          <w:tcPr>
            <w:tcW w:w="1227" w:type="dxa"/>
          </w:tcPr>
          <w:p w14:paraId="0B3B2A3F" w14:textId="77777777" w:rsidR="009420B7" w:rsidRPr="00A70DE5" w:rsidRDefault="009420B7" w:rsidP="009420B7">
            <w:pPr>
              <w:spacing w:after="0" w:line="360" w:lineRule="auto"/>
              <w:jc w:val="both"/>
              <w:rPr>
                <w:rFonts w:eastAsia="Calibri"/>
                <w:noProof/>
                <w:color w:val="4C4747"/>
                <w:sz w:val="16"/>
                <w:szCs w:val="16"/>
                <w:lang w:val="es-ES"/>
              </w:rPr>
            </w:pPr>
          </w:p>
          <w:p w14:paraId="77D057C0"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7. 2</w:t>
            </w:r>
          </w:p>
        </w:tc>
        <w:tc>
          <w:tcPr>
            <w:tcW w:w="2562" w:type="dxa"/>
          </w:tcPr>
          <w:p w14:paraId="0EC348A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Evaluación del Desempeño por Resultados y</w:t>
            </w:r>
          </w:p>
          <w:p w14:paraId="74C7EC49"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Competencias</w:t>
            </w:r>
          </w:p>
        </w:tc>
        <w:tc>
          <w:tcPr>
            <w:tcW w:w="1583" w:type="dxa"/>
          </w:tcPr>
          <w:p w14:paraId="34C0ABC0" w14:textId="77777777" w:rsidR="009420B7" w:rsidRPr="00A70DE5" w:rsidRDefault="009420B7" w:rsidP="009420B7">
            <w:pPr>
              <w:spacing w:after="0" w:line="360" w:lineRule="auto"/>
              <w:jc w:val="both"/>
              <w:rPr>
                <w:rFonts w:eastAsia="Calibri"/>
                <w:noProof/>
                <w:color w:val="4C4747"/>
                <w:sz w:val="16"/>
                <w:szCs w:val="16"/>
                <w:lang w:val="es-ES"/>
              </w:rPr>
            </w:pPr>
          </w:p>
          <w:p w14:paraId="5E89A8B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80 </w:t>
            </w:r>
          </w:p>
        </w:tc>
        <w:tc>
          <w:tcPr>
            <w:tcW w:w="1227" w:type="dxa"/>
          </w:tcPr>
          <w:p w14:paraId="621A1E4A" w14:textId="77777777" w:rsidR="009420B7" w:rsidRPr="00A70DE5" w:rsidRDefault="009420B7" w:rsidP="009420B7">
            <w:pPr>
              <w:spacing w:after="0" w:line="360" w:lineRule="auto"/>
              <w:jc w:val="both"/>
              <w:rPr>
                <w:rFonts w:eastAsia="Calibri"/>
                <w:noProof/>
                <w:color w:val="4C4747"/>
                <w:sz w:val="16"/>
                <w:szCs w:val="16"/>
                <w:lang w:val="es-ES"/>
              </w:rPr>
            </w:pPr>
          </w:p>
          <w:p w14:paraId="1F08E45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4.43</w:t>
            </w:r>
          </w:p>
        </w:tc>
        <w:tc>
          <w:tcPr>
            <w:tcW w:w="1294" w:type="dxa"/>
          </w:tcPr>
          <w:p w14:paraId="332D7158" w14:textId="77777777" w:rsidR="009420B7" w:rsidRPr="00A70DE5" w:rsidRDefault="009420B7" w:rsidP="009420B7">
            <w:pPr>
              <w:spacing w:after="0" w:line="360" w:lineRule="auto"/>
              <w:jc w:val="both"/>
              <w:rPr>
                <w:rFonts w:eastAsia="Calibri"/>
                <w:noProof/>
                <w:color w:val="4C4747"/>
                <w:sz w:val="16"/>
                <w:szCs w:val="16"/>
                <w:lang w:val="es-ES"/>
              </w:rPr>
            </w:pPr>
          </w:p>
          <w:p w14:paraId="7162013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3.55</w:t>
            </w:r>
          </w:p>
        </w:tc>
      </w:tr>
      <w:tr w:rsidR="009420B7" w:rsidRPr="00A70DE5" w14:paraId="07F6533E" w14:textId="77777777" w:rsidTr="00A5394C">
        <w:trPr>
          <w:trHeight w:val="266"/>
          <w:jc w:val="center"/>
        </w:trPr>
        <w:tc>
          <w:tcPr>
            <w:tcW w:w="1227" w:type="dxa"/>
          </w:tcPr>
          <w:p w14:paraId="46E9280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8. 1</w:t>
            </w:r>
          </w:p>
        </w:tc>
        <w:tc>
          <w:tcPr>
            <w:tcW w:w="2562" w:type="dxa"/>
          </w:tcPr>
          <w:p w14:paraId="79B1EAF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Plan de Capacitación</w:t>
            </w:r>
          </w:p>
        </w:tc>
        <w:tc>
          <w:tcPr>
            <w:tcW w:w="1583" w:type="dxa"/>
          </w:tcPr>
          <w:p w14:paraId="3990C03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90 </w:t>
            </w:r>
          </w:p>
        </w:tc>
        <w:tc>
          <w:tcPr>
            <w:tcW w:w="1227" w:type="dxa"/>
          </w:tcPr>
          <w:p w14:paraId="012A7212"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5466D496"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3.09</w:t>
            </w:r>
          </w:p>
        </w:tc>
      </w:tr>
      <w:tr w:rsidR="009420B7" w:rsidRPr="00A70DE5" w14:paraId="3756252B" w14:textId="77777777" w:rsidTr="00A5394C">
        <w:trPr>
          <w:trHeight w:val="530"/>
          <w:jc w:val="center"/>
        </w:trPr>
        <w:tc>
          <w:tcPr>
            <w:tcW w:w="1227" w:type="dxa"/>
          </w:tcPr>
          <w:p w14:paraId="0FE41AD0" w14:textId="77777777" w:rsidR="009420B7" w:rsidRPr="00A70DE5" w:rsidRDefault="009420B7" w:rsidP="009420B7">
            <w:pPr>
              <w:spacing w:after="0" w:line="360" w:lineRule="auto"/>
              <w:jc w:val="both"/>
              <w:rPr>
                <w:rFonts w:eastAsia="Calibri"/>
                <w:noProof/>
                <w:color w:val="4C4747"/>
                <w:sz w:val="16"/>
                <w:szCs w:val="16"/>
                <w:lang w:val="es-ES"/>
              </w:rPr>
            </w:pPr>
          </w:p>
          <w:p w14:paraId="3CE5544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9. 1</w:t>
            </w:r>
          </w:p>
        </w:tc>
        <w:tc>
          <w:tcPr>
            <w:tcW w:w="2562" w:type="dxa"/>
          </w:tcPr>
          <w:p w14:paraId="44DE58B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Asociación de Servidores Públicos</w:t>
            </w:r>
          </w:p>
        </w:tc>
        <w:tc>
          <w:tcPr>
            <w:tcW w:w="1583" w:type="dxa"/>
          </w:tcPr>
          <w:p w14:paraId="20FF5907" w14:textId="77777777" w:rsidR="009420B7" w:rsidRPr="00A70DE5" w:rsidRDefault="009420B7" w:rsidP="009420B7">
            <w:pPr>
              <w:spacing w:after="0" w:line="360" w:lineRule="auto"/>
              <w:jc w:val="both"/>
              <w:rPr>
                <w:rFonts w:eastAsia="Calibri"/>
                <w:noProof/>
                <w:color w:val="4C4747"/>
                <w:sz w:val="16"/>
                <w:szCs w:val="16"/>
                <w:lang w:val="es-ES"/>
              </w:rPr>
            </w:pPr>
          </w:p>
          <w:p w14:paraId="7F07198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80 </w:t>
            </w:r>
          </w:p>
        </w:tc>
        <w:tc>
          <w:tcPr>
            <w:tcW w:w="1227" w:type="dxa"/>
          </w:tcPr>
          <w:p w14:paraId="4E6AAABA" w14:textId="77777777" w:rsidR="009420B7" w:rsidRPr="00A70DE5" w:rsidRDefault="009420B7" w:rsidP="009420B7">
            <w:pPr>
              <w:spacing w:after="0" w:line="360" w:lineRule="auto"/>
              <w:jc w:val="both"/>
              <w:rPr>
                <w:rFonts w:eastAsia="Calibri"/>
                <w:noProof/>
                <w:color w:val="4C4747"/>
                <w:sz w:val="16"/>
                <w:szCs w:val="16"/>
                <w:lang w:val="es-ES"/>
              </w:rPr>
            </w:pPr>
          </w:p>
          <w:p w14:paraId="6D24906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2EC4189B" w14:textId="77777777" w:rsidR="009420B7" w:rsidRPr="00A70DE5" w:rsidRDefault="009420B7" w:rsidP="009420B7">
            <w:pPr>
              <w:spacing w:after="0" w:line="360" w:lineRule="auto"/>
              <w:jc w:val="both"/>
              <w:rPr>
                <w:rFonts w:eastAsia="Calibri"/>
                <w:noProof/>
                <w:color w:val="4C4747"/>
                <w:sz w:val="16"/>
                <w:szCs w:val="16"/>
                <w:lang w:val="es-ES"/>
              </w:rPr>
            </w:pPr>
          </w:p>
          <w:p w14:paraId="33F0C8DA"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2.75</w:t>
            </w:r>
          </w:p>
        </w:tc>
      </w:tr>
      <w:tr w:rsidR="009420B7" w:rsidRPr="00A70DE5" w14:paraId="377ECFF2" w14:textId="77777777" w:rsidTr="00A5394C">
        <w:trPr>
          <w:trHeight w:val="469"/>
          <w:jc w:val="center"/>
        </w:trPr>
        <w:tc>
          <w:tcPr>
            <w:tcW w:w="1227" w:type="dxa"/>
          </w:tcPr>
          <w:p w14:paraId="7EDCB184" w14:textId="77777777" w:rsidR="009420B7" w:rsidRPr="00A70DE5" w:rsidRDefault="009420B7" w:rsidP="009420B7">
            <w:pPr>
              <w:spacing w:after="0" w:line="360" w:lineRule="auto"/>
              <w:jc w:val="both"/>
              <w:rPr>
                <w:rFonts w:eastAsia="Calibri"/>
                <w:noProof/>
                <w:color w:val="4C4747"/>
                <w:sz w:val="16"/>
                <w:szCs w:val="16"/>
                <w:lang w:val="es-ES"/>
              </w:rPr>
            </w:pPr>
          </w:p>
          <w:p w14:paraId="73931F6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9. 2</w:t>
            </w:r>
          </w:p>
        </w:tc>
        <w:tc>
          <w:tcPr>
            <w:tcW w:w="2562" w:type="dxa"/>
          </w:tcPr>
          <w:p w14:paraId="6E293F7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Fortalecimiento de las Relaciones Laborales</w:t>
            </w:r>
          </w:p>
        </w:tc>
        <w:tc>
          <w:tcPr>
            <w:tcW w:w="1583" w:type="dxa"/>
          </w:tcPr>
          <w:p w14:paraId="3F755C60" w14:textId="77777777" w:rsidR="009420B7" w:rsidRPr="00A70DE5" w:rsidRDefault="009420B7" w:rsidP="009420B7">
            <w:pPr>
              <w:spacing w:after="0" w:line="360" w:lineRule="auto"/>
              <w:jc w:val="both"/>
              <w:rPr>
                <w:rFonts w:eastAsia="Calibri"/>
                <w:noProof/>
                <w:color w:val="4C4747"/>
                <w:sz w:val="16"/>
                <w:szCs w:val="16"/>
                <w:lang w:val="es-ES"/>
              </w:rPr>
            </w:pPr>
          </w:p>
          <w:p w14:paraId="1465B11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100</w:t>
            </w:r>
          </w:p>
        </w:tc>
        <w:tc>
          <w:tcPr>
            <w:tcW w:w="1227" w:type="dxa"/>
          </w:tcPr>
          <w:p w14:paraId="1C4837AC" w14:textId="77777777" w:rsidR="009420B7" w:rsidRPr="00A70DE5" w:rsidRDefault="009420B7" w:rsidP="009420B7">
            <w:pPr>
              <w:spacing w:after="0" w:line="360" w:lineRule="auto"/>
              <w:jc w:val="both"/>
              <w:rPr>
                <w:rFonts w:eastAsia="Calibri"/>
                <w:noProof/>
                <w:color w:val="4C4747"/>
                <w:sz w:val="16"/>
                <w:szCs w:val="16"/>
                <w:lang w:val="es-ES"/>
              </w:rPr>
            </w:pPr>
          </w:p>
          <w:p w14:paraId="198C7350"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3C3095E2" w14:textId="77777777" w:rsidR="009420B7" w:rsidRPr="00A70DE5" w:rsidRDefault="009420B7" w:rsidP="009420B7">
            <w:pPr>
              <w:spacing w:after="0" w:line="360" w:lineRule="auto"/>
              <w:jc w:val="both"/>
              <w:rPr>
                <w:rFonts w:eastAsia="Calibri"/>
                <w:noProof/>
                <w:color w:val="4C4747"/>
                <w:sz w:val="16"/>
                <w:szCs w:val="16"/>
                <w:lang w:val="es-ES"/>
              </w:rPr>
            </w:pPr>
          </w:p>
          <w:p w14:paraId="2EF2E66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r>
      <w:tr w:rsidR="009420B7" w:rsidRPr="00A70DE5" w14:paraId="2B548D63" w14:textId="77777777" w:rsidTr="00A5394C">
        <w:trPr>
          <w:trHeight w:val="1446"/>
          <w:jc w:val="center"/>
        </w:trPr>
        <w:tc>
          <w:tcPr>
            <w:tcW w:w="1227" w:type="dxa"/>
          </w:tcPr>
          <w:p w14:paraId="16FC436B" w14:textId="77777777" w:rsidR="009420B7" w:rsidRPr="00A70DE5" w:rsidRDefault="009420B7" w:rsidP="009420B7">
            <w:pPr>
              <w:spacing w:after="0" w:line="360" w:lineRule="auto"/>
              <w:jc w:val="both"/>
              <w:rPr>
                <w:rFonts w:eastAsia="Calibri"/>
                <w:noProof/>
                <w:color w:val="4C4747"/>
                <w:sz w:val="16"/>
                <w:szCs w:val="16"/>
                <w:lang w:val="es-ES"/>
              </w:rPr>
            </w:pPr>
            <w:bookmarkStart w:id="34" w:name="_Hlk214532045"/>
          </w:p>
          <w:p w14:paraId="66B324CE" w14:textId="77777777" w:rsidR="009420B7" w:rsidRPr="00A70DE5" w:rsidRDefault="009420B7" w:rsidP="009420B7">
            <w:pPr>
              <w:spacing w:after="0" w:line="360" w:lineRule="auto"/>
              <w:jc w:val="both"/>
              <w:rPr>
                <w:rFonts w:eastAsia="Calibri"/>
                <w:noProof/>
                <w:color w:val="4C4747"/>
                <w:sz w:val="16"/>
                <w:szCs w:val="16"/>
                <w:lang w:val="es-ES"/>
              </w:rPr>
            </w:pPr>
          </w:p>
          <w:p w14:paraId="0197D0E0" w14:textId="77777777" w:rsidR="009420B7" w:rsidRPr="00A70DE5" w:rsidRDefault="009420B7" w:rsidP="009420B7">
            <w:pPr>
              <w:spacing w:after="0" w:line="360" w:lineRule="auto"/>
              <w:jc w:val="both"/>
              <w:rPr>
                <w:rFonts w:eastAsia="Calibri"/>
                <w:noProof/>
                <w:color w:val="4C4747"/>
                <w:sz w:val="16"/>
                <w:szCs w:val="16"/>
                <w:lang w:val="es-ES"/>
              </w:rPr>
            </w:pPr>
          </w:p>
          <w:p w14:paraId="3834D34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9. 3</w:t>
            </w:r>
          </w:p>
        </w:tc>
        <w:tc>
          <w:tcPr>
            <w:tcW w:w="2562" w:type="dxa"/>
          </w:tcPr>
          <w:p w14:paraId="5D9A2395"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Institucionalización del Régimen Ético y</w:t>
            </w:r>
          </w:p>
          <w:p w14:paraId="7D53F9C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Disciplinario de los</w:t>
            </w:r>
          </w:p>
          <w:p w14:paraId="19A2EBD1"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Servidores Públicos en el 100 % del personal.</w:t>
            </w:r>
          </w:p>
        </w:tc>
        <w:tc>
          <w:tcPr>
            <w:tcW w:w="1583" w:type="dxa"/>
          </w:tcPr>
          <w:p w14:paraId="1A3D6933" w14:textId="77777777" w:rsidR="009420B7" w:rsidRPr="00A70DE5" w:rsidRDefault="009420B7" w:rsidP="009420B7">
            <w:pPr>
              <w:spacing w:after="0" w:line="360" w:lineRule="auto"/>
              <w:jc w:val="both"/>
              <w:rPr>
                <w:rFonts w:eastAsia="Calibri"/>
                <w:noProof/>
                <w:color w:val="4C4747"/>
                <w:sz w:val="16"/>
                <w:szCs w:val="16"/>
                <w:lang w:val="es-ES"/>
              </w:rPr>
            </w:pPr>
          </w:p>
          <w:p w14:paraId="40F98CD0" w14:textId="77777777" w:rsidR="009420B7" w:rsidRPr="00A70DE5" w:rsidRDefault="009420B7" w:rsidP="009420B7">
            <w:pPr>
              <w:spacing w:after="0" w:line="360" w:lineRule="auto"/>
              <w:jc w:val="both"/>
              <w:rPr>
                <w:rFonts w:eastAsia="Calibri"/>
                <w:noProof/>
                <w:color w:val="4C4747"/>
                <w:sz w:val="16"/>
                <w:szCs w:val="16"/>
                <w:lang w:val="es-ES"/>
              </w:rPr>
            </w:pPr>
          </w:p>
          <w:p w14:paraId="409BE5BF" w14:textId="77777777" w:rsidR="009420B7" w:rsidRPr="00A70DE5" w:rsidRDefault="009420B7" w:rsidP="009420B7">
            <w:pPr>
              <w:spacing w:after="0" w:line="360" w:lineRule="auto"/>
              <w:jc w:val="both"/>
              <w:rPr>
                <w:rFonts w:eastAsia="Calibri"/>
                <w:noProof/>
                <w:color w:val="4C4747"/>
                <w:sz w:val="16"/>
                <w:szCs w:val="16"/>
                <w:lang w:val="es-ES"/>
              </w:rPr>
            </w:pPr>
          </w:p>
          <w:p w14:paraId="37C9B69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506E8F67" w14:textId="77777777" w:rsidR="009420B7" w:rsidRPr="00A70DE5" w:rsidRDefault="009420B7" w:rsidP="009420B7">
            <w:pPr>
              <w:spacing w:after="0" w:line="360" w:lineRule="auto"/>
              <w:jc w:val="both"/>
              <w:rPr>
                <w:rFonts w:eastAsia="Calibri"/>
                <w:noProof/>
                <w:color w:val="4C4747"/>
                <w:sz w:val="16"/>
                <w:szCs w:val="16"/>
                <w:lang w:val="es-ES"/>
              </w:rPr>
            </w:pPr>
          </w:p>
          <w:p w14:paraId="3C80465F" w14:textId="77777777" w:rsidR="009420B7" w:rsidRPr="00A70DE5" w:rsidRDefault="009420B7" w:rsidP="009420B7">
            <w:pPr>
              <w:spacing w:after="0" w:line="360" w:lineRule="auto"/>
              <w:jc w:val="both"/>
              <w:rPr>
                <w:rFonts w:eastAsia="Calibri"/>
                <w:noProof/>
                <w:color w:val="4C4747"/>
                <w:sz w:val="16"/>
                <w:szCs w:val="16"/>
                <w:lang w:val="es-ES"/>
              </w:rPr>
            </w:pPr>
          </w:p>
          <w:p w14:paraId="20189031" w14:textId="77777777" w:rsidR="009420B7" w:rsidRPr="00A70DE5" w:rsidRDefault="009420B7" w:rsidP="009420B7">
            <w:pPr>
              <w:spacing w:after="0" w:line="360" w:lineRule="auto"/>
              <w:jc w:val="both"/>
              <w:rPr>
                <w:rFonts w:eastAsia="Calibri"/>
                <w:noProof/>
                <w:color w:val="4C4747"/>
                <w:sz w:val="16"/>
                <w:szCs w:val="16"/>
                <w:lang w:val="es-ES"/>
              </w:rPr>
            </w:pPr>
          </w:p>
          <w:p w14:paraId="69606DE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33664444" w14:textId="77777777" w:rsidR="009420B7" w:rsidRPr="00A70DE5" w:rsidRDefault="009420B7" w:rsidP="009420B7">
            <w:pPr>
              <w:spacing w:after="0" w:line="360" w:lineRule="auto"/>
              <w:jc w:val="both"/>
              <w:rPr>
                <w:rFonts w:eastAsia="Calibri"/>
                <w:noProof/>
                <w:color w:val="4C4747"/>
                <w:sz w:val="16"/>
                <w:szCs w:val="16"/>
                <w:lang w:val="es-ES"/>
              </w:rPr>
            </w:pPr>
          </w:p>
          <w:p w14:paraId="7555A164" w14:textId="77777777" w:rsidR="009420B7" w:rsidRPr="00A70DE5" w:rsidRDefault="009420B7" w:rsidP="009420B7">
            <w:pPr>
              <w:spacing w:after="0" w:line="360" w:lineRule="auto"/>
              <w:jc w:val="both"/>
              <w:rPr>
                <w:rFonts w:eastAsia="Calibri"/>
                <w:noProof/>
                <w:color w:val="4C4747"/>
                <w:sz w:val="16"/>
                <w:szCs w:val="16"/>
                <w:lang w:val="es-ES"/>
              </w:rPr>
            </w:pPr>
          </w:p>
          <w:p w14:paraId="711D7E79" w14:textId="77777777" w:rsidR="009420B7" w:rsidRPr="00A70DE5" w:rsidRDefault="009420B7" w:rsidP="009420B7">
            <w:pPr>
              <w:spacing w:after="0" w:line="360" w:lineRule="auto"/>
              <w:jc w:val="both"/>
              <w:rPr>
                <w:rFonts w:eastAsia="Calibri"/>
                <w:noProof/>
                <w:color w:val="4C4747"/>
                <w:sz w:val="16"/>
                <w:szCs w:val="16"/>
                <w:lang w:val="es-ES"/>
              </w:rPr>
            </w:pPr>
          </w:p>
          <w:p w14:paraId="1389DF9F"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r>
      <w:bookmarkEnd w:id="34"/>
      <w:tr w:rsidR="009420B7" w:rsidRPr="00A70DE5" w14:paraId="7FB7A164" w14:textId="77777777" w:rsidTr="00A5394C">
        <w:trPr>
          <w:trHeight w:val="1072"/>
          <w:jc w:val="center"/>
        </w:trPr>
        <w:tc>
          <w:tcPr>
            <w:tcW w:w="1227" w:type="dxa"/>
          </w:tcPr>
          <w:p w14:paraId="65C0D266" w14:textId="77777777" w:rsidR="009420B7" w:rsidRPr="00A70DE5" w:rsidRDefault="009420B7" w:rsidP="009420B7">
            <w:pPr>
              <w:spacing w:after="0" w:line="360" w:lineRule="auto"/>
              <w:jc w:val="both"/>
              <w:rPr>
                <w:rFonts w:eastAsia="Calibri"/>
                <w:noProof/>
                <w:color w:val="4C4747"/>
                <w:sz w:val="16"/>
                <w:szCs w:val="16"/>
                <w:lang w:val="es-ES"/>
              </w:rPr>
            </w:pPr>
          </w:p>
          <w:p w14:paraId="31547F2D" w14:textId="77777777" w:rsidR="009420B7" w:rsidRPr="00A70DE5" w:rsidRDefault="009420B7" w:rsidP="009420B7">
            <w:pPr>
              <w:spacing w:after="0" w:line="360" w:lineRule="auto"/>
              <w:jc w:val="both"/>
              <w:rPr>
                <w:rFonts w:eastAsia="Calibri"/>
                <w:noProof/>
                <w:color w:val="4C4747"/>
                <w:sz w:val="16"/>
                <w:szCs w:val="16"/>
                <w:lang w:val="es-ES"/>
              </w:rPr>
            </w:pPr>
          </w:p>
          <w:p w14:paraId="119FBF50" w14:textId="77777777" w:rsidR="009420B7" w:rsidRPr="00A70DE5" w:rsidRDefault="009420B7" w:rsidP="009420B7">
            <w:pPr>
              <w:spacing w:after="0" w:line="360" w:lineRule="auto"/>
              <w:jc w:val="both"/>
              <w:rPr>
                <w:rFonts w:eastAsia="Calibri"/>
                <w:noProof/>
                <w:color w:val="4C4747"/>
                <w:sz w:val="16"/>
                <w:szCs w:val="16"/>
                <w:lang w:val="es-ES"/>
              </w:rPr>
            </w:pPr>
          </w:p>
          <w:p w14:paraId="387B0AFF"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9. 4</w:t>
            </w:r>
          </w:p>
        </w:tc>
        <w:tc>
          <w:tcPr>
            <w:tcW w:w="2562" w:type="dxa"/>
          </w:tcPr>
          <w:p w14:paraId="6361B58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Implementación del Sistema de Seguridad y Salud en el Trabajo en la Administración Pública</w:t>
            </w:r>
          </w:p>
        </w:tc>
        <w:tc>
          <w:tcPr>
            <w:tcW w:w="1583" w:type="dxa"/>
          </w:tcPr>
          <w:p w14:paraId="367E9EB1" w14:textId="77777777" w:rsidR="009420B7" w:rsidRPr="00A70DE5" w:rsidRDefault="009420B7" w:rsidP="009420B7">
            <w:pPr>
              <w:spacing w:after="0" w:line="360" w:lineRule="auto"/>
              <w:jc w:val="both"/>
              <w:rPr>
                <w:rFonts w:eastAsia="Calibri"/>
                <w:noProof/>
                <w:color w:val="4C4747"/>
                <w:sz w:val="16"/>
                <w:szCs w:val="16"/>
                <w:lang w:val="es-ES"/>
              </w:rPr>
            </w:pPr>
          </w:p>
          <w:p w14:paraId="329AB62E" w14:textId="77777777" w:rsidR="009420B7" w:rsidRPr="00A70DE5" w:rsidRDefault="009420B7" w:rsidP="009420B7">
            <w:pPr>
              <w:spacing w:after="0" w:line="360" w:lineRule="auto"/>
              <w:jc w:val="both"/>
              <w:rPr>
                <w:rFonts w:eastAsia="Calibri"/>
                <w:noProof/>
                <w:color w:val="4C4747"/>
                <w:sz w:val="16"/>
                <w:szCs w:val="16"/>
                <w:lang w:val="es-ES"/>
              </w:rPr>
            </w:pPr>
          </w:p>
          <w:p w14:paraId="744BE04B" w14:textId="77777777" w:rsidR="009420B7" w:rsidRPr="00A70DE5" w:rsidRDefault="009420B7" w:rsidP="009420B7">
            <w:pPr>
              <w:spacing w:after="0" w:line="360" w:lineRule="auto"/>
              <w:jc w:val="both"/>
              <w:rPr>
                <w:rFonts w:eastAsia="Calibri"/>
                <w:noProof/>
                <w:color w:val="4C4747"/>
                <w:sz w:val="16"/>
                <w:szCs w:val="16"/>
                <w:lang w:val="es-ES"/>
              </w:rPr>
            </w:pPr>
          </w:p>
          <w:p w14:paraId="1DE8986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95 </w:t>
            </w:r>
          </w:p>
        </w:tc>
        <w:tc>
          <w:tcPr>
            <w:tcW w:w="1227" w:type="dxa"/>
          </w:tcPr>
          <w:p w14:paraId="7F2C7F1C" w14:textId="77777777" w:rsidR="009420B7" w:rsidRPr="00A70DE5" w:rsidRDefault="009420B7" w:rsidP="009420B7">
            <w:pPr>
              <w:spacing w:after="0" w:line="360" w:lineRule="auto"/>
              <w:jc w:val="both"/>
              <w:rPr>
                <w:rFonts w:eastAsia="Calibri"/>
                <w:noProof/>
                <w:color w:val="4C4747"/>
                <w:sz w:val="16"/>
                <w:szCs w:val="16"/>
                <w:lang w:val="es-ES"/>
              </w:rPr>
            </w:pPr>
          </w:p>
          <w:p w14:paraId="69155C7D" w14:textId="77777777" w:rsidR="009420B7" w:rsidRPr="00A70DE5" w:rsidRDefault="009420B7" w:rsidP="009420B7">
            <w:pPr>
              <w:spacing w:after="0" w:line="360" w:lineRule="auto"/>
              <w:jc w:val="both"/>
              <w:rPr>
                <w:rFonts w:eastAsia="Calibri"/>
                <w:noProof/>
                <w:color w:val="4C4747"/>
                <w:sz w:val="16"/>
                <w:szCs w:val="16"/>
                <w:lang w:val="es-ES"/>
              </w:rPr>
            </w:pPr>
          </w:p>
          <w:p w14:paraId="738A2968" w14:textId="77777777" w:rsidR="009420B7" w:rsidRPr="00A70DE5" w:rsidRDefault="009420B7" w:rsidP="009420B7">
            <w:pPr>
              <w:spacing w:after="0" w:line="360" w:lineRule="auto"/>
              <w:jc w:val="both"/>
              <w:rPr>
                <w:rFonts w:eastAsia="Calibri"/>
                <w:noProof/>
                <w:color w:val="4C4747"/>
                <w:sz w:val="16"/>
                <w:szCs w:val="16"/>
                <w:lang w:val="es-ES"/>
              </w:rPr>
            </w:pPr>
          </w:p>
          <w:p w14:paraId="1663809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3.43</w:t>
            </w:r>
          </w:p>
        </w:tc>
        <w:tc>
          <w:tcPr>
            <w:tcW w:w="1294" w:type="dxa"/>
          </w:tcPr>
          <w:p w14:paraId="02497DAC" w14:textId="77777777" w:rsidR="009420B7" w:rsidRPr="00A70DE5" w:rsidRDefault="009420B7" w:rsidP="009420B7">
            <w:pPr>
              <w:spacing w:after="0" w:line="360" w:lineRule="auto"/>
              <w:jc w:val="both"/>
              <w:rPr>
                <w:rFonts w:eastAsia="Calibri"/>
                <w:noProof/>
                <w:color w:val="4C4747"/>
                <w:sz w:val="16"/>
                <w:szCs w:val="16"/>
                <w:lang w:val="es-ES"/>
              </w:rPr>
            </w:pPr>
          </w:p>
          <w:p w14:paraId="5866EE46" w14:textId="77777777" w:rsidR="009420B7" w:rsidRPr="00A70DE5" w:rsidRDefault="009420B7" w:rsidP="009420B7">
            <w:pPr>
              <w:spacing w:after="0" w:line="360" w:lineRule="auto"/>
              <w:jc w:val="both"/>
              <w:rPr>
                <w:rFonts w:eastAsia="Calibri"/>
                <w:noProof/>
                <w:color w:val="4C4747"/>
                <w:sz w:val="16"/>
                <w:szCs w:val="16"/>
                <w:lang w:val="es-ES"/>
              </w:rPr>
            </w:pPr>
          </w:p>
          <w:p w14:paraId="7FCFD582" w14:textId="77777777" w:rsidR="009420B7" w:rsidRPr="00A70DE5" w:rsidRDefault="009420B7" w:rsidP="009420B7">
            <w:pPr>
              <w:spacing w:after="0" w:line="360" w:lineRule="auto"/>
              <w:jc w:val="both"/>
              <w:rPr>
                <w:rFonts w:eastAsia="Calibri"/>
                <w:noProof/>
                <w:color w:val="4C4747"/>
                <w:sz w:val="16"/>
                <w:szCs w:val="16"/>
                <w:lang w:val="es-ES"/>
              </w:rPr>
            </w:pPr>
          </w:p>
          <w:p w14:paraId="633EEA8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3.26</w:t>
            </w:r>
          </w:p>
        </w:tc>
      </w:tr>
      <w:tr w:rsidR="009420B7" w:rsidRPr="00A70DE5" w14:paraId="074FDC25" w14:textId="77777777" w:rsidTr="00A5394C">
        <w:trPr>
          <w:trHeight w:val="503"/>
          <w:jc w:val="center"/>
        </w:trPr>
        <w:tc>
          <w:tcPr>
            <w:tcW w:w="1227" w:type="dxa"/>
          </w:tcPr>
          <w:p w14:paraId="42B7788E" w14:textId="77777777" w:rsidR="009420B7" w:rsidRPr="00A70DE5" w:rsidRDefault="009420B7" w:rsidP="009420B7">
            <w:pPr>
              <w:spacing w:after="0" w:line="360" w:lineRule="auto"/>
              <w:jc w:val="both"/>
              <w:rPr>
                <w:rFonts w:eastAsia="Calibri"/>
                <w:noProof/>
                <w:color w:val="4C4747"/>
                <w:sz w:val="16"/>
                <w:szCs w:val="16"/>
                <w:lang w:val="es-ES"/>
              </w:rPr>
            </w:pPr>
          </w:p>
          <w:p w14:paraId="1398C9EA" w14:textId="77777777" w:rsidR="009420B7" w:rsidRPr="00A70DE5" w:rsidRDefault="009420B7" w:rsidP="009420B7">
            <w:pPr>
              <w:spacing w:after="0" w:line="360" w:lineRule="auto"/>
              <w:jc w:val="both"/>
              <w:rPr>
                <w:rFonts w:eastAsia="Calibri"/>
                <w:noProof/>
                <w:color w:val="4C4747"/>
                <w:sz w:val="16"/>
                <w:szCs w:val="16"/>
                <w:lang w:val="es-ES"/>
              </w:rPr>
            </w:pPr>
          </w:p>
          <w:p w14:paraId="6786BFD1" w14:textId="77777777" w:rsidR="009420B7" w:rsidRPr="00A70DE5" w:rsidRDefault="009420B7" w:rsidP="009420B7">
            <w:pPr>
              <w:spacing w:after="0" w:line="360" w:lineRule="auto"/>
              <w:jc w:val="both"/>
              <w:rPr>
                <w:rFonts w:eastAsia="Calibri"/>
                <w:noProof/>
                <w:color w:val="4C4747"/>
                <w:sz w:val="16"/>
                <w:szCs w:val="16"/>
                <w:lang w:val="es-ES"/>
              </w:rPr>
            </w:pPr>
          </w:p>
          <w:p w14:paraId="37799C6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9. 5</w:t>
            </w:r>
          </w:p>
        </w:tc>
        <w:tc>
          <w:tcPr>
            <w:tcW w:w="2562" w:type="dxa"/>
          </w:tcPr>
          <w:p w14:paraId="4F71EF56" w14:textId="77777777" w:rsidR="009420B7" w:rsidRPr="00A70DE5" w:rsidRDefault="009420B7" w:rsidP="009420B7">
            <w:pPr>
              <w:spacing w:after="0" w:line="360" w:lineRule="auto"/>
              <w:jc w:val="both"/>
              <w:rPr>
                <w:rFonts w:eastAsia="Calibri"/>
                <w:noProof/>
                <w:color w:val="4C4747"/>
                <w:sz w:val="16"/>
                <w:szCs w:val="16"/>
                <w:lang w:val="es-ES"/>
              </w:rPr>
            </w:pPr>
          </w:p>
          <w:p w14:paraId="60F7A0DD" w14:textId="77777777" w:rsidR="009420B7" w:rsidRPr="00A70DE5" w:rsidRDefault="009420B7" w:rsidP="009420B7">
            <w:pPr>
              <w:spacing w:after="0" w:line="360" w:lineRule="auto"/>
              <w:jc w:val="both"/>
              <w:rPr>
                <w:rFonts w:eastAsia="Calibri"/>
                <w:noProof/>
                <w:color w:val="4C4747"/>
                <w:sz w:val="16"/>
                <w:szCs w:val="16"/>
                <w:lang w:val="es-ES"/>
              </w:rPr>
            </w:pPr>
          </w:p>
          <w:p w14:paraId="16E32A56"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Encuesta de Clima Laboral</w:t>
            </w:r>
          </w:p>
        </w:tc>
        <w:tc>
          <w:tcPr>
            <w:tcW w:w="1583" w:type="dxa"/>
          </w:tcPr>
          <w:p w14:paraId="23DBD5DF" w14:textId="77777777" w:rsidR="009420B7" w:rsidRPr="00A70DE5" w:rsidRDefault="009420B7" w:rsidP="009420B7">
            <w:pPr>
              <w:spacing w:after="0" w:line="360" w:lineRule="auto"/>
              <w:jc w:val="both"/>
              <w:rPr>
                <w:rFonts w:eastAsia="Calibri"/>
                <w:noProof/>
                <w:color w:val="4C4747"/>
                <w:sz w:val="16"/>
                <w:szCs w:val="16"/>
                <w:lang w:val="es-ES"/>
              </w:rPr>
            </w:pPr>
          </w:p>
          <w:p w14:paraId="43A8A16E" w14:textId="77777777" w:rsidR="009420B7" w:rsidRPr="00A70DE5" w:rsidRDefault="009420B7" w:rsidP="009420B7">
            <w:pPr>
              <w:spacing w:after="0" w:line="360" w:lineRule="auto"/>
              <w:jc w:val="both"/>
              <w:rPr>
                <w:rFonts w:eastAsia="Calibri"/>
                <w:noProof/>
                <w:color w:val="4C4747"/>
                <w:sz w:val="16"/>
                <w:szCs w:val="16"/>
                <w:lang w:val="es-ES"/>
              </w:rPr>
            </w:pPr>
          </w:p>
          <w:p w14:paraId="3745D580" w14:textId="77777777" w:rsidR="009420B7" w:rsidRPr="00A70DE5" w:rsidRDefault="009420B7" w:rsidP="009420B7">
            <w:pPr>
              <w:spacing w:after="0" w:line="360" w:lineRule="auto"/>
              <w:jc w:val="both"/>
              <w:rPr>
                <w:rFonts w:eastAsia="Calibri"/>
                <w:noProof/>
                <w:color w:val="4C4747"/>
                <w:sz w:val="16"/>
                <w:szCs w:val="16"/>
                <w:lang w:val="es-ES"/>
              </w:rPr>
            </w:pPr>
          </w:p>
          <w:p w14:paraId="0D1C4F7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12224CE6" w14:textId="77777777" w:rsidR="009420B7" w:rsidRPr="00A70DE5" w:rsidRDefault="009420B7" w:rsidP="009420B7">
            <w:pPr>
              <w:spacing w:after="0" w:line="360" w:lineRule="auto"/>
              <w:jc w:val="both"/>
              <w:rPr>
                <w:rFonts w:eastAsia="Calibri"/>
                <w:noProof/>
                <w:color w:val="4C4747"/>
                <w:sz w:val="16"/>
                <w:szCs w:val="16"/>
                <w:lang w:val="es-ES"/>
              </w:rPr>
            </w:pPr>
          </w:p>
          <w:p w14:paraId="48ECC8E7" w14:textId="77777777" w:rsidR="009420B7" w:rsidRPr="00A70DE5" w:rsidRDefault="009420B7" w:rsidP="009420B7">
            <w:pPr>
              <w:spacing w:after="0" w:line="360" w:lineRule="auto"/>
              <w:jc w:val="both"/>
              <w:rPr>
                <w:rFonts w:eastAsia="Calibri"/>
                <w:noProof/>
                <w:color w:val="4C4747"/>
                <w:sz w:val="16"/>
                <w:szCs w:val="16"/>
                <w:lang w:val="es-ES"/>
              </w:rPr>
            </w:pPr>
          </w:p>
          <w:p w14:paraId="3EE42C58" w14:textId="77777777" w:rsidR="009420B7" w:rsidRPr="00A70DE5" w:rsidRDefault="009420B7" w:rsidP="009420B7">
            <w:pPr>
              <w:spacing w:after="0" w:line="360" w:lineRule="auto"/>
              <w:jc w:val="both"/>
              <w:rPr>
                <w:rFonts w:eastAsia="Calibri"/>
                <w:noProof/>
                <w:color w:val="4C4747"/>
                <w:sz w:val="16"/>
                <w:szCs w:val="16"/>
                <w:lang w:val="es-ES"/>
              </w:rPr>
            </w:pPr>
          </w:p>
          <w:p w14:paraId="5286116C"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4.43</w:t>
            </w:r>
          </w:p>
        </w:tc>
        <w:tc>
          <w:tcPr>
            <w:tcW w:w="1294" w:type="dxa"/>
          </w:tcPr>
          <w:p w14:paraId="7C5733D2" w14:textId="77777777" w:rsidR="009420B7" w:rsidRPr="00A70DE5" w:rsidRDefault="009420B7" w:rsidP="009420B7">
            <w:pPr>
              <w:spacing w:after="0" w:line="360" w:lineRule="auto"/>
              <w:jc w:val="both"/>
              <w:rPr>
                <w:rFonts w:eastAsia="Calibri"/>
                <w:noProof/>
                <w:color w:val="4C4747"/>
                <w:sz w:val="16"/>
                <w:szCs w:val="16"/>
                <w:lang w:val="es-ES"/>
              </w:rPr>
            </w:pPr>
          </w:p>
          <w:p w14:paraId="386C0C74" w14:textId="77777777" w:rsidR="009420B7" w:rsidRPr="00A70DE5" w:rsidRDefault="009420B7" w:rsidP="009420B7">
            <w:pPr>
              <w:spacing w:after="0" w:line="360" w:lineRule="auto"/>
              <w:jc w:val="both"/>
              <w:rPr>
                <w:rFonts w:eastAsia="Calibri"/>
                <w:noProof/>
                <w:color w:val="4C4747"/>
                <w:sz w:val="16"/>
                <w:szCs w:val="16"/>
                <w:lang w:val="es-ES"/>
              </w:rPr>
            </w:pPr>
          </w:p>
          <w:p w14:paraId="2426A013" w14:textId="77777777" w:rsidR="009420B7" w:rsidRPr="00A70DE5" w:rsidRDefault="009420B7" w:rsidP="009420B7">
            <w:pPr>
              <w:spacing w:after="0" w:line="360" w:lineRule="auto"/>
              <w:jc w:val="both"/>
              <w:rPr>
                <w:rFonts w:eastAsia="Calibri"/>
                <w:noProof/>
                <w:color w:val="4C4747"/>
                <w:sz w:val="16"/>
                <w:szCs w:val="16"/>
                <w:lang w:val="es-ES"/>
              </w:rPr>
            </w:pPr>
          </w:p>
          <w:p w14:paraId="78D7BBE3"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4.43</w:t>
            </w:r>
          </w:p>
        </w:tc>
      </w:tr>
      <w:tr w:rsidR="009420B7" w:rsidRPr="00A70DE5" w14:paraId="5B48E82D" w14:textId="77777777" w:rsidTr="00A5394C">
        <w:trPr>
          <w:trHeight w:val="820"/>
          <w:jc w:val="center"/>
        </w:trPr>
        <w:tc>
          <w:tcPr>
            <w:tcW w:w="1227" w:type="dxa"/>
          </w:tcPr>
          <w:p w14:paraId="1DBD217B" w14:textId="77777777" w:rsidR="009420B7" w:rsidRPr="00A70DE5" w:rsidRDefault="009420B7" w:rsidP="009420B7">
            <w:pPr>
              <w:spacing w:after="0" w:line="360" w:lineRule="auto"/>
              <w:jc w:val="both"/>
              <w:rPr>
                <w:rFonts w:eastAsia="Calibri"/>
                <w:noProof/>
                <w:color w:val="4C4747"/>
                <w:sz w:val="16"/>
                <w:szCs w:val="16"/>
                <w:lang w:val="es-ES"/>
              </w:rPr>
            </w:pPr>
          </w:p>
          <w:p w14:paraId="7BBA1B56" w14:textId="77777777" w:rsidR="009420B7" w:rsidRPr="00A70DE5" w:rsidRDefault="009420B7" w:rsidP="009420B7">
            <w:pPr>
              <w:spacing w:after="0" w:line="360" w:lineRule="auto"/>
              <w:jc w:val="both"/>
              <w:rPr>
                <w:rFonts w:eastAsia="Calibri"/>
                <w:noProof/>
                <w:color w:val="4C4747"/>
                <w:sz w:val="16"/>
                <w:szCs w:val="16"/>
                <w:lang w:val="es-ES"/>
              </w:rPr>
            </w:pPr>
          </w:p>
          <w:p w14:paraId="2DB7A02A" w14:textId="77777777" w:rsidR="009420B7" w:rsidRPr="00A70DE5" w:rsidRDefault="009420B7" w:rsidP="009420B7">
            <w:pPr>
              <w:spacing w:after="0" w:line="360" w:lineRule="auto"/>
              <w:jc w:val="both"/>
              <w:rPr>
                <w:rFonts w:eastAsia="Calibri"/>
                <w:noProof/>
                <w:color w:val="4C4747"/>
                <w:sz w:val="16"/>
                <w:szCs w:val="16"/>
                <w:lang w:val="es-ES"/>
              </w:rPr>
            </w:pPr>
          </w:p>
          <w:p w14:paraId="788830B7"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9. 6</w:t>
            </w:r>
          </w:p>
        </w:tc>
        <w:tc>
          <w:tcPr>
            <w:tcW w:w="2562" w:type="dxa"/>
          </w:tcPr>
          <w:p w14:paraId="1BC1C4EF"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Implementación de Acciones de Inclusión y Accesibilidad en la Administración Pública</w:t>
            </w:r>
          </w:p>
        </w:tc>
        <w:tc>
          <w:tcPr>
            <w:tcW w:w="1583" w:type="dxa"/>
          </w:tcPr>
          <w:p w14:paraId="73ACC064" w14:textId="77777777" w:rsidR="009420B7" w:rsidRPr="00A70DE5" w:rsidRDefault="009420B7" w:rsidP="009420B7">
            <w:pPr>
              <w:spacing w:after="0" w:line="360" w:lineRule="auto"/>
              <w:jc w:val="both"/>
              <w:rPr>
                <w:rFonts w:eastAsia="Calibri"/>
                <w:noProof/>
                <w:color w:val="4C4747"/>
                <w:sz w:val="16"/>
                <w:szCs w:val="16"/>
                <w:lang w:val="es-ES"/>
              </w:rPr>
            </w:pPr>
          </w:p>
          <w:p w14:paraId="455DA5AD" w14:textId="77777777" w:rsidR="009420B7" w:rsidRPr="00A70DE5" w:rsidRDefault="009420B7" w:rsidP="009420B7">
            <w:pPr>
              <w:spacing w:after="0" w:line="360" w:lineRule="auto"/>
              <w:jc w:val="both"/>
              <w:rPr>
                <w:rFonts w:eastAsia="Calibri"/>
                <w:noProof/>
                <w:color w:val="4C4747"/>
                <w:sz w:val="16"/>
                <w:szCs w:val="16"/>
                <w:lang w:val="es-ES"/>
              </w:rPr>
            </w:pPr>
          </w:p>
          <w:p w14:paraId="34A9C6AC" w14:textId="77777777" w:rsidR="009420B7" w:rsidRPr="00A70DE5" w:rsidRDefault="009420B7" w:rsidP="009420B7">
            <w:pPr>
              <w:spacing w:after="0" w:line="360" w:lineRule="auto"/>
              <w:jc w:val="both"/>
              <w:rPr>
                <w:rFonts w:eastAsia="Calibri"/>
                <w:noProof/>
                <w:color w:val="4C4747"/>
                <w:sz w:val="16"/>
                <w:szCs w:val="16"/>
                <w:lang w:val="es-ES"/>
              </w:rPr>
            </w:pPr>
          </w:p>
          <w:p w14:paraId="703792BE"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 xml:space="preserve">100 </w:t>
            </w:r>
          </w:p>
        </w:tc>
        <w:tc>
          <w:tcPr>
            <w:tcW w:w="1227" w:type="dxa"/>
          </w:tcPr>
          <w:p w14:paraId="1F057032" w14:textId="77777777" w:rsidR="009420B7" w:rsidRPr="00A70DE5" w:rsidRDefault="009420B7" w:rsidP="009420B7">
            <w:pPr>
              <w:spacing w:after="0" w:line="360" w:lineRule="auto"/>
              <w:jc w:val="both"/>
              <w:rPr>
                <w:rFonts w:eastAsia="Calibri"/>
                <w:noProof/>
                <w:color w:val="4C4747"/>
                <w:sz w:val="16"/>
                <w:szCs w:val="16"/>
                <w:lang w:val="es-ES"/>
              </w:rPr>
            </w:pPr>
          </w:p>
          <w:p w14:paraId="2EADFAAB" w14:textId="77777777" w:rsidR="009420B7" w:rsidRPr="00A70DE5" w:rsidRDefault="009420B7" w:rsidP="009420B7">
            <w:pPr>
              <w:spacing w:after="0" w:line="360" w:lineRule="auto"/>
              <w:jc w:val="both"/>
              <w:rPr>
                <w:rFonts w:eastAsia="Calibri"/>
                <w:noProof/>
                <w:color w:val="4C4747"/>
                <w:sz w:val="16"/>
                <w:szCs w:val="16"/>
                <w:lang w:val="es-ES"/>
              </w:rPr>
            </w:pPr>
          </w:p>
          <w:p w14:paraId="6376370E" w14:textId="77777777" w:rsidR="009420B7" w:rsidRPr="00A70DE5" w:rsidRDefault="009420B7" w:rsidP="009420B7">
            <w:pPr>
              <w:spacing w:after="0" w:line="360" w:lineRule="auto"/>
              <w:jc w:val="both"/>
              <w:rPr>
                <w:rFonts w:eastAsia="Calibri"/>
                <w:noProof/>
                <w:color w:val="4C4747"/>
                <w:sz w:val="16"/>
                <w:szCs w:val="16"/>
                <w:lang w:val="es-ES"/>
              </w:rPr>
            </w:pPr>
          </w:p>
          <w:p w14:paraId="492AF21F"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2.43</w:t>
            </w:r>
          </w:p>
        </w:tc>
        <w:tc>
          <w:tcPr>
            <w:tcW w:w="1294" w:type="dxa"/>
          </w:tcPr>
          <w:p w14:paraId="0F976788" w14:textId="77777777" w:rsidR="009420B7" w:rsidRPr="00A70DE5" w:rsidRDefault="009420B7" w:rsidP="009420B7">
            <w:pPr>
              <w:spacing w:after="0" w:line="360" w:lineRule="auto"/>
              <w:jc w:val="both"/>
              <w:rPr>
                <w:rFonts w:eastAsia="Calibri"/>
                <w:noProof/>
                <w:color w:val="4C4747"/>
                <w:sz w:val="16"/>
                <w:szCs w:val="16"/>
                <w:lang w:val="es-ES"/>
              </w:rPr>
            </w:pPr>
          </w:p>
          <w:p w14:paraId="3E6B7ED5" w14:textId="77777777" w:rsidR="009420B7" w:rsidRPr="00A70DE5" w:rsidRDefault="009420B7" w:rsidP="009420B7">
            <w:pPr>
              <w:spacing w:after="0" w:line="360" w:lineRule="auto"/>
              <w:jc w:val="both"/>
              <w:rPr>
                <w:rFonts w:eastAsia="Calibri"/>
                <w:noProof/>
                <w:color w:val="4C4747"/>
                <w:sz w:val="16"/>
                <w:szCs w:val="16"/>
                <w:lang w:val="es-ES"/>
              </w:rPr>
            </w:pPr>
          </w:p>
          <w:p w14:paraId="3CED9496" w14:textId="77777777" w:rsidR="009420B7" w:rsidRPr="00A70DE5" w:rsidRDefault="009420B7" w:rsidP="009420B7">
            <w:pPr>
              <w:spacing w:after="0" w:line="360" w:lineRule="auto"/>
              <w:jc w:val="both"/>
              <w:rPr>
                <w:rFonts w:eastAsia="Calibri"/>
                <w:noProof/>
                <w:color w:val="4C4747"/>
                <w:sz w:val="16"/>
                <w:szCs w:val="16"/>
                <w:lang w:val="es-ES"/>
              </w:rPr>
            </w:pPr>
          </w:p>
          <w:p w14:paraId="016A04DB" w14:textId="77777777" w:rsidR="009420B7" w:rsidRPr="00A70DE5" w:rsidRDefault="009420B7" w:rsidP="009420B7">
            <w:pPr>
              <w:spacing w:after="0" w:line="360" w:lineRule="auto"/>
              <w:jc w:val="both"/>
              <w:rPr>
                <w:rFonts w:eastAsia="Calibri"/>
                <w:noProof/>
                <w:color w:val="4C4747"/>
                <w:sz w:val="16"/>
                <w:szCs w:val="16"/>
                <w:lang w:val="es-ES"/>
              </w:rPr>
            </w:pPr>
            <w:r w:rsidRPr="00A70DE5">
              <w:rPr>
                <w:rFonts w:eastAsia="Calibri"/>
                <w:noProof/>
                <w:color w:val="4C4747"/>
                <w:sz w:val="16"/>
                <w:szCs w:val="16"/>
                <w:lang w:val="es-ES"/>
              </w:rPr>
              <w:t>2.43</w:t>
            </w:r>
          </w:p>
        </w:tc>
      </w:tr>
      <w:tr w:rsidR="009420B7" w:rsidRPr="00A70DE5" w14:paraId="36DE5EB3" w14:textId="77777777" w:rsidTr="00A5394C">
        <w:trPr>
          <w:trHeight w:val="365"/>
          <w:jc w:val="center"/>
        </w:trPr>
        <w:tc>
          <w:tcPr>
            <w:tcW w:w="1227" w:type="dxa"/>
            <w:shd w:val="clear" w:color="auto" w:fill="D9D9D9"/>
          </w:tcPr>
          <w:p w14:paraId="16FFDD0B" w14:textId="77777777" w:rsidR="009420B7" w:rsidRPr="00A70DE5" w:rsidRDefault="009420B7" w:rsidP="009420B7">
            <w:pPr>
              <w:spacing w:after="0" w:line="360" w:lineRule="auto"/>
              <w:jc w:val="both"/>
              <w:rPr>
                <w:rFonts w:eastAsia="Calibri"/>
                <w:noProof/>
                <w:color w:val="4C4747"/>
                <w:sz w:val="16"/>
                <w:szCs w:val="16"/>
                <w:lang w:val="es-ES"/>
              </w:rPr>
            </w:pPr>
          </w:p>
        </w:tc>
        <w:tc>
          <w:tcPr>
            <w:tcW w:w="2562" w:type="dxa"/>
            <w:shd w:val="clear" w:color="auto" w:fill="D9D9D9"/>
          </w:tcPr>
          <w:p w14:paraId="70CFB401" w14:textId="77777777" w:rsidR="009420B7" w:rsidRPr="00A70DE5" w:rsidRDefault="009420B7" w:rsidP="009420B7">
            <w:pPr>
              <w:spacing w:after="0" w:line="360" w:lineRule="auto"/>
              <w:jc w:val="both"/>
              <w:rPr>
                <w:rFonts w:eastAsia="Calibri"/>
                <w:noProof/>
                <w:color w:val="4C4747"/>
                <w:sz w:val="16"/>
                <w:szCs w:val="16"/>
                <w:lang w:val="es-ES"/>
              </w:rPr>
            </w:pPr>
          </w:p>
        </w:tc>
        <w:tc>
          <w:tcPr>
            <w:tcW w:w="1583" w:type="dxa"/>
            <w:shd w:val="clear" w:color="auto" w:fill="D9D9D9"/>
          </w:tcPr>
          <w:p w14:paraId="6B396F5D" w14:textId="77777777" w:rsidR="009420B7" w:rsidRPr="00A70DE5" w:rsidRDefault="009420B7" w:rsidP="009420B7">
            <w:pPr>
              <w:spacing w:after="0" w:line="360" w:lineRule="auto"/>
              <w:jc w:val="both"/>
              <w:rPr>
                <w:rFonts w:eastAsia="Calibri"/>
                <w:b/>
                <w:noProof/>
                <w:color w:val="4C4747"/>
                <w:sz w:val="16"/>
                <w:szCs w:val="16"/>
                <w:lang w:val="es-ES"/>
              </w:rPr>
            </w:pPr>
            <w:r w:rsidRPr="00A70DE5">
              <w:rPr>
                <w:rFonts w:eastAsia="Calibri"/>
                <w:b/>
                <w:noProof/>
                <w:color w:val="4C4747"/>
                <w:sz w:val="16"/>
                <w:szCs w:val="16"/>
                <w:lang w:val="es-ES"/>
              </w:rPr>
              <w:t>TOTAL</w:t>
            </w:r>
          </w:p>
        </w:tc>
        <w:tc>
          <w:tcPr>
            <w:tcW w:w="1227" w:type="dxa"/>
            <w:shd w:val="clear" w:color="auto" w:fill="D9D9D9"/>
          </w:tcPr>
          <w:p w14:paraId="15723D4C" w14:textId="77777777" w:rsidR="009420B7" w:rsidRPr="00A70DE5" w:rsidRDefault="009420B7" w:rsidP="009420B7">
            <w:pPr>
              <w:spacing w:after="0" w:line="360" w:lineRule="auto"/>
              <w:jc w:val="both"/>
              <w:rPr>
                <w:rFonts w:eastAsia="Calibri"/>
                <w:b/>
                <w:noProof/>
                <w:color w:val="4C4747"/>
                <w:sz w:val="16"/>
                <w:szCs w:val="16"/>
                <w:lang w:val="es-ES"/>
              </w:rPr>
            </w:pPr>
            <w:r w:rsidRPr="00A70DE5">
              <w:rPr>
                <w:rFonts w:eastAsia="Calibri"/>
                <w:b/>
                <w:noProof/>
                <w:color w:val="4C4747"/>
                <w:sz w:val="16"/>
                <w:szCs w:val="16"/>
                <w:lang w:val="es-ES"/>
              </w:rPr>
              <w:t>100</w:t>
            </w:r>
          </w:p>
        </w:tc>
        <w:tc>
          <w:tcPr>
            <w:tcW w:w="1294" w:type="dxa"/>
            <w:shd w:val="clear" w:color="auto" w:fill="D9D9D9"/>
          </w:tcPr>
          <w:p w14:paraId="5AA63F7C" w14:textId="77777777" w:rsidR="009420B7" w:rsidRPr="00A70DE5" w:rsidRDefault="009420B7" w:rsidP="009420B7">
            <w:pPr>
              <w:spacing w:after="0" w:line="360" w:lineRule="auto"/>
              <w:jc w:val="both"/>
              <w:rPr>
                <w:rFonts w:eastAsia="Calibri"/>
                <w:b/>
                <w:noProof/>
                <w:color w:val="4C4747"/>
                <w:sz w:val="16"/>
                <w:szCs w:val="16"/>
                <w:lang w:val="es-ES"/>
              </w:rPr>
            </w:pPr>
            <w:r w:rsidRPr="00A70DE5">
              <w:rPr>
                <w:rFonts w:eastAsia="Calibri"/>
                <w:b/>
                <w:noProof/>
                <w:color w:val="4C4747"/>
                <w:sz w:val="16"/>
                <w:szCs w:val="16"/>
                <w:lang w:val="es-ES"/>
              </w:rPr>
              <w:t>81.4%</w:t>
            </w:r>
          </w:p>
        </w:tc>
      </w:tr>
    </w:tbl>
    <w:p w14:paraId="290159C6" w14:textId="53FDC614" w:rsidR="000C6C68" w:rsidRDefault="000C6C68" w:rsidP="00841CEC">
      <w:pPr>
        <w:spacing w:after="0" w:line="360" w:lineRule="auto"/>
        <w:jc w:val="both"/>
        <w:rPr>
          <w:rFonts w:eastAsia="Calibri"/>
          <w:noProof/>
          <w:color w:val="4C4747"/>
          <w:lang w:val="es-ES"/>
        </w:rPr>
      </w:pPr>
    </w:p>
    <w:p w14:paraId="0866D8FA" w14:textId="0B236CC1" w:rsidR="00C5385B" w:rsidRPr="00C5385B" w:rsidRDefault="00C5385B" w:rsidP="00C5385B">
      <w:pPr>
        <w:spacing w:line="360" w:lineRule="auto"/>
        <w:jc w:val="both"/>
        <w:rPr>
          <w:rFonts w:eastAsia="Calibri"/>
          <w:b/>
          <w:i/>
          <w:noProof/>
          <w:color w:val="4C4747"/>
          <w:u w:val="single"/>
          <w:lang w:val="es-ES"/>
        </w:rPr>
      </w:pPr>
      <w:r w:rsidRPr="00E64239">
        <w:rPr>
          <w:rFonts w:eastAsia="Calibri"/>
          <w:b/>
          <w:i/>
          <w:noProof/>
          <w:color w:val="4C4747"/>
          <w:u w:val="single"/>
          <w:lang w:val="es-ES"/>
        </w:rPr>
        <w:t>Proyecciones Noviembre-Diciembre 2025</w:t>
      </w:r>
      <w:r>
        <w:rPr>
          <w:rFonts w:eastAsia="Calibri"/>
          <w:b/>
          <w:i/>
          <w:noProof/>
          <w:color w:val="4C4747"/>
          <w:u w:val="single"/>
          <w:lang w:val="es-ES"/>
        </w:rPr>
        <w:t>-RRHH</w:t>
      </w:r>
    </w:p>
    <w:p w14:paraId="25E6AEC2" w14:textId="690FD166" w:rsidR="00C5385B" w:rsidRPr="00C5385B" w:rsidRDefault="00C5385B" w:rsidP="00C5385B">
      <w:pPr>
        <w:spacing w:line="360" w:lineRule="auto"/>
        <w:jc w:val="both"/>
        <w:rPr>
          <w:rFonts w:eastAsia="Calibri"/>
          <w:noProof/>
          <w:color w:val="4C4747"/>
          <w:lang w:val="es-ES"/>
        </w:rPr>
      </w:pPr>
      <w:r w:rsidRPr="00C5385B">
        <w:rPr>
          <w:rFonts w:eastAsia="Calibri"/>
          <w:noProof/>
          <w:color w:val="4C4747"/>
          <w:lang w:val="es-ES"/>
        </w:rPr>
        <w:t xml:space="preserve">De cara al cierre del año 2025, la gestión de la Dirección de Recursos Humanos de la Superintendencia de Seguros se proyecta con un cumplimiento integral y oportuno de los compromisos institucionales establecidos en los distintos instrumentos de planificación. Para los meses de noviembre y diciembre se prevé la ejecución satisfactoria de las actividades programadas en el Plan Operativo Anual (POA), </w:t>
      </w:r>
      <w:r w:rsidRPr="00C5385B">
        <w:rPr>
          <w:rFonts w:eastAsia="Calibri"/>
          <w:noProof/>
          <w:color w:val="4C4747"/>
          <w:lang w:val="es-ES"/>
        </w:rPr>
        <w:lastRenderedPageBreak/>
        <w:t>asegurando la continuidad de los procesos administrativos y de apoyo al capital humano, así como la correcta articulación con las demás áreas de la institución. De manera particular, se estima la culminación exitosa del Proceso de Evaluación del Desempeño de la totalidad de los colaboradores, como un hito clave para la medición de resultados, la retroalimentación individual y el fortalecimiento de la cultura de desempeño y mejora continua.</w:t>
      </w:r>
    </w:p>
    <w:p w14:paraId="1D8AB4C4" w14:textId="288636CB" w:rsidR="00C5385B" w:rsidRPr="00C5385B" w:rsidRDefault="00C5385B" w:rsidP="00C5385B">
      <w:pPr>
        <w:spacing w:line="360" w:lineRule="auto"/>
        <w:jc w:val="both"/>
        <w:rPr>
          <w:rFonts w:eastAsia="Calibri"/>
          <w:noProof/>
          <w:color w:val="4C4747"/>
          <w:lang w:val="es-ES"/>
        </w:rPr>
      </w:pPr>
      <w:r w:rsidRPr="00C5385B">
        <w:rPr>
          <w:rFonts w:eastAsia="Calibri"/>
          <w:noProof/>
          <w:color w:val="4C4747"/>
          <w:lang w:val="es-ES"/>
        </w:rPr>
        <w:t>Asimismo, al cierre del ejercicio fiscal, se espera que las áreas que integran esta Dirección —Registro y Control de Nómina, Relaciones Laborales y Sociales, Capacitacióny Evaluación del Desempeño</w:t>
      </w:r>
      <w:r>
        <w:rPr>
          <w:rFonts w:eastAsia="Calibri"/>
          <w:noProof/>
          <w:color w:val="4C4747"/>
          <w:lang w:val="es-ES"/>
        </w:rPr>
        <w:t>,</w:t>
      </w:r>
      <w:r w:rsidRPr="00C5385B">
        <w:rPr>
          <w:rFonts w:eastAsia="Calibri"/>
          <w:noProof/>
          <w:color w:val="4C4747"/>
          <w:lang w:val="es-ES"/>
        </w:rPr>
        <w:t xml:space="preserve"> mantengan un funcionamiento eficiente y alineado con las normativas vigentes y los objetivos estratégicos institucionales. La ejecución cotidiana de las actividades propias de la gestión de recursos humanos permitirá garantizar la estabilidad laboral, el cumplimiento de los derechos y deberes de los colaboradores, el fortalecimiento de competencias y el bienestar integral del personal, contribuyendo de manera directa al logro de los resultados institucionales y al fortalecimiento del clima organizacional.</w:t>
      </w:r>
      <w:bookmarkStart w:id="35" w:name="_GoBack"/>
      <w:bookmarkEnd w:id="35"/>
    </w:p>
    <w:p w14:paraId="49A4D74A" w14:textId="77777777" w:rsidR="00400290" w:rsidRPr="009420B7" w:rsidRDefault="00400290" w:rsidP="00841CEC">
      <w:pPr>
        <w:spacing w:after="0" w:line="360" w:lineRule="auto"/>
        <w:jc w:val="both"/>
        <w:rPr>
          <w:rFonts w:eastAsia="Calibri"/>
          <w:noProof/>
          <w:color w:val="4C4747"/>
          <w:lang w:val="es-ES"/>
        </w:rPr>
      </w:pPr>
    </w:p>
    <w:p w14:paraId="78E45432" w14:textId="3B2BB141" w:rsidR="009420B7" w:rsidRDefault="009420B7" w:rsidP="009420B7">
      <w:pPr>
        <w:pStyle w:val="Ttulo2"/>
        <w:keepNext w:val="0"/>
        <w:keepLines w:val="0"/>
        <w:widowControl w:val="0"/>
        <w:numPr>
          <w:ilvl w:val="1"/>
          <w:numId w:val="20"/>
        </w:numPr>
        <w:tabs>
          <w:tab w:val="left" w:pos="1158"/>
        </w:tabs>
        <w:autoSpaceDE w:val="0"/>
        <w:autoSpaceDN w:val="0"/>
        <w:spacing w:before="0" w:line="240" w:lineRule="auto"/>
        <w:rPr>
          <w:b/>
          <w:lang w:val="es-DO"/>
        </w:rPr>
      </w:pPr>
      <w:bookmarkStart w:id="36" w:name="_Toc216875873"/>
      <w:r w:rsidRPr="009420B7">
        <w:rPr>
          <w:b/>
          <w:lang w:val="es-DO"/>
        </w:rPr>
        <w:t>Desempeño de los Procesos Jurídicos</w:t>
      </w:r>
      <w:bookmarkEnd w:id="36"/>
      <w:r w:rsidRPr="009420B7">
        <w:rPr>
          <w:b/>
          <w:lang w:val="es-DO"/>
        </w:rPr>
        <w:t xml:space="preserve"> </w:t>
      </w:r>
    </w:p>
    <w:p w14:paraId="163BD552" w14:textId="77777777" w:rsidR="009420B7" w:rsidRPr="009420B7" w:rsidRDefault="009420B7" w:rsidP="009420B7">
      <w:pPr>
        <w:rPr>
          <w:rFonts w:eastAsia="Calibri"/>
          <w:noProof/>
          <w:color w:val="4C4747"/>
        </w:rPr>
      </w:pPr>
    </w:p>
    <w:p w14:paraId="26C9B39E" w14:textId="4DBA8CDD" w:rsidR="009420B7" w:rsidRPr="009420B7" w:rsidRDefault="009420B7" w:rsidP="009420B7">
      <w:pPr>
        <w:spacing w:line="360" w:lineRule="auto"/>
        <w:jc w:val="both"/>
        <w:rPr>
          <w:rFonts w:eastAsia="Calibri"/>
          <w:noProof/>
          <w:color w:val="4C4747"/>
          <w:lang w:val="es-ES"/>
        </w:rPr>
      </w:pPr>
      <w:r w:rsidRPr="009420B7">
        <w:rPr>
          <w:rFonts w:eastAsia="Calibri"/>
          <w:noProof/>
          <w:color w:val="4C4747"/>
          <w:lang w:val="es-ES"/>
        </w:rPr>
        <w:lastRenderedPageBreak/>
        <w:t>En lo que respecta a los procesos jurídicos, la Superintendencia está actualmente revisando su marco legal, específicamente la Ley No. 146-02, con el objetivo de realizar las actualizaciones y ajustes necesarios que mejoren la regulación del sector.</w:t>
      </w:r>
    </w:p>
    <w:p w14:paraId="22FC7849" w14:textId="77777777" w:rsidR="009420B7" w:rsidRPr="00A70DE5" w:rsidRDefault="009420B7" w:rsidP="009420B7">
      <w:pPr>
        <w:spacing w:line="360" w:lineRule="auto"/>
        <w:jc w:val="both"/>
        <w:rPr>
          <w:rFonts w:eastAsia="Calibri"/>
          <w:noProof/>
          <w:color w:val="4C4747"/>
          <w:lang w:val="es-ES"/>
        </w:rPr>
      </w:pPr>
      <w:r w:rsidRPr="00A70DE5">
        <w:rPr>
          <w:rFonts w:eastAsia="Calibri"/>
          <w:noProof/>
          <w:color w:val="4C4747"/>
          <w:lang w:val="es-ES"/>
        </w:rPr>
        <w:t>De acuerdo con el Artículo 248 de la Ley No. 146 - 02 sobre Seguros y Fianzas, la Superintendencia de Seguros, a través de su Dirección Jurídica, ha cumplido con sus funciones legalmente establecidas, que incluyen:</w:t>
      </w:r>
    </w:p>
    <w:p w14:paraId="5D0F11CD" w14:textId="08BAD94C" w:rsidR="009420B7" w:rsidRPr="009420B7" w:rsidRDefault="009420B7" w:rsidP="009420B7">
      <w:pPr>
        <w:spacing w:line="360" w:lineRule="auto"/>
        <w:jc w:val="both"/>
        <w:rPr>
          <w:rFonts w:eastAsia="Calibri"/>
          <w:b/>
          <w:noProof/>
          <w:color w:val="4C4747"/>
        </w:rPr>
      </w:pPr>
      <w:r w:rsidRPr="009420B7">
        <w:rPr>
          <w:rFonts w:eastAsia="Calibri"/>
          <w:b/>
          <w:noProof/>
          <w:color w:val="4C4747"/>
        </w:rPr>
        <w:t>Asesorías legales;</w:t>
      </w:r>
    </w:p>
    <w:p w14:paraId="262ADF62" w14:textId="77777777" w:rsidR="009420B7" w:rsidRPr="009420B7" w:rsidRDefault="009420B7" w:rsidP="009420B7">
      <w:pPr>
        <w:numPr>
          <w:ilvl w:val="0"/>
          <w:numId w:val="25"/>
        </w:numPr>
        <w:spacing w:line="360" w:lineRule="auto"/>
        <w:jc w:val="both"/>
        <w:rPr>
          <w:rFonts w:eastAsia="Calibri"/>
          <w:noProof/>
          <w:color w:val="4C4747"/>
          <w:lang w:val="es-ES"/>
        </w:rPr>
      </w:pPr>
      <w:r w:rsidRPr="009420B7">
        <w:rPr>
          <w:rFonts w:eastAsia="Calibri"/>
          <w:noProof/>
          <w:color w:val="4C4747"/>
          <w:lang w:val="es-ES"/>
        </w:rPr>
        <w:t>Asistencia al Superintendente en sus funciones de mediador, en los casos atribuidos por la ley;</w:t>
      </w:r>
    </w:p>
    <w:p w14:paraId="55C87A62" w14:textId="77777777" w:rsidR="009420B7" w:rsidRPr="00A70DE5" w:rsidRDefault="009420B7" w:rsidP="009420B7">
      <w:pPr>
        <w:numPr>
          <w:ilvl w:val="0"/>
          <w:numId w:val="25"/>
        </w:numPr>
        <w:spacing w:line="360" w:lineRule="auto"/>
        <w:jc w:val="both"/>
        <w:rPr>
          <w:rFonts w:eastAsia="Calibri"/>
          <w:noProof/>
          <w:color w:val="4C4747"/>
          <w:lang w:val="es-ES"/>
        </w:rPr>
      </w:pPr>
      <w:r w:rsidRPr="00A70DE5">
        <w:rPr>
          <w:rFonts w:eastAsia="Calibri"/>
          <w:noProof/>
          <w:color w:val="4C4747"/>
          <w:lang w:val="es-ES"/>
        </w:rPr>
        <w:t>Emisión de opiniones legales por parte de la Consultoría Jurídica respecto al cumplimiento de las facultades de la Superintendencia, en la aplicación de la ley y sus reglamentos, especialmente en la fiscalización de compañías de seguros, reaseguros e intermediarios;</w:t>
      </w:r>
    </w:p>
    <w:p w14:paraId="070BDBE5" w14:textId="77777777" w:rsidR="009420B7" w:rsidRPr="00A70DE5" w:rsidRDefault="009420B7" w:rsidP="009420B7">
      <w:pPr>
        <w:numPr>
          <w:ilvl w:val="0"/>
          <w:numId w:val="25"/>
        </w:numPr>
        <w:spacing w:line="360" w:lineRule="auto"/>
        <w:jc w:val="both"/>
        <w:rPr>
          <w:rFonts w:eastAsia="Calibri"/>
          <w:noProof/>
          <w:color w:val="4C4747"/>
          <w:lang w:val="es-ES"/>
        </w:rPr>
      </w:pPr>
      <w:r w:rsidRPr="00A70DE5">
        <w:rPr>
          <w:rFonts w:eastAsia="Calibri"/>
          <w:noProof/>
          <w:color w:val="4C4747"/>
          <w:lang w:val="es-ES"/>
        </w:rPr>
        <w:t>Formulación de todo tipo de contratos en los que participe la Superintendencia;</w:t>
      </w:r>
    </w:p>
    <w:p w14:paraId="6CFF8EF2" w14:textId="77777777" w:rsidR="009420B7" w:rsidRPr="00A70DE5" w:rsidRDefault="009420B7" w:rsidP="009420B7">
      <w:pPr>
        <w:numPr>
          <w:ilvl w:val="0"/>
          <w:numId w:val="25"/>
        </w:numPr>
        <w:spacing w:line="360" w:lineRule="auto"/>
        <w:jc w:val="both"/>
        <w:rPr>
          <w:rFonts w:eastAsia="Calibri"/>
          <w:noProof/>
          <w:color w:val="4C4747"/>
          <w:lang w:val="es-ES"/>
        </w:rPr>
      </w:pPr>
      <w:r w:rsidRPr="00A70DE5">
        <w:rPr>
          <w:rFonts w:eastAsia="Calibri"/>
          <w:noProof/>
          <w:color w:val="4C4747"/>
          <w:lang w:val="es-ES"/>
        </w:rPr>
        <w:lastRenderedPageBreak/>
        <w:t>Mantenimiento de un archivo cronológico de todos los documentos legales de la Superintendencia.</w:t>
      </w:r>
    </w:p>
    <w:p w14:paraId="7ADC5778" w14:textId="77777777" w:rsidR="009420B7" w:rsidRDefault="009420B7" w:rsidP="009420B7">
      <w:pPr>
        <w:spacing w:line="360" w:lineRule="auto"/>
        <w:jc w:val="both"/>
        <w:rPr>
          <w:rFonts w:eastAsia="Calibri"/>
          <w:noProof/>
          <w:color w:val="4C4747"/>
          <w:lang w:val="es-ES"/>
        </w:rPr>
      </w:pPr>
      <w:r w:rsidRPr="009420B7">
        <w:rPr>
          <w:rFonts w:eastAsia="Calibri"/>
          <w:b/>
          <w:noProof/>
          <w:color w:val="4C4747"/>
          <w:lang w:val="es-ES"/>
        </w:rPr>
        <w:t xml:space="preserve">Conciliaciones: </w:t>
      </w:r>
      <w:r w:rsidRPr="009420B7">
        <w:rPr>
          <w:rFonts w:eastAsia="Calibri"/>
          <w:noProof/>
          <w:color w:val="4C4747"/>
          <w:lang w:val="es-ES"/>
        </w:rPr>
        <w:t xml:space="preserve">Durante el período comprendido entre el 1 de enero y el 31 de octubre del presente año, la Dirección Jurídica gestionó un total de </w:t>
      </w:r>
      <w:r w:rsidRPr="009420B7">
        <w:rPr>
          <w:rFonts w:eastAsia="Calibri"/>
          <w:b/>
          <w:noProof/>
          <w:color w:val="4C4747"/>
          <w:lang w:val="es-ES"/>
        </w:rPr>
        <w:t>488 vistas de conciliación</w:t>
      </w:r>
      <w:r w:rsidRPr="009420B7">
        <w:rPr>
          <w:rFonts w:eastAsia="Calibri"/>
          <w:noProof/>
          <w:color w:val="4C4747"/>
          <w:lang w:val="es-ES"/>
        </w:rPr>
        <w:t xml:space="preserve"> a solicitud de las partes interesadas.</w:t>
      </w:r>
    </w:p>
    <w:p w14:paraId="0CB4D90A" w14:textId="498E8049" w:rsidR="009420B7" w:rsidRPr="009420B7" w:rsidRDefault="009420B7" w:rsidP="009420B7">
      <w:pPr>
        <w:spacing w:line="360" w:lineRule="auto"/>
        <w:jc w:val="both"/>
        <w:rPr>
          <w:rFonts w:eastAsia="Calibri"/>
          <w:b/>
          <w:noProof/>
          <w:color w:val="4C4747"/>
          <w:lang w:val="es-ES"/>
        </w:rPr>
      </w:pPr>
      <w:r w:rsidRPr="009420B7">
        <w:rPr>
          <w:rFonts w:eastAsia="Calibri"/>
          <w:noProof/>
          <w:color w:val="4C4747"/>
          <w:lang w:val="es-ES"/>
        </w:rPr>
        <w:t xml:space="preserve"> Estas acciones se realizaron en estricto cumplimiento del Artículo 238, letra U, de la Ley No. 146 - 02 sobre Seguros y Fianzas de la República Dominicana, reafirmando el compromiso institucional con la resolución efectiva de conflictos y el cumplimiento de las disposiciones legales vigentes.</w:t>
      </w:r>
    </w:p>
    <w:p w14:paraId="71CAD726" w14:textId="46A98DD5" w:rsidR="009420B7" w:rsidRPr="00A70DE5" w:rsidRDefault="009420B7" w:rsidP="009420B7">
      <w:pPr>
        <w:spacing w:line="360" w:lineRule="auto"/>
        <w:jc w:val="both"/>
        <w:rPr>
          <w:rFonts w:eastAsia="Calibri"/>
          <w:b/>
          <w:noProof/>
          <w:color w:val="4C4747"/>
          <w:lang w:val="es-ES"/>
        </w:rPr>
      </w:pPr>
      <w:r w:rsidRPr="00A70DE5">
        <w:rPr>
          <w:rFonts w:eastAsia="Calibri"/>
          <w:b/>
          <w:noProof/>
          <w:color w:val="4C4747"/>
          <w:lang w:val="es-ES"/>
        </w:rPr>
        <w:t>Procesos Litigiosos</w:t>
      </w:r>
    </w:p>
    <w:p w14:paraId="344EAC78" w14:textId="21345AE8" w:rsidR="009420B7" w:rsidRPr="00A5394C" w:rsidRDefault="009420B7" w:rsidP="009420B7">
      <w:pPr>
        <w:spacing w:line="360" w:lineRule="auto"/>
        <w:jc w:val="both"/>
        <w:rPr>
          <w:rFonts w:eastAsia="Calibri"/>
          <w:noProof/>
          <w:color w:val="4C4747"/>
          <w:lang w:val="es-ES"/>
        </w:rPr>
      </w:pPr>
      <w:r w:rsidRPr="004759BF">
        <w:rPr>
          <w:rFonts w:eastAsia="Calibri"/>
          <w:noProof/>
          <w:color w:val="4C4747"/>
          <w:lang w:val="es-ES"/>
        </w:rPr>
        <w:t>En el período comprendido entre el 1 de enero y el 31 de octubre del presente año, se elaboraron un total de ciento diecinueve (119), Actas de No Acuerdo, como resultado de las Vistas de Conciliaciones, dando cumplimiento a los Art. 109 de la Ley No. 146-02, sobre Seguros y Fianzas de la Republica Dominicana.</w:t>
      </w:r>
    </w:p>
    <w:tbl>
      <w:tblPr>
        <w:tblW w:w="81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0"/>
        <w:gridCol w:w="4309"/>
      </w:tblGrid>
      <w:tr w:rsidR="009420B7" w:rsidRPr="000936C0" w14:paraId="0159FBE6" w14:textId="77777777" w:rsidTr="004759BF">
        <w:trPr>
          <w:trHeight w:val="305"/>
        </w:trPr>
        <w:tc>
          <w:tcPr>
            <w:tcW w:w="8119" w:type="dxa"/>
            <w:gridSpan w:val="2"/>
            <w:shd w:val="clear" w:color="auto" w:fill="001F5F"/>
          </w:tcPr>
          <w:p w14:paraId="493B41D9" w14:textId="77777777" w:rsidR="009420B7" w:rsidRPr="00A5394C" w:rsidRDefault="009420B7" w:rsidP="00A5394C">
            <w:pPr>
              <w:spacing w:after="0" w:line="360" w:lineRule="auto"/>
              <w:jc w:val="both"/>
              <w:rPr>
                <w:rFonts w:eastAsia="Calibri"/>
                <w:b/>
                <w:i/>
                <w:noProof/>
                <w:color w:val="FFFFFF" w:themeColor="background1"/>
                <w:sz w:val="22"/>
                <w:lang w:val="es-ES"/>
              </w:rPr>
            </w:pPr>
            <w:r w:rsidRPr="00A5394C">
              <w:rPr>
                <w:rFonts w:eastAsia="Calibri"/>
                <w:b/>
                <w:i/>
                <w:noProof/>
                <w:color w:val="FFFFFF" w:themeColor="background1"/>
                <w:sz w:val="22"/>
                <w:lang w:val="es-ES"/>
              </w:rPr>
              <w:t>RESUMEN DE PRODUCCIÓN ENERO-OCTUBRE 2025</w:t>
            </w:r>
          </w:p>
        </w:tc>
      </w:tr>
      <w:tr w:rsidR="009420B7" w:rsidRPr="00A5394C" w14:paraId="3236821C" w14:textId="77777777" w:rsidTr="004759BF">
        <w:trPr>
          <w:trHeight w:val="316"/>
        </w:trPr>
        <w:tc>
          <w:tcPr>
            <w:tcW w:w="3810" w:type="dxa"/>
            <w:shd w:val="clear" w:color="auto" w:fill="001F5F"/>
          </w:tcPr>
          <w:p w14:paraId="742166C4" w14:textId="77777777" w:rsidR="009420B7" w:rsidRPr="00A5394C" w:rsidRDefault="009420B7" w:rsidP="00A5394C">
            <w:pPr>
              <w:spacing w:after="0" w:line="360" w:lineRule="auto"/>
              <w:jc w:val="both"/>
              <w:rPr>
                <w:rFonts w:eastAsia="Calibri"/>
                <w:b/>
                <w:i/>
                <w:noProof/>
                <w:color w:val="FFFFFF" w:themeColor="background1"/>
                <w:sz w:val="22"/>
                <w:lang w:val="es-ES"/>
              </w:rPr>
            </w:pPr>
            <w:r w:rsidRPr="00A5394C">
              <w:rPr>
                <w:rFonts w:eastAsia="Calibri"/>
                <w:b/>
                <w:i/>
                <w:noProof/>
                <w:color w:val="FFFFFF" w:themeColor="background1"/>
                <w:sz w:val="22"/>
                <w:lang w:val="es-ES"/>
              </w:rPr>
              <w:t>PRODUCTOS</w:t>
            </w:r>
          </w:p>
        </w:tc>
        <w:tc>
          <w:tcPr>
            <w:tcW w:w="4309" w:type="dxa"/>
            <w:shd w:val="clear" w:color="auto" w:fill="001F5F"/>
          </w:tcPr>
          <w:p w14:paraId="40706098" w14:textId="77777777" w:rsidR="009420B7" w:rsidRPr="00A5394C" w:rsidRDefault="009420B7" w:rsidP="00A5394C">
            <w:pPr>
              <w:spacing w:after="0" w:line="360" w:lineRule="auto"/>
              <w:jc w:val="both"/>
              <w:rPr>
                <w:rFonts w:eastAsia="Calibri"/>
                <w:b/>
                <w:i/>
                <w:noProof/>
                <w:color w:val="FFFFFF" w:themeColor="background1"/>
                <w:sz w:val="22"/>
                <w:lang w:val="es-ES"/>
              </w:rPr>
            </w:pPr>
            <w:r w:rsidRPr="00A5394C">
              <w:rPr>
                <w:rFonts w:eastAsia="Calibri"/>
                <w:b/>
                <w:i/>
                <w:noProof/>
                <w:color w:val="FFFFFF" w:themeColor="background1"/>
                <w:sz w:val="22"/>
                <w:lang w:val="es-ES"/>
              </w:rPr>
              <w:t>CANTIDAD</w:t>
            </w:r>
          </w:p>
        </w:tc>
      </w:tr>
      <w:tr w:rsidR="009420B7" w:rsidRPr="00A5394C" w14:paraId="279ADBCF" w14:textId="77777777" w:rsidTr="004759BF">
        <w:trPr>
          <w:trHeight w:val="305"/>
        </w:trPr>
        <w:tc>
          <w:tcPr>
            <w:tcW w:w="3810" w:type="dxa"/>
          </w:tcPr>
          <w:p w14:paraId="702A2C4F"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lastRenderedPageBreak/>
              <w:t>Acuerdos Interinstitucionales</w:t>
            </w:r>
          </w:p>
        </w:tc>
        <w:tc>
          <w:tcPr>
            <w:tcW w:w="4309" w:type="dxa"/>
          </w:tcPr>
          <w:p w14:paraId="1CF2BF1F"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7</w:t>
            </w:r>
          </w:p>
        </w:tc>
      </w:tr>
      <w:tr w:rsidR="009420B7" w:rsidRPr="00A5394C" w14:paraId="1B3BA527" w14:textId="77777777" w:rsidTr="004759BF">
        <w:trPr>
          <w:trHeight w:val="305"/>
        </w:trPr>
        <w:tc>
          <w:tcPr>
            <w:tcW w:w="3810" w:type="dxa"/>
          </w:tcPr>
          <w:p w14:paraId="7AEF5BFA"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Resoluciones</w:t>
            </w:r>
          </w:p>
        </w:tc>
        <w:tc>
          <w:tcPr>
            <w:tcW w:w="4309" w:type="dxa"/>
          </w:tcPr>
          <w:p w14:paraId="4BA88679"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13</w:t>
            </w:r>
          </w:p>
        </w:tc>
      </w:tr>
      <w:tr w:rsidR="009420B7" w:rsidRPr="00A5394C" w14:paraId="31A78004" w14:textId="77777777" w:rsidTr="004759BF">
        <w:trPr>
          <w:trHeight w:val="305"/>
        </w:trPr>
        <w:tc>
          <w:tcPr>
            <w:tcW w:w="3810" w:type="dxa"/>
          </w:tcPr>
          <w:p w14:paraId="5A3B90CC"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Contratos</w:t>
            </w:r>
          </w:p>
        </w:tc>
        <w:tc>
          <w:tcPr>
            <w:tcW w:w="4309" w:type="dxa"/>
          </w:tcPr>
          <w:p w14:paraId="3A2ED4D3"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4</w:t>
            </w:r>
          </w:p>
        </w:tc>
      </w:tr>
      <w:tr w:rsidR="009420B7" w:rsidRPr="00A5394C" w14:paraId="4691D398" w14:textId="77777777" w:rsidTr="004759BF">
        <w:trPr>
          <w:trHeight w:val="316"/>
        </w:trPr>
        <w:tc>
          <w:tcPr>
            <w:tcW w:w="3810" w:type="dxa"/>
          </w:tcPr>
          <w:p w14:paraId="01E6D95F"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Procesos Litigios</w:t>
            </w:r>
          </w:p>
        </w:tc>
        <w:tc>
          <w:tcPr>
            <w:tcW w:w="4309" w:type="dxa"/>
          </w:tcPr>
          <w:p w14:paraId="102DC2AB"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46</w:t>
            </w:r>
          </w:p>
        </w:tc>
      </w:tr>
      <w:tr w:rsidR="009420B7" w:rsidRPr="00A5394C" w14:paraId="070AD43F" w14:textId="77777777" w:rsidTr="004759BF">
        <w:trPr>
          <w:trHeight w:val="305"/>
        </w:trPr>
        <w:tc>
          <w:tcPr>
            <w:tcW w:w="3810" w:type="dxa"/>
          </w:tcPr>
          <w:p w14:paraId="636F44E9"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Conciliaciones</w:t>
            </w:r>
          </w:p>
        </w:tc>
        <w:tc>
          <w:tcPr>
            <w:tcW w:w="4309" w:type="dxa"/>
          </w:tcPr>
          <w:p w14:paraId="3EB37E8E"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488</w:t>
            </w:r>
          </w:p>
        </w:tc>
      </w:tr>
      <w:tr w:rsidR="009420B7" w:rsidRPr="00A5394C" w14:paraId="0CB7B4D3" w14:textId="77777777" w:rsidTr="004759BF">
        <w:trPr>
          <w:trHeight w:val="305"/>
        </w:trPr>
        <w:tc>
          <w:tcPr>
            <w:tcW w:w="3810" w:type="dxa"/>
          </w:tcPr>
          <w:p w14:paraId="457D3360" w14:textId="77777777" w:rsidR="009420B7" w:rsidRPr="00A5394C" w:rsidRDefault="009420B7" w:rsidP="00A5394C">
            <w:pPr>
              <w:spacing w:after="0" w:line="360" w:lineRule="auto"/>
              <w:jc w:val="both"/>
              <w:rPr>
                <w:rFonts w:eastAsia="Calibri"/>
                <w:b/>
                <w:i/>
                <w:noProof/>
                <w:color w:val="4C4747"/>
                <w:sz w:val="22"/>
                <w:lang w:val="es-ES"/>
              </w:rPr>
            </w:pPr>
            <w:bookmarkStart w:id="37" w:name="_Hlk215129195"/>
            <w:r w:rsidRPr="00A5394C">
              <w:rPr>
                <w:rFonts w:eastAsia="Calibri"/>
                <w:b/>
                <w:i/>
                <w:noProof/>
                <w:color w:val="4C4747"/>
                <w:sz w:val="22"/>
                <w:lang w:val="es-ES"/>
              </w:rPr>
              <w:t>Actas De No Acuerdos</w:t>
            </w:r>
          </w:p>
        </w:tc>
        <w:tc>
          <w:tcPr>
            <w:tcW w:w="4309" w:type="dxa"/>
          </w:tcPr>
          <w:p w14:paraId="6F28D672"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119</w:t>
            </w:r>
          </w:p>
        </w:tc>
      </w:tr>
      <w:bookmarkEnd w:id="37"/>
      <w:tr w:rsidR="009420B7" w:rsidRPr="00A5394C" w14:paraId="3ACD0A80" w14:textId="77777777" w:rsidTr="004759BF">
        <w:trPr>
          <w:trHeight w:val="305"/>
        </w:trPr>
        <w:tc>
          <w:tcPr>
            <w:tcW w:w="3810" w:type="dxa"/>
            <w:shd w:val="clear" w:color="auto" w:fill="D9D9D9"/>
          </w:tcPr>
          <w:p w14:paraId="7EA0BB38"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Total:</w:t>
            </w:r>
          </w:p>
        </w:tc>
        <w:tc>
          <w:tcPr>
            <w:tcW w:w="4309" w:type="dxa"/>
            <w:shd w:val="clear" w:color="auto" w:fill="D9D9D9"/>
          </w:tcPr>
          <w:p w14:paraId="773B58DD" w14:textId="77777777" w:rsidR="009420B7" w:rsidRPr="00A5394C" w:rsidRDefault="009420B7" w:rsidP="00A5394C">
            <w:pPr>
              <w:spacing w:after="0" w:line="360" w:lineRule="auto"/>
              <w:jc w:val="both"/>
              <w:rPr>
                <w:rFonts w:eastAsia="Calibri"/>
                <w:b/>
                <w:i/>
                <w:noProof/>
                <w:color w:val="4C4747"/>
                <w:sz w:val="22"/>
                <w:lang w:val="es-ES"/>
              </w:rPr>
            </w:pPr>
            <w:r w:rsidRPr="00A5394C">
              <w:rPr>
                <w:rFonts w:eastAsia="Calibri"/>
                <w:b/>
                <w:i/>
                <w:noProof/>
                <w:color w:val="4C4747"/>
                <w:sz w:val="22"/>
                <w:lang w:val="es-ES"/>
              </w:rPr>
              <w:t>533</w:t>
            </w:r>
          </w:p>
        </w:tc>
      </w:tr>
    </w:tbl>
    <w:tbl>
      <w:tblPr>
        <w:tblpPr w:leftFromText="180" w:rightFromText="180" w:vertAnchor="text" w:horzAnchor="margin" w:tblpY="472"/>
        <w:tblW w:w="8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0"/>
        <w:gridCol w:w="4287"/>
      </w:tblGrid>
      <w:tr w:rsidR="004759BF" w:rsidRPr="009420B7" w14:paraId="42805A04" w14:textId="77777777" w:rsidTr="004759BF">
        <w:trPr>
          <w:trHeight w:val="330"/>
        </w:trPr>
        <w:tc>
          <w:tcPr>
            <w:tcW w:w="8077" w:type="dxa"/>
            <w:gridSpan w:val="2"/>
            <w:shd w:val="clear" w:color="auto" w:fill="001F5F"/>
          </w:tcPr>
          <w:p w14:paraId="531E0A5C" w14:textId="77777777" w:rsidR="004759BF" w:rsidRPr="004759BF" w:rsidRDefault="004759BF" w:rsidP="00A5394C">
            <w:pPr>
              <w:spacing w:after="0" w:line="360" w:lineRule="auto"/>
              <w:jc w:val="both"/>
              <w:rPr>
                <w:rFonts w:eastAsia="Calibri"/>
                <w:b/>
                <w:i/>
                <w:noProof/>
                <w:color w:val="FFFFFF" w:themeColor="background1"/>
                <w:lang w:val="es-ES"/>
              </w:rPr>
            </w:pPr>
            <w:r w:rsidRPr="004759BF">
              <w:rPr>
                <w:rFonts w:eastAsia="Calibri"/>
                <w:b/>
                <w:i/>
                <w:noProof/>
                <w:color w:val="FFFFFF" w:themeColor="background1"/>
                <w:lang w:val="es-ES"/>
              </w:rPr>
              <w:t>PROYECCIONES NOCIEMBRE – DICIEMBRE 2025</w:t>
            </w:r>
          </w:p>
        </w:tc>
      </w:tr>
      <w:tr w:rsidR="004759BF" w:rsidRPr="009420B7" w14:paraId="2496B614" w14:textId="77777777" w:rsidTr="004759BF">
        <w:trPr>
          <w:trHeight w:val="347"/>
        </w:trPr>
        <w:tc>
          <w:tcPr>
            <w:tcW w:w="3790" w:type="dxa"/>
            <w:shd w:val="clear" w:color="auto" w:fill="001F5F"/>
          </w:tcPr>
          <w:p w14:paraId="510A2930" w14:textId="77777777" w:rsidR="004759BF" w:rsidRPr="004759BF" w:rsidRDefault="004759BF" w:rsidP="00A5394C">
            <w:pPr>
              <w:spacing w:after="0" w:line="360" w:lineRule="auto"/>
              <w:jc w:val="both"/>
              <w:rPr>
                <w:rFonts w:eastAsia="Calibri"/>
                <w:b/>
                <w:i/>
                <w:noProof/>
                <w:color w:val="FFFFFF" w:themeColor="background1"/>
                <w:lang w:val="es-ES"/>
              </w:rPr>
            </w:pPr>
            <w:r w:rsidRPr="004759BF">
              <w:rPr>
                <w:rFonts w:eastAsia="Calibri"/>
                <w:b/>
                <w:i/>
                <w:noProof/>
                <w:color w:val="FFFFFF" w:themeColor="background1"/>
                <w:lang w:val="es-ES"/>
              </w:rPr>
              <w:t>PRODUCTOS</w:t>
            </w:r>
          </w:p>
        </w:tc>
        <w:tc>
          <w:tcPr>
            <w:tcW w:w="4287" w:type="dxa"/>
            <w:shd w:val="clear" w:color="auto" w:fill="001F5F"/>
          </w:tcPr>
          <w:p w14:paraId="0DDAF932" w14:textId="77777777" w:rsidR="004759BF" w:rsidRPr="004759BF" w:rsidRDefault="004759BF" w:rsidP="00A5394C">
            <w:pPr>
              <w:spacing w:after="0" w:line="360" w:lineRule="auto"/>
              <w:jc w:val="both"/>
              <w:rPr>
                <w:rFonts w:eastAsia="Calibri"/>
                <w:b/>
                <w:i/>
                <w:noProof/>
                <w:color w:val="FFFFFF" w:themeColor="background1"/>
                <w:lang w:val="es-ES"/>
              </w:rPr>
            </w:pPr>
            <w:r w:rsidRPr="004759BF">
              <w:rPr>
                <w:rFonts w:eastAsia="Calibri"/>
                <w:b/>
                <w:i/>
                <w:noProof/>
                <w:color w:val="FFFFFF" w:themeColor="background1"/>
                <w:lang w:val="es-ES"/>
              </w:rPr>
              <w:t>CANTIDAD</w:t>
            </w:r>
          </w:p>
        </w:tc>
      </w:tr>
      <w:tr w:rsidR="004759BF" w:rsidRPr="009420B7" w14:paraId="6FE32692" w14:textId="77777777" w:rsidTr="004759BF">
        <w:trPr>
          <w:trHeight w:val="333"/>
        </w:trPr>
        <w:tc>
          <w:tcPr>
            <w:tcW w:w="3790" w:type="dxa"/>
          </w:tcPr>
          <w:p w14:paraId="44D3D89C"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Acuerdos Interinstitucionales</w:t>
            </w:r>
          </w:p>
        </w:tc>
        <w:tc>
          <w:tcPr>
            <w:tcW w:w="4287" w:type="dxa"/>
          </w:tcPr>
          <w:p w14:paraId="0E29AD1F"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1</w:t>
            </w:r>
          </w:p>
        </w:tc>
      </w:tr>
      <w:tr w:rsidR="004759BF" w:rsidRPr="009420B7" w14:paraId="73D80E06" w14:textId="77777777" w:rsidTr="004759BF">
        <w:trPr>
          <w:trHeight w:val="333"/>
        </w:trPr>
        <w:tc>
          <w:tcPr>
            <w:tcW w:w="3790" w:type="dxa"/>
          </w:tcPr>
          <w:p w14:paraId="784BA499"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Resoluciones</w:t>
            </w:r>
          </w:p>
        </w:tc>
        <w:tc>
          <w:tcPr>
            <w:tcW w:w="4287" w:type="dxa"/>
          </w:tcPr>
          <w:p w14:paraId="08F681A3"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3</w:t>
            </w:r>
          </w:p>
        </w:tc>
      </w:tr>
      <w:tr w:rsidR="004759BF" w:rsidRPr="009420B7" w14:paraId="0B76C444" w14:textId="77777777" w:rsidTr="004759BF">
        <w:trPr>
          <w:trHeight w:val="333"/>
        </w:trPr>
        <w:tc>
          <w:tcPr>
            <w:tcW w:w="3790" w:type="dxa"/>
          </w:tcPr>
          <w:p w14:paraId="429EE4C8"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Contratos</w:t>
            </w:r>
          </w:p>
        </w:tc>
        <w:tc>
          <w:tcPr>
            <w:tcW w:w="4287" w:type="dxa"/>
          </w:tcPr>
          <w:p w14:paraId="64BB9602"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3</w:t>
            </w:r>
          </w:p>
        </w:tc>
      </w:tr>
      <w:tr w:rsidR="004759BF" w:rsidRPr="009420B7" w14:paraId="22AB4034" w14:textId="77777777" w:rsidTr="004759BF">
        <w:trPr>
          <w:trHeight w:val="345"/>
        </w:trPr>
        <w:tc>
          <w:tcPr>
            <w:tcW w:w="3790" w:type="dxa"/>
          </w:tcPr>
          <w:p w14:paraId="665409A4"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Procesos Litigios</w:t>
            </w:r>
          </w:p>
        </w:tc>
        <w:tc>
          <w:tcPr>
            <w:tcW w:w="4287" w:type="dxa"/>
          </w:tcPr>
          <w:p w14:paraId="4102C779"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5</w:t>
            </w:r>
          </w:p>
        </w:tc>
      </w:tr>
      <w:tr w:rsidR="004759BF" w:rsidRPr="009420B7" w14:paraId="1ABD6BBE" w14:textId="77777777" w:rsidTr="004759BF">
        <w:trPr>
          <w:trHeight w:val="333"/>
        </w:trPr>
        <w:tc>
          <w:tcPr>
            <w:tcW w:w="3790" w:type="dxa"/>
          </w:tcPr>
          <w:p w14:paraId="1ECADD2A"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Conciliaciones</w:t>
            </w:r>
          </w:p>
        </w:tc>
        <w:tc>
          <w:tcPr>
            <w:tcW w:w="4287" w:type="dxa"/>
          </w:tcPr>
          <w:p w14:paraId="679358AA"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24</w:t>
            </w:r>
          </w:p>
        </w:tc>
      </w:tr>
      <w:tr w:rsidR="004759BF" w:rsidRPr="009420B7" w14:paraId="40ECA4BA" w14:textId="77777777" w:rsidTr="004759BF">
        <w:trPr>
          <w:trHeight w:val="333"/>
        </w:trPr>
        <w:tc>
          <w:tcPr>
            <w:tcW w:w="3790" w:type="dxa"/>
            <w:shd w:val="clear" w:color="auto" w:fill="D9D9D9"/>
          </w:tcPr>
          <w:p w14:paraId="6FDB26C5"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Total:</w:t>
            </w:r>
          </w:p>
        </w:tc>
        <w:tc>
          <w:tcPr>
            <w:tcW w:w="4287" w:type="dxa"/>
            <w:shd w:val="clear" w:color="auto" w:fill="D9D9D9"/>
          </w:tcPr>
          <w:p w14:paraId="456B5019" w14:textId="77777777" w:rsidR="004759BF" w:rsidRPr="009420B7" w:rsidRDefault="004759BF" w:rsidP="00A5394C">
            <w:pPr>
              <w:spacing w:after="0" w:line="360" w:lineRule="auto"/>
              <w:jc w:val="both"/>
              <w:rPr>
                <w:rFonts w:eastAsia="Calibri"/>
                <w:b/>
                <w:i/>
                <w:noProof/>
                <w:color w:val="4C4747"/>
                <w:lang w:val="es-ES"/>
              </w:rPr>
            </w:pPr>
            <w:r w:rsidRPr="009420B7">
              <w:rPr>
                <w:rFonts w:eastAsia="Calibri"/>
                <w:b/>
                <w:i/>
                <w:noProof/>
                <w:color w:val="4C4747"/>
                <w:lang w:val="es-ES"/>
              </w:rPr>
              <w:t>36</w:t>
            </w:r>
          </w:p>
        </w:tc>
      </w:tr>
    </w:tbl>
    <w:p w14:paraId="67189FD9" w14:textId="77777777" w:rsidR="009420B7" w:rsidRPr="009420B7" w:rsidRDefault="009420B7" w:rsidP="009420B7">
      <w:pPr>
        <w:spacing w:line="360" w:lineRule="auto"/>
        <w:jc w:val="both"/>
        <w:rPr>
          <w:rFonts w:eastAsia="Calibri"/>
          <w:b/>
          <w:i/>
          <w:noProof/>
          <w:color w:val="4C4747"/>
          <w:lang w:val="es-ES"/>
        </w:rPr>
      </w:pPr>
    </w:p>
    <w:p w14:paraId="36B92F62" w14:textId="77777777" w:rsidR="009420B7" w:rsidRPr="009420B7" w:rsidRDefault="009420B7" w:rsidP="009420B7">
      <w:pPr>
        <w:spacing w:line="360" w:lineRule="auto"/>
        <w:jc w:val="both"/>
        <w:rPr>
          <w:rFonts w:eastAsia="Calibri"/>
          <w:b/>
          <w:i/>
          <w:noProof/>
          <w:color w:val="4C4747"/>
          <w:lang w:val="es-ES"/>
        </w:rPr>
      </w:pPr>
    </w:p>
    <w:p w14:paraId="0E2D64AA" w14:textId="77777777" w:rsidR="004759BF" w:rsidRPr="004759BF" w:rsidRDefault="004759BF" w:rsidP="004759BF">
      <w:pPr>
        <w:spacing w:line="360" w:lineRule="auto"/>
        <w:jc w:val="both"/>
        <w:rPr>
          <w:rFonts w:eastAsia="Calibri"/>
          <w:b/>
          <w:i/>
          <w:noProof/>
          <w:color w:val="4C4747"/>
          <w:lang w:val="es-ES"/>
        </w:rPr>
      </w:pPr>
    </w:p>
    <w:p w14:paraId="7E7B79F6" w14:textId="244DC2E2" w:rsidR="004759BF" w:rsidRPr="004759BF" w:rsidRDefault="004759BF" w:rsidP="004759BF">
      <w:pPr>
        <w:pStyle w:val="Ttulo2"/>
        <w:numPr>
          <w:ilvl w:val="1"/>
          <w:numId w:val="20"/>
        </w:numPr>
        <w:rPr>
          <w:b/>
          <w:lang w:val="es-DO"/>
        </w:rPr>
      </w:pPr>
      <w:bookmarkStart w:id="38" w:name="_bookmark15"/>
      <w:bookmarkStart w:id="39" w:name="_Toc216875874"/>
      <w:bookmarkEnd w:id="38"/>
      <w:r w:rsidRPr="004759BF">
        <w:rPr>
          <w:b/>
          <w:lang w:val="es-DO"/>
        </w:rPr>
        <w:t>Desempeño de la Tecnología</w:t>
      </w:r>
      <w:bookmarkEnd w:id="39"/>
    </w:p>
    <w:p w14:paraId="6202D903" w14:textId="77777777" w:rsidR="004759BF" w:rsidRPr="004759BF" w:rsidRDefault="004759BF" w:rsidP="004759BF">
      <w:pPr>
        <w:spacing w:line="360" w:lineRule="auto"/>
        <w:jc w:val="both"/>
        <w:rPr>
          <w:rFonts w:eastAsia="Calibri"/>
          <w:b/>
          <w:i/>
          <w:noProof/>
          <w:color w:val="4C4747"/>
          <w:lang w:val="es-ES"/>
        </w:rPr>
      </w:pPr>
    </w:p>
    <w:p w14:paraId="224C31AA" w14:textId="1C322A79"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lastRenderedPageBreak/>
        <w:t xml:space="preserve">La Dirección de Tecnología, como pilar fundamental en la era digital, tiene el compromiso de impulsar y mantener sistemas y soluciones tecnológicas avanzadas al servicio de nuestra institución por lo que presentamos </w:t>
      </w:r>
      <w:r>
        <w:rPr>
          <w:rFonts w:eastAsia="Calibri"/>
          <w:noProof/>
          <w:color w:val="4C4747"/>
          <w:lang w:val="es-ES"/>
        </w:rPr>
        <w:t>los</w:t>
      </w:r>
      <w:r w:rsidRPr="004759BF">
        <w:rPr>
          <w:rFonts w:eastAsia="Calibri"/>
          <w:noProof/>
          <w:color w:val="4C4747"/>
          <w:lang w:val="es-ES"/>
        </w:rPr>
        <w:t xml:space="preserve"> avances correspondientes al periodo enero - octubre 2025.</w:t>
      </w:r>
    </w:p>
    <w:p w14:paraId="64FCC3C7" w14:textId="12BFF989"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El Sistema de Medición Continua de Avance TIC y e-Gobierno (SISTICGE) reflejó un desempeño positivo, evidenciando los esfuerzos realizados en materia de innovación, modernización y transformación digital:</w:t>
      </w:r>
    </w:p>
    <w:p w14:paraId="4FEF9FD4" w14:textId="77777777" w:rsidR="004759BF" w:rsidRPr="004759BF" w:rsidRDefault="004759BF" w:rsidP="004759BF">
      <w:pPr>
        <w:spacing w:line="360" w:lineRule="auto"/>
        <w:ind w:left="720"/>
        <w:jc w:val="both"/>
        <w:rPr>
          <w:rFonts w:eastAsia="Calibri"/>
          <w:i/>
          <w:noProof/>
          <w:color w:val="4C4747"/>
          <w:lang w:val="es-ES"/>
        </w:rPr>
      </w:pPr>
      <w:r w:rsidRPr="004759BF">
        <w:rPr>
          <w:rFonts w:eastAsia="Calibri"/>
          <w:b/>
          <w:i/>
          <w:noProof/>
          <w:color w:val="4C4747"/>
          <w:lang w:val="es-ES"/>
        </w:rPr>
        <w:t xml:space="preserve">• </w:t>
      </w:r>
      <w:r w:rsidRPr="004759BF">
        <w:rPr>
          <w:rFonts w:eastAsia="Calibri"/>
          <w:i/>
          <w:noProof/>
          <w:color w:val="4C4747"/>
          <w:lang w:val="es-ES"/>
        </w:rPr>
        <w:t>Uso de las TIC: 82.15%</w:t>
      </w:r>
    </w:p>
    <w:p w14:paraId="36D36F7E" w14:textId="77777777" w:rsidR="004759BF" w:rsidRPr="004759BF" w:rsidRDefault="004759BF" w:rsidP="004759BF">
      <w:pPr>
        <w:spacing w:line="360" w:lineRule="auto"/>
        <w:ind w:left="720"/>
        <w:jc w:val="both"/>
        <w:rPr>
          <w:rFonts w:eastAsia="Calibri"/>
          <w:i/>
          <w:noProof/>
          <w:color w:val="4C4747"/>
          <w:lang w:val="es-ES"/>
        </w:rPr>
      </w:pPr>
      <w:r w:rsidRPr="004759BF">
        <w:rPr>
          <w:rFonts w:eastAsia="Calibri"/>
          <w:i/>
          <w:noProof/>
          <w:color w:val="4C4747"/>
          <w:lang w:val="es-ES"/>
        </w:rPr>
        <w:t xml:space="preserve">• Implementación de Gobierno Digital: 78.40% </w:t>
      </w:r>
    </w:p>
    <w:p w14:paraId="686908B1" w14:textId="77777777" w:rsidR="004759BF" w:rsidRPr="004759BF" w:rsidRDefault="004759BF" w:rsidP="004759BF">
      <w:pPr>
        <w:spacing w:line="360" w:lineRule="auto"/>
        <w:ind w:left="720"/>
        <w:jc w:val="both"/>
        <w:rPr>
          <w:rFonts w:eastAsia="Calibri"/>
          <w:i/>
          <w:noProof/>
          <w:color w:val="4C4747"/>
          <w:lang w:val="es-ES"/>
        </w:rPr>
      </w:pPr>
      <w:r w:rsidRPr="004759BF">
        <w:rPr>
          <w:rFonts w:eastAsia="Calibri"/>
          <w:i/>
          <w:noProof/>
          <w:color w:val="4C4747"/>
          <w:lang w:val="es-ES"/>
        </w:rPr>
        <w:t xml:space="preserve">• Innovación: 63.20% • e-Participación: 75.00% </w:t>
      </w:r>
    </w:p>
    <w:p w14:paraId="207F58ED" w14:textId="77777777" w:rsidR="004759BF" w:rsidRPr="004759BF" w:rsidRDefault="004759BF" w:rsidP="004759BF">
      <w:pPr>
        <w:spacing w:line="360" w:lineRule="auto"/>
        <w:ind w:left="720"/>
        <w:jc w:val="both"/>
        <w:rPr>
          <w:rFonts w:eastAsia="Calibri"/>
          <w:i/>
          <w:noProof/>
          <w:color w:val="4C4747"/>
          <w:lang w:val="es-ES"/>
        </w:rPr>
      </w:pPr>
      <w:r w:rsidRPr="004759BF">
        <w:rPr>
          <w:rFonts w:eastAsia="Calibri"/>
          <w:i/>
          <w:noProof/>
          <w:color w:val="4C4747"/>
          <w:lang w:val="es-ES"/>
        </w:rPr>
        <w:t xml:space="preserve">• Servicios en Línea: 74.85% </w:t>
      </w:r>
    </w:p>
    <w:p w14:paraId="567F6CA6" w14:textId="3A0CD2D9" w:rsidR="004759BF" w:rsidRPr="004759BF" w:rsidRDefault="004759BF" w:rsidP="004759BF">
      <w:pPr>
        <w:spacing w:line="360" w:lineRule="auto"/>
        <w:ind w:left="720"/>
        <w:jc w:val="both"/>
        <w:rPr>
          <w:rFonts w:eastAsia="Calibri"/>
          <w:i/>
          <w:noProof/>
          <w:color w:val="4C4747"/>
          <w:lang w:val="es-ES"/>
        </w:rPr>
      </w:pPr>
      <w:r w:rsidRPr="004759BF">
        <w:rPr>
          <w:rFonts w:eastAsia="Calibri"/>
          <w:i/>
          <w:noProof/>
          <w:color w:val="4C4747"/>
          <w:lang w:val="es-ES"/>
        </w:rPr>
        <w:t xml:space="preserve">• Posición en Ranking: 41 </w:t>
      </w:r>
    </w:p>
    <w:p w14:paraId="218122BF" w14:textId="518794A4"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 xml:space="preserve">Estos resultados demuestran avances sostenidos en procesos de digitalización, optimización de servicios y fortalecimiento de las competencias tecnológicas dentro de la institución. </w:t>
      </w:r>
    </w:p>
    <w:p w14:paraId="1FBD563C" w14:textId="595E45B6"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lastRenderedPageBreak/>
        <w:t xml:space="preserve">Aportes del Departamento de Desarrollo e Implementación de Sistemas TIC </w:t>
      </w:r>
    </w:p>
    <w:p w14:paraId="3DA1ED2D" w14:textId="77777777" w:rsidR="004759BF" w:rsidRPr="004759BF" w:rsidRDefault="004759BF" w:rsidP="004759BF">
      <w:pPr>
        <w:spacing w:line="360" w:lineRule="auto"/>
        <w:jc w:val="both"/>
        <w:rPr>
          <w:rFonts w:eastAsia="Calibri"/>
          <w:b/>
          <w:i/>
          <w:noProof/>
          <w:color w:val="4C4747"/>
          <w:lang w:val="es-ES"/>
        </w:rPr>
      </w:pPr>
      <w:r w:rsidRPr="004759BF">
        <w:rPr>
          <w:rFonts w:eastAsia="Calibri"/>
          <w:b/>
          <w:i/>
          <w:noProof/>
          <w:color w:val="4C4747"/>
          <w:lang w:val="es-ES"/>
        </w:rPr>
        <w:t xml:space="preserve">El Departamento de Desarrollo TIC ejecutó iniciativas claves para fortalecer la infraestructura digital y los sistemas institucionales, garantizando una plataforma tecnológica moderna, eficiente, interoperable y alineada con los estándares nacionales. </w:t>
      </w:r>
    </w:p>
    <w:p w14:paraId="1B2683E6" w14:textId="10A5487D" w:rsidR="004759BF" w:rsidRPr="004759BF" w:rsidRDefault="004759BF" w:rsidP="004759BF">
      <w:pPr>
        <w:spacing w:line="360" w:lineRule="auto"/>
        <w:jc w:val="both"/>
        <w:rPr>
          <w:rFonts w:eastAsia="Calibri"/>
          <w:b/>
          <w:i/>
          <w:noProof/>
          <w:color w:val="4C4747"/>
          <w:u w:val="single"/>
          <w:lang w:val="es-ES"/>
        </w:rPr>
      </w:pPr>
      <w:r w:rsidRPr="004759BF">
        <w:rPr>
          <w:rFonts w:eastAsia="Calibri"/>
          <w:b/>
          <w:i/>
          <w:noProof/>
          <w:color w:val="4C4747"/>
          <w:u w:val="single"/>
          <w:lang w:val="es-ES"/>
        </w:rPr>
        <w:t xml:space="preserve">Servicios Locales y Módulos Operativos </w:t>
      </w:r>
    </w:p>
    <w:p w14:paraId="2F9ED24B" w14:textId="79FCD1E1"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Certificación NORTIC A6: Se mantuvo el cumplimiento de la norma referente al desarrollo y gestión del software estatal, garantizando calidad, trazabilidad y estandarización. </w:t>
      </w:r>
    </w:p>
    <w:p w14:paraId="7AF64283" w14:textId="65A02F17"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Módulo de Solicitud de Servicios de Auditores y Tasadores: Digitalización del proceso para mayor eficiencia y control. </w:t>
      </w:r>
    </w:p>
    <w:p w14:paraId="54628F6E" w14:textId="4CF5FD5B"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Sistema para el Control del Fondo de Garantía de Compañías Aseguradoras: Implementación de una solución que optimiza el registro, consulta y gestión del fondo. </w:t>
      </w:r>
    </w:p>
    <w:p w14:paraId="642541E8" w14:textId="137C92F1"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API para Conexión y Uso de Inteligencia de Datos: Permite la interoperabilidad con compañías aseguradoras, fortaleciendo el análisis y toma de decisiones. </w:t>
      </w:r>
    </w:p>
    <w:p w14:paraId="045E3E0C" w14:textId="5C23F880"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Versión Avanzada del Sistema de Licencias Web: Se modernizó la estructura, interfaz y funcionalidades del </w:t>
      </w:r>
      <w:r w:rsidRPr="004759BF">
        <w:rPr>
          <w:noProof/>
          <w:color w:val="404040" w:themeColor="text1" w:themeTint="BF"/>
          <w:lang w:val="es-ES"/>
        </w:rPr>
        <w:lastRenderedPageBreak/>
        <w:t xml:space="preserve">sistema. • Integración de Carpeta Ciudadana API (X-Road): Facilitó la consulta de pólizas de seguros desde plataformas gubernamentales. </w:t>
      </w:r>
    </w:p>
    <w:p w14:paraId="2E7F00E4" w14:textId="17AEEDA2"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Control y Registro de Donaciones: Módulo que garantiza transparencia, seguimiento y trazabilidad de las donaciones recibidas. </w:t>
      </w:r>
    </w:p>
    <w:p w14:paraId="5951FCF3" w14:textId="378EB846"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Integración de Nómina con Cooperativas vía API: Automatización del flujo de ahorros y préstamos del personal. Servicios en Línea – Portal Web </w:t>
      </w:r>
    </w:p>
    <w:p w14:paraId="3961D31D" w14:textId="4F33AF91"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Consulta de Certificados EFOSIS con Código QR: Aumenta la verificación, transparencia y seguridad. </w:t>
      </w:r>
    </w:p>
    <w:p w14:paraId="78ECDB65" w14:textId="1E27B7E9"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Migración del Portal Institucional: Actualización completa de la plataforma a nuevas tecnologías, mejorando rendimiento, seguridad y experiencia del usuario. Proyectos Estratégicos y Acciones Clave. </w:t>
      </w:r>
    </w:p>
    <w:p w14:paraId="31A9A60E" w14:textId="35AB5285"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Desarrollo de Módulos para Recursos Humanos (RRHH) y Nómina: Automatización y optimización de procesos internos. </w:t>
      </w:r>
    </w:p>
    <w:p w14:paraId="5454445F" w14:textId="5638DF28"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Integración Interinstitucional (X-Road): Consolidación del intercambio seguro de datos con otras entidades del Estado. </w:t>
      </w:r>
    </w:p>
    <w:p w14:paraId="3FCFCFD2" w14:textId="1EACFAE9"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Optimización de Gestión de Licencias: Nuevo sistema para emisión, verificación y control digital. </w:t>
      </w:r>
    </w:p>
    <w:p w14:paraId="226486EE" w14:textId="55BED7D2"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lastRenderedPageBreak/>
        <w:t xml:space="preserve">Sistema de Examen en Línea: Herramienta que permite evaluaciones remotas para agentes y corredores. Gestión del Departamento de Operaciones TIC El Departamento de Operaciones trabajó para asegurar estabilidad, disponibilidad y seguridad en todos los servicios tecnológicos institucionales. Infraestructura y Supervisión </w:t>
      </w:r>
    </w:p>
    <w:p w14:paraId="0599118F" w14:textId="28BF0F49"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Monitoreo continuo de la infraestructura tecnológica. </w:t>
      </w:r>
    </w:p>
    <w:p w14:paraId="5C435E29" w14:textId="1860EB7B"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Fortalecimiento de la Inteligencia de Datos en el NAP del Caribe. </w:t>
      </w:r>
    </w:p>
    <w:p w14:paraId="1F80221D" w14:textId="2F45868C"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Implementación y mantenimiento de la solución de Recuperación de Datos (DRP). </w:t>
      </w:r>
    </w:p>
    <w:p w14:paraId="6D16D8EF" w14:textId="77777777" w:rsidR="004759BF" w:rsidRDefault="004759BF" w:rsidP="004759BF">
      <w:pPr>
        <w:pStyle w:val="Prrafodelista"/>
        <w:numPr>
          <w:ilvl w:val="0"/>
          <w:numId w:val="29"/>
        </w:numPr>
        <w:spacing w:line="360" w:lineRule="auto"/>
        <w:jc w:val="both"/>
        <w:rPr>
          <w:noProof/>
          <w:lang w:val="es-ES"/>
        </w:rPr>
      </w:pPr>
      <w:r w:rsidRPr="004759BF">
        <w:rPr>
          <w:noProof/>
          <w:color w:val="404040" w:themeColor="text1" w:themeTint="BF"/>
          <w:lang w:val="es-ES"/>
        </w:rPr>
        <w:t xml:space="preserve">Adecuación del Aula Tecnológica ESFOSIS. Licencias y Normativas </w:t>
      </w:r>
    </w:p>
    <w:p w14:paraId="2D33B650" w14:textId="46921405"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Actualización de licencias clave: o Windows 11 o Power BI </w:t>
      </w:r>
    </w:p>
    <w:p w14:paraId="33E5DC2D" w14:textId="77777777"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 Mantener la certificación de la NORTIC E1, cumpliendo requisitos de interoperabilidad. Proyectos y Mejoras Operativas • Ampliación de infraestructura de bases de datos. </w:t>
      </w:r>
    </w:p>
    <w:p w14:paraId="6FC4E153" w14:textId="6FE8B5D1" w:rsidR="004759BF" w:rsidRPr="004759BF" w:rsidRDefault="004759BF" w:rsidP="004759BF">
      <w:pPr>
        <w:pStyle w:val="Prrafodelista"/>
        <w:numPr>
          <w:ilvl w:val="0"/>
          <w:numId w:val="29"/>
        </w:numPr>
        <w:spacing w:line="360" w:lineRule="auto"/>
        <w:jc w:val="both"/>
        <w:rPr>
          <w:noProof/>
          <w:color w:val="404040" w:themeColor="text1" w:themeTint="BF"/>
          <w:lang w:val="es-ES"/>
        </w:rPr>
      </w:pPr>
      <w:r w:rsidRPr="004759BF">
        <w:rPr>
          <w:noProof/>
          <w:color w:val="404040" w:themeColor="text1" w:themeTint="BF"/>
          <w:lang w:val="es-ES"/>
        </w:rPr>
        <w:t xml:space="preserve">Consolidación de la integración con Carpeta Ciudadana. </w:t>
      </w:r>
    </w:p>
    <w:p w14:paraId="0429362C" w14:textId="7093F445" w:rsidR="004759BF" w:rsidRPr="004759BF" w:rsidRDefault="004759BF" w:rsidP="004759BF">
      <w:pPr>
        <w:spacing w:line="360" w:lineRule="auto"/>
        <w:jc w:val="both"/>
        <w:rPr>
          <w:rFonts w:eastAsia="Calibri"/>
          <w:b/>
          <w:i/>
          <w:noProof/>
          <w:color w:val="4C4747"/>
          <w:lang w:val="es-ES"/>
        </w:rPr>
      </w:pPr>
      <w:r w:rsidRPr="004759BF">
        <w:rPr>
          <w:rFonts w:eastAsia="Calibri"/>
          <w:b/>
          <w:i/>
          <w:noProof/>
          <w:color w:val="4C4747"/>
          <w:lang w:val="es-ES"/>
        </w:rPr>
        <w:t>Disponibilidad de la Infraestructura Tecnológica 2025</w:t>
      </w:r>
      <w:r>
        <w:rPr>
          <w:rFonts w:eastAsia="Calibri"/>
          <w:b/>
          <w:i/>
          <w:noProof/>
          <w:color w:val="4C4747"/>
          <w:lang w:val="es-ES"/>
        </w:rPr>
        <w:t>:</w:t>
      </w:r>
      <w:r w:rsidRPr="004759BF">
        <w:rPr>
          <w:rFonts w:eastAsia="Calibri"/>
          <w:b/>
          <w:i/>
          <w:noProof/>
          <w:color w:val="4C4747"/>
          <w:lang w:val="es-ES"/>
        </w:rPr>
        <w:t xml:space="preserve"> </w:t>
      </w:r>
      <w:r w:rsidRPr="004759BF">
        <w:rPr>
          <w:rFonts w:eastAsia="Calibri"/>
          <w:noProof/>
          <w:color w:val="4C4747"/>
          <w:lang w:val="es-ES"/>
        </w:rPr>
        <w:t>Los indicadores de disponibilidad de los servicios reflejaron un desempeño estable durante todo el período evaluado:</w:t>
      </w:r>
    </w:p>
    <w:tbl>
      <w:tblPr>
        <w:tblpPr w:leftFromText="180" w:rightFromText="180" w:vertAnchor="text" w:horzAnchor="page" w:tblpX="2813" w:tblpY="1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2972"/>
      </w:tblGrid>
      <w:tr w:rsidR="004759BF" w:rsidRPr="004759BF" w14:paraId="51EEA022" w14:textId="77777777" w:rsidTr="004759BF">
        <w:trPr>
          <w:trHeight w:val="412"/>
        </w:trPr>
        <w:tc>
          <w:tcPr>
            <w:tcW w:w="2516" w:type="dxa"/>
            <w:shd w:val="clear" w:color="auto" w:fill="001F5F"/>
          </w:tcPr>
          <w:p w14:paraId="2EC6C518" w14:textId="77777777" w:rsidR="004759BF" w:rsidRPr="004759BF" w:rsidRDefault="004759BF" w:rsidP="004759BF">
            <w:pPr>
              <w:spacing w:line="360" w:lineRule="auto"/>
              <w:jc w:val="both"/>
              <w:rPr>
                <w:rFonts w:eastAsia="Calibri"/>
                <w:b/>
                <w:noProof/>
                <w:color w:val="FFFFFF" w:themeColor="background1"/>
                <w:lang w:val="es-ES"/>
              </w:rPr>
            </w:pPr>
            <w:r w:rsidRPr="004759BF">
              <w:rPr>
                <w:rFonts w:eastAsia="Calibri"/>
                <w:b/>
                <w:noProof/>
                <w:color w:val="FFFFFF" w:themeColor="background1"/>
                <w:lang w:val="es-ES"/>
              </w:rPr>
              <w:lastRenderedPageBreak/>
              <w:t>SERVICIO</w:t>
            </w:r>
          </w:p>
        </w:tc>
        <w:tc>
          <w:tcPr>
            <w:tcW w:w="2972" w:type="dxa"/>
            <w:shd w:val="clear" w:color="auto" w:fill="001F5F"/>
          </w:tcPr>
          <w:p w14:paraId="1A83EB82" w14:textId="77777777" w:rsidR="004759BF" w:rsidRPr="004759BF" w:rsidRDefault="004759BF" w:rsidP="004759BF">
            <w:pPr>
              <w:spacing w:line="360" w:lineRule="auto"/>
              <w:jc w:val="both"/>
              <w:rPr>
                <w:rFonts w:eastAsia="Calibri"/>
                <w:b/>
                <w:noProof/>
                <w:color w:val="FFFFFF" w:themeColor="background1"/>
                <w:lang w:val="es-ES"/>
              </w:rPr>
            </w:pPr>
            <w:r w:rsidRPr="004759BF">
              <w:rPr>
                <w:rFonts w:eastAsia="Calibri"/>
                <w:b/>
                <w:noProof/>
                <w:color w:val="FFFFFF" w:themeColor="background1"/>
                <w:lang w:val="es-ES"/>
              </w:rPr>
              <w:t>DISPONIBILIDAD (%)</w:t>
            </w:r>
          </w:p>
        </w:tc>
      </w:tr>
      <w:tr w:rsidR="004759BF" w:rsidRPr="004759BF" w14:paraId="353BB1FF" w14:textId="77777777" w:rsidTr="004759BF">
        <w:trPr>
          <w:trHeight w:val="414"/>
        </w:trPr>
        <w:tc>
          <w:tcPr>
            <w:tcW w:w="2516" w:type="dxa"/>
          </w:tcPr>
          <w:p w14:paraId="4A82243F"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Aplicaciones</w:t>
            </w:r>
          </w:p>
        </w:tc>
        <w:tc>
          <w:tcPr>
            <w:tcW w:w="2972" w:type="dxa"/>
          </w:tcPr>
          <w:p w14:paraId="7DB5744D"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94.07</w:t>
            </w:r>
          </w:p>
        </w:tc>
      </w:tr>
      <w:tr w:rsidR="004759BF" w:rsidRPr="004759BF" w14:paraId="3042989A" w14:textId="77777777" w:rsidTr="004759BF">
        <w:trPr>
          <w:trHeight w:val="412"/>
        </w:trPr>
        <w:tc>
          <w:tcPr>
            <w:tcW w:w="2516" w:type="dxa"/>
          </w:tcPr>
          <w:p w14:paraId="4E285F93"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Intrasis</w:t>
            </w:r>
          </w:p>
        </w:tc>
        <w:tc>
          <w:tcPr>
            <w:tcW w:w="2972" w:type="dxa"/>
          </w:tcPr>
          <w:p w14:paraId="7DE75F5E"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95.47</w:t>
            </w:r>
          </w:p>
        </w:tc>
      </w:tr>
      <w:tr w:rsidR="004759BF" w:rsidRPr="004759BF" w14:paraId="39C1D239" w14:textId="77777777" w:rsidTr="004759BF">
        <w:trPr>
          <w:trHeight w:val="414"/>
        </w:trPr>
        <w:tc>
          <w:tcPr>
            <w:tcW w:w="2516" w:type="dxa"/>
          </w:tcPr>
          <w:p w14:paraId="05E524BD"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Base de Datos</w:t>
            </w:r>
          </w:p>
        </w:tc>
        <w:tc>
          <w:tcPr>
            <w:tcW w:w="2972" w:type="dxa"/>
          </w:tcPr>
          <w:p w14:paraId="42BF2381"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94.37</w:t>
            </w:r>
          </w:p>
        </w:tc>
      </w:tr>
      <w:tr w:rsidR="004759BF" w:rsidRPr="004759BF" w14:paraId="5C45E365" w14:textId="77777777" w:rsidTr="004759BF">
        <w:trPr>
          <w:trHeight w:val="415"/>
        </w:trPr>
        <w:tc>
          <w:tcPr>
            <w:tcW w:w="2516" w:type="dxa"/>
          </w:tcPr>
          <w:p w14:paraId="5BAA9DB0"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Portal Web</w:t>
            </w:r>
          </w:p>
        </w:tc>
        <w:tc>
          <w:tcPr>
            <w:tcW w:w="2972" w:type="dxa"/>
          </w:tcPr>
          <w:p w14:paraId="3B703FA1"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98.57</w:t>
            </w:r>
          </w:p>
        </w:tc>
      </w:tr>
      <w:tr w:rsidR="004759BF" w:rsidRPr="004759BF" w14:paraId="1FD58EAB" w14:textId="77777777" w:rsidTr="004759BF">
        <w:trPr>
          <w:trHeight w:val="573"/>
        </w:trPr>
        <w:tc>
          <w:tcPr>
            <w:tcW w:w="2516" w:type="dxa"/>
          </w:tcPr>
          <w:p w14:paraId="003186B7"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Servidor DC</w:t>
            </w:r>
          </w:p>
        </w:tc>
        <w:tc>
          <w:tcPr>
            <w:tcW w:w="2972" w:type="dxa"/>
          </w:tcPr>
          <w:p w14:paraId="0709D8F9"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95.05</w:t>
            </w:r>
          </w:p>
        </w:tc>
      </w:tr>
    </w:tbl>
    <w:p w14:paraId="3C0FE770" w14:textId="3EC26C86" w:rsidR="004759BF" w:rsidRDefault="004759BF" w:rsidP="004759BF">
      <w:pPr>
        <w:spacing w:line="360" w:lineRule="auto"/>
        <w:jc w:val="both"/>
        <w:rPr>
          <w:rFonts w:eastAsia="Calibri"/>
          <w:noProof/>
          <w:color w:val="4C4747"/>
          <w:lang w:val="es-ES"/>
        </w:rPr>
      </w:pPr>
    </w:p>
    <w:p w14:paraId="43CA336F" w14:textId="3F241299" w:rsidR="004759BF" w:rsidRDefault="004759BF" w:rsidP="004759BF">
      <w:pPr>
        <w:spacing w:line="360" w:lineRule="auto"/>
        <w:jc w:val="both"/>
        <w:rPr>
          <w:rFonts w:eastAsia="Calibri"/>
          <w:noProof/>
          <w:color w:val="4C4747"/>
          <w:lang w:val="es-ES"/>
        </w:rPr>
      </w:pPr>
    </w:p>
    <w:p w14:paraId="65EA5949" w14:textId="6A704053" w:rsidR="004759BF" w:rsidRDefault="004759BF" w:rsidP="004759BF">
      <w:pPr>
        <w:spacing w:line="360" w:lineRule="auto"/>
        <w:jc w:val="both"/>
        <w:rPr>
          <w:rFonts w:eastAsia="Calibri"/>
          <w:noProof/>
          <w:color w:val="4C4747"/>
          <w:lang w:val="es-ES"/>
        </w:rPr>
      </w:pPr>
    </w:p>
    <w:p w14:paraId="6F60A530" w14:textId="69AE17FF" w:rsidR="004759BF" w:rsidRDefault="004759BF" w:rsidP="004759BF">
      <w:pPr>
        <w:spacing w:line="360" w:lineRule="auto"/>
        <w:jc w:val="both"/>
        <w:rPr>
          <w:rFonts w:eastAsia="Calibri"/>
          <w:noProof/>
          <w:color w:val="4C4747"/>
          <w:lang w:val="es-ES"/>
        </w:rPr>
      </w:pPr>
    </w:p>
    <w:p w14:paraId="56DB91B0" w14:textId="4070F709" w:rsidR="004759BF" w:rsidRDefault="004759BF" w:rsidP="004759BF">
      <w:pPr>
        <w:spacing w:line="360" w:lineRule="auto"/>
        <w:jc w:val="both"/>
        <w:rPr>
          <w:rFonts w:eastAsia="Calibri"/>
          <w:noProof/>
          <w:color w:val="4C4747"/>
          <w:lang w:val="es-ES"/>
        </w:rPr>
      </w:pPr>
    </w:p>
    <w:p w14:paraId="48C1F5E7" w14:textId="54036C65" w:rsidR="004759BF" w:rsidRDefault="004759BF" w:rsidP="004759BF">
      <w:pPr>
        <w:spacing w:line="360" w:lineRule="auto"/>
        <w:jc w:val="both"/>
        <w:rPr>
          <w:rFonts w:eastAsia="Calibri"/>
          <w:noProof/>
          <w:color w:val="4C4747"/>
          <w:lang w:val="es-ES"/>
        </w:rPr>
      </w:pPr>
    </w:p>
    <w:p w14:paraId="2262317D" w14:textId="2C11573C" w:rsidR="004759BF" w:rsidRDefault="004759BF" w:rsidP="004759BF">
      <w:pPr>
        <w:spacing w:line="360" w:lineRule="auto"/>
        <w:jc w:val="both"/>
        <w:rPr>
          <w:rFonts w:eastAsia="Calibri"/>
          <w:noProof/>
          <w:color w:val="4C4747"/>
          <w:lang w:val="es-ES"/>
        </w:rPr>
      </w:pPr>
    </w:p>
    <w:p w14:paraId="5D34190B" w14:textId="77777777" w:rsidR="004759BF" w:rsidRPr="004759BF" w:rsidRDefault="004759BF" w:rsidP="004759BF">
      <w:pPr>
        <w:spacing w:line="360" w:lineRule="auto"/>
        <w:jc w:val="both"/>
        <w:rPr>
          <w:rFonts w:eastAsia="Calibri"/>
          <w:noProof/>
          <w:color w:val="4C4747"/>
          <w:lang w:val="es-ES"/>
        </w:rPr>
      </w:pPr>
    </w:p>
    <w:p w14:paraId="76B5200D" w14:textId="32B199B5"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El promedio general confirma un esfuerzo constante en garantizar la continuidad operacional y el acceso permanente a los sistemas críticos.</w:t>
      </w:r>
    </w:p>
    <w:p w14:paraId="1D9B91E1"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u w:val="single"/>
          <w:lang w:val="es-ES"/>
        </w:rPr>
        <w:t>El Departamento de Administración de Servicios TIC</w:t>
      </w:r>
      <w:r w:rsidRPr="004759BF">
        <w:rPr>
          <w:rFonts w:eastAsia="Calibri"/>
          <w:noProof/>
          <w:color w:val="4C4747"/>
          <w:lang w:val="es-ES"/>
        </w:rPr>
        <w:t xml:space="preserve"> ha gestionado y ejecutado diversas iniciativas orientadas a garantizar el buen funcionamiento de los equipos tecnológicos y la infraestructura institucional. Durante el período reportado, se destacan las siguientes acciones y resultados:</w:t>
      </w:r>
    </w:p>
    <w:p w14:paraId="286FF75C" w14:textId="62628D64"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lang w:val="es-ES"/>
        </w:rPr>
        <w:t>Gestión y Actualización de Infraestructura</w:t>
      </w:r>
    </w:p>
    <w:p w14:paraId="6A714947"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lastRenderedPageBreak/>
        <w:t xml:space="preserve">Instalación de redes en múltiples áreas, incluyendo Estudios. </w:t>
      </w:r>
    </w:p>
    <w:p w14:paraId="1715263A"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Migración completa a Windows 11. </w:t>
      </w:r>
    </w:p>
    <w:p w14:paraId="21683519"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Actualización de hardware para mejorar rendimiento. </w:t>
      </w:r>
    </w:p>
    <w:p w14:paraId="15C3A915" w14:textId="6246C2D2"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Configuración de almacenamiento en la nube mediante volúmenes compartidos.</w:t>
      </w:r>
    </w:p>
    <w:p w14:paraId="6B98818A" w14:textId="4FACD079"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lang w:val="es-ES"/>
        </w:rPr>
        <w:t>Gestión de Equipos y Software</w:t>
      </w:r>
    </w:p>
    <w:p w14:paraId="54AE736F"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Entrega y configuración de 13 dispositivos Microsoft Surface.</w:t>
      </w:r>
    </w:p>
    <w:p w14:paraId="438F3D2B"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Instalación de equipos para cursos digitales de corredores.</w:t>
      </w:r>
    </w:p>
    <w:p w14:paraId="692A7E46"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Sustitución de 44 baterías UPS en áreas críticas.</w:t>
      </w:r>
    </w:p>
    <w:p w14:paraId="1E3B339A"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Actualización del software antivirus institucional.</w:t>
      </w:r>
    </w:p>
    <w:p w14:paraId="444CBC78" w14:textId="1569304D"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Configuración de teléfonos institucionales y mensajes automáticos.</w:t>
      </w:r>
    </w:p>
    <w:p w14:paraId="11B8AAFE" w14:textId="7F6EB28A"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lang w:val="es-ES"/>
        </w:rPr>
        <w:t>Soporte Técnico y Respuesta a Incidencias</w:t>
      </w:r>
    </w:p>
    <w:p w14:paraId="74849C00"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1,134 casos atendidos de enero a octubre 2025.</w:t>
      </w:r>
    </w:p>
    <w:p w14:paraId="22912A3A" w14:textId="582E740B" w:rsidR="004759BF" w:rsidRPr="00A5394C"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lastRenderedPageBreak/>
        <w:t>100% de resolución, fortaleciendo la eficiencia de respuesta institucional.</w:t>
      </w:r>
    </w:p>
    <w:p w14:paraId="360DC472" w14:textId="77777777"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u w:val="single"/>
          <w:lang w:val="es-ES"/>
        </w:rPr>
        <w:t>El Departamento de Seguridad y Monitoreo TIC</w:t>
      </w:r>
      <w:r w:rsidRPr="004759BF">
        <w:rPr>
          <w:rFonts w:eastAsia="Calibri"/>
          <w:b/>
          <w:noProof/>
          <w:color w:val="4C4747"/>
          <w:lang w:val="es-ES"/>
        </w:rPr>
        <w:t xml:space="preserve"> </w:t>
      </w:r>
    </w:p>
    <w:p w14:paraId="493606EE"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Este departamento consolidó la protección de los sistemas institucionales mediante soluciones avanzadas y monitoreo permanente.</w:t>
      </w:r>
    </w:p>
    <w:p w14:paraId="07E3DD3E" w14:textId="54C45DA7"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lang w:val="es-ES"/>
        </w:rPr>
        <w:t>Proyectos Ejecutados</w:t>
      </w:r>
    </w:p>
    <w:p w14:paraId="4BAB4739"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Finalización de la segunda fase del CCTV. </w:t>
      </w:r>
    </w:p>
    <w:p w14:paraId="04D83C4A"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Implementación de seguridad perimetral WAN con Claro. </w:t>
      </w:r>
    </w:p>
    <w:p w14:paraId="768D898B"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Procedimiento institucional para uso de firma digital.</w:t>
      </w:r>
    </w:p>
    <w:p w14:paraId="2EE28F36"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Integración del túnel IPSEC con aseguradoras.</w:t>
      </w:r>
    </w:p>
    <w:p w14:paraId="4E465898" w14:textId="1B01650A"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Implementación de herramienta para administración de parches.</w:t>
      </w:r>
    </w:p>
    <w:p w14:paraId="4E615761" w14:textId="1F8DF844"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lang w:val="es-ES"/>
        </w:rPr>
        <w:t>Cumplimiento Normativo</w:t>
      </w:r>
    </w:p>
    <w:p w14:paraId="0761F431"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Habilitación de la NORTIC A3 (Gestión de Infraestructura TI).</w:t>
      </w:r>
    </w:p>
    <w:p w14:paraId="53E1A802"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lastRenderedPageBreak/>
        <w:t>Mantenimiento de la certificación NORTIC A6.</w:t>
      </w:r>
    </w:p>
    <w:p w14:paraId="6D10E204" w14:textId="4B908717" w:rsidR="004759BF" w:rsidRPr="00A5394C"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Fortalecimiento de las medidas para recuperar la NORTIC A4</w:t>
      </w:r>
      <w:r>
        <w:rPr>
          <w:rFonts w:eastAsia="Calibri"/>
          <w:noProof/>
          <w:color w:val="4C4747"/>
          <w:lang w:val="es-ES"/>
        </w:rPr>
        <w:t>.</w:t>
      </w:r>
    </w:p>
    <w:p w14:paraId="1A885DDF" w14:textId="3BBB9310" w:rsidR="004759BF" w:rsidRPr="004759BF" w:rsidRDefault="004759BF" w:rsidP="004759BF">
      <w:pPr>
        <w:spacing w:line="360" w:lineRule="auto"/>
        <w:jc w:val="both"/>
        <w:rPr>
          <w:rFonts w:eastAsia="Calibri"/>
          <w:b/>
          <w:noProof/>
          <w:color w:val="4C4747"/>
          <w:lang w:val="es-ES"/>
        </w:rPr>
      </w:pPr>
      <w:r w:rsidRPr="004759BF">
        <w:rPr>
          <w:rFonts w:eastAsia="Calibri"/>
          <w:b/>
          <w:noProof/>
          <w:color w:val="4C4747"/>
          <w:lang w:val="es-ES"/>
        </w:rPr>
        <w:t>Indicadores de Seguridad</w:t>
      </w:r>
    </w:p>
    <w:p w14:paraId="7C8603CF"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En el reporte de antivirus, se detectaron 47 amenazas, de las cuales 45 fueron eliminadas y 2 permanecen en cuarentena. No se reportaron dispositivos infectados.</w:t>
      </w:r>
    </w:p>
    <w:p w14:paraId="3C4D0733"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0 dispositivos infectados.</w:t>
      </w:r>
    </w:p>
    <w:p w14:paraId="7219F1B0"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100% de disponibilidad de Internet.</w:t>
      </w:r>
    </w:p>
    <w:p w14:paraId="6859D5AF"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Reducción progresiva de vulnerabilidades SIEM.</w:t>
      </w:r>
    </w:p>
    <w:p w14:paraId="764D9A1A" w14:textId="152590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166 ataques bloqueados, incluyendo 47 exploits y 90 sitios maliciosos neutralizados.</w:t>
      </w:r>
    </w:p>
    <w:p w14:paraId="0299B314" w14:textId="5D23ECA3" w:rsidR="004759BF" w:rsidRPr="004759BF" w:rsidRDefault="004759BF" w:rsidP="004759BF">
      <w:pPr>
        <w:spacing w:line="360" w:lineRule="auto"/>
        <w:jc w:val="both"/>
        <w:rPr>
          <w:rFonts w:eastAsia="Calibri"/>
          <w:noProof/>
          <w:color w:val="4C4747"/>
          <w:lang w:val="es-ES"/>
        </w:rPr>
      </w:pPr>
      <w:r w:rsidRPr="004759BF">
        <w:rPr>
          <w:rFonts w:eastAsia="Calibri"/>
          <w:b/>
          <w:noProof/>
          <w:color w:val="4C4747"/>
          <w:lang w:val="es-ES"/>
        </w:rPr>
        <w:t>Participación de Mujeres en Proyectos Tecnológicos 2025</w:t>
      </w:r>
      <w:r w:rsidRPr="004759BF">
        <w:rPr>
          <w:rFonts w:eastAsia="Calibri"/>
          <w:noProof/>
          <w:color w:val="4C4747"/>
          <w:lang w:val="es-ES"/>
        </w:rPr>
        <w:t xml:space="preserve"> </w:t>
      </w:r>
    </w:p>
    <w:p w14:paraId="53B0701F" w14:textId="463A0706"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La Dirección TIC promovió la participación activa de las mujeres en procesos, proyectos y actividades del área, en cumplimiento de los principios de igualdad y equidad institucional. Logrando así destacadas contribuciones femeninas, tales como:</w:t>
      </w:r>
    </w:p>
    <w:p w14:paraId="32CA37F2" w14:textId="77777777" w:rsidR="004759BF" w:rsidRPr="004759BF" w:rsidRDefault="004759BF" w:rsidP="004759BF">
      <w:pPr>
        <w:numPr>
          <w:ilvl w:val="0"/>
          <w:numId w:val="31"/>
        </w:numPr>
        <w:spacing w:line="360" w:lineRule="auto"/>
        <w:jc w:val="both"/>
        <w:rPr>
          <w:rFonts w:eastAsia="Calibri"/>
          <w:noProof/>
          <w:color w:val="4C4747"/>
          <w:lang w:val="es-ES"/>
        </w:rPr>
      </w:pPr>
      <w:r w:rsidRPr="004759BF">
        <w:rPr>
          <w:rFonts w:eastAsia="Calibri"/>
          <w:noProof/>
          <w:color w:val="4C4747"/>
          <w:lang w:val="es-ES"/>
        </w:rPr>
        <w:lastRenderedPageBreak/>
        <w:t>Gestión de proyectos TIC.</w:t>
      </w:r>
    </w:p>
    <w:p w14:paraId="12D0FADC" w14:textId="77777777" w:rsidR="004759BF" w:rsidRPr="004759BF" w:rsidRDefault="004759BF" w:rsidP="004759BF">
      <w:pPr>
        <w:numPr>
          <w:ilvl w:val="0"/>
          <w:numId w:val="31"/>
        </w:numPr>
        <w:spacing w:line="360" w:lineRule="auto"/>
        <w:jc w:val="both"/>
        <w:rPr>
          <w:rFonts w:eastAsia="Calibri"/>
          <w:noProof/>
          <w:color w:val="4C4747"/>
          <w:lang w:val="es-ES"/>
        </w:rPr>
      </w:pPr>
      <w:r w:rsidRPr="004759BF">
        <w:rPr>
          <w:rFonts w:eastAsia="Calibri"/>
          <w:noProof/>
          <w:color w:val="4C4747"/>
          <w:lang w:val="es-ES"/>
        </w:rPr>
        <w:t>Administración de servicios tecnológicos.</w:t>
      </w:r>
    </w:p>
    <w:p w14:paraId="76348962" w14:textId="77777777" w:rsidR="004759BF" w:rsidRPr="004759BF" w:rsidRDefault="004759BF" w:rsidP="004759BF">
      <w:pPr>
        <w:numPr>
          <w:ilvl w:val="0"/>
          <w:numId w:val="31"/>
        </w:numPr>
        <w:spacing w:line="360" w:lineRule="auto"/>
        <w:jc w:val="both"/>
        <w:rPr>
          <w:rFonts w:eastAsia="Calibri"/>
          <w:noProof/>
          <w:color w:val="4C4747"/>
          <w:lang w:val="es-ES"/>
        </w:rPr>
      </w:pPr>
      <w:r w:rsidRPr="004759BF">
        <w:rPr>
          <w:rFonts w:eastAsia="Calibri"/>
          <w:noProof/>
          <w:color w:val="4C4747"/>
          <w:lang w:val="es-ES"/>
        </w:rPr>
        <w:t>Procesos de soporte técnico. o Digitalización y control documental. Implementación de sistemas institucionales.</w:t>
      </w:r>
    </w:p>
    <w:p w14:paraId="58876F09" w14:textId="77777777" w:rsidR="004759BF" w:rsidRPr="004759BF" w:rsidRDefault="004759BF" w:rsidP="004759BF">
      <w:pPr>
        <w:numPr>
          <w:ilvl w:val="0"/>
          <w:numId w:val="31"/>
        </w:numPr>
        <w:spacing w:line="360" w:lineRule="auto"/>
        <w:jc w:val="both"/>
        <w:rPr>
          <w:rFonts w:eastAsia="Calibri"/>
          <w:noProof/>
          <w:color w:val="4C4747"/>
          <w:lang w:val="es-ES"/>
        </w:rPr>
      </w:pPr>
      <w:r w:rsidRPr="004759BF">
        <w:rPr>
          <w:rFonts w:eastAsia="Calibri"/>
          <w:noProof/>
          <w:color w:val="4C4747"/>
          <w:lang w:val="es-ES"/>
        </w:rPr>
        <w:t>Cumplimiento de normas NORTI C.</w:t>
      </w:r>
    </w:p>
    <w:p w14:paraId="5EBB7E9D" w14:textId="77777777" w:rsidR="004759BF" w:rsidRPr="004759BF" w:rsidRDefault="004759BF" w:rsidP="004759BF">
      <w:pPr>
        <w:numPr>
          <w:ilvl w:val="0"/>
          <w:numId w:val="31"/>
        </w:numPr>
        <w:spacing w:line="360" w:lineRule="auto"/>
        <w:jc w:val="both"/>
        <w:rPr>
          <w:rFonts w:eastAsia="Calibri"/>
          <w:noProof/>
          <w:color w:val="4C4747"/>
          <w:lang w:val="es-ES"/>
        </w:rPr>
      </w:pPr>
      <w:r w:rsidRPr="004759BF">
        <w:rPr>
          <w:rFonts w:eastAsia="Calibri"/>
          <w:noProof/>
          <w:color w:val="4C4747"/>
          <w:lang w:val="es-ES"/>
        </w:rPr>
        <w:t xml:space="preserve">Actividades formativas internas. </w:t>
      </w:r>
    </w:p>
    <w:p w14:paraId="59F53EC6" w14:textId="77777777" w:rsidR="004759BF" w:rsidRPr="004759BF" w:rsidRDefault="004759BF" w:rsidP="004759BF">
      <w:pPr>
        <w:spacing w:line="360" w:lineRule="auto"/>
        <w:jc w:val="both"/>
        <w:rPr>
          <w:rFonts w:eastAsia="Calibri"/>
          <w:noProof/>
          <w:color w:val="4C4747"/>
          <w:lang w:val="es-ES"/>
        </w:rPr>
      </w:pPr>
    </w:p>
    <w:p w14:paraId="3FE165DF" w14:textId="3B2C5AE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 xml:space="preserve">Compromiso institucional con la equidad La DTIC se mantuvo apegada a la política institucional de igualdad de género, garantizando oportunidades equitativas en tareas técnicas, estratégicas y operativas. El año 2025 representó un período de crecimiento tecnológico y fortalecimiento institucional. Entre los logros más relevantes se destacan: </w:t>
      </w:r>
    </w:p>
    <w:p w14:paraId="450DEEA8"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Consolidación de servicios digitales innovadores. </w:t>
      </w:r>
    </w:p>
    <w:p w14:paraId="42898A48"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Mejoras sustanciales en seguridad de la información. </w:t>
      </w:r>
    </w:p>
    <w:p w14:paraId="318AD189"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Ampliación de infraestructura crítica y continuidad operativa. </w:t>
      </w:r>
    </w:p>
    <w:p w14:paraId="35954565"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lastRenderedPageBreak/>
        <w:t xml:space="preserve">Modernización integral de equipos tecnológicos. </w:t>
      </w:r>
    </w:p>
    <w:p w14:paraId="3A93F840"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Avances en gobernanza tecnológica bajo CIGETIC. </w:t>
      </w:r>
    </w:p>
    <w:p w14:paraId="59A790CE"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Mayor digitalización y automatización de procesos institucionales. </w:t>
      </w:r>
    </w:p>
    <w:p w14:paraId="0C6B1BB6" w14:textId="77777777"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Impulso a la capacitación del personal y fortalecimiento de sus competencias. </w:t>
      </w:r>
    </w:p>
    <w:p w14:paraId="5F3625EF" w14:textId="52E28C7A" w:rsidR="004759BF" w:rsidRPr="004759BF" w:rsidRDefault="004759BF" w:rsidP="004759BF">
      <w:pPr>
        <w:numPr>
          <w:ilvl w:val="0"/>
          <w:numId w:val="30"/>
        </w:numPr>
        <w:spacing w:line="360" w:lineRule="auto"/>
        <w:jc w:val="both"/>
        <w:rPr>
          <w:rFonts w:eastAsia="Calibri"/>
          <w:noProof/>
          <w:color w:val="4C4747"/>
          <w:lang w:val="es-ES"/>
        </w:rPr>
      </w:pPr>
      <w:r w:rsidRPr="004759BF">
        <w:rPr>
          <w:rFonts w:eastAsia="Calibri"/>
          <w:noProof/>
          <w:color w:val="4C4747"/>
          <w:lang w:val="es-ES"/>
        </w:rPr>
        <w:t xml:space="preserve">Promoción activa de la participación femenina en proyectos TIC. </w:t>
      </w:r>
    </w:p>
    <w:p w14:paraId="3B5A227B" w14:textId="77777777" w:rsidR="004759BF" w:rsidRPr="004759BF" w:rsidRDefault="004759BF" w:rsidP="004759BF">
      <w:pPr>
        <w:spacing w:line="360" w:lineRule="auto"/>
        <w:jc w:val="both"/>
        <w:rPr>
          <w:rFonts w:eastAsia="Calibri"/>
          <w:noProof/>
          <w:color w:val="4C4747"/>
          <w:lang w:val="es-ES"/>
        </w:rPr>
      </w:pPr>
      <w:r w:rsidRPr="004759BF">
        <w:rPr>
          <w:rFonts w:eastAsia="Calibri"/>
          <w:noProof/>
          <w:color w:val="4C4747"/>
          <w:lang w:val="es-ES"/>
        </w:rPr>
        <w:t>La Dirección TIC reafirma su compromiso con la excelencia, la modernización tecnológica y el apoyo a la misión institucional de la Superintendencia de Seguros.</w:t>
      </w:r>
    </w:p>
    <w:p w14:paraId="4AB5AAE9" w14:textId="77777777" w:rsidR="009420B7" w:rsidRPr="004759BF" w:rsidRDefault="009420B7" w:rsidP="009420B7">
      <w:pPr>
        <w:spacing w:line="360" w:lineRule="auto"/>
        <w:jc w:val="both"/>
        <w:rPr>
          <w:rFonts w:eastAsia="Calibri"/>
          <w:noProof/>
          <w:color w:val="4C4747"/>
          <w:lang w:val="es-ES"/>
        </w:rPr>
      </w:pPr>
    </w:p>
    <w:p w14:paraId="366A9911" w14:textId="77777777" w:rsidR="009420B7" w:rsidRPr="009420B7" w:rsidRDefault="009420B7" w:rsidP="009420B7">
      <w:pPr>
        <w:spacing w:line="360" w:lineRule="auto"/>
        <w:jc w:val="both"/>
        <w:rPr>
          <w:rFonts w:eastAsia="Calibri"/>
          <w:b/>
          <w:i/>
          <w:noProof/>
          <w:color w:val="4C4747"/>
          <w:lang w:val="es-ES"/>
        </w:rPr>
      </w:pPr>
    </w:p>
    <w:p w14:paraId="787CBD11" w14:textId="408CB959" w:rsidR="004759BF" w:rsidRPr="004759BF" w:rsidRDefault="004759BF" w:rsidP="004759BF">
      <w:pPr>
        <w:pStyle w:val="Ttulo2"/>
        <w:numPr>
          <w:ilvl w:val="1"/>
          <w:numId w:val="20"/>
        </w:numPr>
        <w:rPr>
          <w:b/>
          <w:lang w:val="es-DO"/>
        </w:rPr>
      </w:pPr>
      <w:bookmarkStart w:id="40" w:name="_bookmark16"/>
      <w:bookmarkStart w:id="41" w:name="_Toc216875875"/>
      <w:bookmarkEnd w:id="40"/>
      <w:r w:rsidRPr="004759BF">
        <w:rPr>
          <w:b/>
          <w:lang w:val="es-DO"/>
        </w:rPr>
        <w:t>Desempeño</w:t>
      </w:r>
      <w:r w:rsidRPr="004759BF">
        <w:rPr>
          <w:b/>
          <w:lang w:val="es-DO"/>
        </w:rPr>
        <w:tab/>
        <w:t>del</w:t>
      </w:r>
      <w:r w:rsidRPr="004759BF">
        <w:rPr>
          <w:b/>
          <w:lang w:val="es-DO"/>
        </w:rPr>
        <w:tab/>
        <w:t>Sistem</w:t>
      </w:r>
      <w:r>
        <w:rPr>
          <w:b/>
          <w:lang w:val="es-DO"/>
        </w:rPr>
        <w:t xml:space="preserve">a de </w:t>
      </w:r>
      <w:r w:rsidRPr="004759BF">
        <w:rPr>
          <w:b/>
          <w:lang w:val="es-DO"/>
        </w:rPr>
        <w:t>Planificación</w:t>
      </w:r>
      <w:r w:rsidRPr="004759BF">
        <w:rPr>
          <w:b/>
          <w:lang w:val="es-DO"/>
        </w:rPr>
        <w:tab/>
        <w:t>y</w:t>
      </w:r>
      <w:r w:rsidRPr="004759BF">
        <w:rPr>
          <w:b/>
          <w:lang w:val="es-DO"/>
        </w:rPr>
        <w:tab/>
        <w:t>Desarrollo Institucional</w:t>
      </w:r>
      <w:bookmarkEnd w:id="41"/>
    </w:p>
    <w:p w14:paraId="646E3CB8" w14:textId="77777777" w:rsidR="004759BF" w:rsidRPr="004759BF" w:rsidRDefault="004759BF" w:rsidP="004759BF">
      <w:pPr>
        <w:spacing w:line="360" w:lineRule="auto"/>
        <w:jc w:val="both"/>
        <w:rPr>
          <w:rFonts w:eastAsia="Calibri"/>
          <w:b/>
          <w:i/>
          <w:noProof/>
          <w:color w:val="4C4747"/>
          <w:lang w:val="es-DO"/>
        </w:rPr>
      </w:pPr>
    </w:p>
    <w:p w14:paraId="7B3A9C9A" w14:textId="7BB0038B" w:rsidR="000553F7" w:rsidRDefault="004759BF" w:rsidP="004759BF">
      <w:pPr>
        <w:spacing w:line="360" w:lineRule="auto"/>
        <w:jc w:val="both"/>
        <w:rPr>
          <w:rFonts w:eastAsia="Calibri"/>
          <w:noProof/>
          <w:color w:val="4C4747"/>
          <w:lang w:val="es-ES"/>
        </w:rPr>
      </w:pPr>
      <w:r w:rsidRPr="000553F7">
        <w:rPr>
          <w:rFonts w:eastAsia="Calibri"/>
          <w:noProof/>
          <w:color w:val="4C4747"/>
          <w:lang w:val="es-ES"/>
        </w:rPr>
        <w:t xml:space="preserve">La Dirección de Planificación y Desarrollo tiene la responsabilidad primordial de coordinar la formulación, monitoreo y evaluación de </w:t>
      </w:r>
      <w:r w:rsidRPr="000553F7">
        <w:rPr>
          <w:rFonts w:eastAsia="Calibri"/>
          <w:noProof/>
          <w:color w:val="4C4747"/>
          <w:lang w:val="es-ES"/>
        </w:rPr>
        <w:lastRenderedPageBreak/>
        <w:t>los planes, programas y proyectos de la institución. Este rol incluye la coordinación con los enlaces designados en cada área de la Superintendencia para el seguimiento de la planificación.</w:t>
      </w:r>
    </w:p>
    <w:p w14:paraId="55E03CCE" w14:textId="04AA0706" w:rsidR="000553F7" w:rsidRPr="000553F7" w:rsidRDefault="000553F7" w:rsidP="000553F7">
      <w:pPr>
        <w:spacing w:line="360" w:lineRule="auto"/>
        <w:jc w:val="both"/>
        <w:rPr>
          <w:rFonts w:eastAsia="Calibri"/>
          <w:b/>
          <w:noProof/>
          <w:color w:val="4C4747"/>
          <w:lang w:val="es-MX"/>
        </w:rPr>
      </w:pPr>
      <w:bookmarkStart w:id="42" w:name="_Toc215237549"/>
      <w:r w:rsidRPr="000553F7">
        <w:rPr>
          <w:rFonts w:eastAsia="Calibri"/>
          <w:b/>
          <w:noProof/>
          <w:color w:val="4C4747"/>
          <w:lang w:val="es-MX"/>
        </w:rPr>
        <w:t>Definiciones Estratégicas Principales (resumen)</w:t>
      </w:r>
      <w:bookmarkEnd w:id="42"/>
      <w:r w:rsidRPr="000553F7">
        <w:rPr>
          <w:rFonts w:eastAsia="Calibri"/>
          <w:b/>
          <w:noProof/>
          <w:color w:val="4C4747"/>
          <w:lang w:val="es-MX"/>
        </w:rPr>
        <w:t xml:space="preserve">  </w:t>
      </w:r>
      <w:r w:rsidRPr="000553F7">
        <w:rPr>
          <w:rFonts w:eastAsia="Calibri"/>
          <w:noProof/>
          <w:color w:val="4C4747"/>
          <w:lang w:val="es-ES"/>
        </w:rPr>
        <w:drawing>
          <wp:anchor distT="0" distB="0" distL="114300" distR="114300" simplePos="0" relativeHeight="251742208" behindDoc="0" locked="0" layoutInCell="1" allowOverlap="1" wp14:anchorId="312FB286" wp14:editId="3F0D48D6">
            <wp:simplePos x="0" y="0"/>
            <wp:positionH relativeFrom="margin">
              <wp:align>left</wp:align>
            </wp:positionH>
            <wp:positionV relativeFrom="paragraph">
              <wp:posOffset>473710</wp:posOffset>
            </wp:positionV>
            <wp:extent cx="5399405" cy="2726055"/>
            <wp:effectExtent l="0" t="0" r="0" b="0"/>
            <wp:wrapThrough wrapText="bothSides">
              <wp:wrapPolygon edited="0">
                <wp:start x="152" y="0"/>
                <wp:lineTo x="76" y="2566"/>
                <wp:lineTo x="1829" y="4830"/>
                <wp:lineTo x="1524" y="7245"/>
                <wp:lineTo x="0" y="8302"/>
                <wp:lineTo x="0" y="21283"/>
                <wp:lineTo x="305" y="21434"/>
                <wp:lineTo x="21110" y="21434"/>
                <wp:lineTo x="21491" y="21132"/>
                <wp:lineTo x="21491" y="8906"/>
                <wp:lineTo x="19738" y="7245"/>
                <wp:lineTo x="20119" y="7245"/>
                <wp:lineTo x="20881" y="5585"/>
                <wp:lineTo x="20881" y="4830"/>
                <wp:lineTo x="21338" y="2415"/>
                <wp:lineTo x="21262" y="0"/>
                <wp:lineTo x="152" y="0"/>
              </wp:wrapPolygon>
            </wp:wrapThrough>
            <wp:docPr id="141031623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9405" cy="2726055"/>
                    </a:xfrm>
                    <a:prstGeom prst="rect">
                      <a:avLst/>
                    </a:prstGeom>
                    <a:noFill/>
                  </pic:spPr>
                </pic:pic>
              </a:graphicData>
            </a:graphic>
            <wp14:sizeRelH relativeFrom="margin">
              <wp14:pctWidth>0</wp14:pctWidth>
            </wp14:sizeRelH>
            <wp14:sizeRelV relativeFrom="margin">
              <wp14:pctHeight>0</wp14:pctHeight>
            </wp14:sizeRelV>
          </wp:anchor>
        </w:drawing>
      </w:r>
      <w:r w:rsidRPr="000553F7">
        <w:rPr>
          <w:rFonts w:eastAsia="Calibri"/>
          <w:noProof/>
          <w:color w:val="4C4747"/>
          <w:lang w:val="es-ES"/>
        </w:rPr>
        <mc:AlternateContent>
          <mc:Choice Requires="wps">
            <w:drawing>
              <wp:anchor distT="0" distB="0" distL="114300" distR="114300" simplePos="0" relativeHeight="251743232" behindDoc="0" locked="0" layoutInCell="1" allowOverlap="1" wp14:anchorId="5FDF1857" wp14:editId="342B60C1">
                <wp:simplePos x="0" y="0"/>
                <wp:positionH relativeFrom="column">
                  <wp:posOffset>-287020</wp:posOffset>
                </wp:positionH>
                <wp:positionV relativeFrom="paragraph">
                  <wp:posOffset>192709</wp:posOffset>
                </wp:positionV>
                <wp:extent cx="6106795" cy="279400"/>
                <wp:effectExtent l="0" t="0" r="8255" b="6350"/>
                <wp:wrapSquare wrapText="bothSides"/>
                <wp:docPr id="612082038" name="Cuadro de texto 11"/>
                <wp:cNvGraphicFramePr/>
                <a:graphic xmlns:a="http://schemas.openxmlformats.org/drawingml/2006/main">
                  <a:graphicData uri="http://schemas.microsoft.com/office/word/2010/wordprocessingShape">
                    <wps:wsp>
                      <wps:cNvSpPr txBox="1"/>
                      <wps:spPr>
                        <a:xfrm>
                          <a:off x="0" y="0"/>
                          <a:ext cx="6106795" cy="279400"/>
                        </a:xfrm>
                        <a:prstGeom prst="rect">
                          <a:avLst/>
                        </a:prstGeom>
                        <a:solidFill>
                          <a:schemeClr val="lt1"/>
                        </a:solidFill>
                        <a:ln w="6350">
                          <a:noFill/>
                        </a:ln>
                      </wps:spPr>
                      <wps:txbx>
                        <w:txbxContent>
                          <w:p w14:paraId="74E51EEA" w14:textId="02BEC2CC" w:rsidR="000936C0" w:rsidRPr="000553F7" w:rsidRDefault="000936C0" w:rsidP="000553F7">
                            <w:pPr>
                              <w:spacing w:after="0" w:line="240" w:lineRule="auto"/>
                              <w:jc w:val="center"/>
                              <w:rPr>
                                <w:b/>
                                <w:bCs/>
                                <w:lang w:val="es-ES"/>
                              </w:rPr>
                            </w:pPr>
                            <w:r w:rsidRPr="000553F7">
                              <w:rPr>
                                <w:b/>
                                <w:bCs/>
                                <w:lang w:val="es-ES"/>
                              </w:rPr>
                              <w:t xml:space="preserve">Figura </w:t>
                            </w:r>
                            <w:r>
                              <w:rPr>
                                <w:b/>
                                <w:bCs/>
                                <w:lang w:val="es-ES"/>
                              </w:rPr>
                              <w:t xml:space="preserve">1. </w:t>
                            </w:r>
                            <w:r w:rsidRPr="000553F7">
                              <w:rPr>
                                <w:b/>
                                <w:bCs/>
                                <w:lang w:val="es-ES"/>
                              </w:rPr>
                              <w:t xml:space="preserve">Modelo lógico del PEI de la Superintendencia de Seguros (SIS)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F1857" id="Cuadro de texto 11" o:spid="_x0000_s1043" type="#_x0000_t202" style="position:absolute;left:0;text-align:left;margin-left:-22.6pt;margin-top:15.15pt;width:480.85pt;height:2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" fillcolor="white [3201]" stroked="f" strokeweight=".5pt">
                <v:textbox>
                  <w:txbxContent>
                    <w:p w14:paraId="74E51EEA" w14:textId="02BEC2CC" w:rsidR="000936C0" w:rsidRPr="000553F7" w:rsidRDefault="000936C0" w:rsidP="000553F7">
                      <w:pPr>
                        <w:spacing w:after="0" w:line="240" w:lineRule="auto"/>
                        <w:jc w:val="center"/>
                        <w:rPr>
                          <w:b/>
                          <w:bCs/>
                          <w:lang w:val="es-ES"/>
                        </w:rPr>
                      </w:pPr>
                      <w:r w:rsidRPr="000553F7">
                        <w:rPr>
                          <w:b/>
                          <w:bCs/>
                          <w:lang w:val="es-ES"/>
                        </w:rPr>
                        <w:t xml:space="preserve">Figura </w:t>
                      </w:r>
                      <w:r>
                        <w:rPr>
                          <w:b/>
                          <w:bCs/>
                          <w:lang w:val="es-ES"/>
                        </w:rPr>
                        <w:t xml:space="preserve">1. </w:t>
                      </w:r>
                      <w:r w:rsidRPr="000553F7">
                        <w:rPr>
                          <w:b/>
                          <w:bCs/>
                          <w:lang w:val="es-ES"/>
                        </w:rPr>
                        <w:t xml:space="preserve">Modelo lógico del PEI de la Superintendencia de Seguros (SIS)  </w:t>
                      </w:r>
                    </w:p>
                  </w:txbxContent>
                </v:textbox>
                <w10:wrap type="square"/>
              </v:shape>
            </w:pict>
          </mc:Fallback>
        </mc:AlternateContent>
      </w:r>
    </w:p>
    <w:p w14:paraId="5BA567A7" w14:textId="77777777" w:rsidR="000553F7" w:rsidRDefault="000553F7" w:rsidP="000553F7">
      <w:pPr>
        <w:spacing w:line="360" w:lineRule="auto"/>
        <w:jc w:val="both"/>
        <w:rPr>
          <w:rFonts w:eastAsia="Calibri"/>
          <w:noProof/>
          <w:color w:val="4C4747"/>
          <w:lang w:val="es-ES"/>
        </w:rPr>
      </w:pPr>
    </w:p>
    <w:p w14:paraId="35BF067E" w14:textId="09DC1885" w:rsidR="000553F7" w:rsidRPr="000553F7" w:rsidRDefault="000553F7" w:rsidP="000553F7">
      <w:pPr>
        <w:spacing w:line="360" w:lineRule="auto"/>
        <w:jc w:val="both"/>
        <w:rPr>
          <w:rFonts w:eastAsia="Calibri"/>
          <w:noProof/>
          <w:color w:val="4C4747"/>
          <w:lang w:val="es-ES"/>
        </w:rPr>
      </w:pPr>
      <w:r w:rsidRPr="000553F7">
        <w:rPr>
          <w:rFonts w:eastAsia="Calibri"/>
          <w:noProof/>
          <w:color w:val="4C4747"/>
          <w:lang w:val="es-ES"/>
        </w:rPr>
        <w:t xml:space="preserve">A continuación, se desarrolla el marco estratégico institucional con los siguientes apartados: (i) Contribuciones a los Objetivos de Desarrollo Sostenible; (ii) Contribuciones al Plan META RD2036; (iii) Misión y resultados misionales; (iv) Visión; (v) Valores y (vi) </w:t>
      </w:r>
      <w:r w:rsidRPr="000553F7">
        <w:rPr>
          <w:rFonts w:eastAsia="Calibri"/>
          <w:noProof/>
          <w:color w:val="4C4747"/>
          <w:lang w:val="es-ES"/>
        </w:rPr>
        <w:lastRenderedPageBreak/>
        <w:t xml:space="preserve">Objetivos Estratégicos (incluyendo sus definiciones, indicadores y productos estratégicos).        </w:t>
      </w:r>
    </w:p>
    <w:p w14:paraId="1EF0CDDF" w14:textId="77777777" w:rsidR="00A5394C" w:rsidRDefault="00A5394C" w:rsidP="000553F7">
      <w:pPr>
        <w:spacing w:line="360" w:lineRule="auto"/>
        <w:jc w:val="both"/>
        <w:rPr>
          <w:rFonts w:eastAsia="Calibri"/>
          <w:b/>
          <w:noProof/>
          <w:color w:val="4C4747"/>
          <w:lang w:val="es-MX"/>
        </w:rPr>
      </w:pPr>
      <w:bookmarkStart w:id="43" w:name="_Toc215237550"/>
    </w:p>
    <w:p w14:paraId="58514400" w14:textId="77777777" w:rsidR="00A5394C" w:rsidRDefault="00A5394C" w:rsidP="000553F7">
      <w:pPr>
        <w:spacing w:line="360" w:lineRule="auto"/>
        <w:jc w:val="both"/>
        <w:rPr>
          <w:rFonts w:eastAsia="Calibri"/>
          <w:b/>
          <w:noProof/>
          <w:color w:val="4C4747"/>
          <w:lang w:val="es-MX"/>
        </w:rPr>
      </w:pPr>
    </w:p>
    <w:p w14:paraId="7C68E989" w14:textId="171694A5" w:rsidR="000553F7" w:rsidRPr="000553F7" w:rsidRDefault="000553F7" w:rsidP="000553F7">
      <w:pPr>
        <w:spacing w:line="360" w:lineRule="auto"/>
        <w:jc w:val="both"/>
        <w:rPr>
          <w:rFonts w:eastAsia="Calibri"/>
          <w:b/>
          <w:noProof/>
          <w:color w:val="4C4747"/>
          <w:lang w:val="es-MX"/>
        </w:rPr>
      </w:pPr>
      <w:r w:rsidRPr="000553F7">
        <w:rPr>
          <w:rFonts w:eastAsia="Calibri"/>
          <w:b/>
          <w:noProof/>
          <w:color w:val="4C4747"/>
          <w:lang w:val="es-MX"/>
        </w:rPr>
        <w:t>Contribuciones a los Objetivos de Desarrollo Sostenible</w:t>
      </w:r>
      <w:bookmarkEnd w:id="43"/>
    </w:p>
    <w:p w14:paraId="5FD41DD6" w14:textId="77777777" w:rsidR="000553F7" w:rsidRPr="000553F7" w:rsidRDefault="000553F7" w:rsidP="000553F7">
      <w:pPr>
        <w:spacing w:line="360" w:lineRule="auto"/>
        <w:jc w:val="both"/>
        <w:rPr>
          <w:rFonts w:eastAsia="Calibri"/>
          <w:b/>
          <w:noProof/>
          <w:color w:val="4C4747"/>
          <w:lang w:val="es-ES"/>
        </w:rPr>
      </w:pPr>
      <w:r w:rsidRPr="000553F7">
        <w:rPr>
          <w:rFonts w:eastAsia="Calibri"/>
          <w:b/>
          <w:noProof/>
          <w:color w:val="4C4747"/>
          <w:lang w:val="es-ES"/>
        </w:rPr>
        <w:t xml:space="preserve">Agenda 2030: Objetivos de Desarrollo Sostenible </w:t>
      </w:r>
    </w:p>
    <w:p w14:paraId="67897853" w14:textId="255EE672"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t xml:space="preserve">La Superintendencia de Seguros orienta sus acciones para contribuir a múltiples objetivos de desarrollo sostenible. En particular, se posiciona alineado con los objetivos destinados </w:t>
      </w:r>
      <w:r w:rsidRPr="000553F7">
        <w:rPr>
          <w:rFonts w:eastAsia="Calibri"/>
          <w:i/>
          <w:noProof/>
          <w:color w:val="4C4747"/>
          <w:lang w:val="es-MX"/>
        </w:rPr>
        <w:t>a: promover el crecimiento económico sostenido, inclusivo y sostenible, y el empleo pleno y productivo (ODS 8 Trabajo decente y crecimiento económico); construir infraestructuras resilientes, promover la industrialización inclusiva y fomentar la innovación (ODS 9 Industria, innovación e infraestructura) y Adoptar medidas urgentes para combatir el cambio climático y sus efectos. (ODS 13 Acción por</w:t>
      </w:r>
      <w:r w:rsidRPr="000553F7">
        <w:rPr>
          <w:rFonts w:eastAsia="Calibri"/>
          <w:noProof/>
          <w:color w:val="4C4747"/>
          <w:lang w:val="es-MX"/>
        </w:rPr>
        <w:t xml:space="preserve"> el clima). </w:t>
      </w:r>
    </w:p>
    <w:p w14:paraId="1FDA0356" w14:textId="3833226C" w:rsidR="000553F7" w:rsidRPr="000553F7" w:rsidRDefault="000553F7" w:rsidP="000553F7">
      <w:pPr>
        <w:spacing w:line="360" w:lineRule="auto"/>
        <w:jc w:val="center"/>
        <w:rPr>
          <w:rFonts w:eastAsia="Calibri"/>
          <w:noProof/>
          <w:color w:val="4C4747"/>
          <w:lang w:val="es-MX"/>
        </w:rPr>
      </w:pPr>
      <w:r w:rsidRPr="000553F7">
        <w:rPr>
          <w:rFonts w:eastAsia="Calibri"/>
          <w:noProof/>
          <w:color w:val="4C4747"/>
          <w:lang w:val="es-MX"/>
        </w:rPr>
        <w:lastRenderedPageBreak/>
        <w:drawing>
          <wp:inline distT="0" distB="0" distL="0" distR="0" wp14:anchorId="1CBC6A7E" wp14:editId="034E34C6">
            <wp:extent cx="3168000" cy="1960942"/>
            <wp:effectExtent l="0" t="0" r="0" b="1270"/>
            <wp:docPr id="150100649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8000" cy="1960942"/>
                    </a:xfrm>
                    <a:prstGeom prst="rect">
                      <a:avLst/>
                    </a:prstGeom>
                    <a:noFill/>
                  </pic:spPr>
                </pic:pic>
              </a:graphicData>
            </a:graphic>
          </wp:inline>
        </w:drawing>
      </w:r>
    </w:p>
    <w:p w14:paraId="09BEC566" w14:textId="77777777" w:rsidR="000553F7" w:rsidRPr="000553F7" w:rsidRDefault="000553F7" w:rsidP="000553F7">
      <w:pPr>
        <w:spacing w:line="360" w:lineRule="auto"/>
        <w:jc w:val="both"/>
        <w:rPr>
          <w:rFonts w:eastAsia="Calibri"/>
          <w:noProof/>
          <w:color w:val="4C4747"/>
          <w:lang w:val="es-MX"/>
        </w:rPr>
      </w:pPr>
      <w:r w:rsidRPr="000553F7">
        <w:rPr>
          <w:rFonts w:eastAsia="Calibri"/>
          <w:b/>
          <w:bCs/>
          <w:noProof/>
          <w:color w:val="4C4747"/>
          <w:lang w:val="es-MX"/>
        </w:rPr>
        <w:t>ODS 8: Trabajo decente y crecimiento económico.</w:t>
      </w:r>
      <w:r w:rsidRPr="000553F7">
        <w:rPr>
          <w:rFonts w:eastAsia="Calibri"/>
          <w:noProof/>
          <w:color w:val="4C4747"/>
          <w:lang w:val="es-MX"/>
        </w:rPr>
        <w:t xml:space="preserve"> La contribución se materializa en la medida que un sector asegurador robusto, estable y en crecimiento genera empleos de calidad y promueve la inversión productiva a largo plazo a través de las reservas técnicas, fomentando la estabilidad económica general del país.</w:t>
      </w:r>
    </w:p>
    <w:p w14:paraId="76A794A5" w14:textId="77777777" w:rsidR="000553F7" w:rsidRPr="000553F7" w:rsidRDefault="000553F7" w:rsidP="000553F7">
      <w:pPr>
        <w:spacing w:line="360" w:lineRule="auto"/>
        <w:jc w:val="both"/>
        <w:rPr>
          <w:rFonts w:eastAsia="Calibri"/>
          <w:noProof/>
          <w:color w:val="4C4747"/>
          <w:lang w:val="es-MX"/>
        </w:rPr>
      </w:pPr>
      <w:r w:rsidRPr="000553F7">
        <w:rPr>
          <w:rFonts w:eastAsia="Calibri"/>
          <w:b/>
          <w:bCs/>
          <w:noProof/>
          <w:color w:val="4C4747"/>
          <w:lang w:val="es-MX"/>
        </w:rPr>
        <w:t>ODS 13: Acción por el clima</w:t>
      </w:r>
      <w:r w:rsidRPr="000553F7">
        <w:rPr>
          <w:rFonts w:eastAsia="Calibri"/>
          <w:noProof/>
          <w:color w:val="4C4747"/>
          <w:lang w:val="es-MX"/>
        </w:rPr>
        <w:t>. La orientación al desarrollo sostenible implica que la Superintendencia impulsará la integración de los riesgos ambientales, sociales y de gobernanza (ASG) en la supervisión (SBR). Esto promueve la resiliencia del sector ante desastres naturales y fomenta las inversiones verdes.</w:t>
      </w:r>
    </w:p>
    <w:p w14:paraId="15FE7FCC" w14:textId="77777777" w:rsidR="000553F7" w:rsidRPr="000553F7" w:rsidRDefault="000553F7" w:rsidP="000553F7">
      <w:pPr>
        <w:spacing w:line="360" w:lineRule="auto"/>
        <w:jc w:val="both"/>
        <w:rPr>
          <w:rFonts w:eastAsia="Calibri"/>
          <w:noProof/>
          <w:color w:val="4C4747"/>
          <w:lang w:val="es-MX"/>
        </w:rPr>
      </w:pPr>
      <w:r w:rsidRPr="000553F7">
        <w:rPr>
          <w:rFonts w:eastAsia="Calibri"/>
          <w:b/>
          <w:bCs/>
          <w:noProof/>
          <w:color w:val="4C4747"/>
          <w:lang w:val="es-MX"/>
        </w:rPr>
        <w:t xml:space="preserve">ODS 9: Industria, innovación e infraestructura. </w:t>
      </w:r>
      <w:r w:rsidRPr="000553F7">
        <w:rPr>
          <w:rFonts w:eastAsia="Calibri"/>
          <w:noProof/>
          <w:color w:val="4C4747"/>
          <w:lang w:val="es-MX"/>
        </w:rPr>
        <w:t xml:space="preserve">El énfasis en la innovación impulsa la adopción de nuevas tecnologías (InsurTech). </w:t>
      </w:r>
      <w:r w:rsidRPr="000553F7">
        <w:rPr>
          <w:rFonts w:eastAsia="Calibri"/>
          <w:noProof/>
          <w:color w:val="4C4747"/>
          <w:lang w:val="es-MX"/>
        </w:rPr>
        <w:lastRenderedPageBreak/>
        <w:t>La solidez y estabilidad del sector aseguran el respaldo financiero (tanto en inversión como en mitigación de riesgos) de proyectos de infraestructura vitales para el desarrollo.</w:t>
      </w:r>
    </w:p>
    <w:p w14:paraId="5F796057" w14:textId="196501E5" w:rsidR="000553F7" w:rsidRPr="000553F7" w:rsidRDefault="000553F7" w:rsidP="000553F7">
      <w:pPr>
        <w:spacing w:line="360" w:lineRule="auto"/>
        <w:jc w:val="both"/>
        <w:rPr>
          <w:rFonts w:eastAsia="Calibri"/>
          <w:b/>
          <w:noProof/>
          <w:color w:val="4C4747"/>
          <w:u w:val="single"/>
          <w:lang w:val="es-ES"/>
        </w:rPr>
      </w:pPr>
      <w:r>
        <w:rPr>
          <w:rFonts w:eastAsia="Calibri"/>
          <w:b/>
          <w:noProof/>
          <w:color w:val="4C4747"/>
          <w:u w:val="single"/>
          <w:lang w:val="es-ES"/>
        </w:rPr>
        <w:t xml:space="preserve">Vinculaciòn con la </w:t>
      </w:r>
      <w:r w:rsidRPr="000553F7">
        <w:rPr>
          <w:rFonts w:eastAsia="Calibri"/>
          <w:b/>
          <w:noProof/>
          <w:color w:val="4C4747"/>
          <w:u w:val="single"/>
          <w:lang w:val="es-ES"/>
        </w:rPr>
        <w:t>Estrategia Nacional de Desarrollo (END) 2030</w:t>
      </w:r>
    </w:p>
    <w:p w14:paraId="4E71E264" w14:textId="77777777" w:rsidR="000553F7" w:rsidRPr="000553F7" w:rsidRDefault="000553F7" w:rsidP="000553F7">
      <w:pPr>
        <w:spacing w:line="360" w:lineRule="auto"/>
        <w:jc w:val="both"/>
        <w:rPr>
          <w:rFonts w:eastAsia="Calibri"/>
          <w:noProof/>
          <w:color w:val="4C4747"/>
          <w:lang w:val="es-MX"/>
        </w:rPr>
      </w:pPr>
      <w:r w:rsidRPr="000553F7">
        <w:rPr>
          <w:rFonts w:eastAsia="Calibri"/>
          <w:b/>
          <w:bCs/>
          <w:noProof/>
          <w:color w:val="4C4747"/>
          <w:lang w:val="es-MX"/>
        </w:rPr>
        <w:t>Estrategia Nacional de Desarrollo (END) 2030.</w:t>
      </w:r>
      <w:r w:rsidRPr="000553F7">
        <w:rPr>
          <w:rFonts w:eastAsia="Calibri"/>
          <w:noProof/>
          <w:color w:val="4C4747"/>
          <w:lang w:val="es-MX"/>
        </w:rPr>
        <w:t xml:space="preserve"> Asimismo, República Dominicana cuenta con la Estrategia Nacional de Desarrollo (END) 2030 que se propone transformar el país en una Nación Desarrollada para el año 2030. La END 2030 (establecida por la Ley 1-12) tiene el propósito que República Dominicana supere el estatus de país de renta media a través de un modelo de desarrollo basado en la cohesión social, el crecimiento sostenido y la resiliencia ambiental.   </w:t>
      </w:r>
    </w:p>
    <w:p w14:paraId="0206E8AE" w14:textId="77777777" w:rsidR="000553F7" w:rsidRPr="000553F7" w:rsidRDefault="000553F7" w:rsidP="000553F7">
      <w:pPr>
        <w:spacing w:line="360" w:lineRule="auto"/>
        <w:jc w:val="both"/>
        <w:rPr>
          <w:rFonts w:eastAsia="Calibri"/>
          <w:b/>
          <w:noProof/>
          <w:color w:val="4C4747"/>
          <w:lang w:val="es-MX"/>
        </w:rPr>
      </w:pPr>
      <w:r w:rsidRPr="000553F7">
        <w:rPr>
          <w:rFonts w:eastAsia="Calibri"/>
          <w:noProof/>
          <w:color w:val="4C4747"/>
          <w:lang w:val="es-MX"/>
        </w:rPr>
        <w:t xml:space="preserve">La visión central es que, al llegar el año 2030, la República Dominicana sea un país rico en su gente, libre de miseria y corrupción, con instituciones sólidas y un crecimiento económico equitativo y respetuoso del medio ambiente. </w:t>
      </w:r>
      <w:r w:rsidRPr="000553F7">
        <w:rPr>
          <w:rFonts w:eastAsia="Calibri"/>
          <w:b/>
          <w:noProof/>
          <w:color w:val="4C4747"/>
          <w:lang w:val="es-MX"/>
        </w:rPr>
        <w:t>En ese sentido, la Superintendencia de Seguros se alinea con las prioridades estratégicas definidas y, particularmente, con las Líneas de Acción (LA) que abordan la estabilidad financiera, la resiliencia ambiental y la calidad institucional.</w:t>
      </w:r>
    </w:p>
    <w:p w14:paraId="5E190039" w14:textId="77777777"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lastRenderedPageBreak/>
        <w:t xml:space="preserve">En particular, </w:t>
      </w:r>
      <w:r w:rsidRPr="000553F7">
        <w:rPr>
          <w:rFonts w:eastAsia="Calibri"/>
          <w:b/>
          <w:noProof/>
          <w:color w:val="4C4747"/>
          <w:lang w:val="es-MX"/>
        </w:rPr>
        <w:t>la mayor vinculación es el eje vinculado a una Economía Sostenible, Competitiva e Innovadora (Eje 3)</w:t>
      </w:r>
      <w:r w:rsidRPr="000553F7">
        <w:rPr>
          <w:rFonts w:eastAsia="Calibri"/>
          <w:noProof/>
          <w:color w:val="4C4747"/>
          <w:lang w:val="es-MX"/>
        </w:rPr>
        <w:t xml:space="preserve"> que contempla el consolidar un sistema financiero eficiente, solvente y profundo (Objetivo 3.1.3) a través de la linea de acción destinada a fortalecer y hacer más eficiente la regulación y la supervisión del sistema financiero (LA 3.1.3.1.). Esta es la vinculación más directa y fundamental en la medida que, la referida línea de Acción, es el mandato esencial de la Superintendencia como organismo regulador del sector seguros en República Dominicana. </w:t>
      </w:r>
    </w:p>
    <w:p w14:paraId="002A8093" w14:textId="77777777"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t xml:space="preserve">Asimismo, </w:t>
      </w:r>
      <w:r w:rsidRPr="000553F7">
        <w:rPr>
          <w:rFonts w:eastAsia="Calibri"/>
          <w:b/>
          <w:noProof/>
          <w:color w:val="4C4747"/>
          <w:lang w:val="es-MX"/>
        </w:rPr>
        <w:t>las contribuciones que realiza la Superintendencia también se alinean directamente con el eje vinculado a ser una Nación Ambientalmente Sostenible y Resiliente (Eje 4),</w:t>
      </w:r>
      <w:r w:rsidRPr="000553F7">
        <w:rPr>
          <w:rFonts w:eastAsia="Calibri"/>
          <w:noProof/>
          <w:color w:val="4C4747"/>
          <w:lang w:val="es-MX"/>
        </w:rPr>
        <w:t xml:space="preserve"> que prevé lograr una eficaz gestión de riesgos para minimizar pérdidas humanas, económicas y ambientales (Objetivo 4.2) a través de fortalecer el desarrollo y la utilización de mecanismos financieros para la gestión de riesgo ante desastres -seguros, reaseguros, bonos catastróficos, etc.- (LA 4.2.1.2). Desde el punto de vista estratégico, esta vinculación es crucial debido a los posibles escenarios de vulnerabilidad climática que puede vivir República Dominicana asociado a eventos climáticas radicales (inundaciones, huracanes, etc.).  </w:t>
      </w:r>
    </w:p>
    <w:p w14:paraId="7993472A" w14:textId="53066078" w:rsidR="000553F7" w:rsidRPr="000553F7" w:rsidRDefault="000553F7" w:rsidP="000553F7">
      <w:pPr>
        <w:spacing w:line="360" w:lineRule="auto"/>
        <w:jc w:val="both"/>
        <w:rPr>
          <w:rFonts w:eastAsia="Calibri"/>
          <w:b/>
          <w:noProof/>
          <w:color w:val="4C4747"/>
          <w:lang w:val="es-MX"/>
        </w:rPr>
      </w:pPr>
      <w:bookmarkStart w:id="44" w:name="_Toc215237551"/>
      <w:r w:rsidRPr="000553F7">
        <w:rPr>
          <w:rFonts w:eastAsia="Calibri"/>
          <w:b/>
          <w:noProof/>
          <w:color w:val="4C4747"/>
          <w:lang w:val="es-MX"/>
        </w:rPr>
        <w:lastRenderedPageBreak/>
        <w:t>Contribuciones al Plan META RD 2036</w:t>
      </w:r>
      <w:bookmarkEnd w:id="44"/>
      <w:r w:rsidRPr="000553F7">
        <w:rPr>
          <w:rFonts w:eastAsia="Calibri"/>
          <w:b/>
          <w:noProof/>
          <w:color w:val="4C4747"/>
          <w:lang w:val="es-MX"/>
        </w:rPr>
        <w:t xml:space="preserve"> </w:t>
      </w:r>
    </w:p>
    <w:p w14:paraId="221E0634" w14:textId="77777777"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t>El Plan META RD2036 se centra en articular los sectores público y privado para identificar acciones y reformas necesarias que permitan duplicar el Producto Interno Bruto (PIB) de la República Dominicana para el a</w:t>
      </w:r>
      <w:r w:rsidRPr="000553F7">
        <w:rPr>
          <w:rFonts w:eastAsia="Calibri"/>
          <w:noProof/>
          <w:color w:val="4C4747"/>
          <w:lang w:val="es-DO"/>
        </w:rPr>
        <w:t>ñ</w:t>
      </w:r>
      <w:r w:rsidRPr="000553F7">
        <w:rPr>
          <w:rFonts w:eastAsia="Calibri"/>
          <w:noProof/>
          <w:color w:val="4C4747"/>
          <w:lang w:val="es-MX"/>
        </w:rPr>
        <w:t>o 2036 y alinear este esfuerzo con la Estrategia Nacional de Desarrollo (END) y la Estrategia Nacional de Competitividad (ENC). En ese sentido, el sector asegurador desempeña un papel estratégico en el cumplimiento de los objetivos del Plan META RD2036, al contribuir directamente a la estabilidad y sostenibilidad del crecimiento económico proyectado. En la medida en que la República Dominicana busca duplicar su PIB y fortalecer su competitividad, la expansión de un mercado asegurador sólido, transparente e innovador resulta esencial para proteger inversiones, fomentar la resiliencia empresarial y social, y garantizar la continuidad de las actividades productivas ante riesgos imprevistos. Asimismo, el fortalecimiento de la supervisión y la cultura del seguro se convierte en un componente clave para impulsar la confianza, la inclusión financiera y la reducción de vulnerabilidades estructurales, pilares fundamentales para un desarrollo sostenible e inclusivo.</w:t>
      </w:r>
    </w:p>
    <w:p w14:paraId="74E0C8FC" w14:textId="77777777"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t xml:space="preserve">El resultado de la Superintendencia se enmarca en las reformas de segunda generación que son necesarias para ayudar a evitar que </w:t>
      </w:r>
      <w:r w:rsidRPr="000553F7">
        <w:rPr>
          <w:rFonts w:eastAsia="Calibri"/>
          <w:noProof/>
          <w:color w:val="4C4747"/>
          <w:lang w:val="es-MX"/>
        </w:rPr>
        <w:lastRenderedPageBreak/>
        <w:t xml:space="preserve">República Dominicana pueda caer en la “trampa del ingreso medio”. El fortalecimiento del sector asegurador actúa directamente sobre la profundidad del sector financiero y la calidad regulatoria. Estos son elementos cruciales para impulsar la productividad como un factor dinamizado para mejorar el desempeño económico en el mediano y largo plazo. </w:t>
      </w:r>
    </w:p>
    <w:p w14:paraId="6E8B726A" w14:textId="77777777" w:rsidR="000553F7" w:rsidRPr="000553F7" w:rsidRDefault="000553F7" w:rsidP="000553F7">
      <w:pPr>
        <w:spacing w:line="360" w:lineRule="auto"/>
        <w:jc w:val="both"/>
        <w:rPr>
          <w:rFonts w:eastAsia="Calibri"/>
          <w:noProof/>
          <w:color w:val="4C4747"/>
          <w:lang w:val="es-MX"/>
        </w:rPr>
      </w:pPr>
      <w:r w:rsidRPr="000553F7">
        <w:rPr>
          <w:rFonts w:eastAsia="Calibri"/>
          <w:b/>
          <w:bCs/>
          <w:noProof/>
          <w:color w:val="4C4747"/>
          <w:lang w:val="es-MX"/>
        </w:rPr>
        <w:t>Crecimiento Productividad y Clima Institucional y Económico.</w:t>
      </w:r>
      <w:r w:rsidRPr="000553F7">
        <w:rPr>
          <w:rFonts w:eastAsia="Calibri"/>
          <w:noProof/>
          <w:color w:val="4C4747"/>
          <w:lang w:val="es-MX"/>
        </w:rPr>
        <w:t xml:space="preserve"> Un sistema de seguros sólido fortalece el mercado financiero, que es un determinante del crecimiento de la productividad. Una regulación fuerte (reformas de segunda generación) evita crisis como la bancaria de 2003-2004, las cuales generaron distorsiones que limitan el crédito al sector privado</w:t>
      </w:r>
    </w:p>
    <w:p w14:paraId="76B14AE9" w14:textId="77777777" w:rsidR="000553F7" w:rsidRPr="000553F7" w:rsidRDefault="000553F7" w:rsidP="000553F7">
      <w:pPr>
        <w:spacing w:line="360" w:lineRule="auto"/>
        <w:jc w:val="both"/>
        <w:rPr>
          <w:rFonts w:eastAsia="Calibri"/>
          <w:noProof/>
          <w:color w:val="4C4747"/>
          <w:lang w:val="es-MX"/>
        </w:rPr>
      </w:pPr>
      <w:r w:rsidRPr="000553F7">
        <w:rPr>
          <w:rFonts w:eastAsia="Calibri"/>
          <w:b/>
          <w:bCs/>
          <w:noProof/>
          <w:color w:val="4C4747"/>
          <w:lang w:val="es-MX"/>
        </w:rPr>
        <w:t>Crecimiento Productividad y Eficiencia Transaccional.</w:t>
      </w:r>
      <w:r w:rsidRPr="000553F7">
        <w:rPr>
          <w:rFonts w:eastAsia="Calibri"/>
          <w:noProof/>
          <w:color w:val="4C4747"/>
          <w:lang w:val="es-MX"/>
        </w:rPr>
        <w:t xml:space="preserve"> La supervisión de la Conducta de Mercado y la transparencia aumentan la eficiencia transaccional y la confianza en el mercado. Una mayor confianza en el sistema financiero (incluyendo seguros) mejora el clima de negocios y atrae inversión</w:t>
      </w:r>
    </w:p>
    <w:p w14:paraId="3CD1DE11" w14:textId="291F26AA" w:rsidR="000553F7" w:rsidRPr="000553F7" w:rsidRDefault="000553F7" w:rsidP="004759BF">
      <w:pPr>
        <w:spacing w:line="360" w:lineRule="auto"/>
        <w:jc w:val="both"/>
        <w:rPr>
          <w:rFonts w:eastAsia="Calibri"/>
          <w:noProof/>
          <w:color w:val="4C4747"/>
          <w:lang w:val="es-MX"/>
        </w:rPr>
      </w:pPr>
      <w:r w:rsidRPr="000553F7">
        <w:rPr>
          <w:rFonts w:eastAsia="Calibri"/>
          <w:b/>
          <w:bCs/>
          <w:noProof/>
          <w:color w:val="4C4747"/>
          <w:lang w:val="es-MX"/>
        </w:rPr>
        <w:t>Crecimiento Capital Físico (Vulnerabilidad).</w:t>
      </w:r>
      <w:r w:rsidRPr="000553F7">
        <w:rPr>
          <w:rFonts w:eastAsia="Calibri"/>
          <w:noProof/>
          <w:color w:val="4C4747"/>
          <w:lang w:val="es-MX"/>
        </w:rPr>
        <w:t xml:space="preserve"> Al mitigar los riesgos climáticos, el seguro reduce la vulnerabilidad que pone en riesgo el capital físico y humano del país. El seguro es esencial para hacer más </w:t>
      </w:r>
      <w:r w:rsidRPr="000553F7">
        <w:rPr>
          <w:rFonts w:eastAsia="Calibri"/>
          <w:noProof/>
          <w:color w:val="4C4747"/>
          <w:lang w:val="es-MX"/>
        </w:rPr>
        <w:lastRenderedPageBreak/>
        <w:t>resilientes las infraestructuras imprescindibles para el desarrollo ante eventos climáticos o sísmicos.</w:t>
      </w:r>
    </w:p>
    <w:p w14:paraId="0DF03ED8" w14:textId="5EFC8734"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t xml:space="preserve">La </w:t>
      </w:r>
      <w:r>
        <w:rPr>
          <w:rFonts w:eastAsia="Calibri"/>
          <w:noProof/>
          <w:color w:val="4C4747"/>
          <w:lang w:val="es-MX"/>
        </w:rPr>
        <w:t xml:space="preserve">SIS a través de su </w:t>
      </w:r>
      <w:r w:rsidR="008F5190">
        <w:rPr>
          <w:rFonts w:eastAsia="Calibri"/>
          <w:noProof/>
          <w:color w:val="4C4747"/>
          <w:lang w:val="es-MX"/>
        </w:rPr>
        <w:t xml:space="preserve">Diección </w:t>
      </w:r>
      <w:r>
        <w:rPr>
          <w:rFonts w:eastAsia="Calibri"/>
          <w:noProof/>
          <w:color w:val="4C4747"/>
          <w:lang w:val="es-MX"/>
        </w:rPr>
        <w:t xml:space="preserve">de </w:t>
      </w:r>
      <w:r w:rsidRPr="000553F7">
        <w:rPr>
          <w:rFonts w:eastAsia="Calibri"/>
          <w:noProof/>
          <w:color w:val="4C4747"/>
          <w:lang w:val="es-MX"/>
        </w:rPr>
        <w:t xml:space="preserve">Planificación y Desarrollo, ha </w:t>
      </w:r>
      <w:r w:rsidR="008F5190">
        <w:rPr>
          <w:rFonts w:eastAsia="Calibri"/>
          <w:noProof/>
          <w:color w:val="4C4747"/>
          <w:lang w:val="es-MX"/>
        </w:rPr>
        <w:t>cumplido</w:t>
      </w:r>
      <w:r w:rsidRPr="000553F7">
        <w:rPr>
          <w:rFonts w:eastAsia="Calibri"/>
          <w:noProof/>
          <w:color w:val="4C4747"/>
          <w:lang w:val="es-MX"/>
        </w:rPr>
        <w:t xml:space="preserve"> </w:t>
      </w:r>
      <w:r w:rsidR="008F5190">
        <w:rPr>
          <w:rFonts w:eastAsia="Calibri"/>
          <w:noProof/>
          <w:color w:val="4C4747"/>
          <w:lang w:val="es-MX"/>
        </w:rPr>
        <w:t>en tiempo, contenido y forma con los requerimientos en materia de planificación , realizados por los organos rectores en los distintos ámbitos de la  el administración pública</w:t>
      </w:r>
      <w:r w:rsidR="00121D3E">
        <w:rPr>
          <w:rFonts w:eastAsia="Calibri"/>
          <w:noProof/>
          <w:color w:val="4C4747"/>
          <w:lang w:val="es-MX"/>
        </w:rPr>
        <w:t>, alidos estrategicos y las unidades internas de la SIS</w:t>
      </w:r>
      <w:r w:rsidR="008F5190">
        <w:rPr>
          <w:rFonts w:eastAsia="Calibri"/>
          <w:noProof/>
          <w:color w:val="4C4747"/>
          <w:lang w:val="es-MX"/>
        </w:rPr>
        <w:t xml:space="preserve">. </w:t>
      </w:r>
    </w:p>
    <w:p w14:paraId="54A79971" w14:textId="77777777" w:rsidR="000553F7" w:rsidRPr="000553F7" w:rsidRDefault="000553F7" w:rsidP="000553F7">
      <w:pPr>
        <w:spacing w:line="360" w:lineRule="auto"/>
        <w:jc w:val="both"/>
        <w:rPr>
          <w:rFonts w:eastAsia="Calibri"/>
          <w:noProof/>
          <w:color w:val="4C4747"/>
          <w:lang w:val="es-MX"/>
        </w:rPr>
      </w:pPr>
      <w:r w:rsidRPr="000553F7">
        <w:rPr>
          <w:rFonts w:eastAsia="Calibri"/>
          <w:noProof/>
          <w:color w:val="4C4747"/>
          <w:lang w:val="es-MX"/>
        </w:rPr>
        <w:t>En cuanto a los procesos más relevantes que hemos ejecutado o que se encuentran en curso desde el ámbito de la planificación, podemos destacar:</w:t>
      </w:r>
    </w:p>
    <w:p w14:paraId="571828EE" w14:textId="5F637F54" w:rsidR="008F5190" w:rsidRDefault="008F5190" w:rsidP="000553F7">
      <w:pPr>
        <w:numPr>
          <w:ilvl w:val="0"/>
          <w:numId w:val="34"/>
        </w:numPr>
        <w:spacing w:line="360" w:lineRule="auto"/>
        <w:jc w:val="both"/>
        <w:rPr>
          <w:rFonts w:eastAsia="Calibri"/>
          <w:i/>
          <w:noProof/>
          <w:color w:val="4C4747"/>
          <w:lang w:val="es-ES"/>
        </w:rPr>
      </w:pPr>
      <w:r>
        <w:rPr>
          <w:rFonts w:eastAsia="Calibri"/>
          <w:i/>
          <w:noProof/>
          <w:color w:val="4C4747"/>
          <w:lang w:val="es-ES"/>
        </w:rPr>
        <w:t>Elaboraciòn y presentaci</w:t>
      </w:r>
      <w:r w:rsidR="00121D3E">
        <w:rPr>
          <w:rFonts w:eastAsia="Calibri"/>
          <w:i/>
          <w:noProof/>
          <w:color w:val="4C4747"/>
          <w:lang w:val="es-ES"/>
        </w:rPr>
        <w:t>ó</w:t>
      </w:r>
      <w:r>
        <w:rPr>
          <w:rFonts w:eastAsia="Calibri"/>
          <w:i/>
          <w:noProof/>
          <w:color w:val="4C4747"/>
          <w:lang w:val="es-ES"/>
        </w:rPr>
        <w:t>n de fichas t</w:t>
      </w:r>
      <w:r w:rsidR="00121D3E">
        <w:rPr>
          <w:rFonts w:eastAsia="Calibri"/>
          <w:i/>
          <w:noProof/>
          <w:color w:val="4C4747"/>
          <w:lang w:val="es-ES"/>
        </w:rPr>
        <w:t>é</w:t>
      </w:r>
      <w:r>
        <w:rPr>
          <w:rFonts w:eastAsia="Calibri"/>
          <w:i/>
          <w:noProof/>
          <w:color w:val="4C4747"/>
          <w:lang w:val="es-ES"/>
        </w:rPr>
        <w:t>cnicas de inicitivas pri</w:t>
      </w:r>
      <w:r w:rsidR="00121D3E">
        <w:rPr>
          <w:rFonts w:eastAsia="Calibri"/>
          <w:i/>
          <w:noProof/>
          <w:color w:val="4C4747"/>
          <w:lang w:val="es-ES"/>
        </w:rPr>
        <w:t>orizadas</w:t>
      </w:r>
      <w:r>
        <w:rPr>
          <w:rFonts w:eastAsia="Calibri"/>
          <w:i/>
          <w:noProof/>
          <w:color w:val="4C4747"/>
          <w:lang w:val="es-ES"/>
        </w:rPr>
        <w:t xml:space="preserve"> en</w:t>
      </w:r>
      <w:r w:rsidR="00121D3E">
        <w:rPr>
          <w:rFonts w:eastAsia="Calibri"/>
          <w:i/>
          <w:noProof/>
          <w:color w:val="4C4747"/>
          <w:lang w:val="es-ES"/>
        </w:rPr>
        <w:t xml:space="preserve"> el Plan </w:t>
      </w:r>
      <w:r>
        <w:rPr>
          <w:rFonts w:eastAsia="Calibri"/>
          <w:i/>
          <w:noProof/>
          <w:color w:val="4C4747"/>
          <w:lang w:val="es-ES"/>
        </w:rPr>
        <w:t xml:space="preserve"> META RD 2036</w:t>
      </w:r>
      <w:r w:rsidR="00121D3E">
        <w:rPr>
          <w:rFonts w:eastAsia="Calibri"/>
          <w:i/>
          <w:noProof/>
          <w:color w:val="4C4747"/>
          <w:lang w:val="es-ES"/>
        </w:rPr>
        <w:t xml:space="preserve">; </w:t>
      </w:r>
    </w:p>
    <w:p w14:paraId="01FE81F9" w14:textId="00F521A3" w:rsidR="000553F7" w:rsidRDefault="000553F7" w:rsidP="000553F7">
      <w:pPr>
        <w:numPr>
          <w:ilvl w:val="0"/>
          <w:numId w:val="34"/>
        </w:numPr>
        <w:spacing w:line="360" w:lineRule="auto"/>
        <w:jc w:val="both"/>
        <w:rPr>
          <w:rFonts w:eastAsia="Calibri"/>
          <w:i/>
          <w:noProof/>
          <w:color w:val="4C4747"/>
          <w:lang w:val="es-ES"/>
        </w:rPr>
      </w:pPr>
      <w:r w:rsidRPr="008F5190">
        <w:rPr>
          <w:rFonts w:eastAsia="Calibri"/>
          <w:i/>
          <w:noProof/>
          <w:color w:val="4C4747"/>
          <w:lang w:val="es-ES"/>
        </w:rPr>
        <w:t>Formulación del Presupuesto 2026, en conjunto con la Dirección Financiera.</w:t>
      </w:r>
    </w:p>
    <w:p w14:paraId="15EA958B" w14:textId="28BDFFE1" w:rsidR="008F5190" w:rsidRPr="008F5190" w:rsidRDefault="008F5190" w:rsidP="008F5190">
      <w:pPr>
        <w:numPr>
          <w:ilvl w:val="0"/>
          <w:numId w:val="34"/>
        </w:numPr>
        <w:spacing w:line="360" w:lineRule="auto"/>
        <w:jc w:val="both"/>
        <w:rPr>
          <w:rFonts w:eastAsia="Calibri"/>
          <w:i/>
          <w:noProof/>
          <w:color w:val="4C4747"/>
          <w:lang w:val="es-ES"/>
        </w:rPr>
      </w:pPr>
      <w:r w:rsidRPr="008F5190">
        <w:rPr>
          <w:rFonts w:eastAsia="Calibri"/>
          <w:i/>
          <w:noProof/>
          <w:color w:val="4C4747"/>
          <w:lang w:val="es-ES"/>
        </w:rPr>
        <w:t>Elaboración del Plan de Compras 2026, en conjunto con el Departamento de Compras</w:t>
      </w:r>
      <w:r>
        <w:rPr>
          <w:rFonts w:eastAsia="Calibri"/>
          <w:i/>
          <w:noProof/>
          <w:color w:val="4C4747"/>
          <w:lang w:val="es-ES"/>
        </w:rPr>
        <w:t xml:space="preserve"> y</w:t>
      </w:r>
      <w:r w:rsidRPr="008F5190">
        <w:rPr>
          <w:rFonts w:eastAsia="Calibri"/>
          <w:i/>
          <w:noProof/>
          <w:color w:val="4C4747"/>
          <w:lang w:val="es-ES"/>
        </w:rPr>
        <w:t xml:space="preserve"> la Dirección Administrativa</w:t>
      </w:r>
      <w:r>
        <w:rPr>
          <w:rFonts w:eastAsia="Calibri"/>
          <w:i/>
          <w:noProof/>
          <w:color w:val="4C4747"/>
          <w:lang w:val="es-ES"/>
        </w:rPr>
        <w:t>.</w:t>
      </w:r>
      <w:r w:rsidRPr="008F5190">
        <w:rPr>
          <w:rFonts w:eastAsia="Calibri"/>
          <w:i/>
          <w:noProof/>
          <w:color w:val="4C4747"/>
          <w:lang w:val="es-ES"/>
        </w:rPr>
        <w:t xml:space="preserve"> </w:t>
      </w:r>
    </w:p>
    <w:p w14:paraId="669BE1BC" w14:textId="5BF40201" w:rsidR="008F5190" w:rsidRPr="008F5190" w:rsidRDefault="008F5190" w:rsidP="000553F7">
      <w:pPr>
        <w:numPr>
          <w:ilvl w:val="0"/>
          <w:numId w:val="34"/>
        </w:numPr>
        <w:spacing w:line="360" w:lineRule="auto"/>
        <w:jc w:val="both"/>
        <w:rPr>
          <w:rFonts w:eastAsia="Calibri"/>
          <w:i/>
          <w:noProof/>
          <w:color w:val="4C4747"/>
          <w:lang w:val="es-ES"/>
        </w:rPr>
      </w:pPr>
      <w:r>
        <w:rPr>
          <w:rFonts w:eastAsia="Calibri"/>
          <w:i/>
          <w:noProof/>
          <w:color w:val="4C4747"/>
          <w:lang w:val="es-ES"/>
        </w:rPr>
        <w:t xml:space="preserve">Elaboraciòn del PEI con el acompañamiento del PNUD y propuesta de POA 2026.  </w:t>
      </w:r>
    </w:p>
    <w:p w14:paraId="1BCCD4B9" w14:textId="77777777" w:rsidR="000553F7" w:rsidRPr="008F5190" w:rsidRDefault="000553F7" w:rsidP="000553F7">
      <w:pPr>
        <w:numPr>
          <w:ilvl w:val="0"/>
          <w:numId w:val="34"/>
        </w:numPr>
        <w:spacing w:line="360" w:lineRule="auto"/>
        <w:jc w:val="both"/>
        <w:rPr>
          <w:rFonts w:eastAsia="Calibri"/>
          <w:i/>
          <w:noProof/>
          <w:color w:val="4C4747"/>
          <w:lang w:val="es-ES"/>
        </w:rPr>
      </w:pPr>
      <w:r w:rsidRPr="008F5190">
        <w:rPr>
          <w:rFonts w:eastAsia="Calibri"/>
          <w:i/>
          <w:noProof/>
          <w:color w:val="4C4747"/>
          <w:lang w:val="es-ES"/>
        </w:rPr>
        <w:lastRenderedPageBreak/>
        <w:t>Elaboración de informes semanales de gestión, a solicitud del Ministerio de la Presidencia.</w:t>
      </w:r>
    </w:p>
    <w:p w14:paraId="1C097795" w14:textId="77777777" w:rsidR="000553F7" w:rsidRPr="008F5190" w:rsidRDefault="000553F7" w:rsidP="000553F7">
      <w:pPr>
        <w:numPr>
          <w:ilvl w:val="0"/>
          <w:numId w:val="34"/>
        </w:numPr>
        <w:spacing w:line="360" w:lineRule="auto"/>
        <w:jc w:val="both"/>
        <w:rPr>
          <w:rFonts w:eastAsia="Calibri"/>
          <w:i/>
          <w:noProof/>
          <w:color w:val="4C4747"/>
          <w:lang w:val="es-ES"/>
        </w:rPr>
      </w:pPr>
      <w:r w:rsidRPr="008F5190">
        <w:rPr>
          <w:rFonts w:eastAsia="Calibri"/>
          <w:i/>
          <w:noProof/>
          <w:color w:val="4C4747"/>
          <w:lang w:val="es-ES"/>
        </w:rPr>
        <w:t>Seguimiento a la ejecución trimestral para el reporte al SIGEF y al portal web Portal Transparencia - Dirección General de Ética e Integridad Gubernamental.</w:t>
      </w:r>
    </w:p>
    <w:p w14:paraId="323D465A" w14:textId="77777777" w:rsidR="000553F7" w:rsidRPr="008F5190" w:rsidRDefault="000553F7" w:rsidP="000553F7">
      <w:pPr>
        <w:numPr>
          <w:ilvl w:val="0"/>
          <w:numId w:val="34"/>
        </w:numPr>
        <w:spacing w:line="360" w:lineRule="auto"/>
        <w:jc w:val="both"/>
        <w:rPr>
          <w:rFonts w:eastAsia="Calibri"/>
          <w:i/>
          <w:noProof/>
          <w:color w:val="4C4747"/>
          <w:lang w:val="es-ES"/>
        </w:rPr>
      </w:pPr>
      <w:r w:rsidRPr="008F5190">
        <w:rPr>
          <w:rFonts w:eastAsia="Calibri"/>
          <w:i/>
          <w:noProof/>
          <w:color w:val="4C4747"/>
          <w:lang w:val="es-ES"/>
        </w:rPr>
        <w:t>Seguimiento a los indicadores del Sistema de Seguimiento, Monitoreo y Medición de la Gestión Pública.</w:t>
      </w:r>
    </w:p>
    <w:p w14:paraId="73C0BF83" w14:textId="76718A93" w:rsidR="000553F7" w:rsidRPr="008F5190" w:rsidRDefault="008F5190" w:rsidP="000553F7">
      <w:pPr>
        <w:numPr>
          <w:ilvl w:val="0"/>
          <w:numId w:val="34"/>
        </w:numPr>
        <w:spacing w:line="360" w:lineRule="auto"/>
        <w:jc w:val="both"/>
        <w:rPr>
          <w:rFonts w:eastAsia="Calibri"/>
          <w:i/>
          <w:noProof/>
          <w:color w:val="4C4747"/>
          <w:lang w:val="es-ES"/>
        </w:rPr>
      </w:pPr>
      <w:r>
        <w:rPr>
          <w:rFonts w:eastAsia="Calibri"/>
          <w:i/>
          <w:noProof/>
          <w:color w:val="4C4747"/>
          <w:lang w:val="es-ES"/>
        </w:rPr>
        <w:t xml:space="preserve">Coordinaciòn </w:t>
      </w:r>
      <w:r w:rsidR="000553F7" w:rsidRPr="008F5190">
        <w:rPr>
          <w:rFonts w:eastAsia="Calibri"/>
          <w:i/>
          <w:noProof/>
          <w:color w:val="4C4747"/>
          <w:lang w:val="es-ES"/>
        </w:rPr>
        <w:t>de la Implementación de las Normas Básicas de Control Interno (NOBACI</w:t>
      </w:r>
      <w:r>
        <w:rPr>
          <w:rFonts w:eastAsia="Calibri"/>
          <w:i/>
          <w:noProof/>
          <w:color w:val="4C4747"/>
          <w:lang w:val="es-ES"/>
        </w:rPr>
        <w:t>.</w:t>
      </w:r>
    </w:p>
    <w:p w14:paraId="447FF61B" w14:textId="71191D98" w:rsidR="000553F7" w:rsidRDefault="00121D3E" w:rsidP="000553F7">
      <w:pPr>
        <w:numPr>
          <w:ilvl w:val="0"/>
          <w:numId w:val="34"/>
        </w:numPr>
        <w:spacing w:line="360" w:lineRule="auto"/>
        <w:jc w:val="both"/>
        <w:rPr>
          <w:rFonts w:eastAsia="Calibri"/>
          <w:i/>
          <w:noProof/>
          <w:color w:val="4C4747"/>
          <w:lang w:val="es-ES"/>
        </w:rPr>
      </w:pPr>
      <w:r>
        <w:rPr>
          <w:rFonts w:eastAsia="Calibri"/>
          <w:i/>
          <w:noProof/>
          <w:color w:val="4C4747"/>
          <w:lang w:val="es-ES"/>
        </w:rPr>
        <w:t xml:space="preserve">Seguimieto y monitoreo de la </w:t>
      </w:r>
      <w:r w:rsidR="000553F7" w:rsidRPr="008F5190">
        <w:rPr>
          <w:rFonts w:eastAsia="Calibri"/>
          <w:i/>
          <w:noProof/>
          <w:color w:val="4C4747"/>
          <w:lang w:val="es-ES"/>
        </w:rPr>
        <w:t>Carta Compromiso al Ciudadano.</w:t>
      </w:r>
    </w:p>
    <w:p w14:paraId="6B913E49" w14:textId="03CD49B7" w:rsidR="00121D3E" w:rsidRPr="008F5190" w:rsidRDefault="00121D3E" w:rsidP="000553F7">
      <w:pPr>
        <w:numPr>
          <w:ilvl w:val="0"/>
          <w:numId w:val="34"/>
        </w:numPr>
        <w:spacing w:line="360" w:lineRule="auto"/>
        <w:jc w:val="both"/>
        <w:rPr>
          <w:rFonts w:eastAsia="Calibri"/>
          <w:i/>
          <w:noProof/>
          <w:color w:val="4C4747"/>
          <w:lang w:val="es-ES"/>
        </w:rPr>
      </w:pPr>
      <w:r>
        <w:rPr>
          <w:rFonts w:eastAsia="Calibri"/>
          <w:i/>
          <w:noProof/>
          <w:color w:val="4C4747"/>
          <w:lang w:val="es-ES"/>
        </w:rPr>
        <w:t xml:space="preserve">Gestión de acuerdos de cooperación interinstitucional para apoyo en proyectos puntuales y fortalecimiento de capacidades institucionales. </w:t>
      </w:r>
    </w:p>
    <w:p w14:paraId="7C114AD6" w14:textId="77777777" w:rsidR="000553F7" w:rsidRPr="008F5190" w:rsidRDefault="000553F7" w:rsidP="000553F7">
      <w:pPr>
        <w:spacing w:line="360" w:lineRule="auto"/>
        <w:jc w:val="both"/>
        <w:rPr>
          <w:rFonts w:eastAsia="Calibri"/>
          <w:i/>
          <w:noProof/>
          <w:color w:val="4C4747"/>
          <w:lang w:val="es-ES"/>
        </w:rPr>
      </w:pPr>
    </w:p>
    <w:p w14:paraId="0F95EDDE" w14:textId="0CB513EF" w:rsidR="000553F7" w:rsidRPr="00121D3E" w:rsidRDefault="000553F7" w:rsidP="000553F7">
      <w:pPr>
        <w:spacing w:line="360" w:lineRule="auto"/>
        <w:jc w:val="both"/>
        <w:rPr>
          <w:rFonts w:eastAsia="Calibri"/>
          <w:noProof/>
          <w:color w:val="4C4747"/>
          <w:lang w:val="es-ES"/>
        </w:rPr>
      </w:pPr>
      <w:r w:rsidRPr="00121D3E">
        <w:rPr>
          <w:rFonts w:eastAsia="Calibri"/>
          <w:noProof/>
          <w:color w:val="4C4747"/>
          <w:lang w:val="es-ES"/>
        </w:rPr>
        <w:t xml:space="preserve">Durante el ejercicio fiscal 2025, todos los instrumentos de planificación institucional han sido sometidos a seguimiento y </w:t>
      </w:r>
      <w:r w:rsidRPr="00121D3E">
        <w:rPr>
          <w:rFonts w:eastAsia="Calibri"/>
          <w:noProof/>
          <w:color w:val="4C4747"/>
          <w:lang w:val="es-ES"/>
        </w:rPr>
        <w:lastRenderedPageBreak/>
        <w:t>evaluación. La Dirección de Planificación y Desarrollo ha generado los reportes trimestrales de metas físicas y financieras para el Indicador de Gestión Presupuestaria, utilizando el módulo de programación y seguimiento del Sistema Integrado de Gestión Económico- Financiera (SIGEF). Asimismo, para el Indicador del portal de Transparencia, la evaluación ha sido llevada a cabo por la Dirección General de Ética e Integridad Gubernamental.</w:t>
      </w:r>
    </w:p>
    <w:p w14:paraId="04A45EB9" w14:textId="2B12307D" w:rsidR="00121D3E" w:rsidRPr="00E64239" w:rsidRDefault="000553F7" w:rsidP="00121D3E">
      <w:pPr>
        <w:rPr>
          <w:b/>
          <w:noProof/>
          <w:lang w:val="es-ES"/>
        </w:rPr>
      </w:pPr>
      <w:bookmarkStart w:id="45" w:name="_bookmark17"/>
      <w:bookmarkEnd w:id="45"/>
      <w:r w:rsidRPr="00E64239">
        <w:rPr>
          <w:b/>
          <w:noProof/>
          <w:lang w:val="es-ES"/>
        </w:rPr>
        <w:t>Resultados de las Normas Básicas de Control Interno (NOBACI)</w:t>
      </w:r>
    </w:p>
    <w:p w14:paraId="72C14105" w14:textId="30D29A2D" w:rsidR="000553F7" w:rsidRPr="00121D3E" w:rsidRDefault="000553F7" w:rsidP="000553F7">
      <w:pPr>
        <w:spacing w:line="360" w:lineRule="auto"/>
        <w:jc w:val="both"/>
        <w:rPr>
          <w:rFonts w:eastAsia="Calibri"/>
          <w:noProof/>
          <w:color w:val="4C4747"/>
          <w:lang w:val="es-ES"/>
        </w:rPr>
      </w:pPr>
      <w:r w:rsidRPr="00121D3E">
        <w:rPr>
          <w:rFonts w:eastAsia="Calibri"/>
          <w:noProof/>
          <w:color w:val="4C4747"/>
          <w:lang w:val="es-ES"/>
        </w:rPr>
        <w:t>A los fines de dar cumplimiento con lo requerido por la Contraloría General de la República Dominicana (Ley 10 - 07) de Control Interno,</w:t>
      </w:r>
      <w:r w:rsidR="00121D3E">
        <w:rPr>
          <w:rFonts w:eastAsia="Calibri"/>
          <w:noProof/>
          <w:color w:val="4C4747"/>
          <w:lang w:val="es-ES"/>
        </w:rPr>
        <w:t xml:space="preserve"> </w:t>
      </w:r>
      <w:r w:rsidRPr="00121D3E">
        <w:rPr>
          <w:rFonts w:eastAsia="Calibri"/>
          <w:noProof/>
          <w:color w:val="4C4747"/>
          <w:lang w:val="es-ES"/>
        </w:rPr>
        <w:t>la institución en su compromiso con los requerimientos del Sistema de Implementación de las Normas de Control Interno (NOBACI).</w:t>
      </w:r>
    </w:p>
    <w:p w14:paraId="7AE85273" w14:textId="0BED88A0" w:rsidR="000553F7" w:rsidRPr="00121D3E" w:rsidRDefault="000553F7" w:rsidP="000553F7">
      <w:pPr>
        <w:spacing w:line="360" w:lineRule="auto"/>
        <w:jc w:val="both"/>
        <w:rPr>
          <w:rFonts w:eastAsia="Calibri"/>
          <w:noProof/>
          <w:color w:val="4C4747"/>
          <w:lang w:val="es-ES"/>
        </w:rPr>
      </w:pPr>
      <w:r w:rsidRPr="00121D3E">
        <w:rPr>
          <w:rFonts w:eastAsia="Calibri"/>
          <w:noProof/>
          <w:color w:val="4C4747"/>
          <w:lang w:val="es-ES"/>
        </w:rPr>
        <w:t xml:space="preserve">Durante el año 2025, </w:t>
      </w:r>
      <w:r w:rsidR="00121D3E">
        <w:rPr>
          <w:rFonts w:eastAsia="Calibri"/>
          <w:noProof/>
          <w:color w:val="4C4747"/>
          <w:lang w:val="es-ES"/>
        </w:rPr>
        <w:t xml:space="preserve">trabajamos </w:t>
      </w:r>
      <w:r w:rsidRPr="00121D3E">
        <w:rPr>
          <w:rFonts w:eastAsia="Calibri"/>
          <w:noProof/>
          <w:color w:val="4C4747"/>
          <w:lang w:val="es-ES"/>
        </w:rPr>
        <w:t xml:space="preserve">en </w:t>
      </w:r>
      <w:r w:rsidR="00121D3E">
        <w:rPr>
          <w:rFonts w:eastAsia="Calibri"/>
          <w:noProof/>
          <w:color w:val="4C4747"/>
          <w:lang w:val="es-ES"/>
        </w:rPr>
        <w:t xml:space="preserve">el </w:t>
      </w:r>
      <w:r w:rsidRPr="00121D3E">
        <w:rPr>
          <w:rFonts w:eastAsia="Calibri"/>
          <w:noProof/>
          <w:color w:val="4C4747"/>
          <w:lang w:val="es-ES"/>
        </w:rPr>
        <w:t xml:space="preserve">levantamiento y documentación de </w:t>
      </w:r>
      <w:r w:rsidR="00121D3E">
        <w:rPr>
          <w:rFonts w:eastAsia="Calibri"/>
          <w:noProof/>
          <w:color w:val="4C4747"/>
          <w:lang w:val="es-ES"/>
        </w:rPr>
        <w:t xml:space="preserve">varios </w:t>
      </w:r>
      <w:r w:rsidRPr="00121D3E">
        <w:rPr>
          <w:rFonts w:eastAsia="Calibri"/>
          <w:noProof/>
          <w:color w:val="4C4747"/>
          <w:lang w:val="es-ES"/>
        </w:rPr>
        <w:t xml:space="preserve"> procesos</w:t>
      </w:r>
      <w:r w:rsidR="00121D3E">
        <w:rPr>
          <w:rFonts w:eastAsia="Calibri"/>
          <w:noProof/>
          <w:color w:val="4C4747"/>
          <w:lang w:val="es-ES"/>
        </w:rPr>
        <w:t xml:space="preserve"> admistrativos</w:t>
      </w:r>
      <w:r w:rsidRPr="00121D3E">
        <w:rPr>
          <w:rFonts w:eastAsia="Calibri"/>
          <w:noProof/>
          <w:color w:val="4C4747"/>
          <w:lang w:val="es-ES"/>
        </w:rPr>
        <w:t xml:space="preserve"> de la institución con el objetivo de estandarizar </w:t>
      </w:r>
      <w:r w:rsidR="00121D3E">
        <w:rPr>
          <w:rFonts w:eastAsia="Calibri"/>
          <w:noProof/>
          <w:color w:val="4C4747"/>
          <w:lang w:val="es-ES"/>
        </w:rPr>
        <w:t xml:space="preserve">e implementar mejoras en materia de control interno. </w:t>
      </w:r>
      <w:r w:rsidRPr="00121D3E">
        <w:rPr>
          <w:rFonts w:eastAsia="Calibri"/>
          <w:noProof/>
          <w:color w:val="4C4747"/>
          <w:lang w:val="es-ES"/>
        </w:rPr>
        <w:t>.</w:t>
      </w:r>
    </w:p>
    <w:p w14:paraId="3DB00CE0" w14:textId="77777777" w:rsidR="000553F7" w:rsidRPr="00121D3E" w:rsidRDefault="000553F7" w:rsidP="000553F7">
      <w:pPr>
        <w:spacing w:line="360" w:lineRule="auto"/>
        <w:jc w:val="both"/>
        <w:rPr>
          <w:rFonts w:eastAsia="Calibri"/>
          <w:noProof/>
          <w:color w:val="4C4747"/>
          <w:lang w:val="es-ES"/>
        </w:rPr>
      </w:pPr>
      <w:r w:rsidRPr="00121D3E">
        <w:rPr>
          <w:rFonts w:eastAsia="Calibri"/>
          <w:noProof/>
          <w:color w:val="4C4747"/>
          <w:lang w:val="es-ES"/>
        </w:rPr>
        <w:t xml:space="preserve">La eficiencia en este proceso se ha reflejado en el cumplimiento de objetivos, la gestión controlada de riesgos y la apropiada utilización de la tecnología. Estos resultados se respaldan en la observancia de </w:t>
      </w:r>
      <w:r w:rsidRPr="00121D3E">
        <w:rPr>
          <w:rFonts w:eastAsia="Calibri"/>
          <w:noProof/>
          <w:color w:val="4C4747"/>
          <w:lang w:val="es-ES"/>
        </w:rPr>
        <w:lastRenderedPageBreak/>
        <w:t>sólidos principios éticos y un comportamiento íntegro por parte de los servidores públicos.</w:t>
      </w:r>
    </w:p>
    <w:p w14:paraId="38097BC3" w14:textId="329F0C76" w:rsidR="000553F7" w:rsidRPr="000553F7" w:rsidRDefault="000553F7" w:rsidP="000553F7">
      <w:pPr>
        <w:spacing w:line="360" w:lineRule="auto"/>
        <w:jc w:val="both"/>
        <w:rPr>
          <w:rFonts w:eastAsia="Calibri"/>
          <w:b/>
          <w:i/>
          <w:noProof/>
          <w:color w:val="4C4747"/>
          <w:lang w:val="es-ES"/>
        </w:rPr>
      </w:pPr>
      <w:r w:rsidRPr="000553F7">
        <w:rPr>
          <w:rFonts w:eastAsia="Calibri"/>
          <w:b/>
          <w:i/>
          <w:noProof/>
          <w:color w:val="4C4747"/>
          <w:lang w:val="es-ES"/>
        </w:rPr>
        <w:t>Al cierre del año 2025, hemos alcanzado un avance promedio del 81.74% en la implementación de las NOBACI, como se detalla a continuación.</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8"/>
        <w:gridCol w:w="2680"/>
      </w:tblGrid>
      <w:tr w:rsidR="000553F7" w:rsidRPr="00E64239" w14:paraId="6072E4F2" w14:textId="77777777" w:rsidTr="00E64239">
        <w:trPr>
          <w:trHeight w:val="480"/>
        </w:trPr>
        <w:tc>
          <w:tcPr>
            <w:tcW w:w="4308" w:type="dxa"/>
            <w:shd w:val="clear" w:color="auto" w:fill="001F5F"/>
          </w:tcPr>
          <w:p w14:paraId="796AE3C3" w14:textId="47161B10" w:rsidR="000553F7" w:rsidRPr="00E64239" w:rsidRDefault="000553F7" w:rsidP="00E64239">
            <w:pPr>
              <w:spacing w:line="360" w:lineRule="auto"/>
              <w:rPr>
                <w:rFonts w:eastAsia="Calibri"/>
                <w:noProof/>
                <w:color w:val="FFFFFF" w:themeColor="background1"/>
                <w:lang w:val="es-ES"/>
              </w:rPr>
            </w:pPr>
            <w:r w:rsidRPr="00E64239">
              <w:rPr>
                <w:rFonts w:eastAsia="Calibri"/>
                <w:noProof/>
                <w:color w:val="FFFFFF" w:themeColor="background1"/>
                <w:lang w:val="es-ES"/>
              </w:rPr>
              <w:t>COMPONENTES DEL CONTROLINTERNO</w:t>
            </w:r>
          </w:p>
        </w:tc>
        <w:tc>
          <w:tcPr>
            <w:tcW w:w="2680" w:type="dxa"/>
            <w:shd w:val="clear" w:color="auto" w:fill="001F5F"/>
          </w:tcPr>
          <w:p w14:paraId="14B0B524" w14:textId="43C5AF17" w:rsidR="00E64239" w:rsidRPr="00E64239" w:rsidRDefault="000553F7" w:rsidP="00E64239">
            <w:pPr>
              <w:spacing w:line="360" w:lineRule="auto"/>
              <w:jc w:val="both"/>
              <w:rPr>
                <w:rFonts w:eastAsia="Calibri"/>
                <w:noProof/>
                <w:color w:val="FFFFFF" w:themeColor="background1"/>
                <w:lang w:val="es-ES"/>
              </w:rPr>
            </w:pPr>
            <w:r w:rsidRPr="00E64239">
              <w:rPr>
                <w:rFonts w:eastAsia="Calibri"/>
                <w:noProof/>
                <w:color w:val="FFFFFF" w:themeColor="background1"/>
                <w:lang w:val="es-ES"/>
              </w:rPr>
              <w:t xml:space="preserve">CALIFICACIÓN </w:t>
            </w:r>
          </w:p>
          <w:p w14:paraId="5A21DEF3" w14:textId="361912B3" w:rsidR="000553F7" w:rsidRPr="00E64239" w:rsidRDefault="000553F7" w:rsidP="000553F7">
            <w:pPr>
              <w:spacing w:line="360" w:lineRule="auto"/>
              <w:jc w:val="both"/>
              <w:rPr>
                <w:rFonts w:eastAsia="Calibri"/>
                <w:noProof/>
                <w:color w:val="FFFFFF" w:themeColor="background1"/>
                <w:lang w:val="es-ES"/>
              </w:rPr>
            </w:pPr>
          </w:p>
        </w:tc>
      </w:tr>
      <w:tr w:rsidR="000553F7" w:rsidRPr="00E64239" w14:paraId="7A7BA031" w14:textId="77777777" w:rsidTr="00E64239">
        <w:trPr>
          <w:trHeight w:val="240"/>
        </w:trPr>
        <w:tc>
          <w:tcPr>
            <w:tcW w:w="4308" w:type="dxa"/>
          </w:tcPr>
          <w:p w14:paraId="32C5FB7F"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Ambiente de Control</w:t>
            </w:r>
          </w:p>
        </w:tc>
        <w:tc>
          <w:tcPr>
            <w:tcW w:w="2680" w:type="dxa"/>
          </w:tcPr>
          <w:p w14:paraId="704DF9F8"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67.44%</w:t>
            </w:r>
          </w:p>
        </w:tc>
      </w:tr>
      <w:tr w:rsidR="000553F7" w:rsidRPr="00E64239" w14:paraId="408BC45B" w14:textId="77777777" w:rsidTr="00E64239">
        <w:trPr>
          <w:trHeight w:val="239"/>
        </w:trPr>
        <w:tc>
          <w:tcPr>
            <w:tcW w:w="4308" w:type="dxa"/>
          </w:tcPr>
          <w:p w14:paraId="73BD76CD"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Valoración y Administración de Riesgos</w:t>
            </w:r>
          </w:p>
        </w:tc>
        <w:tc>
          <w:tcPr>
            <w:tcW w:w="2680" w:type="dxa"/>
          </w:tcPr>
          <w:p w14:paraId="4683922E"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92.00%</w:t>
            </w:r>
          </w:p>
        </w:tc>
      </w:tr>
      <w:tr w:rsidR="000553F7" w:rsidRPr="00E64239" w14:paraId="7D1BC2FF" w14:textId="77777777" w:rsidTr="00E64239">
        <w:trPr>
          <w:trHeight w:val="240"/>
        </w:trPr>
        <w:tc>
          <w:tcPr>
            <w:tcW w:w="4308" w:type="dxa"/>
          </w:tcPr>
          <w:p w14:paraId="4CF8A223"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Actividades de Control</w:t>
            </w:r>
          </w:p>
        </w:tc>
        <w:tc>
          <w:tcPr>
            <w:tcW w:w="2680" w:type="dxa"/>
          </w:tcPr>
          <w:p w14:paraId="7970F2B3"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72.00%</w:t>
            </w:r>
          </w:p>
        </w:tc>
      </w:tr>
      <w:tr w:rsidR="000553F7" w:rsidRPr="00E64239" w14:paraId="2D26053D" w14:textId="77777777" w:rsidTr="00E64239">
        <w:trPr>
          <w:trHeight w:val="241"/>
        </w:trPr>
        <w:tc>
          <w:tcPr>
            <w:tcW w:w="4308" w:type="dxa"/>
          </w:tcPr>
          <w:p w14:paraId="2D14A826"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Información y Comunicación</w:t>
            </w:r>
          </w:p>
        </w:tc>
        <w:tc>
          <w:tcPr>
            <w:tcW w:w="2680" w:type="dxa"/>
          </w:tcPr>
          <w:p w14:paraId="0C8388DC"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77.27%</w:t>
            </w:r>
          </w:p>
        </w:tc>
      </w:tr>
      <w:tr w:rsidR="000553F7" w:rsidRPr="00E64239" w14:paraId="4CCE1645" w14:textId="77777777" w:rsidTr="00E64239">
        <w:trPr>
          <w:trHeight w:val="239"/>
        </w:trPr>
        <w:tc>
          <w:tcPr>
            <w:tcW w:w="4308" w:type="dxa"/>
          </w:tcPr>
          <w:p w14:paraId="26A3BA2C"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Monitoreo y Evaluación</w:t>
            </w:r>
          </w:p>
        </w:tc>
        <w:tc>
          <w:tcPr>
            <w:tcW w:w="2680" w:type="dxa"/>
          </w:tcPr>
          <w:p w14:paraId="7229E89F"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100.00%</w:t>
            </w:r>
          </w:p>
        </w:tc>
      </w:tr>
      <w:tr w:rsidR="000553F7" w:rsidRPr="00E64239" w14:paraId="704059E7" w14:textId="77777777" w:rsidTr="00E64239">
        <w:trPr>
          <w:trHeight w:val="64"/>
        </w:trPr>
        <w:tc>
          <w:tcPr>
            <w:tcW w:w="4308" w:type="dxa"/>
            <w:shd w:val="clear" w:color="auto" w:fill="D9D9D9"/>
          </w:tcPr>
          <w:p w14:paraId="19392E4F"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TOTALES</w:t>
            </w:r>
          </w:p>
        </w:tc>
        <w:tc>
          <w:tcPr>
            <w:tcW w:w="2680" w:type="dxa"/>
            <w:shd w:val="clear" w:color="auto" w:fill="D9D9D9"/>
          </w:tcPr>
          <w:p w14:paraId="41B24CFD" w14:textId="77777777" w:rsidR="000553F7" w:rsidRPr="00E64239" w:rsidRDefault="000553F7" w:rsidP="000553F7">
            <w:pPr>
              <w:spacing w:line="360" w:lineRule="auto"/>
              <w:jc w:val="both"/>
              <w:rPr>
                <w:rFonts w:eastAsia="Calibri"/>
                <w:noProof/>
                <w:color w:val="4C4747"/>
                <w:lang w:val="es-ES"/>
              </w:rPr>
            </w:pPr>
            <w:r w:rsidRPr="00E64239">
              <w:rPr>
                <w:rFonts w:eastAsia="Calibri"/>
                <w:noProof/>
                <w:color w:val="4C4747"/>
                <w:lang w:val="es-ES"/>
              </w:rPr>
              <w:t>81.74%</w:t>
            </w:r>
          </w:p>
        </w:tc>
      </w:tr>
    </w:tbl>
    <w:p w14:paraId="15DC3728" w14:textId="77777777" w:rsidR="000553F7" w:rsidRPr="00E64239" w:rsidRDefault="000553F7" w:rsidP="00E64239">
      <w:pPr>
        <w:spacing w:line="360" w:lineRule="auto"/>
        <w:ind w:left="1134"/>
        <w:rPr>
          <w:rFonts w:eastAsiaTheme="majorEastAsia"/>
          <w:b/>
          <w:noProof/>
          <w:color w:val="595959" w:themeColor="text1" w:themeTint="A6"/>
          <w:lang w:val="es-ES"/>
        </w:rPr>
      </w:pPr>
    </w:p>
    <w:p w14:paraId="23E36CDF" w14:textId="19ECC4BE" w:rsidR="00E64239" w:rsidRPr="00E64239" w:rsidRDefault="00E64239" w:rsidP="00E64239">
      <w:pPr>
        <w:pStyle w:val="Prrafodelista"/>
        <w:numPr>
          <w:ilvl w:val="1"/>
          <w:numId w:val="21"/>
        </w:numPr>
        <w:spacing w:line="360" w:lineRule="auto"/>
        <w:ind w:left="1134"/>
        <w:rPr>
          <w:rFonts w:eastAsia="Calibri"/>
          <w:b/>
          <w:bCs/>
          <w:i/>
          <w:iCs/>
          <w:noProof/>
          <w:color w:val="4C4747"/>
          <w:lang w:val="es-ES"/>
        </w:rPr>
      </w:pPr>
      <w:bookmarkStart w:id="46" w:name="_bookmark18"/>
      <w:bookmarkEnd w:id="46"/>
      <w:r w:rsidRPr="00E64239">
        <w:rPr>
          <w:rFonts w:eastAsiaTheme="majorEastAsia"/>
          <w:b/>
          <w:noProof/>
          <w:color w:val="595959" w:themeColor="text1" w:themeTint="A6"/>
          <w:lang w:val="es-ES"/>
        </w:rPr>
        <w:t>Resultados de los Sistemas de Calidad</w:t>
      </w:r>
      <w:r w:rsidRPr="00E64239">
        <w:rPr>
          <w:rFonts w:eastAsia="Calibri"/>
          <w:b/>
          <w:bCs/>
          <w:i/>
          <w:iCs/>
          <w:noProof/>
          <w:color w:val="4C4747"/>
          <w:lang w:val="es-ES"/>
        </w:rPr>
        <w:br/>
      </w:r>
    </w:p>
    <w:p w14:paraId="66D459E3" w14:textId="77777777" w:rsidR="00E64239" w:rsidRPr="00E64239" w:rsidRDefault="00E64239" w:rsidP="00E64239">
      <w:pPr>
        <w:spacing w:line="360" w:lineRule="auto"/>
        <w:jc w:val="both"/>
        <w:rPr>
          <w:rFonts w:eastAsia="Calibri"/>
          <w:b/>
          <w:i/>
          <w:noProof/>
          <w:color w:val="4C4747"/>
          <w:lang w:val="es-ES"/>
        </w:rPr>
      </w:pPr>
      <w:bookmarkStart w:id="47" w:name="_bookmark19"/>
      <w:bookmarkEnd w:id="47"/>
      <w:r w:rsidRPr="00E64239">
        <w:rPr>
          <w:rFonts w:eastAsia="Calibri"/>
          <w:b/>
          <w:i/>
          <w:noProof/>
          <w:color w:val="4C4747"/>
          <w:lang w:val="es-ES"/>
        </w:rPr>
        <w:lastRenderedPageBreak/>
        <w:t xml:space="preserve">Nivel de Satisfacción con el Servicio </w:t>
      </w:r>
    </w:p>
    <w:p w14:paraId="7B89401D" w14:textId="77777777"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Con el objetivo de informar sobre los servicios que ofrece la SIS, en el año 2023, se diseñó la primera versión de la carta compromiso al ciudadano CCC (2023-2025); en ese sentido, mediante la Resolución No. 166 - 2025 la misma fue nuevamente aprobada por dos años (2025 – 2027). En términos generales, en la última evaluación a julio del 2025 la CCC obtuvo un nivel de satisfacción de 99. %, considerando el nivel de eficiencia en cada uno de los servicios comprometidos.</w:t>
      </w:r>
    </w:p>
    <w:p w14:paraId="5B6D92E4" w14:textId="77777777"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Al respecto cabe destacar los siguientes puntos fuertes identificados en el informe de evaluación presentado por el Departamento de Análisis Regulatorio y Compromisos de Servicios (DARCS), del Ministerio de Administración Pública:</w:t>
      </w:r>
    </w:p>
    <w:p w14:paraId="15A9267F" w14:textId="77777777" w:rsidR="00E64239" w:rsidRPr="00E64239" w:rsidRDefault="00E64239" w:rsidP="00E64239">
      <w:pPr>
        <w:numPr>
          <w:ilvl w:val="0"/>
          <w:numId w:val="37"/>
        </w:numPr>
        <w:spacing w:line="360" w:lineRule="auto"/>
        <w:jc w:val="both"/>
        <w:rPr>
          <w:rFonts w:eastAsia="Calibri"/>
          <w:noProof/>
          <w:color w:val="4C4747"/>
          <w:lang w:val="es-ES"/>
        </w:rPr>
      </w:pPr>
      <w:r w:rsidRPr="00E64239">
        <w:rPr>
          <w:rFonts w:eastAsia="Calibri"/>
          <w:noProof/>
          <w:color w:val="4C4747"/>
          <w:lang w:val="es-ES"/>
        </w:rPr>
        <w:t xml:space="preserve">Funcionamiento y debido seguimiento de las líneas telefónicas. correo </w:t>
      </w:r>
      <w:hyperlink r:id="rId17" w:history="1">
        <w:r w:rsidRPr="00E64239">
          <w:rPr>
            <w:rStyle w:val="Hipervnculo"/>
            <w:rFonts w:eastAsia="Calibri"/>
            <w:noProof/>
            <w:lang w:val="es-ES"/>
          </w:rPr>
          <w:t>usuarioseguro@sis.gob.do</w:t>
        </w:r>
      </w:hyperlink>
      <w:r w:rsidRPr="00E64239">
        <w:rPr>
          <w:rFonts w:eastAsia="Calibri"/>
          <w:noProof/>
          <w:color w:val="4C4747"/>
          <w:lang w:val="es-ES"/>
        </w:rPr>
        <w:t xml:space="preserve"> y Centro de Atención al Usuario, vías destinadas para comunicación y participación ciudadana.</w:t>
      </w:r>
    </w:p>
    <w:p w14:paraId="15369EAC" w14:textId="77777777" w:rsidR="00E64239" w:rsidRPr="00E64239" w:rsidRDefault="00E64239" w:rsidP="00E64239">
      <w:pPr>
        <w:numPr>
          <w:ilvl w:val="0"/>
          <w:numId w:val="37"/>
        </w:numPr>
        <w:spacing w:line="360" w:lineRule="auto"/>
        <w:jc w:val="both"/>
        <w:rPr>
          <w:rFonts w:eastAsia="Calibri"/>
          <w:noProof/>
          <w:color w:val="4C4747"/>
          <w:lang w:val="es-ES"/>
        </w:rPr>
      </w:pPr>
      <w:r w:rsidRPr="00E64239">
        <w:rPr>
          <w:rFonts w:eastAsia="Calibri"/>
          <w:noProof/>
          <w:color w:val="4C4747"/>
          <w:lang w:val="es-ES"/>
        </w:rPr>
        <w:t>Carta Compromiso al Ciudadano y los resultados de las mediciones publicadas en el portal web de la institución.</w:t>
      </w:r>
    </w:p>
    <w:p w14:paraId="6B71D95D" w14:textId="77777777" w:rsidR="00E64239" w:rsidRPr="00E64239" w:rsidRDefault="00E64239" w:rsidP="00E64239">
      <w:pPr>
        <w:numPr>
          <w:ilvl w:val="0"/>
          <w:numId w:val="37"/>
        </w:numPr>
        <w:spacing w:line="360" w:lineRule="auto"/>
        <w:jc w:val="both"/>
        <w:rPr>
          <w:rFonts w:eastAsia="Calibri"/>
          <w:noProof/>
          <w:color w:val="4C4747"/>
          <w:lang w:val="es-ES"/>
        </w:rPr>
      </w:pPr>
      <w:r w:rsidRPr="00E64239">
        <w:rPr>
          <w:rFonts w:eastAsia="Calibri"/>
          <w:noProof/>
          <w:color w:val="4C4747"/>
          <w:lang w:val="es-ES"/>
        </w:rPr>
        <w:lastRenderedPageBreak/>
        <w:t>Cumplimiento de los atributos de amabilidad y profesionalidad, fiabilidad, y elementos tangibles en los 5 servicios comprometidos, en todo el periodo evaluado.</w:t>
      </w:r>
    </w:p>
    <w:p w14:paraId="42EB9CCB" w14:textId="6BAEAD0F" w:rsidR="00E64239" w:rsidRPr="00E64239" w:rsidRDefault="00E64239" w:rsidP="00E64239">
      <w:pPr>
        <w:numPr>
          <w:ilvl w:val="0"/>
          <w:numId w:val="37"/>
        </w:numPr>
        <w:spacing w:line="360" w:lineRule="auto"/>
        <w:jc w:val="both"/>
        <w:rPr>
          <w:rFonts w:eastAsia="Calibri"/>
          <w:noProof/>
          <w:color w:val="4C4747"/>
          <w:lang w:val="es-ES"/>
        </w:rPr>
      </w:pPr>
      <w:r w:rsidRPr="00E64239">
        <w:rPr>
          <w:rFonts w:eastAsia="Calibri"/>
          <w:noProof/>
          <w:color w:val="4C4747"/>
          <w:lang w:val="es-ES"/>
        </w:rPr>
        <w:t xml:space="preserve">Funcionamiento y seguimiento de las vías comprometidas para quejas y sugerencias: buzones físicos, </w:t>
      </w:r>
      <w:hyperlink r:id="rId18" w:history="1">
        <w:r w:rsidRPr="00E64239">
          <w:rPr>
            <w:rStyle w:val="Hipervnculo"/>
            <w:rFonts w:eastAsia="Calibri"/>
            <w:noProof/>
            <w:lang w:val="es-ES"/>
          </w:rPr>
          <w:t>usuarioseguro@sis.gob.do</w:t>
        </w:r>
      </w:hyperlink>
      <w:r w:rsidRPr="00E64239">
        <w:rPr>
          <w:rFonts w:eastAsia="Calibri"/>
          <w:noProof/>
          <w:color w:val="4C4747"/>
          <w:lang w:val="es-ES"/>
        </w:rPr>
        <w:t xml:space="preserve"> y línea 311.</w:t>
      </w:r>
    </w:p>
    <w:p w14:paraId="46A0DF28" w14:textId="73DAF91C"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 xml:space="preserve">De cara al ciudadano, esto representa un resultado de excelencia y nuestra responsabilidad con la mejora continua y la experiencia de nuestros usuarios de servicios. </w:t>
      </w:r>
    </w:p>
    <w:p w14:paraId="48E69463" w14:textId="77777777" w:rsidR="00E64239" w:rsidRPr="00E64239" w:rsidRDefault="00E64239" w:rsidP="00E64239">
      <w:pPr>
        <w:spacing w:line="360" w:lineRule="auto"/>
        <w:jc w:val="both"/>
        <w:rPr>
          <w:rFonts w:eastAsia="Calibri"/>
          <w:b/>
          <w:i/>
          <w:noProof/>
          <w:color w:val="4C4747"/>
          <w:lang w:val="es-ES"/>
        </w:rPr>
      </w:pPr>
      <w:r w:rsidRPr="00E64239">
        <w:rPr>
          <w:rFonts w:eastAsia="Calibri"/>
          <w:b/>
          <w:i/>
          <w:noProof/>
          <w:color w:val="4C4747"/>
          <w:lang w:val="es-ES"/>
        </w:rPr>
        <w:t xml:space="preserve">Encuesta de Satisfacción Ciudadana </w:t>
      </w:r>
    </w:p>
    <w:p w14:paraId="50D7686A" w14:textId="77777777"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 xml:space="preserve">Conforme a lo establecido en el Decreto 111-15 del Ministerio de Administración Pública, aplicamos conjuntamente con el Centro de Atención al Usuario la Encuesta Anual de Satisfacción a usuarios, el proceso se realizó a través de la plataforma del Observatorio Nacional de la Calidad de los Servicios, con un total de 264 encuestas aplicadas, con un 93.07 de nivel de satisfacción general. </w:t>
      </w:r>
    </w:p>
    <w:p w14:paraId="5260B03C" w14:textId="249DEB55"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 xml:space="preserve">La metodología utilizada para la encuesta está fundamentada en 4 dimensiones tomando como referencia el modelo SERVQUAL; </w:t>
      </w:r>
      <w:r w:rsidRPr="00E64239">
        <w:rPr>
          <w:rFonts w:eastAsia="Calibri"/>
          <w:noProof/>
          <w:color w:val="4C4747"/>
          <w:lang w:val="es-ES"/>
        </w:rPr>
        <w:lastRenderedPageBreak/>
        <w:t>durante el periodo comprendido del 15 de agosto 2025 al 15 de septiembre de 2025.Obteniendo los Siguientes Resultados.</w:t>
      </w:r>
    </w:p>
    <w:tbl>
      <w:tblPr>
        <w:tblStyle w:val="Tablaconcuadrcula"/>
        <w:tblW w:w="0" w:type="auto"/>
        <w:tblInd w:w="625" w:type="dxa"/>
        <w:tblLook w:val="04A0" w:firstRow="1" w:lastRow="0" w:firstColumn="1" w:lastColumn="0" w:noHBand="0" w:noVBand="1"/>
      </w:tblPr>
      <w:tblGrid>
        <w:gridCol w:w="5663"/>
        <w:gridCol w:w="1622"/>
      </w:tblGrid>
      <w:tr w:rsidR="00E64239" w:rsidRPr="000936C0" w14:paraId="1114BBAA" w14:textId="77777777" w:rsidTr="00E64239">
        <w:trPr>
          <w:trHeight w:val="547"/>
        </w:trPr>
        <w:tc>
          <w:tcPr>
            <w:tcW w:w="8010" w:type="dxa"/>
            <w:gridSpan w:val="2"/>
            <w:shd w:val="clear" w:color="auto" w:fill="002060"/>
          </w:tcPr>
          <w:p w14:paraId="6255CFE0" w14:textId="77777777" w:rsidR="00E64239" w:rsidRPr="00E64239" w:rsidRDefault="00E64239" w:rsidP="00E64239">
            <w:pPr>
              <w:spacing w:after="160" w:line="360" w:lineRule="auto"/>
              <w:jc w:val="both"/>
              <w:rPr>
                <w:rFonts w:eastAsia="Calibri"/>
                <w:b/>
                <w:noProof/>
                <w:color w:val="FFFFFF" w:themeColor="background1"/>
                <w:lang w:val="es-ES"/>
              </w:rPr>
            </w:pPr>
            <w:r w:rsidRPr="00E64239">
              <w:rPr>
                <w:rFonts w:eastAsia="Calibri"/>
                <w:b/>
                <w:noProof/>
                <w:color w:val="FFFFFF" w:themeColor="background1"/>
                <w:lang w:val="es-ES"/>
              </w:rPr>
              <w:t>Resultados de la Encuesta de Satisfacción Ciudadana 2025</w:t>
            </w:r>
          </w:p>
        </w:tc>
      </w:tr>
      <w:tr w:rsidR="00E64239" w:rsidRPr="00E64239" w14:paraId="52AB6A5C" w14:textId="77777777" w:rsidTr="00E64239">
        <w:tc>
          <w:tcPr>
            <w:tcW w:w="6300" w:type="dxa"/>
            <w:shd w:val="clear" w:color="auto" w:fill="002060"/>
          </w:tcPr>
          <w:p w14:paraId="637022D3" w14:textId="77777777" w:rsidR="00E64239" w:rsidRPr="00E64239" w:rsidRDefault="00E64239" w:rsidP="00E64239">
            <w:pPr>
              <w:spacing w:after="160" w:line="360" w:lineRule="auto"/>
              <w:jc w:val="both"/>
              <w:rPr>
                <w:rFonts w:eastAsia="Calibri"/>
                <w:b/>
                <w:noProof/>
                <w:color w:val="FFFFFF" w:themeColor="background1"/>
                <w:lang w:val="es-ES"/>
              </w:rPr>
            </w:pPr>
            <w:r w:rsidRPr="00E64239">
              <w:rPr>
                <w:rFonts w:eastAsia="Calibri"/>
                <w:b/>
                <w:noProof/>
                <w:color w:val="FFFFFF" w:themeColor="background1"/>
                <w:lang w:val="es-ES"/>
              </w:rPr>
              <w:t>Indicador</w:t>
            </w:r>
          </w:p>
        </w:tc>
        <w:tc>
          <w:tcPr>
            <w:tcW w:w="1710" w:type="dxa"/>
            <w:shd w:val="clear" w:color="auto" w:fill="002060"/>
          </w:tcPr>
          <w:p w14:paraId="5FF4F016" w14:textId="77777777" w:rsidR="00E64239" w:rsidRPr="00E64239" w:rsidRDefault="00E64239" w:rsidP="00E64239">
            <w:pPr>
              <w:spacing w:after="160" w:line="360" w:lineRule="auto"/>
              <w:jc w:val="both"/>
              <w:rPr>
                <w:rFonts w:eastAsia="Calibri"/>
                <w:b/>
                <w:noProof/>
                <w:color w:val="4C4747"/>
                <w:lang w:val="es-ES"/>
              </w:rPr>
            </w:pPr>
            <w:r w:rsidRPr="00E64239">
              <w:rPr>
                <w:rFonts w:eastAsia="Calibri"/>
                <w:b/>
                <w:noProof/>
                <w:color w:val="FFFFFF" w:themeColor="background1"/>
                <w:lang w:val="es-ES"/>
              </w:rPr>
              <w:t>Resultado</w:t>
            </w:r>
          </w:p>
        </w:tc>
      </w:tr>
      <w:tr w:rsidR="00E64239" w:rsidRPr="000936C0" w14:paraId="77018827" w14:textId="77777777" w:rsidTr="00EF6A8E">
        <w:tc>
          <w:tcPr>
            <w:tcW w:w="8010" w:type="dxa"/>
            <w:gridSpan w:val="2"/>
          </w:tcPr>
          <w:p w14:paraId="151C3A9E" w14:textId="77777777" w:rsidR="00E64239" w:rsidRPr="00E64239" w:rsidRDefault="00E64239" w:rsidP="00E64239">
            <w:pPr>
              <w:spacing w:after="160" w:line="360" w:lineRule="auto"/>
              <w:jc w:val="center"/>
              <w:rPr>
                <w:rFonts w:eastAsia="Calibri"/>
                <w:b/>
                <w:i/>
                <w:noProof/>
                <w:color w:val="4C4747"/>
                <w:lang w:val="es-ES"/>
              </w:rPr>
            </w:pPr>
            <w:r w:rsidRPr="00E64239">
              <w:rPr>
                <w:rFonts w:eastAsia="Calibri"/>
                <w:b/>
                <w:i/>
                <w:noProof/>
                <w:color w:val="0070C0"/>
                <w:lang w:val="es-ES"/>
              </w:rPr>
              <w:t>Servicios Ofrecidos de Manera Presencial</w:t>
            </w:r>
          </w:p>
        </w:tc>
      </w:tr>
      <w:tr w:rsidR="00E64239" w:rsidRPr="00E64239" w14:paraId="2242334E" w14:textId="77777777" w:rsidTr="00EF6A8E">
        <w:tc>
          <w:tcPr>
            <w:tcW w:w="6300" w:type="dxa"/>
          </w:tcPr>
          <w:p w14:paraId="10D12852"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Promedio de satisfacción elementos tangibles</w:t>
            </w:r>
          </w:p>
        </w:tc>
        <w:tc>
          <w:tcPr>
            <w:tcW w:w="1710" w:type="dxa"/>
          </w:tcPr>
          <w:p w14:paraId="430497D9"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91.34%</w:t>
            </w:r>
          </w:p>
        </w:tc>
      </w:tr>
      <w:tr w:rsidR="00E64239" w:rsidRPr="00E64239" w14:paraId="3EF41ABA" w14:textId="77777777" w:rsidTr="00EF6A8E">
        <w:tc>
          <w:tcPr>
            <w:tcW w:w="6300" w:type="dxa"/>
          </w:tcPr>
          <w:p w14:paraId="60B6F826"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Promedio de satisfacción Fiabilidad/Seguridad</w:t>
            </w:r>
          </w:p>
        </w:tc>
        <w:tc>
          <w:tcPr>
            <w:tcW w:w="1710" w:type="dxa"/>
          </w:tcPr>
          <w:p w14:paraId="665AA836"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96.61%</w:t>
            </w:r>
          </w:p>
        </w:tc>
      </w:tr>
      <w:tr w:rsidR="00E64239" w:rsidRPr="00E64239" w14:paraId="7B9E9CE9" w14:textId="77777777" w:rsidTr="00EF6A8E">
        <w:tc>
          <w:tcPr>
            <w:tcW w:w="6300" w:type="dxa"/>
          </w:tcPr>
          <w:p w14:paraId="35B215C2"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Promedio de satisfacción Capacidad de Respuesta</w:t>
            </w:r>
          </w:p>
        </w:tc>
        <w:tc>
          <w:tcPr>
            <w:tcW w:w="1710" w:type="dxa"/>
          </w:tcPr>
          <w:p w14:paraId="0BF97232"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91.34%</w:t>
            </w:r>
          </w:p>
        </w:tc>
      </w:tr>
      <w:tr w:rsidR="00E64239" w:rsidRPr="00E64239" w14:paraId="5A1E991F" w14:textId="77777777" w:rsidTr="00EF6A8E">
        <w:tc>
          <w:tcPr>
            <w:tcW w:w="6300" w:type="dxa"/>
          </w:tcPr>
          <w:p w14:paraId="0EF6920E"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Promedio de satisfacción empatía</w:t>
            </w:r>
          </w:p>
        </w:tc>
        <w:tc>
          <w:tcPr>
            <w:tcW w:w="1710" w:type="dxa"/>
          </w:tcPr>
          <w:p w14:paraId="244DDCDC"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i/>
                <w:noProof/>
                <w:color w:val="4C4747"/>
                <w:lang w:val="es-ES"/>
              </w:rPr>
              <w:t>94.3%</w:t>
            </w:r>
          </w:p>
        </w:tc>
      </w:tr>
      <w:tr w:rsidR="00E64239" w:rsidRPr="00E64239" w14:paraId="5BFB1541" w14:textId="77777777" w:rsidTr="00E64239">
        <w:trPr>
          <w:trHeight w:val="547"/>
        </w:trPr>
        <w:tc>
          <w:tcPr>
            <w:tcW w:w="8010" w:type="dxa"/>
            <w:gridSpan w:val="2"/>
            <w:shd w:val="clear" w:color="auto" w:fill="002060"/>
          </w:tcPr>
          <w:p w14:paraId="62E512C0" w14:textId="77777777" w:rsidR="00E64239" w:rsidRPr="00E64239" w:rsidRDefault="00E64239" w:rsidP="00E64239">
            <w:pPr>
              <w:spacing w:after="160" w:line="360" w:lineRule="auto"/>
              <w:jc w:val="both"/>
              <w:rPr>
                <w:rFonts w:eastAsia="Calibri"/>
                <w:b/>
                <w:noProof/>
                <w:color w:val="FFFFFF" w:themeColor="background1"/>
                <w:sz w:val="24"/>
                <w:lang w:val="es-ES"/>
              </w:rPr>
            </w:pPr>
            <w:r w:rsidRPr="00E64239">
              <w:rPr>
                <w:rFonts w:eastAsia="Calibri"/>
                <w:b/>
                <w:noProof/>
                <w:color w:val="FFFFFF" w:themeColor="background1"/>
                <w:sz w:val="24"/>
                <w:lang w:val="es-ES"/>
              </w:rPr>
              <w:t>Promedio General de Índice de Satisfacción de Usuarios</w:t>
            </w:r>
          </w:p>
          <w:p w14:paraId="090D3D73" w14:textId="77777777" w:rsidR="00E64239" w:rsidRPr="00E64239" w:rsidRDefault="00E64239" w:rsidP="00E64239">
            <w:pPr>
              <w:spacing w:after="160" w:line="360" w:lineRule="auto"/>
              <w:jc w:val="both"/>
              <w:rPr>
                <w:rFonts w:eastAsia="Calibri"/>
                <w:b/>
                <w:i/>
                <w:noProof/>
                <w:color w:val="4C4747"/>
                <w:lang w:val="es-ES"/>
              </w:rPr>
            </w:pPr>
            <w:r w:rsidRPr="00E64239">
              <w:rPr>
                <w:rFonts w:eastAsia="Calibri"/>
                <w:b/>
                <w:noProof/>
                <w:color w:val="FFFFFF" w:themeColor="background1"/>
                <w:sz w:val="24"/>
                <w:lang w:val="es-ES"/>
              </w:rPr>
              <w:t>93.07%</w:t>
            </w:r>
          </w:p>
        </w:tc>
      </w:tr>
    </w:tbl>
    <w:p w14:paraId="11610949" w14:textId="77777777" w:rsidR="00E64239" w:rsidRPr="00E64239" w:rsidRDefault="00E64239" w:rsidP="00E64239">
      <w:pPr>
        <w:spacing w:line="360" w:lineRule="auto"/>
        <w:jc w:val="both"/>
        <w:rPr>
          <w:rFonts w:eastAsia="Calibri"/>
          <w:b/>
          <w:i/>
          <w:noProof/>
          <w:color w:val="4C4747"/>
          <w:lang w:val="es-ES"/>
        </w:rPr>
      </w:pPr>
    </w:p>
    <w:p w14:paraId="52ADF4C2" w14:textId="6832082C" w:rsidR="00E64239" w:rsidRPr="00E64239" w:rsidRDefault="00E64239" w:rsidP="00E64239">
      <w:pPr>
        <w:spacing w:line="360" w:lineRule="auto"/>
        <w:jc w:val="both"/>
        <w:rPr>
          <w:rFonts w:eastAsia="Calibri"/>
          <w:b/>
          <w:i/>
          <w:noProof/>
          <w:color w:val="4C4747"/>
          <w:lang w:val="es-ES"/>
        </w:rPr>
      </w:pPr>
      <w:r w:rsidRPr="00E64239">
        <w:rPr>
          <w:rFonts w:eastAsia="Calibri"/>
          <w:b/>
          <w:i/>
          <w:noProof/>
          <w:color w:val="4C4747"/>
          <w:lang w:val="es-ES"/>
        </w:rPr>
        <w:t>Acciones para el Fortalecimiento</w:t>
      </w:r>
      <w:r>
        <w:rPr>
          <w:rFonts w:eastAsia="Calibri"/>
          <w:b/>
          <w:i/>
          <w:noProof/>
          <w:color w:val="4C4747"/>
          <w:lang w:val="es-ES"/>
        </w:rPr>
        <w:t xml:space="preserve">: </w:t>
      </w:r>
      <w:r w:rsidRPr="00E64239">
        <w:rPr>
          <w:rFonts w:eastAsia="Calibri"/>
          <w:b/>
          <w:i/>
          <w:noProof/>
          <w:color w:val="4C4747"/>
          <w:lang w:val="es-ES"/>
        </w:rPr>
        <w:t xml:space="preserve"> Autodiagnóstico </w:t>
      </w:r>
    </w:p>
    <w:p w14:paraId="76939C00" w14:textId="77777777" w:rsidR="00E64239" w:rsidRPr="00E64239" w:rsidRDefault="00E64239" w:rsidP="00E64239">
      <w:pPr>
        <w:spacing w:line="360" w:lineRule="auto"/>
        <w:jc w:val="both"/>
        <w:rPr>
          <w:rFonts w:eastAsia="Calibri"/>
          <w:b/>
          <w:i/>
          <w:noProof/>
          <w:color w:val="4C4747"/>
          <w:u w:val="single"/>
          <w:lang w:val="es-ES"/>
        </w:rPr>
      </w:pPr>
      <w:r w:rsidRPr="00E64239">
        <w:rPr>
          <w:rFonts w:eastAsia="Calibri"/>
          <w:b/>
          <w:i/>
          <w:noProof/>
          <w:color w:val="4C4747"/>
          <w:u w:val="single"/>
          <w:lang w:val="es-ES"/>
        </w:rPr>
        <w:t>CAF Institucional</w:t>
      </w:r>
    </w:p>
    <w:p w14:paraId="17D4B0ED" w14:textId="77777777"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 xml:space="preserve">En el marco de la evaluación de calidad institucional la SIS cuenta con una puntuación de 100% en el indicador de Gestión de la Calidad </w:t>
      </w:r>
      <w:r w:rsidRPr="00E64239">
        <w:rPr>
          <w:rFonts w:eastAsia="Calibri"/>
          <w:noProof/>
          <w:color w:val="4C4747"/>
          <w:lang w:val="es-ES"/>
        </w:rPr>
        <w:lastRenderedPageBreak/>
        <w:t>y Servicios del Sistema de Monitoreo de Administración Pública (SISMAP), en los subindicadores 01.1 Autoevaluación CAF y 01.2 Plan de Mejora Modelo CAF. En la última revisión, se validó la implementación efectiva de las acciones de mejora propuestas en el Plan CAF, con énfasis en el cumplimiento de los objetivos estratégicos.</w:t>
      </w:r>
    </w:p>
    <w:p w14:paraId="3117F48E" w14:textId="627077A5"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Esta metodología permite la identificación y ejecución de acciones orientadas a lograr organizaciones públicas excelentes, a través de un autodiagnóstico basado en la evaluación de los criterios de Liderazgo, Estrategia y Planificación, Personas, Alianzas y Recursos, Procesos, Resultados Orientados a los Ciudadanos/Clientes, Resultados en las Personas, Resultados de Responsabilidad Social y Resultados Clave de Rendimiento. Para la elaboración de la Guía Autodiagnóstico CAF 2024, podemos indicar que se realizó dando continuidad a lo establecido en la resolución núm. 081-2022 que dispone los lineamientos para la conformación del Comité Institucional de la Calidad, en entes y órganos de la Administración Pública. En el mismo tenor, se elaboraron los documentos Informe Resumen y Tabla de Puntuación; los cuales contienen la actualización de las informaciones de la institución, así como el registro de las ejecutorias implementadas en dicho período.</w:t>
      </w:r>
    </w:p>
    <w:p w14:paraId="7F0DC92B" w14:textId="77777777" w:rsidR="00E64239" w:rsidRPr="00E64239" w:rsidRDefault="00E64239" w:rsidP="00E64239">
      <w:pPr>
        <w:spacing w:line="360" w:lineRule="auto"/>
        <w:jc w:val="both"/>
        <w:rPr>
          <w:rFonts w:eastAsia="Calibri"/>
          <w:b/>
          <w:i/>
          <w:noProof/>
          <w:color w:val="4C4747"/>
          <w:lang w:val="es-ES"/>
        </w:rPr>
      </w:pPr>
      <w:r w:rsidRPr="00E64239">
        <w:rPr>
          <w:rFonts w:eastAsia="Calibri"/>
          <w:b/>
          <w:i/>
          <w:noProof/>
          <w:color w:val="4C4747"/>
          <w:lang w:val="es-ES"/>
        </w:rPr>
        <w:lastRenderedPageBreak/>
        <w:t xml:space="preserve">Plan de Mejora CAF </w:t>
      </w:r>
    </w:p>
    <w:p w14:paraId="3979B6FD" w14:textId="5A6454BB" w:rsidR="00E64239" w:rsidRPr="00E64239" w:rsidRDefault="00E64239" w:rsidP="00E64239">
      <w:pPr>
        <w:spacing w:line="360" w:lineRule="auto"/>
        <w:jc w:val="both"/>
        <w:rPr>
          <w:rFonts w:eastAsia="Calibri"/>
          <w:noProof/>
          <w:color w:val="4C4747"/>
          <w:lang w:val="es-ES"/>
        </w:rPr>
      </w:pPr>
      <w:r w:rsidRPr="00E64239">
        <w:rPr>
          <w:rFonts w:eastAsia="Calibri"/>
          <w:noProof/>
          <w:color w:val="4C4747"/>
          <w:lang w:val="es-ES"/>
        </w:rPr>
        <w:t xml:space="preserve">En cuanto al Plan de Mejora 2025 </w:t>
      </w:r>
      <w:r>
        <w:rPr>
          <w:rFonts w:eastAsia="Calibri"/>
          <w:noProof/>
          <w:color w:val="4C4747"/>
          <w:lang w:val="es-ES"/>
        </w:rPr>
        <w:t xml:space="preserve">fue </w:t>
      </w:r>
      <w:r w:rsidRPr="00E64239">
        <w:rPr>
          <w:rFonts w:eastAsia="Calibri"/>
          <w:noProof/>
          <w:color w:val="4C4747"/>
          <w:lang w:val="es-ES"/>
        </w:rPr>
        <w:t>definido y completado para las áreas de mejoras detectadas en la Guía Autodiagnóstico CAF 2025, se observan importantes resultados que impactan positivamente tanto a los procesos internos como a los clientes externos, entre los cuales se encuentran:</w:t>
      </w:r>
    </w:p>
    <w:p w14:paraId="0D6DE8DF" w14:textId="77777777" w:rsidR="00E64239" w:rsidRPr="00E64239" w:rsidRDefault="00E64239" w:rsidP="00E64239">
      <w:pPr>
        <w:numPr>
          <w:ilvl w:val="0"/>
          <w:numId w:val="38"/>
        </w:numPr>
        <w:spacing w:line="360" w:lineRule="auto"/>
        <w:jc w:val="both"/>
        <w:rPr>
          <w:rFonts w:eastAsia="Calibri"/>
          <w:noProof/>
          <w:color w:val="4C4747"/>
          <w:lang w:val="es-ES"/>
        </w:rPr>
      </w:pPr>
      <w:r w:rsidRPr="00E64239">
        <w:rPr>
          <w:rFonts w:eastAsia="Calibri"/>
          <w:noProof/>
          <w:color w:val="4C4747"/>
          <w:lang w:val="es-ES"/>
        </w:rPr>
        <w:t>Trabajamos en la renovación de nuestra identidad visual bajo el lema "Renovamos nuestra imagen, Reforzamos nuestro compromiso”, reflejo de una gestión que asume los retos del presente con visión de futuro.</w:t>
      </w:r>
    </w:p>
    <w:p w14:paraId="4C8B6823" w14:textId="77777777" w:rsidR="00E64239" w:rsidRPr="00E64239" w:rsidRDefault="00E64239" w:rsidP="00E64239">
      <w:pPr>
        <w:numPr>
          <w:ilvl w:val="0"/>
          <w:numId w:val="38"/>
        </w:numPr>
        <w:spacing w:line="360" w:lineRule="auto"/>
        <w:jc w:val="both"/>
        <w:rPr>
          <w:rFonts w:eastAsia="Calibri"/>
          <w:noProof/>
          <w:color w:val="4C4747"/>
          <w:lang w:val="es-ES"/>
        </w:rPr>
      </w:pPr>
      <w:r w:rsidRPr="00E64239">
        <w:rPr>
          <w:rFonts w:eastAsia="Calibri"/>
          <w:noProof/>
          <w:color w:val="4C4747"/>
          <w:lang w:val="es-ES"/>
        </w:rPr>
        <w:t xml:space="preserve">Impulsamos un proceso de transformación institucional orientado a la modernización, la transparencia y el fortalecimiento de nuestro compromiso con el sector asegurador y con la ciudadanía. En el marco de la “Consultoría técnica para la formulación del Plan Estratégico Institucional (PEI) 2025-2028 de la SIS, con la asistencia del Programa de Naciones Unidas para el Desarrollo (PNUD) a través del Proyecto Núm. 00133823 “Facilidad de Seguros y Financiamiento de Riesgos (IRFF)”, se realizó un diagnóstico integral que identificó las principales limitaciones y fuerzas </w:t>
      </w:r>
      <w:r w:rsidRPr="00E64239">
        <w:rPr>
          <w:rFonts w:eastAsia="Calibri"/>
          <w:noProof/>
          <w:color w:val="4C4747"/>
          <w:lang w:val="es-ES"/>
        </w:rPr>
        <w:lastRenderedPageBreak/>
        <w:t>restrictivas que condicionaban el accionar de la SIS y a partir de esta base se construyó  nueva propuesta de valor de la SIS.</w:t>
      </w:r>
    </w:p>
    <w:p w14:paraId="1B26D83D" w14:textId="77777777" w:rsidR="00E64239" w:rsidRPr="00E64239" w:rsidRDefault="00E64239" w:rsidP="00E64239">
      <w:pPr>
        <w:numPr>
          <w:ilvl w:val="0"/>
          <w:numId w:val="38"/>
        </w:numPr>
        <w:spacing w:line="360" w:lineRule="auto"/>
        <w:jc w:val="both"/>
        <w:rPr>
          <w:rFonts w:eastAsia="Calibri"/>
          <w:noProof/>
          <w:color w:val="4C4747"/>
          <w:lang w:val="es-ES"/>
        </w:rPr>
      </w:pPr>
      <w:r w:rsidRPr="00E64239">
        <w:rPr>
          <w:rFonts w:eastAsia="Calibri"/>
          <w:noProof/>
          <w:color w:val="4C4747"/>
          <w:lang w:val="es-ES"/>
        </w:rPr>
        <w:t>Digitalizamos los exámenes para los agentes y corredores lo que ha permitido eficientizar las evaluaciones.</w:t>
      </w:r>
    </w:p>
    <w:p w14:paraId="691BEDC5" w14:textId="77777777" w:rsidR="00A5394C" w:rsidRDefault="00E64239" w:rsidP="00E64239">
      <w:pPr>
        <w:spacing w:line="360" w:lineRule="auto"/>
        <w:jc w:val="both"/>
        <w:rPr>
          <w:rFonts w:eastAsia="Calibri"/>
          <w:b/>
          <w:i/>
          <w:noProof/>
          <w:color w:val="4C4747"/>
          <w:lang w:val="es-ES"/>
        </w:rPr>
      </w:pPr>
      <w:r w:rsidRPr="00E64239">
        <w:rPr>
          <w:rFonts w:eastAsia="Calibri"/>
          <w:b/>
          <w:noProof/>
          <w:color w:val="4C4747"/>
          <w:lang w:val="es-ES"/>
        </w:rPr>
        <w:br/>
      </w:r>
    </w:p>
    <w:p w14:paraId="3C42679D" w14:textId="40AA8778" w:rsidR="00E64239" w:rsidRPr="00E64239" w:rsidRDefault="00E64239" w:rsidP="00E64239">
      <w:pPr>
        <w:spacing w:line="360" w:lineRule="auto"/>
        <w:jc w:val="both"/>
        <w:rPr>
          <w:rFonts w:eastAsia="Calibri"/>
          <w:b/>
          <w:i/>
          <w:noProof/>
          <w:color w:val="4C4747"/>
          <w:lang w:val="es-ES"/>
        </w:rPr>
      </w:pPr>
      <w:r w:rsidRPr="00E64239">
        <w:rPr>
          <w:rFonts w:eastAsia="Calibri"/>
          <w:b/>
          <w:i/>
          <w:noProof/>
          <w:color w:val="4C4747"/>
          <w:lang w:val="es-ES"/>
        </w:rPr>
        <w:t xml:space="preserve">Estandarización de Procesos </w:t>
      </w:r>
    </w:p>
    <w:p w14:paraId="1D1F495D" w14:textId="3C305791" w:rsidR="00DA43F4" w:rsidRPr="00E64239" w:rsidRDefault="00E64239" w:rsidP="00E64239">
      <w:pPr>
        <w:spacing w:line="360" w:lineRule="auto"/>
        <w:jc w:val="both"/>
        <w:rPr>
          <w:rFonts w:eastAsia="Calibri"/>
          <w:b/>
          <w:i/>
          <w:noProof/>
          <w:color w:val="4C4747"/>
          <w:lang w:val="es-ES"/>
        </w:rPr>
      </w:pPr>
      <w:r w:rsidRPr="00E64239">
        <w:rPr>
          <w:rFonts w:eastAsia="Calibri"/>
          <w:noProof/>
          <w:color w:val="4C4747"/>
          <w:lang w:val="es-ES"/>
        </w:rPr>
        <w:t>En relación con el subindicador estandarización de procesos, fueron validados por la Dirección de Mejora Regulatoria y de los Servicios Públicos del MAP, el mapa de procesos y el borrador del manual de</w:t>
      </w:r>
      <w:r w:rsidRPr="00E64239">
        <w:rPr>
          <w:rFonts w:eastAsia="Calibri"/>
          <w:b/>
          <w:i/>
          <w:noProof/>
          <w:color w:val="4C4747"/>
          <w:lang w:val="es-ES"/>
        </w:rPr>
        <w:t xml:space="preserve"> </w:t>
      </w:r>
      <w:r w:rsidRPr="00E64239">
        <w:rPr>
          <w:rFonts w:eastAsia="Calibri"/>
          <w:noProof/>
          <w:color w:val="4C4747"/>
          <w:lang w:val="es-ES"/>
        </w:rPr>
        <w:t>procedimientos de esta Superintendencia, demostrando así el uso de buenas prácticas en materia de Cumplimiento de los indicadores y de los procesos institucionales</w:t>
      </w:r>
      <w:r>
        <w:rPr>
          <w:rFonts w:eastAsia="Calibri"/>
          <w:noProof/>
          <w:color w:val="4C4747"/>
          <w:lang w:val="es-ES"/>
        </w:rPr>
        <w:t>.</w:t>
      </w:r>
      <w:r w:rsidRPr="00E64239">
        <w:rPr>
          <w:rFonts w:eastAsia="Calibri"/>
          <w:b/>
          <w:i/>
          <w:noProof/>
          <w:color w:val="4C4747"/>
          <w:lang w:val="es-ES"/>
        </w:rPr>
        <w:t xml:space="preserve"> </w:t>
      </w:r>
    </w:p>
    <w:p w14:paraId="4B7E0D8C" w14:textId="23205965" w:rsidR="00E64239" w:rsidRPr="00C66F94" w:rsidRDefault="00E64239" w:rsidP="00E64239">
      <w:pPr>
        <w:pStyle w:val="Ttulo2"/>
        <w:numPr>
          <w:ilvl w:val="1"/>
          <w:numId w:val="20"/>
        </w:numPr>
        <w:rPr>
          <w:b/>
          <w:noProof/>
          <w:lang w:val="es-ES"/>
        </w:rPr>
      </w:pPr>
      <w:bookmarkStart w:id="48" w:name="_Toc216875876"/>
      <w:r w:rsidRPr="00C66F94">
        <w:rPr>
          <w:b/>
          <w:noProof/>
          <w:lang w:val="es-ES"/>
        </w:rPr>
        <w:t>Desempeño del Área de Comunicaciones</w:t>
      </w:r>
      <w:bookmarkEnd w:id="48"/>
    </w:p>
    <w:p w14:paraId="134670FC" w14:textId="77777777" w:rsidR="00C66F94" w:rsidRDefault="00C66F94" w:rsidP="00E64239">
      <w:pPr>
        <w:spacing w:line="360" w:lineRule="auto"/>
        <w:jc w:val="both"/>
        <w:rPr>
          <w:rFonts w:eastAsia="Calibri"/>
          <w:b/>
          <w:i/>
          <w:noProof/>
          <w:color w:val="4C4747"/>
          <w:lang w:val="es-ES"/>
        </w:rPr>
      </w:pPr>
    </w:p>
    <w:p w14:paraId="2B807C5D" w14:textId="493BB974" w:rsidR="00E64239" w:rsidRPr="00C66F94" w:rsidRDefault="00E64239" w:rsidP="00E64239">
      <w:pPr>
        <w:spacing w:line="360" w:lineRule="auto"/>
        <w:jc w:val="both"/>
        <w:rPr>
          <w:rFonts w:eastAsia="Calibri"/>
          <w:noProof/>
          <w:color w:val="4C4747"/>
          <w:lang w:val="es-ES"/>
        </w:rPr>
      </w:pPr>
      <w:r w:rsidRPr="00C66F94">
        <w:rPr>
          <w:rFonts w:eastAsia="Calibri"/>
          <w:noProof/>
          <w:color w:val="4C4747"/>
          <w:lang w:val="es-ES"/>
        </w:rPr>
        <w:t xml:space="preserve">La Dirección de Comunicaciones de la Superintendencia de Seguros enfocó sus esfuerzos durante el período enero -octubre de 2025 en consolidar una imagen institucional positiva y mantener informada a la sociedad sobre el sector asegurador en la República Dominicana. </w:t>
      </w:r>
      <w:r w:rsidRPr="00C66F94">
        <w:rPr>
          <w:rFonts w:eastAsia="Calibri"/>
          <w:noProof/>
          <w:color w:val="4C4747"/>
          <w:lang w:val="es-ES"/>
        </w:rPr>
        <w:lastRenderedPageBreak/>
        <w:t>Estas acciones estuvieron alineadas con los objetivos establecidos en el Plan Estratégico Institucional y el Plan Operativo Anual.</w:t>
      </w:r>
    </w:p>
    <w:tbl>
      <w:tblPr>
        <w:tblW w:w="0" w:type="auto"/>
        <w:tblInd w:w="7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5211"/>
        <w:gridCol w:w="2691"/>
      </w:tblGrid>
      <w:tr w:rsidR="00E64239" w:rsidRPr="00C66F94" w14:paraId="70A84065" w14:textId="77777777" w:rsidTr="00EF6A8E">
        <w:trPr>
          <w:trHeight w:val="414"/>
        </w:trPr>
        <w:tc>
          <w:tcPr>
            <w:tcW w:w="7902" w:type="dxa"/>
            <w:gridSpan w:val="2"/>
            <w:tcBorders>
              <w:top w:val="nil"/>
              <w:left w:val="nil"/>
              <w:right w:val="nil"/>
            </w:tcBorders>
            <w:shd w:val="clear" w:color="auto" w:fill="001F5F"/>
          </w:tcPr>
          <w:p w14:paraId="7B2FB7B9" w14:textId="77777777" w:rsidR="00E64239" w:rsidRPr="00C66F94" w:rsidRDefault="00E64239" w:rsidP="00A5394C">
            <w:pPr>
              <w:spacing w:after="0" w:line="240" w:lineRule="auto"/>
              <w:jc w:val="both"/>
              <w:rPr>
                <w:rFonts w:eastAsia="Calibri"/>
                <w:noProof/>
                <w:color w:val="FFFFFF" w:themeColor="background1"/>
                <w:lang w:val="es-ES"/>
              </w:rPr>
            </w:pPr>
            <w:r w:rsidRPr="00C66F94">
              <w:rPr>
                <w:rFonts w:eastAsia="Calibri"/>
                <w:noProof/>
                <w:color w:val="FFFFFF" w:themeColor="background1"/>
                <w:lang w:val="es-ES"/>
              </w:rPr>
              <w:t>LOGROS PRINCIPALES (ENERO-OCTUBRE 2025)</w:t>
            </w:r>
          </w:p>
        </w:tc>
      </w:tr>
      <w:tr w:rsidR="00E64239" w:rsidRPr="00C66F94" w14:paraId="0EEEB3DC" w14:textId="77777777" w:rsidTr="00EF6A8E">
        <w:trPr>
          <w:trHeight w:val="414"/>
        </w:trPr>
        <w:tc>
          <w:tcPr>
            <w:tcW w:w="5211" w:type="dxa"/>
            <w:tcBorders>
              <w:left w:val="nil"/>
              <w:bottom w:val="nil"/>
              <w:right w:val="nil"/>
            </w:tcBorders>
            <w:shd w:val="clear" w:color="auto" w:fill="001F5F"/>
          </w:tcPr>
          <w:p w14:paraId="01BB5D34" w14:textId="77777777" w:rsidR="00E64239" w:rsidRPr="00C66F94" w:rsidRDefault="00E64239" w:rsidP="00A5394C">
            <w:pPr>
              <w:spacing w:after="0" w:line="240" w:lineRule="auto"/>
              <w:jc w:val="both"/>
              <w:rPr>
                <w:rFonts w:eastAsia="Calibri"/>
                <w:noProof/>
                <w:color w:val="FFFFFF" w:themeColor="background1"/>
                <w:lang w:val="es-ES"/>
              </w:rPr>
            </w:pPr>
            <w:r w:rsidRPr="00C66F94">
              <w:rPr>
                <w:rFonts w:eastAsia="Calibri"/>
                <w:noProof/>
                <w:color w:val="FFFFFF" w:themeColor="background1"/>
                <w:lang w:val="es-ES"/>
              </w:rPr>
              <w:t>Elemento</w:t>
            </w:r>
          </w:p>
        </w:tc>
        <w:tc>
          <w:tcPr>
            <w:tcW w:w="2691" w:type="dxa"/>
            <w:tcBorders>
              <w:left w:val="nil"/>
              <w:bottom w:val="nil"/>
              <w:right w:val="nil"/>
            </w:tcBorders>
            <w:shd w:val="clear" w:color="auto" w:fill="001F5F"/>
          </w:tcPr>
          <w:p w14:paraId="0BF346C5" w14:textId="77777777" w:rsidR="00E64239" w:rsidRPr="00C66F94" w:rsidRDefault="00E64239" w:rsidP="00A5394C">
            <w:pPr>
              <w:spacing w:after="0" w:line="240" w:lineRule="auto"/>
              <w:jc w:val="both"/>
              <w:rPr>
                <w:rFonts w:eastAsia="Calibri"/>
                <w:noProof/>
                <w:color w:val="FFFFFF" w:themeColor="background1"/>
                <w:lang w:val="es-ES"/>
              </w:rPr>
            </w:pPr>
            <w:r w:rsidRPr="00C66F94">
              <w:rPr>
                <w:rFonts w:eastAsia="Calibri"/>
                <w:noProof/>
                <w:color w:val="FFFFFF" w:themeColor="background1"/>
                <w:lang w:val="es-ES"/>
              </w:rPr>
              <w:t>Cantidad Realizada</w:t>
            </w:r>
          </w:p>
        </w:tc>
      </w:tr>
      <w:tr w:rsidR="00E64239" w:rsidRPr="00C66F94" w14:paraId="2A0A34B5" w14:textId="77777777" w:rsidTr="00EF6A8E">
        <w:trPr>
          <w:trHeight w:val="433"/>
        </w:trPr>
        <w:tc>
          <w:tcPr>
            <w:tcW w:w="5211" w:type="dxa"/>
            <w:tcBorders>
              <w:top w:val="nil"/>
              <w:left w:val="single" w:sz="8" w:space="0" w:color="000000"/>
              <w:bottom w:val="single" w:sz="8" w:space="0" w:color="000000"/>
              <w:right w:val="single" w:sz="8" w:space="0" w:color="000000"/>
            </w:tcBorders>
          </w:tcPr>
          <w:p w14:paraId="7676C38B"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Apariciones en medios de comunicación</w:t>
            </w:r>
          </w:p>
        </w:tc>
        <w:tc>
          <w:tcPr>
            <w:tcW w:w="2691" w:type="dxa"/>
            <w:tcBorders>
              <w:top w:val="nil"/>
              <w:left w:val="single" w:sz="8" w:space="0" w:color="000000"/>
              <w:bottom w:val="single" w:sz="8" w:space="0" w:color="000000"/>
              <w:right w:val="single" w:sz="8" w:space="0" w:color="000000"/>
            </w:tcBorders>
          </w:tcPr>
          <w:p w14:paraId="4538AB23"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567</w:t>
            </w:r>
          </w:p>
        </w:tc>
      </w:tr>
      <w:tr w:rsidR="00E64239" w:rsidRPr="00C66F94" w14:paraId="187D59AC" w14:textId="77777777" w:rsidTr="00EF6A8E">
        <w:trPr>
          <w:trHeight w:val="412"/>
        </w:trPr>
        <w:tc>
          <w:tcPr>
            <w:tcW w:w="5211" w:type="dxa"/>
            <w:tcBorders>
              <w:top w:val="single" w:sz="8" w:space="0" w:color="000000"/>
              <w:left w:val="single" w:sz="8" w:space="0" w:color="000000"/>
              <w:bottom w:val="single" w:sz="8" w:space="0" w:color="000000"/>
              <w:right w:val="single" w:sz="8" w:space="0" w:color="000000"/>
            </w:tcBorders>
          </w:tcPr>
          <w:p w14:paraId="6494D92C"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Medios tradicionales</w:t>
            </w:r>
          </w:p>
        </w:tc>
        <w:tc>
          <w:tcPr>
            <w:tcW w:w="2691" w:type="dxa"/>
            <w:tcBorders>
              <w:top w:val="single" w:sz="8" w:space="0" w:color="000000"/>
              <w:left w:val="single" w:sz="8" w:space="0" w:color="000000"/>
              <w:bottom w:val="single" w:sz="8" w:space="0" w:color="000000"/>
              <w:right w:val="single" w:sz="8" w:space="0" w:color="000000"/>
            </w:tcBorders>
          </w:tcPr>
          <w:p w14:paraId="3D5C4985"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35</w:t>
            </w:r>
          </w:p>
        </w:tc>
      </w:tr>
      <w:tr w:rsidR="00E64239" w:rsidRPr="00C66F94" w14:paraId="53A74F3E" w14:textId="77777777" w:rsidTr="00EF6A8E">
        <w:trPr>
          <w:trHeight w:val="415"/>
        </w:trPr>
        <w:tc>
          <w:tcPr>
            <w:tcW w:w="5211" w:type="dxa"/>
            <w:tcBorders>
              <w:top w:val="single" w:sz="8" w:space="0" w:color="000000"/>
              <w:left w:val="single" w:sz="8" w:space="0" w:color="000000"/>
              <w:bottom w:val="single" w:sz="8" w:space="0" w:color="000000"/>
              <w:right w:val="single" w:sz="8" w:space="0" w:color="000000"/>
            </w:tcBorders>
          </w:tcPr>
          <w:p w14:paraId="1BE5D39C"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Medios digitales</w:t>
            </w:r>
          </w:p>
        </w:tc>
        <w:tc>
          <w:tcPr>
            <w:tcW w:w="2691" w:type="dxa"/>
            <w:tcBorders>
              <w:top w:val="single" w:sz="8" w:space="0" w:color="000000"/>
              <w:left w:val="single" w:sz="8" w:space="0" w:color="000000"/>
              <w:bottom w:val="single" w:sz="8" w:space="0" w:color="000000"/>
              <w:right w:val="single" w:sz="8" w:space="0" w:color="000000"/>
            </w:tcBorders>
          </w:tcPr>
          <w:p w14:paraId="5AF3BD05"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532</w:t>
            </w:r>
          </w:p>
        </w:tc>
      </w:tr>
      <w:tr w:rsidR="00E64239" w:rsidRPr="00C66F94" w14:paraId="1F116AF3" w14:textId="77777777" w:rsidTr="00EF6A8E">
        <w:trPr>
          <w:trHeight w:val="414"/>
        </w:trPr>
        <w:tc>
          <w:tcPr>
            <w:tcW w:w="5211" w:type="dxa"/>
            <w:tcBorders>
              <w:top w:val="single" w:sz="8" w:space="0" w:color="000000"/>
              <w:left w:val="single" w:sz="8" w:space="0" w:color="000000"/>
              <w:bottom w:val="single" w:sz="8" w:space="0" w:color="000000"/>
              <w:right w:val="single" w:sz="8" w:space="0" w:color="000000"/>
            </w:tcBorders>
          </w:tcPr>
          <w:p w14:paraId="5497E2FA"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Notas de prensa distribuidas</w:t>
            </w:r>
          </w:p>
        </w:tc>
        <w:tc>
          <w:tcPr>
            <w:tcW w:w="2691" w:type="dxa"/>
            <w:tcBorders>
              <w:top w:val="single" w:sz="8" w:space="0" w:color="000000"/>
              <w:left w:val="single" w:sz="8" w:space="0" w:color="000000"/>
              <w:bottom w:val="single" w:sz="8" w:space="0" w:color="000000"/>
              <w:right w:val="single" w:sz="8" w:space="0" w:color="000000"/>
            </w:tcBorders>
          </w:tcPr>
          <w:p w14:paraId="61EB6869"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19</w:t>
            </w:r>
          </w:p>
        </w:tc>
      </w:tr>
      <w:tr w:rsidR="00E64239" w:rsidRPr="00C66F94" w14:paraId="043724C1" w14:textId="77777777" w:rsidTr="00EF6A8E">
        <w:trPr>
          <w:trHeight w:val="414"/>
        </w:trPr>
        <w:tc>
          <w:tcPr>
            <w:tcW w:w="5211" w:type="dxa"/>
            <w:tcBorders>
              <w:top w:val="single" w:sz="8" w:space="0" w:color="000000"/>
              <w:left w:val="single" w:sz="8" w:space="0" w:color="000000"/>
              <w:bottom w:val="single" w:sz="8" w:space="0" w:color="000000"/>
              <w:right w:val="single" w:sz="8" w:space="0" w:color="000000"/>
            </w:tcBorders>
          </w:tcPr>
          <w:p w14:paraId="7A40A7D8"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Reseñas en el portal institucional</w:t>
            </w:r>
          </w:p>
        </w:tc>
        <w:tc>
          <w:tcPr>
            <w:tcW w:w="2691" w:type="dxa"/>
            <w:tcBorders>
              <w:top w:val="single" w:sz="8" w:space="0" w:color="000000"/>
              <w:left w:val="single" w:sz="8" w:space="0" w:color="000000"/>
              <w:bottom w:val="single" w:sz="8" w:space="0" w:color="000000"/>
              <w:right w:val="single" w:sz="8" w:space="0" w:color="000000"/>
            </w:tcBorders>
          </w:tcPr>
          <w:p w14:paraId="1D73F2D2"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22</w:t>
            </w:r>
          </w:p>
        </w:tc>
      </w:tr>
      <w:tr w:rsidR="00E64239" w:rsidRPr="00C66F94" w14:paraId="286C70FC" w14:textId="77777777" w:rsidTr="00EF6A8E">
        <w:trPr>
          <w:trHeight w:val="414"/>
        </w:trPr>
        <w:tc>
          <w:tcPr>
            <w:tcW w:w="5211" w:type="dxa"/>
            <w:tcBorders>
              <w:top w:val="single" w:sz="8" w:space="0" w:color="000000"/>
              <w:left w:val="single" w:sz="8" w:space="0" w:color="000000"/>
              <w:bottom w:val="single" w:sz="8" w:space="0" w:color="000000"/>
              <w:right w:val="single" w:sz="8" w:space="0" w:color="000000"/>
            </w:tcBorders>
          </w:tcPr>
          <w:p w14:paraId="5289B802"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Audiovisuales producidos</w:t>
            </w:r>
          </w:p>
        </w:tc>
        <w:tc>
          <w:tcPr>
            <w:tcW w:w="2691" w:type="dxa"/>
            <w:tcBorders>
              <w:top w:val="single" w:sz="8" w:space="0" w:color="000000"/>
              <w:left w:val="single" w:sz="8" w:space="0" w:color="000000"/>
              <w:bottom w:val="single" w:sz="8" w:space="0" w:color="000000"/>
              <w:right w:val="single" w:sz="8" w:space="0" w:color="000000"/>
            </w:tcBorders>
          </w:tcPr>
          <w:p w14:paraId="086511E7"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10</w:t>
            </w:r>
          </w:p>
        </w:tc>
      </w:tr>
      <w:tr w:rsidR="00E64239" w:rsidRPr="00C66F94" w14:paraId="7DED8746" w14:textId="77777777" w:rsidTr="00EF6A8E">
        <w:trPr>
          <w:trHeight w:val="414"/>
        </w:trPr>
        <w:tc>
          <w:tcPr>
            <w:tcW w:w="5211" w:type="dxa"/>
            <w:tcBorders>
              <w:top w:val="single" w:sz="8" w:space="0" w:color="000000"/>
              <w:left w:val="single" w:sz="8" w:space="0" w:color="000000"/>
              <w:bottom w:val="single" w:sz="8" w:space="0" w:color="000000"/>
              <w:right w:val="single" w:sz="8" w:space="0" w:color="000000"/>
            </w:tcBorders>
          </w:tcPr>
          <w:p w14:paraId="63373183"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Actividades cubiertas</w:t>
            </w:r>
          </w:p>
        </w:tc>
        <w:tc>
          <w:tcPr>
            <w:tcW w:w="2691" w:type="dxa"/>
            <w:tcBorders>
              <w:top w:val="single" w:sz="8" w:space="0" w:color="000000"/>
              <w:left w:val="single" w:sz="8" w:space="0" w:color="000000"/>
              <w:bottom w:val="single" w:sz="8" w:space="0" w:color="000000"/>
              <w:right w:val="single" w:sz="8" w:space="0" w:color="000000"/>
            </w:tcBorders>
          </w:tcPr>
          <w:p w14:paraId="577350BF"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67</w:t>
            </w:r>
          </w:p>
        </w:tc>
      </w:tr>
      <w:tr w:rsidR="00E64239" w:rsidRPr="00C66F94" w14:paraId="5C141476" w14:textId="77777777" w:rsidTr="00EF6A8E">
        <w:trPr>
          <w:trHeight w:val="414"/>
        </w:trPr>
        <w:tc>
          <w:tcPr>
            <w:tcW w:w="5211" w:type="dxa"/>
            <w:tcBorders>
              <w:top w:val="single" w:sz="8" w:space="0" w:color="000000"/>
              <w:left w:val="single" w:sz="8" w:space="0" w:color="000000"/>
              <w:bottom w:val="single" w:sz="8" w:space="0" w:color="000000"/>
              <w:right w:val="single" w:sz="8" w:space="0" w:color="000000"/>
            </w:tcBorders>
          </w:tcPr>
          <w:p w14:paraId="1C6B8B1B"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Comunicados internos distribuidos</w:t>
            </w:r>
          </w:p>
        </w:tc>
        <w:tc>
          <w:tcPr>
            <w:tcW w:w="2691" w:type="dxa"/>
            <w:tcBorders>
              <w:top w:val="single" w:sz="8" w:space="0" w:color="000000"/>
              <w:left w:val="single" w:sz="8" w:space="0" w:color="000000"/>
              <w:bottom w:val="single" w:sz="8" w:space="0" w:color="000000"/>
              <w:right w:val="single" w:sz="8" w:space="0" w:color="000000"/>
            </w:tcBorders>
          </w:tcPr>
          <w:p w14:paraId="64C45C41" w14:textId="77777777" w:rsidR="00E64239" w:rsidRPr="00C66F94" w:rsidRDefault="00E64239" w:rsidP="00A5394C">
            <w:pPr>
              <w:spacing w:after="0" w:line="240" w:lineRule="auto"/>
              <w:jc w:val="both"/>
              <w:rPr>
                <w:rFonts w:eastAsia="Calibri"/>
                <w:noProof/>
                <w:color w:val="4C4747"/>
                <w:lang w:val="es-ES"/>
              </w:rPr>
            </w:pPr>
            <w:r w:rsidRPr="00C66F94">
              <w:rPr>
                <w:rFonts w:eastAsia="Calibri"/>
                <w:noProof/>
                <w:color w:val="4C4747"/>
                <w:lang w:val="es-ES"/>
              </w:rPr>
              <w:t>64</w:t>
            </w:r>
          </w:p>
        </w:tc>
      </w:tr>
    </w:tbl>
    <w:p w14:paraId="0961CD76" w14:textId="77777777" w:rsidR="00E64239" w:rsidRPr="00E64239" w:rsidRDefault="00E64239" w:rsidP="00E64239">
      <w:pPr>
        <w:spacing w:line="360" w:lineRule="auto"/>
        <w:jc w:val="both"/>
        <w:rPr>
          <w:rFonts w:eastAsia="Calibri"/>
          <w:b/>
          <w:i/>
          <w:noProof/>
          <w:color w:val="4C4747"/>
          <w:lang w:val="es-ES"/>
        </w:rPr>
      </w:pPr>
    </w:p>
    <w:p w14:paraId="0813CC23" w14:textId="77777777" w:rsidR="00E64239" w:rsidRPr="00E64239" w:rsidRDefault="00E64239" w:rsidP="00E64239">
      <w:pPr>
        <w:spacing w:line="360" w:lineRule="auto"/>
        <w:jc w:val="both"/>
        <w:rPr>
          <w:rFonts w:eastAsia="Calibri"/>
          <w:b/>
          <w:i/>
          <w:noProof/>
          <w:color w:val="4C4747"/>
          <w:lang w:val="es-ES"/>
        </w:rPr>
      </w:pPr>
    </w:p>
    <w:p w14:paraId="7A8B0AE4" w14:textId="77777777" w:rsidR="00E64239" w:rsidRPr="00C66F94" w:rsidRDefault="00E64239" w:rsidP="00E64239">
      <w:pPr>
        <w:spacing w:line="360" w:lineRule="auto"/>
        <w:jc w:val="both"/>
        <w:rPr>
          <w:rFonts w:eastAsia="Calibri"/>
          <w:noProof/>
          <w:color w:val="4C4747"/>
          <w:lang w:val="es-ES"/>
        </w:rPr>
      </w:pPr>
      <w:r w:rsidRPr="00E64239">
        <w:rPr>
          <w:rFonts w:eastAsia="Calibri"/>
          <w:b/>
          <w:i/>
          <w:noProof/>
          <w:color w:val="4C4747"/>
          <w:lang w:val="es-ES"/>
        </w:rPr>
        <w:t xml:space="preserve">Impacto en Medios de Comunicación: </w:t>
      </w:r>
      <w:r w:rsidRPr="00C66F94">
        <w:rPr>
          <w:rFonts w:eastAsia="Calibri"/>
          <w:noProof/>
          <w:color w:val="4C4747"/>
          <w:lang w:val="es-ES"/>
        </w:rPr>
        <w:t xml:space="preserve">Durante el período, la Superintendencia de Seguros apareció 567 veces  en  medios  de comunicación, destacándose en 35 medios tradicionales y 532 digitales. De estas, tres correspondieron a portadas en periódicos y 32 a páginas interiores. Esto fue posible gracias a la publicación de </w:t>
      </w:r>
      <w:r w:rsidRPr="00C66F94">
        <w:rPr>
          <w:rFonts w:eastAsia="Calibri"/>
          <w:noProof/>
          <w:color w:val="4C4747"/>
          <w:lang w:val="es-ES"/>
        </w:rPr>
        <w:lastRenderedPageBreak/>
        <w:t>19 notas de prensa y la organización de nueve convocatorias a medios.</w:t>
      </w:r>
    </w:p>
    <w:p w14:paraId="4DF1AB4E" w14:textId="56BEF5FD" w:rsidR="00E64239" w:rsidRPr="00C66F94" w:rsidRDefault="00E64239" w:rsidP="00E64239">
      <w:pPr>
        <w:spacing w:line="360" w:lineRule="auto"/>
        <w:jc w:val="both"/>
        <w:rPr>
          <w:rFonts w:eastAsia="Calibri"/>
          <w:noProof/>
          <w:color w:val="4C4747"/>
          <w:lang w:val="es-ES"/>
        </w:rPr>
      </w:pPr>
      <w:r w:rsidRPr="00C66F94">
        <w:rPr>
          <w:rFonts w:eastAsia="Calibri"/>
          <w:noProof/>
          <w:color w:val="4C4747"/>
          <w:lang w:val="es-ES"/>
        </w:rPr>
        <w:t xml:space="preserve">Un hecho destacado fue la designación de Julio César Valentín Jiminián como </w:t>
      </w:r>
      <w:r w:rsidR="00C66F94">
        <w:rPr>
          <w:rFonts w:eastAsia="Calibri"/>
          <w:noProof/>
          <w:color w:val="4C4747"/>
          <w:lang w:val="es-ES"/>
        </w:rPr>
        <w:t>S</w:t>
      </w:r>
      <w:r w:rsidRPr="00C66F94">
        <w:rPr>
          <w:rFonts w:eastAsia="Calibri"/>
          <w:noProof/>
          <w:color w:val="4C4747"/>
          <w:lang w:val="es-ES"/>
        </w:rPr>
        <w:t>uperintendente de seguros mediante el Decreto 459</w:t>
      </w:r>
      <w:r w:rsidR="00C66F94">
        <w:rPr>
          <w:rFonts w:eastAsia="Calibri"/>
          <w:b/>
          <w:i/>
          <w:noProof/>
          <w:color w:val="4C4747"/>
          <w:lang w:val="es-ES"/>
        </w:rPr>
        <w:t xml:space="preserve">- </w:t>
      </w:r>
      <w:r w:rsidRPr="00C66F94">
        <w:rPr>
          <w:rFonts w:eastAsia="Calibri"/>
          <w:noProof/>
          <w:color w:val="4C4747"/>
          <w:lang w:val="es-ES"/>
        </w:rPr>
        <w:t>24 del 22 de agosto. La juramentación, encabezada por el Ministro de Hacienda, contó con el apoyo organizativo de esta dirección.</w:t>
      </w:r>
    </w:p>
    <w:p w14:paraId="4B45C160" w14:textId="77777777" w:rsidR="00E64239" w:rsidRPr="00C66F94" w:rsidRDefault="00E64239" w:rsidP="00E64239">
      <w:pPr>
        <w:spacing w:line="360" w:lineRule="auto"/>
        <w:jc w:val="both"/>
        <w:rPr>
          <w:rFonts w:eastAsia="Calibri"/>
          <w:noProof/>
          <w:color w:val="4C4747"/>
          <w:lang w:val="es-ES"/>
        </w:rPr>
      </w:pPr>
      <w:r w:rsidRPr="00C66F94">
        <w:rPr>
          <w:rFonts w:eastAsia="Calibri"/>
          <w:noProof/>
          <w:color w:val="4C4747"/>
          <w:lang w:val="es-ES"/>
        </w:rPr>
        <w:t>En medios impresos, periódicos como El Nuevo Diario, La Información y El Caribe publicaron información en espacios que sumaron 872 columnas por pulgada. Paralelamente, en nuestro portal institucional se publicaron 22 reseñas que abordaron actividades relevantes, como la divulgación de Primas Netas Cobradas y Estados Financieros.</w:t>
      </w:r>
    </w:p>
    <w:p w14:paraId="34CBA7EF" w14:textId="011BE9E0" w:rsidR="00C66F94" w:rsidRPr="00C66F94" w:rsidRDefault="00E64239" w:rsidP="00E64239">
      <w:pPr>
        <w:spacing w:line="360" w:lineRule="auto"/>
        <w:jc w:val="both"/>
        <w:rPr>
          <w:rFonts w:eastAsia="Calibri"/>
          <w:noProof/>
          <w:color w:val="4C4747"/>
          <w:lang w:val="es-ES"/>
        </w:rPr>
      </w:pPr>
      <w:r w:rsidRPr="00C66F94">
        <w:rPr>
          <w:rFonts w:eastAsia="Calibri"/>
          <w:b/>
          <w:noProof/>
          <w:color w:val="4C4747"/>
          <w:lang w:val="es-ES"/>
        </w:rPr>
        <w:t>Estrategias Digitales y Audiovisuales:</w:t>
      </w:r>
      <w:r w:rsidRPr="00C66F94">
        <w:rPr>
          <w:rFonts w:eastAsia="Calibri"/>
          <w:noProof/>
          <w:color w:val="4C4747"/>
          <w:lang w:val="es-ES"/>
        </w:rPr>
        <w:t xml:space="preserve"> Se produjeron 10 audiovisuales, incluyendo segmentos informativos ( Noti Seguros), mensajes alusivos al Día Nacional del Servidor Público, la Semana Santa y el Día de las Madres. Estos se difundieron en nuestras redes sociales y canal de YouTube, que actualmente cuenta con 592 suscriptores y 20 ,676 visualizaciones.</w:t>
      </w:r>
    </w:p>
    <w:p w14:paraId="7014E2F8" w14:textId="03F65D03" w:rsidR="00E64239" w:rsidRPr="00C66F94" w:rsidRDefault="00E64239" w:rsidP="00E64239">
      <w:pPr>
        <w:spacing w:line="360" w:lineRule="auto"/>
        <w:jc w:val="both"/>
        <w:rPr>
          <w:rFonts w:eastAsia="Calibri"/>
          <w:b/>
          <w:noProof/>
          <w:color w:val="4C4747"/>
          <w:lang w:val="es-ES"/>
        </w:rPr>
      </w:pPr>
      <w:r w:rsidRPr="00C66F94">
        <w:rPr>
          <w:rFonts w:eastAsia="Calibri"/>
          <w:b/>
          <w:noProof/>
          <w:color w:val="4C4747"/>
          <w:lang w:val="es-ES"/>
        </w:rPr>
        <w:t>En redes sociales:</w:t>
      </w:r>
    </w:p>
    <w:p w14:paraId="6C54439F" w14:textId="77777777" w:rsidR="00E64239" w:rsidRPr="00C66F94" w:rsidRDefault="00E64239" w:rsidP="00C66F94">
      <w:pPr>
        <w:pStyle w:val="Prrafodelista"/>
        <w:numPr>
          <w:ilvl w:val="0"/>
          <w:numId w:val="40"/>
        </w:numPr>
        <w:spacing w:line="360" w:lineRule="auto"/>
        <w:jc w:val="both"/>
        <w:rPr>
          <w:rFonts w:eastAsia="Calibri"/>
          <w:noProof/>
          <w:color w:val="4C4747"/>
          <w:lang w:val="es-ES"/>
        </w:rPr>
      </w:pPr>
      <w:r w:rsidRPr="00C66F94">
        <w:rPr>
          <w:rFonts w:eastAsia="Calibri"/>
          <w:noProof/>
          <w:color w:val="4C4747"/>
          <w:lang w:val="es-ES"/>
        </w:rPr>
        <w:lastRenderedPageBreak/>
        <w:t>Instagram: 10, 000 seguidores, 8, 000 interacciones.</w:t>
      </w:r>
    </w:p>
    <w:p w14:paraId="77B30A98" w14:textId="77777777" w:rsidR="00E64239" w:rsidRPr="00C66F94" w:rsidRDefault="00E64239" w:rsidP="00C66F94">
      <w:pPr>
        <w:pStyle w:val="Prrafodelista"/>
        <w:numPr>
          <w:ilvl w:val="0"/>
          <w:numId w:val="40"/>
        </w:numPr>
        <w:spacing w:line="360" w:lineRule="auto"/>
        <w:jc w:val="both"/>
        <w:rPr>
          <w:rFonts w:eastAsia="Calibri"/>
          <w:noProof/>
          <w:color w:val="4C4747"/>
          <w:lang w:val="es-ES"/>
        </w:rPr>
      </w:pPr>
      <w:r w:rsidRPr="00C66F94">
        <w:rPr>
          <w:rFonts w:eastAsia="Calibri"/>
          <w:noProof/>
          <w:color w:val="4C4747"/>
          <w:lang w:val="es-ES"/>
        </w:rPr>
        <w:t>Facebook: 897 seguidores, 948 interacciones.</w:t>
      </w:r>
    </w:p>
    <w:p w14:paraId="62B2D2FC" w14:textId="685D70A4" w:rsidR="00E64239" w:rsidRPr="00C66F94" w:rsidRDefault="00E64239" w:rsidP="00E64239">
      <w:pPr>
        <w:pStyle w:val="Prrafodelista"/>
        <w:numPr>
          <w:ilvl w:val="0"/>
          <w:numId w:val="40"/>
        </w:numPr>
        <w:spacing w:line="360" w:lineRule="auto"/>
        <w:jc w:val="both"/>
        <w:rPr>
          <w:rFonts w:eastAsia="Calibri"/>
          <w:noProof/>
          <w:color w:val="4C4747"/>
          <w:lang w:val="es-ES"/>
        </w:rPr>
      </w:pPr>
      <w:r w:rsidRPr="00C66F94">
        <w:rPr>
          <w:rFonts w:eastAsia="Calibri"/>
          <w:noProof/>
          <w:color w:val="4C4747"/>
          <w:lang w:val="es-ES"/>
        </w:rPr>
        <w:t>X (Twitter): 1,800 seguidores.</w:t>
      </w:r>
    </w:p>
    <w:p w14:paraId="0154FC98" w14:textId="77777777" w:rsidR="00E64239" w:rsidRPr="00C66F94" w:rsidRDefault="00E64239" w:rsidP="00E64239">
      <w:pPr>
        <w:spacing w:line="360" w:lineRule="auto"/>
        <w:jc w:val="both"/>
        <w:rPr>
          <w:rFonts w:eastAsia="Calibri"/>
          <w:noProof/>
          <w:color w:val="4C4747"/>
          <w:lang w:val="es-ES"/>
        </w:rPr>
      </w:pPr>
      <w:r w:rsidRPr="00C66F94">
        <w:rPr>
          <w:rFonts w:eastAsia="Calibri"/>
          <w:b/>
          <w:noProof/>
          <w:color w:val="4C4747"/>
          <w:lang w:val="es-ES"/>
        </w:rPr>
        <w:t>Cobertura de Actividades:</w:t>
      </w:r>
      <w:r w:rsidRPr="00C66F94">
        <w:rPr>
          <w:rFonts w:eastAsia="Calibri"/>
          <w:noProof/>
          <w:color w:val="4C4747"/>
          <w:lang w:val="es-ES"/>
        </w:rPr>
        <w:t xml:space="preserve"> Se ofreció cobertura fotográfica y audiovisual a 67 actividades organizadas por la institución, asegurando la difusión de eventos clave. Además, se diseñaron invitaciones, publicaciones y videos orientados a informar y educar a los usuarios, destacando temas como la temporada ciclónica y efemérides relevantes.</w:t>
      </w:r>
    </w:p>
    <w:p w14:paraId="346B0E0A" w14:textId="77777777" w:rsidR="00E64239" w:rsidRPr="00C66F94" w:rsidRDefault="00E64239" w:rsidP="00E64239">
      <w:pPr>
        <w:spacing w:line="360" w:lineRule="auto"/>
        <w:jc w:val="both"/>
        <w:rPr>
          <w:rFonts w:eastAsia="Calibri"/>
          <w:noProof/>
          <w:color w:val="4C4747"/>
          <w:lang w:val="es-ES"/>
        </w:rPr>
      </w:pPr>
      <w:r w:rsidRPr="00C66F94">
        <w:rPr>
          <w:rFonts w:eastAsia="Calibri"/>
          <w:b/>
          <w:noProof/>
          <w:color w:val="4C4747"/>
          <w:lang w:val="es-ES"/>
        </w:rPr>
        <w:t>Relaciones Institucionales y Transpare</w:t>
      </w:r>
      <w:r w:rsidRPr="00C66F94">
        <w:rPr>
          <w:rFonts w:eastAsia="Calibri"/>
          <w:b/>
          <w:i/>
          <w:noProof/>
          <w:color w:val="4C4747"/>
          <w:lang w:val="es-ES"/>
        </w:rPr>
        <w:t>ncia:</w:t>
      </w:r>
      <w:r w:rsidRPr="00E64239">
        <w:rPr>
          <w:rFonts w:eastAsia="Calibri"/>
          <w:b/>
          <w:i/>
          <w:noProof/>
          <w:color w:val="4C4747"/>
          <w:lang w:val="es-ES"/>
        </w:rPr>
        <w:t xml:space="preserve"> </w:t>
      </w:r>
      <w:r w:rsidRPr="00C66F94">
        <w:rPr>
          <w:rFonts w:eastAsia="Calibri"/>
          <w:noProof/>
          <w:color w:val="4C4747"/>
          <w:lang w:val="es-ES"/>
        </w:rPr>
        <w:t>Se distribuyeron 64 comunicados internos, facilitando la comunicación entre departamentos y con el personal.</w:t>
      </w:r>
    </w:p>
    <w:p w14:paraId="0A065FAB" w14:textId="77777777" w:rsidR="00E64239" w:rsidRPr="00E64239" w:rsidRDefault="00E64239" w:rsidP="00E64239">
      <w:pPr>
        <w:spacing w:line="360" w:lineRule="auto"/>
        <w:jc w:val="both"/>
        <w:rPr>
          <w:rFonts w:eastAsia="Calibri"/>
          <w:b/>
          <w:i/>
          <w:noProof/>
          <w:color w:val="4C4747"/>
          <w:lang w:val="es-ES"/>
        </w:rPr>
      </w:pPr>
      <w:r w:rsidRPr="00C66F94">
        <w:rPr>
          <w:rFonts w:eastAsia="Calibri"/>
          <w:noProof/>
          <w:color w:val="4C4747"/>
          <w:lang w:val="es-ES"/>
        </w:rPr>
        <w:t>Materiales educativos como el Manual de Estudios, la Ley 146 -02 y el Catálogo de Cuentas fueron distribuidos para promover el conocimiento sobre el sector asegurador</w:t>
      </w:r>
      <w:r w:rsidRPr="00E64239">
        <w:rPr>
          <w:rFonts w:eastAsia="Calibri"/>
          <w:b/>
          <w:i/>
          <w:noProof/>
          <w:color w:val="4C4747"/>
          <w:lang w:val="es-ES"/>
        </w:rPr>
        <w:t>.</w:t>
      </w:r>
    </w:p>
    <w:p w14:paraId="1B255D19" w14:textId="63B740B5" w:rsidR="00E64239" w:rsidRPr="00E64239" w:rsidRDefault="00E64239" w:rsidP="00E64239">
      <w:pPr>
        <w:spacing w:line="360" w:lineRule="auto"/>
        <w:jc w:val="both"/>
        <w:rPr>
          <w:rFonts w:eastAsia="Calibri"/>
          <w:b/>
          <w:i/>
          <w:noProof/>
          <w:color w:val="4C4747"/>
          <w:lang w:val="es-ES"/>
        </w:rPr>
      </w:pPr>
      <w:r w:rsidRPr="00E64239">
        <w:rPr>
          <w:rFonts w:eastAsia="Calibri"/>
          <w:b/>
          <w:i/>
          <w:noProof/>
          <w:color w:val="4C4747"/>
          <w:u w:val="single"/>
          <w:lang w:val="es-ES"/>
        </w:rPr>
        <w:t>Proyecciones Noviembre-Diciembre 2025</w:t>
      </w:r>
    </w:p>
    <w:p w14:paraId="03715467" w14:textId="77777777" w:rsidR="00E64239" w:rsidRPr="00C66F94" w:rsidRDefault="00E64239" w:rsidP="00E64239">
      <w:pPr>
        <w:spacing w:line="360" w:lineRule="auto"/>
        <w:jc w:val="both"/>
        <w:rPr>
          <w:rFonts w:eastAsia="Calibri"/>
          <w:noProof/>
          <w:color w:val="4C4747"/>
          <w:lang w:val="es-ES"/>
        </w:rPr>
      </w:pPr>
      <w:r w:rsidRPr="00C66F94">
        <w:rPr>
          <w:rFonts w:eastAsia="Calibri"/>
          <w:noProof/>
          <w:color w:val="4C4747"/>
          <w:lang w:val="es-ES"/>
        </w:rPr>
        <w:t>Para los meses restantes del año, la dirección tiene planificadas las siguientes actividades:</w:t>
      </w:r>
    </w:p>
    <w:p w14:paraId="2DBF93C0" w14:textId="1F4BDEE9" w:rsidR="00E64239" w:rsidRPr="00C66F94" w:rsidRDefault="00E64239" w:rsidP="00E64239">
      <w:pPr>
        <w:numPr>
          <w:ilvl w:val="0"/>
          <w:numId w:val="39"/>
        </w:numPr>
        <w:spacing w:line="360" w:lineRule="auto"/>
        <w:jc w:val="both"/>
        <w:rPr>
          <w:rFonts w:eastAsia="Calibri"/>
          <w:noProof/>
          <w:color w:val="4C4747"/>
          <w:lang w:val="es-ES"/>
        </w:rPr>
      </w:pPr>
      <w:r w:rsidRPr="00C66F94">
        <w:rPr>
          <w:rFonts w:eastAsia="Calibri"/>
          <w:noProof/>
          <w:color w:val="4C4747"/>
          <w:lang w:val="es-ES"/>
        </w:rPr>
        <w:lastRenderedPageBreak/>
        <w:t>Continuar publicando información institucional en medios de comunicación</w:t>
      </w:r>
      <w:r w:rsidR="00C66F94">
        <w:rPr>
          <w:rFonts w:eastAsia="Calibri"/>
          <w:noProof/>
          <w:color w:val="4C4747"/>
          <w:lang w:val="es-ES"/>
        </w:rPr>
        <w:t xml:space="preserve"> conforme al plan.</w:t>
      </w:r>
    </w:p>
    <w:p w14:paraId="2E19F89D" w14:textId="77777777" w:rsidR="00E64239" w:rsidRPr="00C66F94" w:rsidRDefault="00E64239" w:rsidP="00E64239">
      <w:pPr>
        <w:numPr>
          <w:ilvl w:val="0"/>
          <w:numId w:val="39"/>
        </w:numPr>
        <w:spacing w:line="360" w:lineRule="auto"/>
        <w:jc w:val="both"/>
        <w:rPr>
          <w:rFonts w:eastAsia="Calibri"/>
          <w:noProof/>
          <w:color w:val="4C4747"/>
          <w:lang w:val="es-ES"/>
        </w:rPr>
      </w:pPr>
      <w:r w:rsidRPr="00C66F94">
        <w:rPr>
          <w:rFonts w:eastAsia="Calibri"/>
          <w:noProof/>
          <w:color w:val="4C4747"/>
          <w:lang w:val="es-ES"/>
        </w:rPr>
        <w:t>Coordinar la participación de la institución en la Jornada de Reforestación organizada por el Ministerio de Medio Ambiente.</w:t>
      </w:r>
    </w:p>
    <w:p w14:paraId="35635A44" w14:textId="77777777" w:rsidR="00E64239" w:rsidRPr="00C66F94" w:rsidRDefault="00E64239" w:rsidP="00E64239">
      <w:pPr>
        <w:numPr>
          <w:ilvl w:val="0"/>
          <w:numId w:val="39"/>
        </w:numPr>
        <w:spacing w:line="360" w:lineRule="auto"/>
        <w:jc w:val="both"/>
        <w:rPr>
          <w:rFonts w:eastAsia="Calibri"/>
          <w:noProof/>
          <w:color w:val="4C4747"/>
          <w:lang w:val="es-ES"/>
        </w:rPr>
      </w:pPr>
      <w:r w:rsidRPr="00C66F94">
        <w:rPr>
          <w:rFonts w:eastAsia="Calibri"/>
          <w:noProof/>
          <w:color w:val="4C4747"/>
          <w:lang w:val="es-ES"/>
        </w:rPr>
        <w:t>Producir un audiovisual conmemorativo del 4. º aniversario de la Escuela de Formación de la Superintendencia de Seguros (ESFOSIS).</w:t>
      </w:r>
    </w:p>
    <w:p w14:paraId="62BDEC57" w14:textId="77777777" w:rsidR="001822C2" w:rsidRDefault="00E64239" w:rsidP="001822C2">
      <w:pPr>
        <w:numPr>
          <w:ilvl w:val="0"/>
          <w:numId w:val="39"/>
        </w:numPr>
        <w:spacing w:line="360" w:lineRule="auto"/>
        <w:jc w:val="both"/>
        <w:rPr>
          <w:rFonts w:eastAsia="Calibri"/>
          <w:noProof/>
          <w:color w:val="4C4747"/>
          <w:lang w:val="es-ES"/>
        </w:rPr>
      </w:pPr>
      <w:r w:rsidRPr="00C66F94">
        <w:rPr>
          <w:rFonts w:eastAsia="Calibri"/>
          <w:noProof/>
          <w:color w:val="4C4747"/>
          <w:lang w:val="es-ES"/>
        </w:rPr>
        <w:t>Crear un video para la Presidencia sobre la implementación del programa "Burocracia Cero".</w:t>
      </w:r>
    </w:p>
    <w:p w14:paraId="57B21C1F" w14:textId="2F7E0D79" w:rsidR="001822C2" w:rsidRDefault="001822C2" w:rsidP="001822C2">
      <w:pPr>
        <w:pStyle w:val="Ttulo2"/>
        <w:numPr>
          <w:ilvl w:val="1"/>
          <w:numId w:val="20"/>
        </w:numPr>
        <w:rPr>
          <w:b/>
          <w:noProof/>
          <w:lang w:val="es-ES"/>
        </w:rPr>
      </w:pPr>
      <w:bookmarkStart w:id="49" w:name="_Toc216875877"/>
      <w:r w:rsidRPr="001822C2">
        <w:rPr>
          <w:b/>
          <w:noProof/>
          <w:lang w:val="es-ES"/>
        </w:rPr>
        <w:t>Desempeño de la Unidad de Igual</w:t>
      </w:r>
      <w:r>
        <w:rPr>
          <w:b/>
          <w:noProof/>
          <w:lang w:val="es-ES"/>
        </w:rPr>
        <w:t>dad</w:t>
      </w:r>
      <w:r w:rsidRPr="001822C2">
        <w:rPr>
          <w:b/>
          <w:noProof/>
          <w:lang w:val="es-ES"/>
        </w:rPr>
        <w:t xml:space="preserve"> de Género</w:t>
      </w:r>
      <w:bookmarkEnd w:id="49"/>
      <w:r w:rsidRPr="001822C2">
        <w:rPr>
          <w:b/>
          <w:noProof/>
          <w:lang w:val="es-ES"/>
        </w:rPr>
        <w:t xml:space="preserve"> </w:t>
      </w:r>
    </w:p>
    <w:p w14:paraId="00F821BC" w14:textId="4A32CC10" w:rsidR="001822C2" w:rsidRDefault="001822C2" w:rsidP="001822C2">
      <w:pPr>
        <w:rPr>
          <w:lang w:val="es-ES"/>
        </w:rPr>
      </w:pPr>
    </w:p>
    <w:p w14:paraId="597FCBE2" w14:textId="18E4DCBB" w:rsidR="001822C2" w:rsidRDefault="001822C2" w:rsidP="001822C2">
      <w:pPr>
        <w:spacing w:after="0" w:line="360" w:lineRule="auto"/>
        <w:jc w:val="both"/>
        <w:rPr>
          <w:lang w:val="es-ES"/>
        </w:rPr>
      </w:pPr>
      <w:r>
        <w:rPr>
          <w:lang w:val="es-ES"/>
        </w:rPr>
        <w:t>Con el propósito de dar cumplimiento a la Política Transversal de Igualdad, consagrada en la Ley No. 1-12 de la Estrategia Nacional de Desarroll</w:t>
      </w:r>
      <w:r w:rsidR="006D47EA">
        <w:rPr>
          <w:lang w:val="es-ES"/>
        </w:rPr>
        <w:t>o, c</w:t>
      </w:r>
      <w:r>
        <w:rPr>
          <w:lang w:val="es-ES"/>
        </w:rPr>
        <w:t xml:space="preserve">reamos </w:t>
      </w:r>
      <w:r w:rsidR="006D47EA">
        <w:rPr>
          <w:lang w:val="es-ES"/>
        </w:rPr>
        <w:t xml:space="preserve">la </w:t>
      </w:r>
      <w:r w:rsidR="006D47EA" w:rsidRPr="001822C2">
        <w:rPr>
          <w:lang w:val="es-ES"/>
        </w:rPr>
        <w:t>Unidad</w:t>
      </w:r>
      <w:r w:rsidRPr="001822C2">
        <w:rPr>
          <w:lang w:val="es-ES"/>
        </w:rPr>
        <w:t xml:space="preserve"> de Igualdad de Género</w:t>
      </w:r>
      <w:r>
        <w:rPr>
          <w:lang w:val="es-ES"/>
        </w:rPr>
        <w:t xml:space="preserve"> de</w:t>
      </w:r>
      <w:r w:rsidRPr="001822C2">
        <w:rPr>
          <w:lang w:val="es-ES"/>
        </w:rPr>
        <w:t xml:space="preserve"> la Superintendencia de Seguros</w:t>
      </w:r>
      <w:r>
        <w:rPr>
          <w:lang w:val="es-ES"/>
        </w:rPr>
        <w:t xml:space="preserve">, </w:t>
      </w:r>
      <w:r w:rsidRPr="001822C2">
        <w:rPr>
          <w:lang w:val="es-ES"/>
        </w:rPr>
        <w:t xml:space="preserve">visión del Superintendente, Julio César Valentín Jiminián de incorporar </w:t>
      </w:r>
      <w:r w:rsidR="006D47EA">
        <w:rPr>
          <w:lang w:val="es-ES"/>
        </w:rPr>
        <w:t xml:space="preserve">la </w:t>
      </w:r>
      <w:r w:rsidR="006D47EA" w:rsidRPr="001822C2">
        <w:rPr>
          <w:lang w:val="es-ES"/>
        </w:rPr>
        <w:t>perspectiva</w:t>
      </w:r>
      <w:r w:rsidRPr="001822C2">
        <w:rPr>
          <w:lang w:val="es-ES"/>
        </w:rPr>
        <w:t xml:space="preserve"> de género </w:t>
      </w:r>
      <w:r>
        <w:rPr>
          <w:lang w:val="es-ES"/>
        </w:rPr>
        <w:t>a la</w:t>
      </w:r>
      <w:r w:rsidRPr="001822C2">
        <w:rPr>
          <w:lang w:val="es-ES"/>
        </w:rPr>
        <w:t xml:space="preserve"> gestión instituciona</w:t>
      </w:r>
      <w:r w:rsidR="006D47EA">
        <w:rPr>
          <w:lang w:val="es-ES"/>
        </w:rPr>
        <w:t>l.</w:t>
      </w:r>
    </w:p>
    <w:p w14:paraId="4547CE06" w14:textId="77777777" w:rsidR="006D47EA" w:rsidRDefault="006D47EA" w:rsidP="001822C2">
      <w:pPr>
        <w:spacing w:after="0" w:line="360" w:lineRule="auto"/>
        <w:jc w:val="both"/>
        <w:rPr>
          <w:lang w:val="es-ES"/>
        </w:rPr>
      </w:pPr>
    </w:p>
    <w:p w14:paraId="2C71F0DA" w14:textId="6EB79C29" w:rsidR="001822C2" w:rsidRDefault="001822C2" w:rsidP="001822C2">
      <w:pPr>
        <w:spacing w:after="0" w:line="360" w:lineRule="auto"/>
        <w:jc w:val="both"/>
        <w:rPr>
          <w:lang w:val="es-ES"/>
        </w:rPr>
      </w:pPr>
      <w:r w:rsidRPr="001822C2">
        <w:rPr>
          <w:lang w:val="es-ES"/>
        </w:rPr>
        <w:lastRenderedPageBreak/>
        <w:t>Para encabezar este proceso, se designó a la señora Yazmín Vicente como responsable de la Unidad y se asignó como asesora a la señora Martha Awilda Meléndez Díaz. Posteriormente, se integró la señora Jennifer Germosen al equipo, con el objetivo de fortalecer las acciones y el alcance del nuevo departamento.</w:t>
      </w:r>
    </w:p>
    <w:p w14:paraId="14EEC4E3" w14:textId="77777777" w:rsidR="006D47EA" w:rsidRPr="001822C2" w:rsidRDefault="006D47EA" w:rsidP="001822C2">
      <w:pPr>
        <w:spacing w:after="0" w:line="360" w:lineRule="auto"/>
        <w:jc w:val="both"/>
        <w:rPr>
          <w:lang w:val="es-ES"/>
        </w:rPr>
      </w:pPr>
    </w:p>
    <w:p w14:paraId="2A31A12E" w14:textId="2703F2D6" w:rsidR="001822C2" w:rsidRDefault="001822C2" w:rsidP="001822C2">
      <w:pPr>
        <w:spacing w:after="0" w:line="360" w:lineRule="auto"/>
        <w:jc w:val="both"/>
        <w:rPr>
          <w:lang w:val="es-ES"/>
        </w:rPr>
      </w:pPr>
      <w:r w:rsidRPr="001822C2">
        <w:rPr>
          <w:lang w:val="es-ES"/>
        </w:rPr>
        <w:t xml:space="preserve">Las primeras gestiones estuvieron orientadas a la familiarización y socialización con actores clave del Ministerio de la Mujer, así como con directivos de la institución y representantes de otras entidades, con el propósito de conocer y adaptar las funciones de la Unidad en referencia a modelos previamente implementados. </w:t>
      </w:r>
    </w:p>
    <w:p w14:paraId="5D87C253" w14:textId="77777777" w:rsidR="006D47EA" w:rsidRPr="001822C2" w:rsidRDefault="006D47EA" w:rsidP="001822C2">
      <w:pPr>
        <w:spacing w:after="0" w:line="360" w:lineRule="auto"/>
        <w:jc w:val="both"/>
        <w:rPr>
          <w:lang w:val="es-ES"/>
        </w:rPr>
      </w:pPr>
    </w:p>
    <w:p w14:paraId="1CA4F1F7" w14:textId="77777777" w:rsidR="006D47EA" w:rsidRDefault="001822C2" w:rsidP="001822C2">
      <w:pPr>
        <w:spacing w:after="0" w:line="360" w:lineRule="auto"/>
        <w:jc w:val="both"/>
        <w:rPr>
          <w:b/>
          <w:lang w:val="es-ES"/>
        </w:rPr>
      </w:pPr>
      <w:r w:rsidRPr="001822C2">
        <w:rPr>
          <w:lang w:val="es-ES"/>
        </w:rPr>
        <w:t xml:space="preserve">Este proceso ha estado acompañado de una formación continua en temas especializados, entre ellos: </w:t>
      </w:r>
      <w:r w:rsidRPr="006D47EA">
        <w:rPr>
          <w:b/>
          <w:lang w:val="es-ES"/>
        </w:rPr>
        <w:t xml:space="preserve">Principios Básicos de Igualdad (Escuela Nacional de Igualdad Magaly Pineda – Ministerio de la Mujer), Inducción a la Administración Pública (Ministerio de Administración Pública – MAP) e Instrumentos de Políticas Públicas con Enfoque de Género (Programa de las Naciones Unidas para el Desarrollo – PNUD), además de "Accesibilidad Universal”, “Discapacidad y Empleo desde un enfoque de Derechos", y "Trato digno hacia las personas con discapacidad </w:t>
      </w:r>
      <w:r w:rsidRPr="006D47EA">
        <w:rPr>
          <w:b/>
          <w:lang w:val="es-ES"/>
        </w:rPr>
        <w:lastRenderedPageBreak/>
        <w:t>con un enfoque de derechos", ofrecidos por el Consejo Nacional de Discapacidad- CONADIS.</w:t>
      </w:r>
    </w:p>
    <w:p w14:paraId="70D06A82" w14:textId="77777777" w:rsidR="006D47EA" w:rsidRDefault="006D47EA" w:rsidP="001822C2">
      <w:pPr>
        <w:spacing w:after="0" w:line="360" w:lineRule="auto"/>
        <w:jc w:val="both"/>
        <w:rPr>
          <w:lang w:val="es-ES"/>
        </w:rPr>
      </w:pPr>
    </w:p>
    <w:p w14:paraId="4D012E36" w14:textId="0692F125" w:rsidR="001822C2" w:rsidRDefault="001822C2" w:rsidP="001822C2">
      <w:pPr>
        <w:spacing w:after="0" w:line="360" w:lineRule="auto"/>
        <w:jc w:val="both"/>
        <w:rPr>
          <w:lang w:val="es-ES"/>
        </w:rPr>
      </w:pPr>
      <w:r w:rsidRPr="001822C2">
        <w:rPr>
          <w:lang w:val="es-ES"/>
        </w:rPr>
        <w:t xml:space="preserve"> En este momento nos encontramos en un proceso de formación continua en espera de iniciar los cursos: Transversalización de la Perspectiva de Género y Violencia de Género impartidos por el Instituto de Formación Técnico Profesional-INFOTEP.</w:t>
      </w:r>
    </w:p>
    <w:p w14:paraId="4E39CBEB" w14:textId="77777777" w:rsidR="006D47EA" w:rsidRPr="001822C2" w:rsidRDefault="006D47EA" w:rsidP="001822C2">
      <w:pPr>
        <w:spacing w:after="0" w:line="360" w:lineRule="auto"/>
        <w:jc w:val="both"/>
        <w:rPr>
          <w:lang w:val="es-ES"/>
        </w:rPr>
      </w:pPr>
    </w:p>
    <w:p w14:paraId="4156B8EA" w14:textId="260CB82F" w:rsidR="001822C2" w:rsidRPr="001822C2" w:rsidRDefault="001822C2" w:rsidP="001822C2">
      <w:pPr>
        <w:spacing w:after="0" w:line="360" w:lineRule="auto"/>
        <w:jc w:val="both"/>
        <w:rPr>
          <w:lang w:val="es-ES"/>
        </w:rPr>
      </w:pPr>
      <w:r w:rsidRPr="001822C2">
        <w:rPr>
          <w:lang w:val="es-ES"/>
        </w:rPr>
        <w:t xml:space="preserve">Con el acompañamiento técnico de la asesora Awilda Meléndez y de las especialistas Rosa Matos, Isabel Frías y Analís Santos, además del trabajo colaborativo con las áreas de </w:t>
      </w:r>
      <w:r w:rsidR="006D47EA">
        <w:rPr>
          <w:lang w:val="es-ES"/>
        </w:rPr>
        <w:t>P</w:t>
      </w:r>
      <w:r w:rsidRPr="001822C2">
        <w:rPr>
          <w:lang w:val="es-ES"/>
        </w:rPr>
        <w:t xml:space="preserve">lanificación y </w:t>
      </w:r>
      <w:r w:rsidR="006D47EA">
        <w:rPr>
          <w:lang w:val="es-ES"/>
        </w:rPr>
        <w:t>D</w:t>
      </w:r>
      <w:r w:rsidRPr="001822C2">
        <w:rPr>
          <w:lang w:val="es-ES"/>
        </w:rPr>
        <w:t xml:space="preserve">esarrollo y </w:t>
      </w:r>
      <w:r w:rsidR="006D47EA">
        <w:rPr>
          <w:lang w:val="es-ES"/>
        </w:rPr>
        <w:t>J</w:t>
      </w:r>
      <w:r w:rsidRPr="001822C2">
        <w:rPr>
          <w:lang w:val="es-ES"/>
        </w:rPr>
        <w:t>urídica de la institución, se han logrado avances significativos, destacando:</w:t>
      </w:r>
    </w:p>
    <w:p w14:paraId="3700C70B" w14:textId="4DD5C7D9" w:rsidR="001822C2" w:rsidRPr="001822C2" w:rsidRDefault="001822C2" w:rsidP="001822C2">
      <w:pPr>
        <w:spacing w:after="0" w:line="360" w:lineRule="auto"/>
        <w:jc w:val="both"/>
        <w:rPr>
          <w:lang w:val="es-ES"/>
        </w:rPr>
      </w:pPr>
      <w:r w:rsidRPr="001822C2">
        <w:rPr>
          <w:lang w:val="es-ES"/>
        </w:rPr>
        <w:t>1.</w:t>
      </w:r>
      <w:r w:rsidRPr="001822C2">
        <w:rPr>
          <w:lang w:val="es-ES"/>
        </w:rPr>
        <w:tab/>
        <w:t xml:space="preserve">Creación y establecimiento del punto focal de la Unidad de Igualdad de Género mediante la Resolución No. 01/2025, actualmente operando en la </w:t>
      </w:r>
      <w:r w:rsidR="006D47EA" w:rsidRPr="001822C2">
        <w:rPr>
          <w:lang w:val="es-ES"/>
        </w:rPr>
        <w:t>antigua Oficina</w:t>
      </w:r>
      <w:r w:rsidRPr="001822C2">
        <w:rPr>
          <w:lang w:val="es-ES"/>
        </w:rPr>
        <w:t xml:space="preserve"> de Libre Acceso a la Información Pública.</w:t>
      </w:r>
    </w:p>
    <w:p w14:paraId="33E0C943" w14:textId="77777777" w:rsidR="001822C2" w:rsidRPr="001822C2" w:rsidRDefault="001822C2" w:rsidP="001822C2">
      <w:pPr>
        <w:spacing w:after="0" w:line="360" w:lineRule="auto"/>
        <w:jc w:val="both"/>
        <w:rPr>
          <w:lang w:val="es-ES"/>
        </w:rPr>
      </w:pPr>
      <w:r w:rsidRPr="001822C2">
        <w:rPr>
          <w:lang w:val="es-ES"/>
        </w:rPr>
        <w:t>2.</w:t>
      </w:r>
      <w:r w:rsidRPr="001822C2">
        <w:rPr>
          <w:lang w:val="es-ES"/>
        </w:rPr>
        <w:tab/>
        <w:t>Conformación del Comité Institucional de Transversalización de Género mediante la Resolución No. 03/2025, integrado por 13 colaboradores comprometidos con la causa.</w:t>
      </w:r>
    </w:p>
    <w:p w14:paraId="5195E821" w14:textId="21AD2DE6" w:rsidR="001822C2" w:rsidRPr="001822C2" w:rsidRDefault="001822C2" w:rsidP="001822C2">
      <w:pPr>
        <w:spacing w:after="0" w:line="360" w:lineRule="auto"/>
        <w:jc w:val="both"/>
        <w:rPr>
          <w:lang w:val="es-ES"/>
        </w:rPr>
      </w:pPr>
      <w:r w:rsidRPr="001822C2">
        <w:rPr>
          <w:lang w:val="es-ES"/>
        </w:rPr>
        <w:lastRenderedPageBreak/>
        <w:t>3.</w:t>
      </w:r>
      <w:r w:rsidRPr="001822C2">
        <w:rPr>
          <w:lang w:val="es-ES"/>
        </w:rPr>
        <w:tab/>
        <w:t xml:space="preserve">Remisión de las resoluciones a la </w:t>
      </w:r>
      <w:r w:rsidR="006D47EA" w:rsidRPr="001822C2">
        <w:rPr>
          <w:lang w:val="es-ES"/>
        </w:rPr>
        <w:t>ministra</w:t>
      </w:r>
      <w:r w:rsidRPr="001822C2">
        <w:rPr>
          <w:lang w:val="es-ES"/>
        </w:rPr>
        <w:t xml:space="preserve"> de la Mujer mediante carta formal el 29 de mayo de 2025.</w:t>
      </w:r>
    </w:p>
    <w:p w14:paraId="7EF71D31" w14:textId="3A264DA9" w:rsidR="001822C2" w:rsidRPr="001822C2" w:rsidRDefault="001822C2" w:rsidP="001822C2">
      <w:pPr>
        <w:spacing w:after="0" w:line="360" w:lineRule="auto"/>
        <w:jc w:val="both"/>
        <w:rPr>
          <w:lang w:val="es-ES"/>
        </w:rPr>
      </w:pPr>
      <w:r w:rsidRPr="001822C2">
        <w:rPr>
          <w:lang w:val="es-ES"/>
        </w:rPr>
        <w:t>4.</w:t>
      </w:r>
      <w:r w:rsidRPr="001822C2">
        <w:rPr>
          <w:lang w:val="es-ES"/>
        </w:rPr>
        <w:tab/>
        <w:t xml:space="preserve">Taller de inducción al Comité de Transversalización de Género, ampliado a directores y encargados como actividad interna de socialización. Realizado el martes 17 </w:t>
      </w:r>
      <w:r w:rsidR="006D47EA" w:rsidRPr="001822C2">
        <w:rPr>
          <w:lang w:val="es-ES"/>
        </w:rPr>
        <w:t>junio</w:t>
      </w:r>
      <w:r w:rsidRPr="001822C2">
        <w:rPr>
          <w:lang w:val="es-ES"/>
        </w:rPr>
        <w:t xml:space="preserve"> 2025</w:t>
      </w:r>
      <w:r w:rsidR="006D47EA">
        <w:rPr>
          <w:lang w:val="es-ES"/>
        </w:rPr>
        <w:t>.</w:t>
      </w:r>
    </w:p>
    <w:p w14:paraId="6927CD85" w14:textId="77777777" w:rsidR="001822C2" w:rsidRPr="001822C2" w:rsidRDefault="001822C2" w:rsidP="001822C2">
      <w:pPr>
        <w:spacing w:after="0" w:line="360" w:lineRule="auto"/>
        <w:jc w:val="both"/>
        <w:rPr>
          <w:lang w:val="es-ES"/>
        </w:rPr>
      </w:pPr>
      <w:r w:rsidRPr="001822C2">
        <w:rPr>
          <w:lang w:val="es-ES"/>
        </w:rPr>
        <w:t>5.</w:t>
      </w:r>
      <w:r w:rsidRPr="001822C2">
        <w:rPr>
          <w:lang w:val="es-ES"/>
        </w:rPr>
        <w:tab/>
        <w:t>Emisión del reglamento del Comité el 8 de julio de 2025.</w:t>
      </w:r>
    </w:p>
    <w:p w14:paraId="370456BC" w14:textId="77777777" w:rsidR="001822C2" w:rsidRPr="001822C2" w:rsidRDefault="001822C2" w:rsidP="001822C2">
      <w:pPr>
        <w:spacing w:after="0" w:line="360" w:lineRule="auto"/>
        <w:jc w:val="both"/>
        <w:rPr>
          <w:lang w:val="es-ES"/>
        </w:rPr>
      </w:pPr>
      <w:r w:rsidRPr="001822C2">
        <w:rPr>
          <w:lang w:val="es-ES"/>
        </w:rPr>
        <w:t>6.</w:t>
      </w:r>
      <w:r w:rsidRPr="001822C2">
        <w:rPr>
          <w:lang w:val="es-ES"/>
        </w:rPr>
        <w:tab/>
        <w:t>Planificación y Desarrollo de la campaña interna de sensibilización: “Entendiendo la Igualdad de Género: Mitos y Realidades”,</w:t>
      </w:r>
    </w:p>
    <w:p w14:paraId="3C8047F5" w14:textId="77777777" w:rsidR="001822C2" w:rsidRPr="001822C2" w:rsidRDefault="001822C2" w:rsidP="001822C2">
      <w:pPr>
        <w:spacing w:after="0" w:line="360" w:lineRule="auto"/>
        <w:jc w:val="both"/>
        <w:rPr>
          <w:lang w:val="es-ES"/>
        </w:rPr>
      </w:pPr>
      <w:r w:rsidRPr="001822C2">
        <w:rPr>
          <w:lang w:val="es-ES"/>
        </w:rPr>
        <w:t>7.</w:t>
      </w:r>
      <w:r w:rsidRPr="001822C2">
        <w:rPr>
          <w:lang w:val="es-ES"/>
        </w:rPr>
        <w:tab/>
        <w:t>Avance hacia la realización del diagnóstico institucional de igualdad de género, que se desarrollará mediante una encuesta inclusiva dirigida a todo el personal.</w:t>
      </w:r>
    </w:p>
    <w:p w14:paraId="20555DCB" w14:textId="77777777" w:rsidR="001822C2" w:rsidRPr="001822C2" w:rsidRDefault="001822C2" w:rsidP="001822C2">
      <w:pPr>
        <w:spacing w:after="0" w:line="360" w:lineRule="auto"/>
        <w:jc w:val="both"/>
        <w:rPr>
          <w:lang w:val="es-ES"/>
        </w:rPr>
      </w:pPr>
      <w:r w:rsidRPr="001822C2">
        <w:rPr>
          <w:lang w:val="es-ES"/>
        </w:rPr>
        <w:t>8.</w:t>
      </w:r>
      <w:r w:rsidRPr="001822C2">
        <w:rPr>
          <w:lang w:val="es-ES"/>
        </w:rPr>
        <w:tab/>
        <w:t>Proyección de elaborar, a partir de dicho diagnóstico, un plan de acción y una política institucional de igualdad de género.</w:t>
      </w:r>
    </w:p>
    <w:p w14:paraId="05FBFBC8" w14:textId="060BEC46" w:rsidR="001822C2" w:rsidRDefault="001822C2" w:rsidP="001822C2">
      <w:pPr>
        <w:spacing w:after="0" w:line="360" w:lineRule="auto"/>
        <w:jc w:val="both"/>
        <w:rPr>
          <w:lang w:val="es-ES"/>
        </w:rPr>
      </w:pPr>
      <w:r w:rsidRPr="001822C2">
        <w:rPr>
          <w:lang w:val="es-ES"/>
        </w:rPr>
        <w:t>Si bien</w:t>
      </w:r>
      <w:r w:rsidR="006D47EA">
        <w:rPr>
          <w:lang w:val="es-ES"/>
        </w:rPr>
        <w:t>,</w:t>
      </w:r>
      <w:r w:rsidRPr="001822C2">
        <w:rPr>
          <w:lang w:val="es-ES"/>
        </w:rPr>
        <w:t xml:space="preserve"> la Unidad aún se encuentra en etapa de formalización, los pasos agotados cumplen con los lineamientos del Ministerio de la Mujer y sientan bases sólidas para su implementación y operatividad plena.</w:t>
      </w:r>
    </w:p>
    <w:p w14:paraId="1273E172" w14:textId="77777777" w:rsidR="006D47EA" w:rsidRPr="001822C2" w:rsidRDefault="006D47EA" w:rsidP="001822C2">
      <w:pPr>
        <w:spacing w:after="0" w:line="360" w:lineRule="auto"/>
        <w:jc w:val="both"/>
        <w:rPr>
          <w:lang w:val="es-ES"/>
        </w:rPr>
      </w:pPr>
    </w:p>
    <w:p w14:paraId="49C38DC2" w14:textId="77777777" w:rsidR="006D47EA" w:rsidRDefault="001822C2" w:rsidP="001822C2">
      <w:pPr>
        <w:spacing w:after="0" w:line="360" w:lineRule="auto"/>
        <w:jc w:val="both"/>
        <w:rPr>
          <w:lang w:val="es-ES"/>
        </w:rPr>
      </w:pPr>
      <w:r w:rsidRPr="001822C2">
        <w:rPr>
          <w:lang w:val="es-ES"/>
        </w:rPr>
        <w:t xml:space="preserve">La creación de esta Unidad constituye una decisión estratégica que fortalece el compromiso institucional con los derechos humanos, la </w:t>
      </w:r>
      <w:r w:rsidRPr="001822C2">
        <w:rPr>
          <w:lang w:val="es-ES"/>
        </w:rPr>
        <w:lastRenderedPageBreak/>
        <w:t xml:space="preserve">equidad y la modernización del sector asegurador. Permite impulsar políticas internas inclusivas, garantizar la igualdad de oportunidades, y alinear la institución con marcos legales nacionales e internacionales como los Objetivos de Desarrollo Sostenible. </w:t>
      </w:r>
    </w:p>
    <w:p w14:paraId="30296FA7" w14:textId="77777777" w:rsidR="006D47EA" w:rsidRDefault="006D47EA" w:rsidP="001822C2">
      <w:pPr>
        <w:spacing w:after="0" w:line="360" w:lineRule="auto"/>
        <w:jc w:val="both"/>
        <w:rPr>
          <w:lang w:val="es-ES"/>
        </w:rPr>
      </w:pPr>
    </w:p>
    <w:p w14:paraId="5B854BDA" w14:textId="40AD2379" w:rsidR="001822C2" w:rsidRPr="001822C2" w:rsidRDefault="001822C2" w:rsidP="006D47EA">
      <w:pPr>
        <w:spacing w:after="0" w:line="360" w:lineRule="auto"/>
        <w:jc w:val="both"/>
        <w:rPr>
          <w:lang w:val="es-ES"/>
        </w:rPr>
      </w:pPr>
      <w:r w:rsidRPr="001822C2">
        <w:rPr>
          <w:lang w:val="es-ES"/>
        </w:rPr>
        <w:t>Asimismo, abre la puerta a desarrollar productos y servicios con enfoque de género, fomentar la recopilación y análisis de datos desagregados y atender las necesidades específicas de mujeres y hombres en el ámbito asegurador. En su conjunto, esta iniciativa no solo promueve la justicia social, sino que también mejora la competitividad, sostenibilidad y reputación institucional de la Superintendencia de Seguros.</w:t>
      </w:r>
    </w:p>
    <w:p w14:paraId="0BF35B94" w14:textId="77777777" w:rsidR="0035429F" w:rsidRPr="0058331C" w:rsidRDefault="0035429F" w:rsidP="00BA2267">
      <w:pPr>
        <w:spacing w:line="360" w:lineRule="auto"/>
        <w:jc w:val="both"/>
        <w:rPr>
          <w:rFonts w:eastAsia="Calibri"/>
          <w:noProof/>
          <w:color w:val="4C4747"/>
          <w:lang w:val="es-DO"/>
        </w:rPr>
      </w:pPr>
    </w:p>
    <w:p w14:paraId="6D690888" w14:textId="53B70C39" w:rsidR="0035429F" w:rsidRPr="0058331C" w:rsidRDefault="00967739" w:rsidP="00A70DE5">
      <w:pPr>
        <w:pStyle w:val="Ttulo1"/>
        <w:numPr>
          <w:ilvl w:val="0"/>
          <w:numId w:val="46"/>
        </w:numPr>
        <w:ind w:left="567"/>
        <w:rPr>
          <w:rFonts w:cs="Times New Roman"/>
          <w:color w:val="4C4747"/>
          <w:lang w:val="es-DO"/>
        </w:rPr>
      </w:pPr>
      <w:bookmarkStart w:id="50" w:name="_Toc216875878"/>
      <w:r w:rsidRPr="0058331C">
        <w:rPr>
          <w:rFonts w:cs="Times New Roman"/>
          <w:color w:val="4C4747"/>
          <w:lang w:val="es-DO"/>
        </w:rPr>
        <w:t xml:space="preserve">SERVICIO AL CIUDADANO Y </w:t>
      </w:r>
      <w:r w:rsidR="00485B71" w:rsidRPr="0058331C">
        <w:rPr>
          <w:rFonts w:cs="Times New Roman"/>
          <w:color w:val="4C4747"/>
          <w:lang w:val="es-DO"/>
        </w:rPr>
        <w:t>TRANSPARENCIA INSTITUCIONAL</w:t>
      </w:r>
      <w:bookmarkEnd w:id="50"/>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908C05B" w14:textId="0DC37D26" w:rsidR="00C66F94" w:rsidRPr="00A70DE5" w:rsidRDefault="0035429F" w:rsidP="00DA43F4">
      <w:pPr>
        <w:jc w:val="center"/>
        <w:rPr>
          <w:rFonts w:eastAsia="Calibri"/>
          <w:color w:val="4C4747"/>
          <w:szCs w:val="36"/>
          <w:lang w:val="es-ES"/>
        </w:rPr>
      </w:pPr>
      <w:r w:rsidRPr="00A70DE5">
        <w:rPr>
          <w:rFonts w:eastAsia="Calibri"/>
          <w:color w:val="4C4747"/>
          <w:szCs w:val="36"/>
          <w:lang w:val="es-ES"/>
        </w:rPr>
        <w:t xml:space="preserve">Memoria </w:t>
      </w:r>
      <w:r w:rsidR="009547F0" w:rsidRPr="00A70DE5">
        <w:rPr>
          <w:rFonts w:eastAsia="Calibri"/>
          <w:color w:val="4C4747"/>
          <w:szCs w:val="36"/>
          <w:lang w:val="es-ES"/>
        </w:rPr>
        <w:t>I</w:t>
      </w:r>
      <w:r w:rsidRPr="00A70DE5">
        <w:rPr>
          <w:rFonts w:eastAsia="Calibri"/>
          <w:color w:val="4C4747"/>
          <w:szCs w:val="36"/>
          <w:lang w:val="es-ES"/>
        </w:rPr>
        <w:t xml:space="preserve">nstitucional </w:t>
      </w:r>
      <w:r w:rsidR="007471AC" w:rsidRPr="00A70DE5">
        <w:rPr>
          <w:rFonts w:eastAsia="Calibri"/>
          <w:color w:val="4C4747"/>
          <w:szCs w:val="36"/>
          <w:lang w:val="es-ES"/>
        </w:rPr>
        <w:t>202</w:t>
      </w:r>
      <w:r w:rsidR="0051332F" w:rsidRPr="00A70DE5">
        <w:rPr>
          <w:rFonts w:eastAsia="Calibri"/>
          <w:color w:val="4C4747"/>
          <w:szCs w:val="36"/>
          <w:lang w:val="es-ES"/>
        </w:rPr>
        <w:t>5</w:t>
      </w:r>
    </w:p>
    <w:p w14:paraId="4AC048AF" w14:textId="7FD4B1E9" w:rsidR="00C66F94" w:rsidRDefault="00DA43F4" w:rsidP="00DA43F4">
      <w:pPr>
        <w:pStyle w:val="Ttulo2"/>
        <w:rPr>
          <w:b/>
          <w:bCs/>
          <w:noProof/>
          <w:lang w:val="es-ES"/>
        </w:rPr>
      </w:pPr>
      <w:bookmarkStart w:id="51" w:name="_bookmark22"/>
      <w:bookmarkStart w:id="52" w:name="_Toc216875879"/>
      <w:bookmarkEnd w:id="51"/>
      <w:r>
        <w:rPr>
          <w:b/>
          <w:bCs/>
          <w:noProof/>
          <w:lang w:val="es-ES"/>
        </w:rPr>
        <w:t xml:space="preserve">5.1. </w:t>
      </w:r>
      <w:r w:rsidR="00C66F94" w:rsidRPr="00C66F94">
        <w:rPr>
          <w:b/>
          <w:bCs/>
          <w:noProof/>
          <w:lang w:val="es-ES"/>
        </w:rPr>
        <w:t>Nivel la satisfacción con el servicio</w:t>
      </w:r>
      <w:bookmarkEnd w:id="52"/>
    </w:p>
    <w:p w14:paraId="1DBA43B0" w14:textId="77777777" w:rsidR="00DA43F4" w:rsidRPr="00DA43F4" w:rsidRDefault="00DA43F4" w:rsidP="00DA43F4">
      <w:pPr>
        <w:rPr>
          <w:lang w:val="es-ES"/>
        </w:rPr>
      </w:pPr>
    </w:p>
    <w:p w14:paraId="4DB1345F" w14:textId="77777777" w:rsidR="00C66F94" w:rsidRPr="00C66F94" w:rsidRDefault="00C66F94" w:rsidP="00C66F94">
      <w:pPr>
        <w:spacing w:line="360" w:lineRule="auto"/>
        <w:jc w:val="both"/>
        <w:rPr>
          <w:rFonts w:eastAsia="Calibri"/>
          <w:noProof/>
          <w:color w:val="4C4747"/>
          <w:lang w:val="es-ES"/>
        </w:rPr>
      </w:pPr>
      <w:r w:rsidRPr="00C66F94">
        <w:rPr>
          <w:rFonts w:eastAsia="Calibri"/>
          <w:noProof/>
          <w:color w:val="4C4747"/>
          <w:lang w:val="es-ES"/>
        </w:rPr>
        <w:t xml:space="preserve">En la primera evaluación de nuestra Carta Compromiso al Ciudadano, el Ministerio de Administración Pública (MAP), calificó en 93.07% </w:t>
      </w:r>
      <w:r w:rsidRPr="00C66F94">
        <w:rPr>
          <w:rFonts w:eastAsia="Calibri"/>
          <w:noProof/>
          <w:color w:val="4C4747"/>
          <w:lang w:val="es-ES"/>
        </w:rPr>
        <w:lastRenderedPageBreak/>
        <w:t>el nivel de cumplimiento de los compromisos asumidos en la carta de cara al ciudadano, esto representa un resultado de excelencia y nuestra responsabilidad con la mejora continua y la experiencia de nuestros usuarios de servicios.</w:t>
      </w:r>
    </w:p>
    <w:p w14:paraId="2232EF57" w14:textId="1EC6B7AC" w:rsidR="00C66F94" w:rsidRPr="00C66F94" w:rsidRDefault="00C66F94" w:rsidP="00C66F94">
      <w:pPr>
        <w:spacing w:line="360" w:lineRule="auto"/>
        <w:jc w:val="both"/>
        <w:rPr>
          <w:rFonts w:eastAsia="Calibri"/>
          <w:noProof/>
          <w:color w:val="4C4747"/>
          <w:lang w:val="es-ES"/>
        </w:rPr>
      </w:pPr>
      <w:r w:rsidRPr="00C66F94">
        <w:rPr>
          <w:rFonts w:eastAsia="Calibri"/>
          <w:noProof/>
          <w:color w:val="4C4747"/>
          <w:lang w:val="es-ES"/>
        </w:rPr>
        <w:t>En cuanto a los resultados de las encuestas de satisfacción realizadas a través de</w:t>
      </w:r>
      <w:r>
        <w:rPr>
          <w:rFonts w:eastAsia="Calibri"/>
          <w:noProof/>
          <w:color w:val="4C4747"/>
          <w:lang w:val="es-ES"/>
        </w:rPr>
        <w:t>l</w:t>
      </w:r>
      <w:r w:rsidRPr="00C66F94">
        <w:rPr>
          <w:rFonts w:eastAsia="Calibri"/>
          <w:noProof/>
          <w:color w:val="4C4747"/>
          <w:lang w:val="es-ES"/>
        </w:rPr>
        <w:t xml:space="preserve"> área de calidad y en colaboración con el Centro de Atención al Usuario, llevamos a cabo una encuesta externa dirigida a los usuarios del sector. Logramos una puntuación satisfactoria del 97.24%.</w:t>
      </w:r>
    </w:p>
    <w:p w14:paraId="0B66C19D" w14:textId="16A4ED76" w:rsidR="00C66F94" w:rsidRPr="00C66F94" w:rsidRDefault="00C66F94" w:rsidP="00C66F94">
      <w:pPr>
        <w:spacing w:line="360" w:lineRule="auto"/>
        <w:jc w:val="both"/>
        <w:rPr>
          <w:rFonts w:eastAsia="Calibri"/>
          <w:b/>
          <w:bCs/>
          <w:noProof/>
          <w:color w:val="4C4747"/>
          <w:lang w:val="es-ES"/>
        </w:rPr>
      </w:pPr>
      <w:r w:rsidRPr="00C66F94">
        <w:rPr>
          <w:rFonts w:eastAsia="Calibri"/>
          <w:b/>
          <w:bCs/>
          <w:noProof/>
          <w:color w:val="4C4747"/>
          <w:lang w:val="es-ES"/>
        </w:rPr>
        <w:t xml:space="preserve">A través de nuestro </w:t>
      </w:r>
      <w:r>
        <w:rPr>
          <w:rFonts w:eastAsia="Calibri"/>
          <w:b/>
          <w:bCs/>
          <w:noProof/>
          <w:color w:val="4C4747"/>
          <w:lang w:val="es-ES"/>
        </w:rPr>
        <w:t>C</w:t>
      </w:r>
      <w:r w:rsidRPr="00C66F94">
        <w:rPr>
          <w:rFonts w:eastAsia="Calibri"/>
          <w:b/>
          <w:bCs/>
          <w:noProof/>
          <w:color w:val="4C4747"/>
          <w:lang w:val="es-ES"/>
        </w:rPr>
        <w:t xml:space="preserve">entro de </w:t>
      </w:r>
      <w:r>
        <w:rPr>
          <w:rFonts w:eastAsia="Calibri"/>
          <w:b/>
          <w:bCs/>
          <w:noProof/>
          <w:color w:val="4C4747"/>
          <w:lang w:val="es-ES"/>
        </w:rPr>
        <w:t>A</w:t>
      </w:r>
      <w:r w:rsidRPr="00C66F94">
        <w:rPr>
          <w:rFonts w:eastAsia="Calibri"/>
          <w:b/>
          <w:bCs/>
          <w:noProof/>
          <w:color w:val="4C4747"/>
          <w:lang w:val="es-ES"/>
        </w:rPr>
        <w:t xml:space="preserve">tención al </w:t>
      </w:r>
      <w:r>
        <w:rPr>
          <w:rFonts w:eastAsia="Calibri"/>
          <w:b/>
          <w:bCs/>
          <w:noProof/>
          <w:color w:val="4C4747"/>
          <w:lang w:val="es-ES"/>
        </w:rPr>
        <w:t>U</w:t>
      </w:r>
      <w:r w:rsidRPr="00C66F94">
        <w:rPr>
          <w:rFonts w:eastAsia="Calibri"/>
          <w:b/>
          <w:bCs/>
          <w:noProof/>
          <w:color w:val="4C4747"/>
          <w:lang w:val="es-ES"/>
        </w:rPr>
        <w:t>suario</w:t>
      </w:r>
      <w:r>
        <w:rPr>
          <w:rFonts w:eastAsia="Calibri"/>
          <w:b/>
          <w:bCs/>
          <w:noProof/>
          <w:color w:val="4C4747"/>
          <w:lang w:val="es-ES"/>
        </w:rPr>
        <w:t xml:space="preserve"> (CAU)</w:t>
      </w:r>
    </w:p>
    <w:p w14:paraId="28913CEF" w14:textId="66F05D0F" w:rsidR="00C66F94" w:rsidRPr="00C66F94" w:rsidRDefault="00C66F94" w:rsidP="00C66F94">
      <w:pPr>
        <w:spacing w:line="360" w:lineRule="auto"/>
        <w:jc w:val="both"/>
        <w:rPr>
          <w:rFonts w:eastAsia="Calibri"/>
          <w:noProof/>
          <w:color w:val="4C4747"/>
          <w:lang w:val="es-ES"/>
        </w:rPr>
      </w:pPr>
      <w:r>
        <w:rPr>
          <w:rFonts w:eastAsia="Calibri"/>
          <w:noProof/>
          <w:color w:val="4C4747"/>
          <w:lang w:val="es-ES"/>
        </w:rPr>
        <w:t>Se han ejecutado</w:t>
      </w:r>
      <w:r w:rsidRPr="00C66F94">
        <w:rPr>
          <w:rFonts w:eastAsia="Calibri"/>
          <w:noProof/>
          <w:color w:val="4C4747"/>
          <w:lang w:val="es-ES"/>
        </w:rPr>
        <w:t xml:space="preserve"> </w:t>
      </w:r>
      <w:r>
        <w:rPr>
          <w:rFonts w:eastAsia="Calibri"/>
          <w:noProof/>
          <w:color w:val="4C4747"/>
          <w:lang w:val="es-ES"/>
        </w:rPr>
        <w:t>varias</w:t>
      </w:r>
      <w:r w:rsidRPr="00C66F94">
        <w:rPr>
          <w:rFonts w:eastAsia="Calibri"/>
          <w:noProof/>
          <w:color w:val="4C4747"/>
          <w:lang w:val="es-ES"/>
        </w:rPr>
        <w:t xml:space="preserve"> actividades, incluyendo</w:t>
      </w:r>
      <w:r>
        <w:rPr>
          <w:rFonts w:eastAsia="Calibri"/>
          <w:noProof/>
          <w:color w:val="4C4747"/>
          <w:lang w:val="es-ES"/>
        </w:rPr>
        <w:t xml:space="preserve"> la atención a </w:t>
      </w:r>
      <w:r w:rsidRPr="00C66F94">
        <w:rPr>
          <w:rFonts w:eastAsia="Calibri"/>
          <w:noProof/>
          <w:color w:val="4C4747"/>
          <w:lang w:val="es-ES"/>
        </w:rPr>
        <w:t xml:space="preserve">solicitudes de información, servicios de certificaciones, emisión de licencias, atención de reclamaciones y orientación general al usuario. </w:t>
      </w:r>
    </w:p>
    <w:p w14:paraId="7F2C2043" w14:textId="2138F33C" w:rsidR="00C66F94" w:rsidRPr="00C66F94" w:rsidRDefault="00C66F94" w:rsidP="00C66F94">
      <w:pPr>
        <w:spacing w:line="360" w:lineRule="auto"/>
        <w:jc w:val="both"/>
        <w:rPr>
          <w:rFonts w:eastAsia="Calibri"/>
          <w:noProof/>
          <w:color w:val="4C4747"/>
          <w:lang w:val="es-ES"/>
        </w:rPr>
      </w:pPr>
      <w:r w:rsidRPr="00C66F94">
        <w:rPr>
          <w:rFonts w:eastAsia="Calibri"/>
          <w:noProof/>
          <w:color w:val="4C4747"/>
          <w:lang w:val="es-ES"/>
        </w:rPr>
        <w:t>Desde enero, el CAU ha logrado avances significativos, entre los que destacan:</w:t>
      </w:r>
    </w:p>
    <w:p w14:paraId="62881843" w14:textId="5231AC81" w:rsidR="00C66F94" w:rsidRPr="00C66F94"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t>Manual de Atención al Usuario:</w:t>
      </w:r>
      <w:r w:rsidRPr="00C66F94">
        <w:rPr>
          <w:rFonts w:eastAsia="Calibri"/>
          <w:noProof/>
          <w:color w:val="4C4747"/>
          <w:lang w:val="es-ES"/>
        </w:rPr>
        <w:t xml:space="preserve"> Se elaboró el Manual de Atención al Usuario, documento que define los protocolos de atención, funciones, valores y estándares de calidad que rigen el servicio brindado por el CAU.</w:t>
      </w:r>
    </w:p>
    <w:p w14:paraId="170BBFAB" w14:textId="787E5021" w:rsidR="00C66F94" w:rsidRPr="00C66F94"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lastRenderedPageBreak/>
        <w:t>Servicio de Certificaciones:</w:t>
      </w:r>
      <w:r w:rsidRPr="00C66F94">
        <w:rPr>
          <w:rFonts w:eastAsia="Calibri"/>
          <w:noProof/>
          <w:color w:val="4C4747"/>
          <w:lang w:val="es-ES"/>
        </w:rPr>
        <w:t xml:space="preserve"> El servicio de Certificaciones —el más demandado por los usuarios de la Superintendencia— participamos en la mesa de trabajo del proceso en el que fue descrito formalmente mediante resolución interna, definiendo sus requisitos, tiempos de respuesta y pasos del proceso (En espera de respuesta del MAP).</w:t>
      </w:r>
    </w:p>
    <w:p w14:paraId="71D3CCC1" w14:textId="46A7C1E8" w:rsidR="00C66F94" w:rsidRPr="00C66F94"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t>Descripción de puestos del personal del CAU:</w:t>
      </w:r>
      <w:r w:rsidRPr="00C66F94">
        <w:rPr>
          <w:rFonts w:eastAsia="Calibri"/>
          <w:noProof/>
          <w:color w:val="4C4747"/>
          <w:lang w:val="es-ES"/>
        </w:rPr>
        <w:t xml:space="preserve"> Se elaboró un documento institucional con la descripción de los puestos de trabajo del personal del CAU, fortaleciendo la organización interna y el cumplimiento de roles.</w:t>
      </w:r>
    </w:p>
    <w:p w14:paraId="2190D0A1" w14:textId="6F97C766" w:rsidR="00C66F94" w:rsidRPr="00A70DE5"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t>Implementación del proceso de recepción de denuncias y reclamaciones</w:t>
      </w:r>
      <w:r w:rsidRPr="00C66F94">
        <w:rPr>
          <w:rFonts w:eastAsia="Calibri"/>
          <w:noProof/>
          <w:color w:val="4C4747"/>
          <w:lang w:val="es-ES"/>
        </w:rPr>
        <w:t>. Durante la gestión se consolidó el proceso formal de recepción de denuncias y reclamaciones, mediante la implementación del formulario físico y digital y la creación de un reporte de seguimiento y trazabilidad de casos, que permite monitorear la evolución de cada solicitud.</w:t>
      </w:r>
    </w:p>
    <w:p w14:paraId="645B5E90" w14:textId="121A2686" w:rsidR="00C66F94" w:rsidRPr="00C66F94"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lastRenderedPageBreak/>
        <w:t>Mejora de accesibilidad:</w:t>
      </w:r>
      <w:r w:rsidRPr="00C66F94">
        <w:rPr>
          <w:rFonts w:eastAsia="Calibri"/>
          <w:noProof/>
          <w:color w:val="4C4747"/>
          <w:lang w:val="es-ES"/>
        </w:rPr>
        <w:t xml:space="preserve"> Se reconstruyó la rampa de acceso al CAU, garantizando condiciones adecuadas para personas con discapacidad y cumpliendo con los estándares de accesibilidad universal.</w:t>
      </w:r>
    </w:p>
    <w:p w14:paraId="77E2AD1E" w14:textId="57CC7A03" w:rsidR="00C66F94" w:rsidRPr="00C66F94"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t xml:space="preserve">Implementación de programa para no videntes en el Kiosko de turnos: </w:t>
      </w:r>
      <w:r w:rsidRPr="00C66F94">
        <w:rPr>
          <w:rFonts w:eastAsia="Calibri"/>
          <w:noProof/>
          <w:color w:val="4C4747"/>
          <w:lang w:val="es-ES"/>
        </w:rPr>
        <w:t>Con el objetivo de garantizar un servicio inclusivo y accesible, se implementó en el Kiosko de turnos un programa de asistencia para personas no videntes, permitiendo que usuarios con discapacidad visual puedan gestionar su turno de manera autónoma. Esta iniciativa fortalece las políticas institucionales de inclusión, mejora la accesibilidad del CAU y asegura que todos los ciudadanos puedan acceder a los servicios sin barreras.</w:t>
      </w:r>
    </w:p>
    <w:p w14:paraId="15E1DBD1" w14:textId="275CE59F" w:rsidR="00C66F94" w:rsidRPr="00A70DE5"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t>Creación del Formulario Buzón de Quejas y Sugerencias (digital mejorado):</w:t>
      </w:r>
      <w:r w:rsidRPr="00C66F94">
        <w:rPr>
          <w:rFonts w:eastAsia="Calibri"/>
          <w:noProof/>
          <w:color w:val="4C4747"/>
          <w:lang w:val="es-ES"/>
        </w:rPr>
        <w:t xml:space="preserve"> Como parte de las acciones para fortalecer la Voz del Usuario, se desarrolló un nuevo formulario digital de Buzón de Quejas y Sugerencias, con un diseño más ágil, intuitivo y alineado a los estándares del MAP. La versión mejorada facilita la recolección de retroalimentación, </w:t>
      </w:r>
      <w:r w:rsidRPr="00C66F94">
        <w:rPr>
          <w:rFonts w:eastAsia="Calibri"/>
          <w:noProof/>
          <w:color w:val="4C4747"/>
          <w:lang w:val="es-ES"/>
        </w:rPr>
        <w:lastRenderedPageBreak/>
        <w:t>permite un análisis más eficiente de los casos, y contribuye a la mejora continua del servicio ofrecido por el Centro de Atención al Usuario.</w:t>
      </w:r>
    </w:p>
    <w:p w14:paraId="3043265C" w14:textId="23C63030" w:rsidR="00C66F94" w:rsidRPr="00C66F94" w:rsidRDefault="00C66F94" w:rsidP="00C66F94">
      <w:pPr>
        <w:numPr>
          <w:ilvl w:val="0"/>
          <w:numId w:val="42"/>
        </w:numPr>
        <w:spacing w:line="360" w:lineRule="auto"/>
        <w:jc w:val="both"/>
        <w:rPr>
          <w:rFonts w:eastAsia="Calibri"/>
          <w:noProof/>
          <w:color w:val="4C4747"/>
          <w:lang w:val="es-ES"/>
        </w:rPr>
      </w:pPr>
      <w:r w:rsidRPr="00C66F94">
        <w:rPr>
          <w:rFonts w:eastAsia="Calibri"/>
          <w:b/>
          <w:noProof/>
          <w:color w:val="4C4747"/>
          <w:lang w:val="es-ES"/>
        </w:rPr>
        <w:t xml:space="preserve">Seguimiento y fortalecimiento de los canales de atención. </w:t>
      </w:r>
      <w:r w:rsidRPr="00C66F94">
        <w:rPr>
          <w:rFonts w:eastAsia="Calibri"/>
          <w:noProof/>
          <w:color w:val="4C4747"/>
          <w:lang w:val="es-ES"/>
        </w:rPr>
        <w:t>El tiempo promedio de respuesta del correo institucional es actualmente inferior a 5 días hábiles, frente a los 15 días establecidos por Burocracia Cero.</w:t>
      </w:r>
    </w:p>
    <w:p w14:paraId="18F25EC8" w14:textId="174C8A8C" w:rsidR="00DA43F4" w:rsidRPr="00DA43F4" w:rsidRDefault="00C66F94" w:rsidP="00DA43F4">
      <w:pPr>
        <w:spacing w:line="360" w:lineRule="auto"/>
        <w:jc w:val="both"/>
        <w:rPr>
          <w:rFonts w:eastAsia="Calibri"/>
          <w:noProof/>
          <w:color w:val="4C4747"/>
          <w:lang w:val="es-ES"/>
        </w:rPr>
      </w:pPr>
      <w:r>
        <w:rPr>
          <w:rFonts w:eastAsia="Calibri"/>
          <w:noProof/>
          <w:color w:val="4C4747"/>
          <w:lang w:val="es-ES"/>
        </w:rPr>
        <w:t xml:space="preserve">El </w:t>
      </w:r>
      <w:r w:rsidRPr="00C66F94">
        <w:rPr>
          <w:rFonts w:eastAsia="Calibri"/>
          <w:noProof/>
          <w:color w:val="4C4747"/>
          <w:lang w:val="es-ES"/>
        </w:rPr>
        <w:t xml:space="preserve">Centro de Atención al Usuario durante el período </w:t>
      </w:r>
      <w:r>
        <w:rPr>
          <w:rFonts w:eastAsia="Calibri"/>
          <w:noProof/>
          <w:color w:val="4C4747"/>
          <w:lang w:val="es-ES"/>
        </w:rPr>
        <w:t>en cuestión</w:t>
      </w:r>
      <w:r w:rsidRPr="00C66F94">
        <w:rPr>
          <w:rFonts w:eastAsia="Calibri"/>
          <w:noProof/>
          <w:color w:val="4C4747"/>
          <w:lang w:val="es-ES"/>
        </w:rPr>
        <w:t xml:space="preserve"> evidencia avances significativos en la calidad del servicio y en la consolidación de una cultura institucional centrada en el ciudadano. Los indicadores muestran un alto nivel de satisfacción general y una gestión eficiente de los casos recibidos, fortalecida por iniciativas como la digitalización de procesos, la implementación de mecanismos de retroalimentación y la incorporación de herramientas inclusivas. En conjunto, los resultados reafirman el compromiso del CAU con la transparencia, la mejora continua y la atención digna, accesible e inclusiva para todos los usuarios. Las acciones implementadas y los hallazgos obtenidos servirán como base para seguir fortaleciendo los procesos, elevando la eficiencia operativa e impulsando nuevas iniciativas que contribuyan a la transformación integral de la experiencia del usuario.</w:t>
      </w:r>
    </w:p>
    <w:p w14:paraId="326C9A2F" w14:textId="3D9EE243" w:rsidR="00A70DE5" w:rsidRDefault="00A70DE5" w:rsidP="00A70DE5">
      <w:pPr>
        <w:pStyle w:val="Ttulo2"/>
        <w:numPr>
          <w:ilvl w:val="1"/>
          <w:numId w:val="46"/>
        </w:numPr>
        <w:rPr>
          <w:b/>
          <w:bCs/>
          <w:noProof/>
          <w:lang w:val="es-ES"/>
        </w:rPr>
      </w:pPr>
      <w:bookmarkStart w:id="53" w:name="_bookmark25"/>
      <w:bookmarkStart w:id="54" w:name="_Toc216875880"/>
      <w:bookmarkEnd w:id="53"/>
      <w:r>
        <w:rPr>
          <w:b/>
          <w:bCs/>
          <w:noProof/>
          <w:lang w:val="es-ES"/>
        </w:rPr>
        <w:lastRenderedPageBreak/>
        <w:t>Nivel de Cumplimiento Acceso a la Información Pùblica</w:t>
      </w:r>
      <w:bookmarkEnd w:id="54"/>
    </w:p>
    <w:p w14:paraId="26A4C790" w14:textId="36A55FA4" w:rsidR="00A70DE5" w:rsidRDefault="00A70DE5" w:rsidP="00A70DE5">
      <w:pPr>
        <w:spacing w:before="240" w:line="360" w:lineRule="auto"/>
        <w:jc w:val="both"/>
        <w:rPr>
          <w:noProof/>
          <w:lang w:val="es-ES"/>
        </w:rPr>
      </w:pPr>
      <w:r w:rsidRPr="00A70DE5">
        <w:rPr>
          <w:noProof/>
          <w:lang w:val="es-ES"/>
        </w:rPr>
        <w:t>La Oficina de Libre Acceso a la Información Pública (OAI) reitera su compromiso inquebrantable con el mantenimiento de altos estándares de transparencia y el fiel cumplimiento de la Ley No. 200-04, tanto en lo que respecta a las informaciones publicada mensualmente en el portal de transparencia institucional, como en la gestión diligente de las solicitudes de información recibidas de la ciudadanía.</w:t>
      </w:r>
    </w:p>
    <w:p w14:paraId="0152F31E" w14:textId="2FF3EA4F" w:rsidR="00A70DE5" w:rsidRDefault="00A70DE5" w:rsidP="00A70DE5">
      <w:pPr>
        <w:spacing w:before="240" w:line="360" w:lineRule="auto"/>
        <w:jc w:val="both"/>
        <w:rPr>
          <w:lang w:val="es-ES"/>
        </w:rPr>
      </w:pPr>
      <w:r w:rsidRPr="00A70DE5">
        <w:rPr>
          <w:b/>
          <w:lang w:val="es-ES"/>
        </w:rPr>
        <w:t>Solicitudes atendidas</w:t>
      </w:r>
      <w:r>
        <w:rPr>
          <w:b/>
          <w:lang w:val="es-ES"/>
        </w:rPr>
        <w:t xml:space="preserve"> </w:t>
      </w:r>
      <w:r w:rsidRPr="00A70DE5">
        <w:rPr>
          <w:b/>
          <w:lang w:val="es-ES"/>
        </w:rPr>
        <w:t>por la OAI</w:t>
      </w:r>
      <w:r>
        <w:rPr>
          <w:b/>
          <w:lang w:val="es-ES"/>
        </w:rPr>
        <w:t xml:space="preserve">: </w:t>
      </w:r>
      <w:r w:rsidRPr="00A70DE5">
        <w:rPr>
          <w:lang w:val="es-ES"/>
        </w:rPr>
        <w:t>Durante el período evaluado (enero a octubre), la OAI gestionó un total de 35 consultas de libre acceso a la información. Es importante destacar que todas las solicitudes fueron atendidas con la debida prontitud y conforme a los plazos establecidos por la Ley No. 200-04 de Libre Acceso a la Información Pública</w:t>
      </w:r>
      <w:r>
        <w:rPr>
          <w:lang w:val="es-ES"/>
        </w:rPr>
        <w:t xml:space="preserve">, a continuación, el destalle: </w:t>
      </w:r>
    </w:p>
    <w:p w14:paraId="135B0A3F" w14:textId="3B70AF2B" w:rsidR="00A70DE5" w:rsidRDefault="00A70DE5" w:rsidP="00A70DE5">
      <w:pPr>
        <w:spacing w:before="240" w:line="360" w:lineRule="auto"/>
        <w:jc w:val="both"/>
        <w:rPr>
          <w:b/>
          <w:lang w:val="es-ES"/>
        </w:rPr>
      </w:pPr>
      <w:r w:rsidRPr="00A70DE5">
        <w:rPr>
          <w:b/>
          <w:noProof/>
          <w:lang w:val="es-ES"/>
        </w:rPr>
        <w:drawing>
          <wp:inline distT="0" distB="0" distL="0" distR="0" wp14:anchorId="211F4E62" wp14:editId="40CE57B6">
            <wp:extent cx="4514850" cy="1036616"/>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45860" cy="1043736"/>
                    </a:xfrm>
                    <a:prstGeom prst="rect">
                      <a:avLst/>
                    </a:prstGeom>
                  </pic:spPr>
                </pic:pic>
              </a:graphicData>
            </a:graphic>
          </wp:inline>
        </w:drawing>
      </w:r>
    </w:p>
    <w:p w14:paraId="6CFCCF9F" w14:textId="154FF7AA" w:rsidR="00A70DE5" w:rsidRPr="00A70DE5" w:rsidRDefault="00A70DE5" w:rsidP="00A70DE5">
      <w:pPr>
        <w:spacing w:before="240" w:line="360" w:lineRule="auto"/>
        <w:jc w:val="both"/>
        <w:rPr>
          <w:b/>
          <w:lang w:val="es-ES"/>
        </w:rPr>
      </w:pPr>
      <w:r w:rsidRPr="00A70DE5">
        <w:rPr>
          <w:lang w:val="es-ES"/>
        </w:rPr>
        <w:lastRenderedPageBreak/>
        <w:t>Se estima la recepción de 5 solicitudes adicionales durante los meses restantes del año (noviembre y diciembre).</w:t>
      </w:r>
    </w:p>
    <w:p w14:paraId="0BD71F00" w14:textId="65100B50" w:rsidR="00A70DE5" w:rsidRDefault="00A70DE5" w:rsidP="00A70DE5">
      <w:pPr>
        <w:pStyle w:val="Ttulo2"/>
        <w:numPr>
          <w:ilvl w:val="1"/>
          <w:numId w:val="46"/>
        </w:numPr>
        <w:rPr>
          <w:b/>
          <w:bCs/>
          <w:noProof/>
          <w:lang w:val="es-ES"/>
        </w:rPr>
      </w:pPr>
      <w:bookmarkStart w:id="55" w:name="_Toc216875881"/>
      <w:r>
        <w:rPr>
          <w:b/>
          <w:bCs/>
          <w:noProof/>
          <w:lang w:val="es-ES"/>
        </w:rPr>
        <w:t>Resultados del Sistema de Quejas, Reclamos y Sugerencias</w:t>
      </w:r>
      <w:bookmarkEnd w:id="55"/>
      <w:r>
        <w:rPr>
          <w:b/>
          <w:bCs/>
          <w:noProof/>
          <w:lang w:val="es-ES"/>
        </w:rPr>
        <w:t xml:space="preserve">  </w:t>
      </w:r>
    </w:p>
    <w:p w14:paraId="338EED94" w14:textId="77777777" w:rsidR="00A70DE5" w:rsidRPr="00A70DE5" w:rsidRDefault="00A70DE5" w:rsidP="00A70DE5">
      <w:pPr>
        <w:rPr>
          <w:lang w:val="es-ES"/>
        </w:rPr>
      </w:pPr>
    </w:p>
    <w:p w14:paraId="12497745" w14:textId="06FC63FC" w:rsidR="00A70DE5" w:rsidRPr="00A70DE5" w:rsidRDefault="00A70DE5" w:rsidP="00A70DE5">
      <w:pPr>
        <w:spacing w:line="360" w:lineRule="auto"/>
        <w:jc w:val="both"/>
        <w:rPr>
          <w:lang w:val="es-ES"/>
        </w:rPr>
      </w:pPr>
      <w:r w:rsidRPr="00A70DE5">
        <w:rPr>
          <w:lang w:val="es-ES"/>
        </w:rPr>
        <w:t xml:space="preserve">En lo relativo al sistema de atención ciudadana Línea 311, se </w:t>
      </w:r>
      <w:r>
        <w:rPr>
          <w:lang w:val="es-ES"/>
        </w:rPr>
        <w:t>registraron</w:t>
      </w:r>
      <w:r w:rsidRPr="00A70DE5">
        <w:rPr>
          <w:lang w:val="es-ES"/>
        </w:rPr>
        <w:t xml:space="preserve"> 6 quejas a lo largo del período. Todas fueron debidamente </w:t>
      </w:r>
    </w:p>
    <w:p w14:paraId="277149AA" w14:textId="77777777" w:rsidR="00A70DE5" w:rsidRPr="00A70DE5" w:rsidRDefault="00A70DE5" w:rsidP="00A70DE5">
      <w:pPr>
        <w:spacing w:line="360" w:lineRule="auto"/>
        <w:jc w:val="both"/>
        <w:rPr>
          <w:lang w:val="es-ES"/>
        </w:rPr>
      </w:pPr>
      <w:r w:rsidRPr="00A70DE5">
        <w:rPr>
          <w:lang w:val="es-ES"/>
        </w:rPr>
        <w:t>gestionadas y atendidas en cumplimiento con los plazos estipulados.</w:t>
      </w:r>
    </w:p>
    <w:p w14:paraId="1F95A049" w14:textId="77777777" w:rsidR="00A70DE5" w:rsidRDefault="00A70DE5" w:rsidP="00A70DE5">
      <w:pPr>
        <w:spacing w:line="360" w:lineRule="auto"/>
        <w:jc w:val="both"/>
        <w:rPr>
          <w:lang w:val="es-ES"/>
        </w:rPr>
      </w:pPr>
      <w:r w:rsidRPr="00A70DE5">
        <w:rPr>
          <w:b/>
          <w:lang w:val="es-ES"/>
        </w:rPr>
        <w:t>Principal Motivo de Reclamación:</w:t>
      </w:r>
      <w:r w:rsidRPr="00A70DE5">
        <w:rPr>
          <w:lang w:val="es-ES"/>
        </w:rPr>
        <w:t xml:space="preserve"> El foco de las quejas se centró en el descontento de usuarios con los procesos de servicios ofrecidos por las entidades aseguradoras.</w:t>
      </w:r>
      <w:r>
        <w:rPr>
          <w:lang w:val="es-ES"/>
        </w:rPr>
        <w:t xml:space="preserve"> </w:t>
      </w:r>
    </w:p>
    <w:p w14:paraId="68D5430F" w14:textId="5B9C831B" w:rsidR="00A70DE5" w:rsidRDefault="00A70DE5" w:rsidP="00A70DE5">
      <w:pPr>
        <w:spacing w:line="360" w:lineRule="auto"/>
        <w:jc w:val="both"/>
        <w:rPr>
          <w:lang w:val="es-ES"/>
        </w:rPr>
      </w:pPr>
      <w:r w:rsidRPr="00A70DE5">
        <w:rPr>
          <w:lang w:val="es-ES"/>
        </w:rPr>
        <w:t xml:space="preserve">No se prevén quejas ni sugerencias para los meses </w:t>
      </w:r>
      <w:r w:rsidR="00A5394C" w:rsidRPr="00A70DE5">
        <w:rPr>
          <w:lang w:val="es-ES"/>
        </w:rPr>
        <w:t xml:space="preserve">de </w:t>
      </w:r>
      <w:r w:rsidR="00A5394C">
        <w:rPr>
          <w:lang w:val="es-ES"/>
        </w:rPr>
        <w:t>noviembre</w:t>
      </w:r>
      <w:r w:rsidRPr="00A70DE5">
        <w:rPr>
          <w:lang w:val="es-ES"/>
        </w:rPr>
        <w:t xml:space="preserve"> y diciembre.</w:t>
      </w:r>
    </w:p>
    <w:p w14:paraId="7037AA41" w14:textId="77777777" w:rsidR="00A70DE5" w:rsidRPr="00A70DE5" w:rsidRDefault="00A70DE5" w:rsidP="00A70DE5">
      <w:pPr>
        <w:spacing w:line="360" w:lineRule="auto"/>
        <w:jc w:val="both"/>
        <w:rPr>
          <w:lang w:val="es-ES"/>
        </w:rPr>
      </w:pPr>
    </w:p>
    <w:p w14:paraId="7A052EE7" w14:textId="31E07AE3" w:rsidR="00DA43F4" w:rsidRDefault="00DA43F4" w:rsidP="00A70DE5">
      <w:pPr>
        <w:pStyle w:val="Ttulo2"/>
        <w:numPr>
          <w:ilvl w:val="1"/>
          <w:numId w:val="46"/>
        </w:numPr>
        <w:rPr>
          <w:b/>
          <w:bCs/>
          <w:noProof/>
          <w:lang w:val="es-ES"/>
        </w:rPr>
      </w:pPr>
      <w:bookmarkStart w:id="56" w:name="_Toc216875882"/>
      <w:r w:rsidRPr="00DA43F4">
        <w:rPr>
          <w:b/>
          <w:bCs/>
          <w:noProof/>
          <w:lang w:val="es-ES"/>
        </w:rPr>
        <w:t>Resultados de las mediciones del portal de Transparencia</w:t>
      </w:r>
      <w:bookmarkEnd w:id="56"/>
    </w:p>
    <w:p w14:paraId="3CE179D9" w14:textId="77777777" w:rsidR="00DA43F4" w:rsidRPr="00DA43F4" w:rsidRDefault="00DA43F4" w:rsidP="00DA43F4">
      <w:pPr>
        <w:rPr>
          <w:lang w:val="es-ES"/>
        </w:rPr>
      </w:pPr>
    </w:p>
    <w:p w14:paraId="33E55A31" w14:textId="1AD0ACBF" w:rsidR="00DA43F4" w:rsidRDefault="00DA43F4" w:rsidP="00DA43F4">
      <w:pPr>
        <w:spacing w:line="360" w:lineRule="auto"/>
        <w:jc w:val="both"/>
        <w:rPr>
          <w:rFonts w:eastAsia="Calibri"/>
          <w:noProof/>
          <w:color w:val="4C4747"/>
          <w:lang w:val="es-ES"/>
        </w:rPr>
      </w:pPr>
      <w:r w:rsidRPr="00DA43F4">
        <w:rPr>
          <w:rFonts w:eastAsia="Calibri"/>
          <w:noProof/>
          <w:color w:val="4C4747"/>
          <w:lang w:val="es-ES"/>
        </w:rPr>
        <w:t>En relación con las evaluaciones mensuales del indicador de Transparencia, se han obtenido resultados consistentemente altos</w:t>
      </w:r>
      <w:r>
        <w:rPr>
          <w:rFonts w:eastAsia="Calibri"/>
          <w:noProof/>
          <w:color w:val="4C4747"/>
          <w:lang w:val="es-ES"/>
        </w:rPr>
        <w:t xml:space="preserve"> (100% durante todo el período)</w:t>
      </w:r>
      <w:r w:rsidRPr="00DA43F4">
        <w:rPr>
          <w:rFonts w:eastAsia="Calibri"/>
          <w:noProof/>
          <w:color w:val="4C4747"/>
          <w:lang w:val="es-ES"/>
        </w:rPr>
        <w:t xml:space="preserve">, reflejando el compromiso de esta </w:t>
      </w:r>
      <w:r w:rsidRPr="00DA43F4">
        <w:rPr>
          <w:rFonts w:eastAsia="Calibri"/>
          <w:noProof/>
          <w:color w:val="4C4747"/>
          <w:lang w:val="es-ES"/>
        </w:rPr>
        <w:lastRenderedPageBreak/>
        <w:t xml:space="preserve">Superintendencia con el cumplimiento de la Ley 200 - 04 y la transparencia en la gestión pública. </w:t>
      </w:r>
    </w:p>
    <w:p w14:paraId="369D8B64" w14:textId="72D7A7B3" w:rsidR="00DA43F4" w:rsidRDefault="00DA43F4" w:rsidP="00DA43F4">
      <w:pPr>
        <w:spacing w:before="1" w:line="360" w:lineRule="auto"/>
        <w:ind w:right="750"/>
        <w:jc w:val="both"/>
        <w:rPr>
          <w:rFonts w:eastAsia="Calibri"/>
          <w:noProof/>
          <w:color w:val="4C4747"/>
          <w:lang w:val="es-ES"/>
        </w:rPr>
      </w:pPr>
      <w:r w:rsidRPr="00DA43F4">
        <w:rPr>
          <w:rFonts w:eastAsia="Calibri"/>
          <w:noProof/>
          <w:color w:val="4C4747"/>
          <w:lang w:val="es-ES"/>
        </w:rPr>
        <w:t>Este rendimiento sostenido ha llevado al reconocimiento de la Superintendencia de Seguros (SIS) como una de las instituciones con mejor evaluación en términos de transparencia en el Estado dominicano. Se proyecta mantener la excelencia y la máxima puntuación en las evaluaciones subsiguientes.</w:t>
      </w:r>
    </w:p>
    <w:p w14:paraId="014DD48A" w14:textId="77777777" w:rsidR="00DA43F4" w:rsidRPr="00DA43F4" w:rsidRDefault="00DA43F4" w:rsidP="00DA43F4">
      <w:pPr>
        <w:spacing w:before="1" w:line="360" w:lineRule="auto"/>
        <w:ind w:right="750"/>
        <w:jc w:val="both"/>
        <w:rPr>
          <w:rFonts w:eastAsia="Calibri"/>
          <w:b/>
          <w:noProof/>
          <w:color w:val="4C4747"/>
          <w:lang w:val="es-ES"/>
        </w:rPr>
      </w:pPr>
      <w:r w:rsidRPr="00DA43F4">
        <w:rPr>
          <w:rFonts w:eastAsia="Calibri"/>
          <w:b/>
          <w:noProof/>
          <w:color w:val="4C4747"/>
          <w:u w:val="single"/>
          <w:lang w:val="es-ES"/>
        </w:rPr>
        <w:t>Estatus de la Comisión de Integridad Gubernamental y Cumplimiento</w:t>
      </w:r>
      <w:r w:rsidRPr="00DA43F4">
        <w:rPr>
          <w:rFonts w:eastAsia="Calibri"/>
          <w:b/>
          <w:noProof/>
          <w:color w:val="4C4747"/>
          <w:lang w:val="es-ES"/>
        </w:rPr>
        <w:t xml:space="preserve"> </w:t>
      </w:r>
      <w:r w:rsidRPr="00DA43F4">
        <w:rPr>
          <w:rFonts w:eastAsia="Calibri"/>
          <w:b/>
          <w:noProof/>
          <w:color w:val="4C4747"/>
          <w:u w:val="single"/>
          <w:lang w:val="es-ES"/>
        </w:rPr>
        <w:t>Normativo (CIGCN)</w:t>
      </w:r>
    </w:p>
    <w:p w14:paraId="21DF6B28" w14:textId="77777777" w:rsidR="00DA43F4" w:rsidRPr="00DA43F4" w:rsidRDefault="00DA43F4" w:rsidP="00DA43F4">
      <w:pPr>
        <w:spacing w:before="1" w:line="360" w:lineRule="auto"/>
        <w:ind w:right="750"/>
        <w:jc w:val="both"/>
        <w:rPr>
          <w:rFonts w:eastAsia="Calibri"/>
          <w:noProof/>
          <w:color w:val="4C4747"/>
          <w:lang w:val="es-ES"/>
        </w:rPr>
      </w:pPr>
      <w:r w:rsidRPr="00DA43F4">
        <w:rPr>
          <w:rFonts w:eastAsia="Calibri"/>
          <w:noProof/>
          <w:color w:val="4C4747"/>
          <w:lang w:val="es-ES"/>
        </w:rPr>
        <w:t xml:space="preserve">La Comisión de Integridad Gubernamental y Cumplimiento Normativo (CIGCN) ha desarrollado una participación activa en eventos de promoción de la integridad y transparencia. Se involucró activamente en la Cuarta Campaña Dominicana sin Corrupción, la cual se llevó a cabo desde junio hasta octubre. </w:t>
      </w:r>
    </w:p>
    <w:p w14:paraId="33B113AD" w14:textId="77777777" w:rsidR="00DA43F4" w:rsidRPr="00DA43F4" w:rsidRDefault="00DA43F4" w:rsidP="00DA43F4">
      <w:pPr>
        <w:spacing w:before="1" w:line="360" w:lineRule="auto"/>
        <w:ind w:right="750"/>
        <w:jc w:val="both"/>
        <w:rPr>
          <w:rFonts w:eastAsia="Calibri"/>
          <w:noProof/>
          <w:color w:val="4C4747"/>
          <w:lang w:val="es-ES"/>
        </w:rPr>
      </w:pPr>
      <w:r w:rsidRPr="00DA43F4">
        <w:rPr>
          <w:rFonts w:eastAsia="Calibri"/>
          <w:b/>
          <w:noProof/>
          <w:color w:val="4C4747"/>
          <w:lang w:val="es-ES"/>
        </w:rPr>
        <w:t>Objetivo de la Campaña</w:t>
      </w:r>
      <w:r w:rsidRPr="00DA43F4">
        <w:rPr>
          <w:rFonts w:eastAsia="Calibri"/>
          <w:noProof/>
          <w:color w:val="4C4747"/>
          <w:lang w:val="es-ES"/>
        </w:rPr>
        <w:t>: Fomentar una cultura de integridad a través de acciones de sensibilización y promoción de valores, estableciendo una tendencia sostenida el día 9 de cada mes (en conmemoración del Día Internacional contra la</w:t>
      </w:r>
      <w:r>
        <w:rPr>
          <w:rFonts w:eastAsia="Calibri"/>
          <w:noProof/>
          <w:color w:val="4C4747"/>
          <w:lang w:val="es-ES"/>
        </w:rPr>
        <w:t xml:space="preserve"> </w:t>
      </w:r>
      <w:r w:rsidRPr="00DA43F4">
        <w:rPr>
          <w:rFonts w:eastAsia="Calibri"/>
          <w:noProof/>
          <w:color w:val="4C4747"/>
          <w:lang w:val="es-ES"/>
        </w:rPr>
        <w:t xml:space="preserve">Corrupción). </w:t>
      </w:r>
    </w:p>
    <w:p w14:paraId="36823831" w14:textId="6CC89EFF" w:rsidR="00DA43F4" w:rsidRPr="00DA43F4" w:rsidRDefault="00DA43F4" w:rsidP="00DA43F4">
      <w:pPr>
        <w:spacing w:before="1" w:line="360" w:lineRule="auto"/>
        <w:ind w:right="750"/>
        <w:jc w:val="both"/>
        <w:rPr>
          <w:rFonts w:eastAsia="Calibri"/>
          <w:noProof/>
          <w:color w:val="4C4747"/>
          <w:lang w:val="es-ES"/>
        </w:rPr>
      </w:pPr>
      <w:r w:rsidRPr="00DA43F4">
        <w:rPr>
          <w:rFonts w:eastAsia="Calibri"/>
          <w:noProof/>
          <w:color w:val="4C4747"/>
          <w:lang w:val="es-ES"/>
        </w:rPr>
        <w:lastRenderedPageBreak/>
        <w:t>La CIGCN organizó y ejecutó actividades para cumplir con los objetivos de la campaña, destacando la Conferencia-Panel “El valor de la confidencialidad y la debida diligencia en los órganos rectores”, desarrollada en el marco de la Semana de los Valores, la Integridad y la Debida Diligencia. Estos esfuerzos reflejan el firme compromiso de la CIGCN-SIS con la consolidación de una cultura institucional basada en la ética, la transparencia y el cumplimiento normativo, fortaleciendo la confianza pública en las operaciones de la Superintendencia.</w:t>
      </w:r>
    </w:p>
    <w:p w14:paraId="24213AC0" w14:textId="45725B9D" w:rsidR="00DA43F4" w:rsidRPr="00DA43F4" w:rsidRDefault="00DA43F4" w:rsidP="00DA43F4">
      <w:pPr>
        <w:spacing w:before="1" w:line="360" w:lineRule="auto"/>
        <w:ind w:right="750"/>
        <w:jc w:val="both"/>
        <w:rPr>
          <w:rFonts w:eastAsia="Calibri"/>
          <w:b/>
          <w:noProof/>
          <w:color w:val="4C4747"/>
          <w:lang w:val="es-ES"/>
        </w:rPr>
      </w:pPr>
      <w:r w:rsidRPr="00DA43F4">
        <w:rPr>
          <w:rFonts w:eastAsia="Calibri"/>
          <w:b/>
          <w:noProof/>
          <w:color w:val="4C4747"/>
          <w:u w:val="single"/>
          <w:lang w:val="es-ES"/>
        </w:rPr>
        <w:t>Planes de Acción para la Mejora y Ejecución</w:t>
      </w:r>
    </w:p>
    <w:p w14:paraId="4E948FC4" w14:textId="31E1D4A3" w:rsidR="00DA43F4" w:rsidRDefault="00DA43F4" w:rsidP="00DA43F4">
      <w:pPr>
        <w:spacing w:before="1" w:line="360" w:lineRule="auto"/>
        <w:ind w:right="750"/>
        <w:jc w:val="both"/>
        <w:rPr>
          <w:rFonts w:eastAsia="Calibri"/>
          <w:noProof/>
          <w:color w:val="4C4747"/>
          <w:lang w:val="es-ES"/>
        </w:rPr>
      </w:pPr>
      <w:r w:rsidRPr="00DA43F4">
        <w:rPr>
          <w:rFonts w:eastAsia="Calibri"/>
          <w:noProof/>
          <w:color w:val="4C4747"/>
          <w:lang w:val="es-ES"/>
        </w:rPr>
        <w:t xml:space="preserve">Como parte del plan de acción estratégico para el fortalecimiento institucional, se encuentra programada la capacitación continua de los diferentes departamentos en temas de transparencia e integridad, con el objetivo primordial de fortalecer la cultura de integridad institucional. </w:t>
      </w:r>
    </w:p>
    <w:p w14:paraId="3FA73CD1" w14:textId="0DD50255" w:rsidR="00A70DE5" w:rsidRDefault="00A70DE5" w:rsidP="00DA43F4">
      <w:pPr>
        <w:spacing w:before="1" w:line="360" w:lineRule="auto"/>
        <w:ind w:right="750"/>
        <w:jc w:val="both"/>
        <w:rPr>
          <w:rFonts w:eastAsia="Calibri"/>
          <w:noProof/>
          <w:color w:val="4C4747"/>
          <w:lang w:val="es-ES"/>
        </w:rPr>
      </w:pPr>
    </w:p>
    <w:p w14:paraId="3FC739A4" w14:textId="77777777" w:rsidR="00A70DE5" w:rsidRPr="00DA43F4" w:rsidRDefault="00A70DE5" w:rsidP="00DA43F4">
      <w:pPr>
        <w:spacing w:before="1" w:line="360" w:lineRule="auto"/>
        <w:ind w:right="750"/>
        <w:jc w:val="both"/>
        <w:rPr>
          <w:rFonts w:eastAsia="Calibri"/>
          <w:noProof/>
          <w:color w:val="4C4747"/>
          <w:lang w:val="es-ES"/>
        </w:rPr>
      </w:pPr>
    </w:p>
    <w:p w14:paraId="1ED36A38" w14:textId="77777777" w:rsidR="00DA43F4" w:rsidRPr="00DA43F4" w:rsidRDefault="00DA43F4" w:rsidP="00DA43F4">
      <w:pPr>
        <w:spacing w:before="1" w:line="360" w:lineRule="auto"/>
        <w:ind w:right="750"/>
        <w:jc w:val="both"/>
        <w:rPr>
          <w:rFonts w:eastAsia="Calibri"/>
          <w:noProof/>
          <w:color w:val="4C4747"/>
          <w:lang w:val="es-ES"/>
        </w:rPr>
      </w:pPr>
    </w:p>
    <w:p w14:paraId="38E6BE77" w14:textId="305F12B3" w:rsidR="00DA43F4" w:rsidRDefault="00DA43F4" w:rsidP="00DA43F4">
      <w:pPr>
        <w:spacing w:line="360" w:lineRule="auto"/>
        <w:jc w:val="both"/>
        <w:rPr>
          <w:rFonts w:eastAsia="Calibri"/>
          <w:noProof/>
          <w:color w:val="4C4747"/>
          <w:lang w:val="es-ES"/>
        </w:rPr>
      </w:pPr>
    </w:p>
    <w:p w14:paraId="4A5D2422" w14:textId="20D809F5" w:rsidR="00DA43F4" w:rsidRDefault="00DA43F4" w:rsidP="00DA43F4">
      <w:pPr>
        <w:spacing w:line="360" w:lineRule="auto"/>
        <w:jc w:val="both"/>
        <w:rPr>
          <w:rFonts w:eastAsia="Calibri"/>
          <w:noProof/>
          <w:color w:val="4C4747"/>
          <w:lang w:val="es-ES"/>
        </w:rPr>
      </w:pPr>
    </w:p>
    <w:p w14:paraId="1B02C895" w14:textId="54D5C808" w:rsidR="00A70DE5" w:rsidRDefault="00A70DE5" w:rsidP="00DA43F4">
      <w:pPr>
        <w:spacing w:line="360" w:lineRule="auto"/>
        <w:jc w:val="both"/>
        <w:rPr>
          <w:rFonts w:eastAsia="Calibri"/>
          <w:noProof/>
          <w:color w:val="4C4747"/>
          <w:lang w:val="es-ES"/>
        </w:rPr>
      </w:pPr>
    </w:p>
    <w:p w14:paraId="2867B4D2" w14:textId="2D90B4EE" w:rsidR="00A70DE5" w:rsidRDefault="00A70DE5" w:rsidP="00DA43F4">
      <w:pPr>
        <w:spacing w:line="360" w:lineRule="auto"/>
        <w:jc w:val="both"/>
        <w:rPr>
          <w:rFonts w:eastAsia="Calibri"/>
          <w:noProof/>
          <w:color w:val="4C4747"/>
          <w:lang w:val="es-ES"/>
        </w:rPr>
      </w:pPr>
    </w:p>
    <w:p w14:paraId="2379E3BB" w14:textId="16224B89" w:rsidR="00A70DE5" w:rsidRDefault="00A70DE5" w:rsidP="00DA43F4">
      <w:pPr>
        <w:spacing w:line="360" w:lineRule="auto"/>
        <w:jc w:val="both"/>
        <w:rPr>
          <w:rFonts w:eastAsia="Calibri"/>
          <w:noProof/>
          <w:color w:val="4C4747"/>
          <w:lang w:val="es-ES"/>
        </w:rPr>
      </w:pPr>
    </w:p>
    <w:p w14:paraId="3CB88F00" w14:textId="0F52D0BD" w:rsidR="00A70DE5" w:rsidRDefault="00A70DE5" w:rsidP="00DA43F4">
      <w:pPr>
        <w:spacing w:line="360" w:lineRule="auto"/>
        <w:jc w:val="both"/>
        <w:rPr>
          <w:rFonts w:eastAsia="Calibri"/>
          <w:noProof/>
          <w:color w:val="4C4747"/>
          <w:lang w:val="es-ES"/>
        </w:rPr>
      </w:pPr>
    </w:p>
    <w:p w14:paraId="6798D993" w14:textId="77777777" w:rsidR="0035429F" w:rsidRPr="00DA43F4" w:rsidRDefault="0035429F" w:rsidP="0035429F">
      <w:pPr>
        <w:spacing w:line="360" w:lineRule="auto"/>
        <w:jc w:val="both"/>
        <w:rPr>
          <w:rFonts w:eastAsia="Calibri"/>
          <w:noProof/>
          <w:color w:val="4C4747"/>
          <w:lang w:val="es-ES"/>
        </w:rPr>
      </w:pPr>
    </w:p>
    <w:p w14:paraId="06A827E3" w14:textId="09626479" w:rsidR="00485B71" w:rsidRPr="0051332F" w:rsidRDefault="00485B71" w:rsidP="00A70DE5">
      <w:pPr>
        <w:pStyle w:val="Ttulo1"/>
        <w:numPr>
          <w:ilvl w:val="0"/>
          <w:numId w:val="46"/>
        </w:numPr>
        <w:rPr>
          <w:rFonts w:cs="Times New Roman"/>
          <w:color w:val="4C4747"/>
          <w:lang w:val="es-DO"/>
        </w:rPr>
      </w:pPr>
      <w:bookmarkStart w:id="57" w:name="_Toc216875883"/>
      <w:r w:rsidRPr="0051332F">
        <w:rPr>
          <w:rFonts w:cs="Times New Roman"/>
          <w:color w:val="4C4747"/>
          <w:lang w:val="es-DO"/>
        </w:rPr>
        <w:t>PROYECCIONES AL PRÓXIMO AÑO</w:t>
      </w:r>
      <w:bookmarkEnd w:id="57"/>
    </w:p>
    <w:p w14:paraId="7C0ED659" w14:textId="77777777" w:rsidR="00485B71" w:rsidRPr="0051332F"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51332F" w:rsidRDefault="00485B71" w:rsidP="00485B71">
      <w:pPr>
        <w:jc w:val="center"/>
        <w:rPr>
          <w:rFonts w:eastAsia="Calibri"/>
          <w:color w:val="4C4747"/>
          <w:szCs w:val="36"/>
          <w:lang w:val="es-DO"/>
        </w:rPr>
      </w:pPr>
      <w:r w:rsidRPr="0051332F">
        <w:rPr>
          <w:rFonts w:eastAsia="Calibri"/>
          <w:color w:val="4C4747"/>
          <w:szCs w:val="36"/>
          <w:lang w:val="es-DO"/>
        </w:rPr>
        <w:t xml:space="preserve">Memoria </w:t>
      </w:r>
      <w:r w:rsidR="009547F0" w:rsidRPr="0051332F">
        <w:rPr>
          <w:rFonts w:eastAsia="Calibri"/>
          <w:color w:val="4C4747"/>
          <w:szCs w:val="36"/>
          <w:lang w:val="es-DO"/>
        </w:rPr>
        <w:t>I</w:t>
      </w:r>
      <w:r w:rsidRPr="0051332F">
        <w:rPr>
          <w:rFonts w:eastAsia="Calibri"/>
          <w:color w:val="4C4747"/>
          <w:szCs w:val="36"/>
          <w:lang w:val="es-DO"/>
        </w:rPr>
        <w:t xml:space="preserve">nstitucional </w:t>
      </w:r>
      <w:r w:rsidR="007471AC" w:rsidRPr="0051332F">
        <w:rPr>
          <w:rFonts w:eastAsia="Calibri"/>
          <w:color w:val="4C4747"/>
          <w:szCs w:val="36"/>
          <w:lang w:val="es-DO"/>
        </w:rPr>
        <w:t>202</w:t>
      </w:r>
      <w:r w:rsidR="0051332F">
        <w:rPr>
          <w:rFonts w:eastAsia="Calibri"/>
          <w:color w:val="4C4747"/>
          <w:szCs w:val="36"/>
          <w:lang w:val="es-DO"/>
        </w:rPr>
        <w:t>5</w:t>
      </w:r>
    </w:p>
    <w:p w14:paraId="63AA2B9D" w14:textId="77777777" w:rsidR="00485B71" w:rsidRPr="0051332F" w:rsidRDefault="00485B71" w:rsidP="00485B71">
      <w:pPr>
        <w:spacing w:line="360" w:lineRule="auto"/>
        <w:jc w:val="both"/>
        <w:rPr>
          <w:rFonts w:eastAsia="Calibri"/>
          <w:color w:val="4C4747"/>
          <w:lang w:val="es-DO"/>
        </w:rPr>
      </w:pPr>
    </w:p>
    <w:p w14:paraId="4FE46DA7" w14:textId="273EB8CB"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Para el año 2026, la Superintendencia de Seguros operará bajo un hito institucional trascendental: su reconocimiento formal, por parte como una Institución Financiera No Monetaria, lo que implica un cambio en el clasificador presupuestario y una transformación sustantiva en los procesos administrativos, financieros y de gestión institucional.</w:t>
      </w:r>
    </w:p>
    <w:p w14:paraId="4790D1EF" w14:textId="2C43F9D9"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 xml:space="preserve">Este nuevo estatus institucional permitirá fortalecer los mecanismos de planificación financiera, ejecución presupuestaria, control y </w:t>
      </w:r>
      <w:r w:rsidRPr="00EF6A8E">
        <w:rPr>
          <w:rFonts w:eastAsia="Calibri"/>
          <w:noProof/>
          <w:color w:val="4C4747"/>
          <w:lang w:val="es-ES"/>
        </w:rPr>
        <w:lastRenderedPageBreak/>
        <w:t>rendición de cuentas, así como adecuar los procedimientos internos a un marco más coherente con la naturaleza técnica y regulatoria de la institución.</w:t>
      </w:r>
    </w:p>
    <w:p w14:paraId="40D751FF" w14:textId="2D13F91F"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Durante el año 2026, la SIS continuará ejecutando sus procesos conforme a las prioridades estratégicas establecidas y alineadas al nuevo marco presupuestario, garantizando la continuidad de los servicios, la estabilidad del sector asegurador y la protección efectiva de los usuarios.</w:t>
      </w:r>
    </w:p>
    <w:p w14:paraId="5FFE81F5" w14:textId="46D4B2DA"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En el ámbito normativo, se dará seguimiento al proceso de reforma de la Ley No. 146-02 sobre Seguros y Fianzas, impulsando las gestiones necesarias para la aprobación del nuevo marco legal que fortalecerá la supervisión del sector, la gobernanza institucional y la protección de los usuarios.</w:t>
      </w:r>
    </w:p>
    <w:p w14:paraId="5B5C809B" w14:textId="68DE37CC"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En cuanto a la función supervisora, la SIS avanzará en la implementación progresiva del modelo de Supervisión Basada en Riesgos, conforme a la hoja de ruta derivada de la asistencia técnica del Toronto Centre y con el apoyo de la Superintendencia de Bancos, priorizando el fortalecimiento de capacidades técnicas, la adecuación normativa y metodológica, así como el desarrollo de herramientas de análisis de riesgos.</w:t>
      </w:r>
    </w:p>
    <w:p w14:paraId="57B0CE33" w14:textId="1E5E9201"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lastRenderedPageBreak/>
        <w:t>En el plano estratégico, se continuará implementando el Plan Estratégico Institucional (PEI) 2025–2028, elaborado con el acompañamiento del Programa de las Naciones Unidas para el Desarrollo (PNUD), integrando la nueva filosofía institucional, consolidando los mecanismos de seguimiento y evaluación y alineando los planes operativos anuales a los ejes estratégicos definidos.</w:t>
      </w:r>
    </w:p>
    <w:p w14:paraId="137585CD" w14:textId="300F8ED0"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En materia de modernización institucional, se fortalecerá la infraestructura tecnológica mediante el desarrollo y optimización de los sistemas de información, el avance en la automatización de procesos clave, el reforzamiento de la ciberseguridad institucional y la implementación de soluciones orientadas a la interoperabilidad, en coherencia con el proyecto “La Inteligencia de Datos en el Sector Asegurador: el Camino hacia la Burocracia Cero”.</w:t>
      </w:r>
    </w:p>
    <w:p w14:paraId="33A56D0D" w14:textId="5FE68525"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Asimismo, se continuará la mejora de los procesos internos de gestión administrativa, financiera y operativa, fortaleciendo el control interno, la gestión documental, los procedimientos de contratación, contabilidad y presupuesto, en coherencia con el nuevo clasificador presupuestario y el rol institucional como entidad financiera no monetaria.</w:t>
      </w:r>
    </w:p>
    <w:p w14:paraId="211AEE86" w14:textId="298ED680"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lastRenderedPageBreak/>
        <w:t>En el ámbito del talento humano, se impulsará un programa integral de fortalecimiento de capacidades, con énfasis en supervisión, regulación, análisis financiero, tecnología y gestión pública, alineado al nuevo modelo institucional y orientado a elevar los niveles de profesionalización del personal.</w:t>
      </w:r>
    </w:p>
    <w:p w14:paraId="489FB282" w14:textId="67C7C237"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De igual forma, se continuará fortaleciendo la supervisión en materia de Prevención de Lavado de Activos y Financiamiento del Terrorismo (PLA/FT), tanto en los sujetos obligados como a nivel interno, incorporando herramientas de monitoreo, capacitación especializada y fortalecimiento del cumplimiento normativo.</w:t>
      </w:r>
    </w:p>
    <w:p w14:paraId="7E2D2A57" w14:textId="7572B063"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En atención a los usuarios, se seguirá robusteciendo el Centro de Atención al Usuario mediante la ampliación de servicios digitales, la estandarización de protocolos y la mejora continua de los canales de comunicación, garantizando una relación más cercana, ágil y transparente con la ciudadanía.</w:t>
      </w:r>
    </w:p>
    <w:p w14:paraId="1224024B" w14:textId="4BE5C232" w:rsidR="00EF6A8E" w:rsidRPr="00EF6A8E" w:rsidRDefault="00EF6A8E" w:rsidP="00EF6A8E">
      <w:pPr>
        <w:spacing w:line="360" w:lineRule="auto"/>
        <w:jc w:val="both"/>
        <w:rPr>
          <w:rFonts w:eastAsia="Calibri"/>
          <w:noProof/>
          <w:color w:val="4C4747"/>
          <w:lang w:val="es-ES"/>
        </w:rPr>
      </w:pPr>
      <w:r w:rsidRPr="00EF6A8E">
        <w:rPr>
          <w:rFonts w:eastAsia="Calibri"/>
          <w:noProof/>
          <w:color w:val="4C4747"/>
          <w:lang w:val="es-ES"/>
        </w:rPr>
        <w:t>Finalmente, la SIS continuará trabajando en el fortalecimiento de la transparencia institucional y la rendición de cuentas, integrando este enfoque como eje transversal de la gestión, en coherencia con los principios de gobierno abierto y mejora regulatoria.</w:t>
      </w:r>
    </w:p>
    <w:p w14:paraId="14C870E3" w14:textId="44B2AF6F" w:rsidR="00841CEC" w:rsidRPr="00A70DE5" w:rsidRDefault="00EF6A8E" w:rsidP="0035429F">
      <w:pPr>
        <w:spacing w:line="360" w:lineRule="auto"/>
        <w:jc w:val="both"/>
        <w:rPr>
          <w:rFonts w:eastAsia="Calibri"/>
          <w:noProof/>
          <w:color w:val="4C4747"/>
          <w:lang w:val="es-ES"/>
        </w:rPr>
      </w:pPr>
      <w:r w:rsidRPr="00EF6A8E">
        <w:rPr>
          <w:rFonts w:eastAsia="Calibri"/>
          <w:noProof/>
          <w:color w:val="4C4747"/>
          <w:lang w:val="es-ES"/>
        </w:rPr>
        <w:lastRenderedPageBreak/>
        <w:t>En síntesis, el año 2026 estará marcado por la consolidación de la transformación institucional de la Superintendencia de Seguros, orientada a una gestión moderna, eficiente y alineada con estándares internacionales, garantizando un sector asegurador más sólido, confiable y resiliente.</w:t>
      </w:r>
    </w:p>
    <w:p w14:paraId="26488167" w14:textId="702EA4A1" w:rsidR="00841CEC" w:rsidRPr="00A70DE5" w:rsidRDefault="00841CEC" w:rsidP="00A5394C">
      <w:pPr>
        <w:rPr>
          <w:rFonts w:eastAsia="Calibri"/>
          <w:noProof/>
          <w:color w:val="4C4747"/>
          <w:lang w:val="es-ES"/>
        </w:rPr>
      </w:pPr>
    </w:p>
    <w:p w14:paraId="10DE8845" w14:textId="5187691F" w:rsidR="00485B71" w:rsidRPr="00A70DE5" w:rsidRDefault="009870D7" w:rsidP="00485B71">
      <w:pPr>
        <w:pStyle w:val="Ttulo1"/>
        <w:rPr>
          <w:rFonts w:cs="Times New Roman"/>
          <w:color w:val="4C4747"/>
          <w:lang w:val="es-ES"/>
        </w:rPr>
      </w:pPr>
      <w:bookmarkStart w:id="58" w:name="_Toc216875884"/>
      <w:r w:rsidRPr="00A70DE5">
        <w:rPr>
          <w:rFonts w:cs="Times New Roman"/>
          <w:color w:val="4C4747"/>
          <w:lang w:val="es-ES"/>
        </w:rPr>
        <w:t>A</w:t>
      </w:r>
      <w:r w:rsidR="005D01D7" w:rsidRPr="00A70DE5">
        <w:rPr>
          <w:rFonts w:cs="Times New Roman"/>
          <w:color w:val="4C4747"/>
          <w:lang w:val="es-ES"/>
        </w:rPr>
        <w:t>N</w:t>
      </w:r>
      <w:r w:rsidRPr="00A70DE5">
        <w:rPr>
          <w:rFonts w:cs="Times New Roman"/>
          <w:color w:val="4C4747"/>
          <w:lang w:val="es-ES"/>
        </w:rPr>
        <w:t>EXOS</w:t>
      </w:r>
      <w:bookmarkEnd w:id="58"/>
    </w:p>
    <w:p w14:paraId="441E6667" w14:textId="77777777" w:rsidR="00485B71" w:rsidRPr="00A70DE5" w:rsidRDefault="00485B71" w:rsidP="00485B71">
      <w:pPr>
        <w:jc w:val="both"/>
        <w:rPr>
          <w:rFonts w:eastAsia="Calibri"/>
          <w:color w:val="4C4747"/>
          <w:sz w:val="18"/>
          <w:lang w:val="es-ES"/>
        </w:rPr>
      </w:pPr>
      <w:r w:rsidRPr="0058331C">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13F4D6DB" w:rsidR="00485B71" w:rsidRPr="00A70DE5" w:rsidRDefault="00485B71" w:rsidP="00485B71">
      <w:pPr>
        <w:jc w:val="center"/>
        <w:rPr>
          <w:rFonts w:eastAsia="Calibri"/>
          <w:color w:val="4C4747"/>
          <w:szCs w:val="36"/>
          <w:lang w:val="es-ES"/>
        </w:rPr>
      </w:pPr>
      <w:r w:rsidRPr="00A70DE5">
        <w:rPr>
          <w:rFonts w:eastAsia="Calibri"/>
          <w:color w:val="4C4747"/>
          <w:szCs w:val="36"/>
          <w:lang w:val="es-ES"/>
        </w:rPr>
        <w:t xml:space="preserve">Memoria </w:t>
      </w:r>
      <w:r w:rsidR="009547F0" w:rsidRPr="00A70DE5">
        <w:rPr>
          <w:rFonts w:eastAsia="Calibri"/>
          <w:color w:val="4C4747"/>
          <w:szCs w:val="36"/>
          <w:lang w:val="es-ES"/>
        </w:rPr>
        <w:t>I</w:t>
      </w:r>
      <w:r w:rsidRPr="00A70DE5">
        <w:rPr>
          <w:rFonts w:eastAsia="Calibri"/>
          <w:color w:val="4C4747"/>
          <w:szCs w:val="36"/>
          <w:lang w:val="es-ES"/>
        </w:rPr>
        <w:t xml:space="preserve">nstitucional </w:t>
      </w:r>
      <w:r w:rsidR="007471AC" w:rsidRPr="00A70DE5">
        <w:rPr>
          <w:rFonts w:eastAsia="Calibri"/>
          <w:color w:val="4C4747"/>
          <w:szCs w:val="36"/>
          <w:lang w:val="es-ES"/>
        </w:rPr>
        <w:t>202</w:t>
      </w:r>
      <w:r w:rsidR="0051332F" w:rsidRPr="00A70DE5">
        <w:rPr>
          <w:rFonts w:eastAsia="Calibri"/>
          <w:color w:val="4C4747"/>
          <w:szCs w:val="36"/>
          <w:lang w:val="es-ES"/>
        </w:rPr>
        <w:t>5</w:t>
      </w:r>
    </w:p>
    <w:p w14:paraId="7C326596" w14:textId="174695A6" w:rsidR="00A70DE5" w:rsidRDefault="00A70DE5" w:rsidP="00A70DE5">
      <w:pPr>
        <w:pStyle w:val="Ttulo1"/>
        <w:numPr>
          <w:ilvl w:val="0"/>
          <w:numId w:val="48"/>
        </w:numPr>
        <w:spacing w:line="240" w:lineRule="auto"/>
        <w:jc w:val="left"/>
        <w:rPr>
          <w:noProof/>
          <w:color w:val="595959" w:themeColor="text1" w:themeTint="A6"/>
          <w:sz w:val="24"/>
          <w:szCs w:val="26"/>
          <w:lang w:val="es-ES"/>
        </w:rPr>
      </w:pPr>
      <w:bookmarkStart w:id="59" w:name="_Toc216875885"/>
      <w:r w:rsidRPr="005310B7">
        <w:rPr>
          <w:noProof/>
          <w:color w:val="595959" w:themeColor="text1" w:themeTint="A6"/>
          <w:sz w:val="24"/>
          <w:szCs w:val="26"/>
          <w:lang w:val="es-ES"/>
        </w:rPr>
        <w:t>Matriz de Logros Relevantes</w:t>
      </w:r>
      <w:bookmarkEnd w:id="59"/>
    </w:p>
    <w:p w14:paraId="6033DAFA" w14:textId="77777777" w:rsidR="001912C2" w:rsidRPr="000904E0" w:rsidRDefault="001912C2" w:rsidP="001912C2">
      <w:pPr>
        <w:spacing w:after="0"/>
        <w:rPr>
          <w:color w:val="4C4747"/>
          <w:lang w:val="es-DO"/>
        </w:rPr>
      </w:pPr>
    </w:p>
    <w:tbl>
      <w:tblPr>
        <w:tblW w:w="5104"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70" w:type="dxa"/>
          <w:right w:w="70" w:type="dxa"/>
        </w:tblCellMar>
        <w:tblLook w:val="04A0" w:firstRow="1" w:lastRow="0" w:firstColumn="1" w:lastColumn="0" w:noHBand="0" w:noVBand="1"/>
      </w:tblPr>
      <w:tblGrid>
        <w:gridCol w:w="1610"/>
        <w:gridCol w:w="500"/>
        <w:gridCol w:w="500"/>
        <w:gridCol w:w="500"/>
        <w:gridCol w:w="500"/>
        <w:gridCol w:w="500"/>
        <w:gridCol w:w="500"/>
        <w:gridCol w:w="500"/>
        <w:gridCol w:w="500"/>
        <w:gridCol w:w="500"/>
        <w:gridCol w:w="500"/>
        <w:gridCol w:w="500"/>
        <w:gridCol w:w="500"/>
        <w:gridCol w:w="956"/>
      </w:tblGrid>
      <w:tr w:rsidR="001912C2" w:rsidRPr="000936C0" w14:paraId="6BA7970C" w14:textId="77777777" w:rsidTr="001912C2">
        <w:trPr>
          <w:trHeight w:val="336"/>
        </w:trPr>
        <w:tc>
          <w:tcPr>
            <w:tcW w:w="5000" w:type="pct"/>
            <w:gridSpan w:val="14"/>
            <w:shd w:val="clear" w:color="auto" w:fill="002060"/>
            <w:vAlign w:val="center"/>
          </w:tcPr>
          <w:p w14:paraId="4064874E" w14:textId="77777777" w:rsidR="001912C2" w:rsidRPr="000904E0" w:rsidRDefault="001912C2" w:rsidP="00A04FF5">
            <w:pPr>
              <w:spacing w:after="0" w:line="240" w:lineRule="auto"/>
              <w:jc w:val="center"/>
              <w:rPr>
                <w:rFonts w:eastAsia="Times New Roman"/>
                <w:b/>
                <w:bCs/>
                <w:color w:val="4C4747"/>
                <w:spacing w:val="0"/>
                <w:sz w:val="18"/>
                <w:szCs w:val="16"/>
                <w:lang w:val="es-DO" w:eastAsia="es-DO"/>
              </w:rPr>
            </w:pPr>
            <w:r w:rsidRPr="00095188">
              <w:rPr>
                <w:rFonts w:eastAsia="Times New Roman"/>
                <w:b/>
                <w:bCs/>
                <w:color w:val="FFFFFF" w:themeColor="background1"/>
                <w:spacing w:val="0"/>
                <w:sz w:val="18"/>
                <w:szCs w:val="16"/>
                <w:lang w:val="es-DO" w:eastAsia="es-DO"/>
              </w:rPr>
              <w:t>MATRIZ LOGROS RELEVANTES – DATOS CUANTITATIVOS.</w:t>
            </w:r>
          </w:p>
        </w:tc>
      </w:tr>
      <w:tr w:rsidR="001912C2" w:rsidRPr="000904E0" w14:paraId="386D5CC3" w14:textId="77777777" w:rsidTr="001912C2">
        <w:trPr>
          <w:trHeight w:val="336"/>
        </w:trPr>
        <w:tc>
          <w:tcPr>
            <w:tcW w:w="924" w:type="pct"/>
            <w:shd w:val="clear" w:color="000000" w:fill="FFFFFF"/>
            <w:noWrap/>
            <w:vAlign w:val="center"/>
            <w:hideMark/>
          </w:tcPr>
          <w:p w14:paraId="175A8DCA"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Producto / Servicio</w:t>
            </w:r>
          </w:p>
        </w:tc>
        <w:tc>
          <w:tcPr>
            <w:tcW w:w="293" w:type="pct"/>
            <w:shd w:val="clear" w:color="000000" w:fill="FFFFFF"/>
            <w:noWrap/>
            <w:vAlign w:val="center"/>
            <w:hideMark/>
          </w:tcPr>
          <w:p w14:paraId="07FE3D8D"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Ene</w:t>
            </w:r>
          </w:p>
        </w:tc>
        <w:tc>
          <w:tcPr>
            <w:tcW w:w="293" w:type="pct"/>
            <w:shd w:val="clear" w:color="000000" w:fill="FFFFFF"/>
            <w:noWrap/>
            <w:vAlign w:val="center"/>
            <w:hideMark/>
          </w:tcPr>
          <w:p w14:paraId="3F8C026B"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Feb</w:t>
            </w:r>
          </w:p>
        </w:tc>
        <w:tc>
          <w:tcPr>
            <w:tcW w:w="293" w:type="pct"/>
            <w:shd w:val="clear" w:color="000000" w:fill="FFFFFF"/>
            <w:noWrap/>
            <w:vAlign w:val="center"/>
            <w:hideMark/>
          </w:tcPr>
          <w:p w14:paraId="7945A58C"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Mar</w:t>
            </w:r>
          </w:p>
        </w:tc>
        <w:tc>
          <w:tcPr>
            <w:tcW w:w="293" w:type="pct"/>
            <w:shd w:val="clear" w:color="000000" w:fill="FFFFFF"/>
            <w:noWrap/>
            <w:vAlign w:val="center"/>
            <w:hideMark/>
          </w:tcPr>
          <w:p w14:paraId="7FECF486"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Abr</w:t>
            </w:r>
          </w:p>
        </w:tc>
        <w:tc>
          <w:tcPr>
            <w:tcW w:w="293" w:type="pct"/>
            <w:shd w:val="clear" w:color="000000" w:fill="FFFFFF"/>
            <w:noWrap/>
            <w:vAlign w:val="center"/>
            <w:hideMark/>
          </w:tcPr>
          <w:p w14:paraId="406DC4DF"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May</w:t>
            </w:r>
          </w:p>
        </w:tc>
        <w:tc>
          <w:tcPr>
            <w:tcW w:w="293" w:type="pct"/>
            <w:shd w:val="clear" w:color="000000" w:fill="FFFFFF"/>
            <w:noWrap/>
            <w:vAlign w:val="center"/>
            <w:hideMark/>
          </w:tcPr>
          <w:p w14:paraId="4E267328"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Jun</w:t>
            </w:r>
          </w:p>
        </w:tc>
        <w:tc>
          <w:tcPr>
            <w:tcW w:w="293" w:type="pct"/>
            <w:shd w:val="clear" w:color="000000" w:fill="FFFFFF"/>
            <w:noWrap/>
            <w:vAlign w:val="center"/>
            <w:hideMark/>
          </w:tcPr>
          <w:p w14:paraId="341C9EB2"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Jul</w:t>
            </w:r>
          </w:p>
        </w:tc>
        <w:tc>
          <w:tcPr>
            <w:tcW w:w="293" w:type="pct"/>
            <w:shd w:val="clear" w:color="000000" w:fill="FFFFFF"/>
            <w:noWrap/>
            <w:vAlign w:val="center"/>
            <w:hideMark/>
          </w:tcPr>
          <w:p w14:paraId="4900F259" w14:textId="77777777" w:rsidR="001912C2" w:rsidRPr="00BE66C1" w:rsidRDefault="001912C2" w:rsidP="00A04FF5">
            <w:pPr>
              <w:spacing w:after="0" w:line="240" w:lineRule="auto"/>
              <w:jc w:val="center"/>
              <w:rPr>
                <w:rFonts w:eastAsia="Times New Roman"/>
                <w:b/>
                <w:bCs/>
                <w:spacing w:val="0"/>
                <w:sz w:val="18"/>
                <w:szCs w:val="16"/>
                <w:lang w:val="es-DO" w:eastAsia="es-DO"/>
              </w:rPr>
            </w:pPr>
            <w:proofErr w:type="spellStart"/>
            <w:r w:rsidRPr="00BE66C1">
              <w:rPr>
                <w:rFonts w:eastAsia="Times New Roman"/>
                <w:b/>
                <w:bCs/>
                <w:spacing w:val="0"/>
                <w:sz w:val="18"/>
                <w:szCs w:val="16"/>
                <w:lang w:val="es-DO" w:eastAsia="es-DO"/>
              </w:rPr>
              <w:t>Ago</w:t>
            </w:r>
            <w:proofErr w:type="spellEnd"/>
          </w:p>
        </w:tc>
        <w:tc>
          <w:tcPr>
            <w:tcW w:w="293" w:type="pct"/>
            <w:shd w:val="clear" w:color="000000" w:fill="FFFFFF"/>
            <w:noWrap/>
            <w:vAlign w:val="center"/>
            <w:hideMark/>
          </w:tcPr>
          <w:p w14:paraId="445E1873" w14:textId="77777777" w:rsidR="001912C2" w:rsidRPr="00BE66C1" w:rsidRDefault="001912C2" w:rsidP="00A04FF5">
            <w:pPr>
              <w:spacing w:after="0" w:line="240" w:lineRule="auto"/>
              <w:jc w:val="center"/>
              <w:rPr>
                <w:rFonts w:eastAsia="Times New Roman"/>
                <w:b/>
                <w:bCs/>
                <w:spacing w:val="0"/>
                <w:sz w:val="18"/>
                <w:szCs w:val="16"/>
                <w:lang w:val="es-DO" w:eastAsia="es-DO"/>
              </w:rPr>
            </w:pPr>
            <w:proofErr w:type="spellStart"/>
            <w:r w:rsidRPr="00BE66C1">
              <w:rPr>
                <w:rFonts w:eastAsia="Times New Roman"/>
                <w:b/>
                <w:bCs/>
                <w:spacing w:val="0"/>
                <w:sz w:val="18"/>
                <w:szCs w:val="16"/>
                <w:lang w:val="es-DO" w:eastAsia="es-DO"/>
              </w:rPr>
              <w:t>Sep</w:t>
            </w:r>
            <w:proofErr w:type="spellEnd"/>
          </w:p>
        </w:tc>
        <w:tc>
          <w:tcPr>
            <w:tcW w:w="293" w:type="pct"/>
            <w:shd w:val="clear" w:color="000000" w:fill="FFFFFF"/>
            <w:noWrap/>
            <w:vAlign w:val="center"/>
            <w:hideMark/>
          </w:tcPr>
          <w:p w14:paraId="68DCBEA1"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Oct</w:t>
            </w:r>
          </w:p>
        </w:tc>
        <w:tc>
          <w:tcPr>
            <w:tcW w:w="293" w:type="pct"/>
            <w:shd w:val="clear" w:color="000000" w:fill="FFFFFF"/>
            <w:noWrap/>
            <w:vAlign w:val="center"/>
            <w:hideMark/>
          </w:tcPr>
          <w:p w14:paraId="778A11EF" w14:textId="77777777" w:rsidR="001912C2" w:rsidRPr="00BE66C1" w:rsidRDefault="001912C2" w:rsidP="00A04FF5">
            <w:pPr>
              <w:spacing w:after="0" w:line="240" w:lineRule="auto"/>
              <w:jc w:val="center"/>
              <w:rPr>
                <w:rFonts w:eastAsia="Times New Roman"/>
                <w:b/>
                <w:bCs/>
                <w:spacing w:val="0"/>
                <w:sz w:val="18"/>
                <w:szCs w:val="16"/>
                <w:lang w:val="es-DO" w:eastAsia="es-DO"/>
              </w:rPr>
            </w:pPr>
            <w:r w:rsidRPr="00BE66C1">
              <w:rPr>
                <w:rFonts w:eastAsia="Times New Roman"/>
                <w:b/>
                <w:bCs/>
                <w:spacing w:val="0"/>
                <w:sz w:val="18"/>
                <w:szCs w:val="16"/>
                <w:lang w:val="es-DO" w:eastAsia="es-DO"/>
              </w:rPr>
              <w:t>Nov</w:t>
            </w:r>
          </w:p>
        </w:tc>
        <w:tc>
          <w:tcPr>
            <w:tcW w:w="293" w:type="pct"/>
            <w:shd w:val="clear" w:color="000000" w:fill="FFFFFF"/>
            <w:vAlign w:val="center"/>
          </w:tcPr>
          <w:p w14:paraId="06DEE9CD" w14:textId="77777777" w:rsidR="001912C2" w:rsidRPr="00BE66C1" w:rsidRDefault="001912C2" w:rsidP="00A04FF5">
            <w:pPr>
              <w:spacing w:after="0" w:line="240" w:lineRule="auto"/>
              <w:jc w:val="center"/>
              <w:rPr>
                <w:rFonts w:eastAsia="Times New Roman"/>
                <w:b/>
                <w:spacing w:val="0"/>
                <w:sz w:val="18"/>
                <w:szCs w:val="16"/>
                <w:lang w:val="es-DO" w:eastAsia="es-DO"/>
              </w:rPr>
            </w:pPr>
            <w:r>
              <w:rPr>
                <w:rFonts w:eastAsia="Times New Roman"/>
                <w:b/>
                <w:spacing w:val="0"/>
                <w:sz w:val="18"/>
                <w:szCs w:val="16"/>
                <w:lang w:val="es-DO" w:eastAsia="es-DO"/>
              </w:rPr>
              <w:t>Dic</w:t>
            </w:r>
          </w:p>
        </w:tc>
        <w:tc>
          <w:tcPr>
            <w:tcW w:w="553" w:type="pct"/>
            <w:shd w:val="clear" w:color="000000" w:fill="FFFFFF"/>
            <w:noWrap/>
            <w:vAlign w:val="center"/>
          </w:tcPr>
          <w:p w14:paraId="30BC0735" w14:textId="77777777" w:rsidR="001912C2" w:rsidRPr="00BE66C1" w:rsidRDefault="001912C2" w:rsidP="00A04FF5">
            <w:pPr>
              <w:spacing w:after="0" w:line="240" w:lineRule="auto"/>
              <w:jc w:val="center"/>
              <w:rPr>
                <w:rFonts w:eastAsia="Times New Roman"/>
                <w:b/>
                <w:spacing w:val="0"/>
                <w:sz w:val="18"/>
                <w:szCs w:val="16"/>
                <w:lang w:val="es-DO" w:eastAsia="es-DO"/>
              </w:rPr>
            </w:pPr>
            <w:r w:rsidRPr="00BE66C1">
              <w:rPr>
                <w:rFonts w:eastAsia="Times New Roman"/>
                <w:b/>
                <w:spacing w:val="0"/>
                <w:sz w:val="18"/>
                <w:szCs w:val="16"/>
                <w:lang w:val="es-DO" w:eastAsia="es-DO"/>
              </w:rPr>
              <w:t>Total 202</w:t>
            </w:r>
            <w:r>
              <w:rPr>
                <w:rFonts w:eastAsia="Times New Roman"/>
                <w:b/>
                <w:spacing w:val="0"/>
                <w:sz w:val="18"/>
                <w:szCs w:val="16"/>
                <w:lang w:val="es-DO" w:eastAsia="es-DO"/>
              </w:rPr>
              <w:t>5</w:t>
            </w:r>
          </w:p>
        </w:tc>
      </w:tr>
      <w:tr w:rsidR="001912C2" w:rsidRPr="000936C0" w14:paraId="669FADFC" w14:textId="77777777" w:rsidTr="001912C2">
        <w:trPr>
          <w:trHeight w:val="336"/>
        </w:trPr>
        <w:tc>
          <w:tcPr>
            <w:tcW w:w="5000" w:type="pct"/>
            <w:gridSpan w:val="14"/>
            <w:vAlign w:val="center"/>
          </w:tcPr>
          <w:p w14:paraId="568C7CE1" w14:textId="77777777" w:rsidR="001912C2" w:rsidRPr="00BE66C1" w:rsidRDefault="001912C2" w:rsidP="00A04FF5">
            <w:pPr>
              <w:spacing w:after="0" w:line="240" w:lineRule="auto"/>
              <w:rPr>
                <w:rFonts w:eastAsia="Times New Roman"/>
                <w:b/>
                <w:bCs/>
                <w:i/>
                <w:iCs/>
                <w:spacing w:val="0"/>
                <w:sz w:val="18"/>
                <w:szCs w:val="16"/>
                <w:lang w:val="es-DO" w:eastAsia="es-DO"/>
              </w:rPr>
            </w:pPr>
            <w:r w:rsidRPr="00BE66C1">
              <w:rPr>
                <w:rFonts w:eastAsia="Times New Roman"/>
                <w:b/>
                <w:bCs/>
                <w:i/>
                <w:iCs/>
                <w:spacing w:val="0"/>
                <w:sz w:val="18"/>
                <w:szCs w:val="16"/>
                <w:lang w:val="es-DO" w:eastAsia="es-DO"/>
              </w:rPr>
              <w:t xml:space="preserve">Producto 1: </w:t>
            </w:r>
            <w:r w:rsidRPr="00BE66C1">
              <w:rPr>
                <w:rFonts w:eastAsia="Times New Roman"/>
                <w:bCs/>
                <w:i/>
                <w:iCs/>
                <w:spacing w:val="0"/>
                <w:sz w:val="18"/>
                <w:szCs w:val="16"/>
                <w:lang w:val="es-DO" w:eastAsia="es-DO"/>
              </w:rPr>
              <w:t>Operaciones de seguros, reaseguros, intermediarios y ajustadores supervisadas y fiscalizadas</w:t>
            </w:r>
          </w:p>
        </w:tc>
      </w:tr>
      <w:tr w:rsidR="001912C2" w:rsidRPr="000904E0" w14:paraId="2E45A22E" w14:textId="77777777" w:rsidTr="001912C2">
        <w:trPr>
          <w:trHeight w:val="496"/>
        </w:trPr>
        <w:tc>
          <w:tcPr>
            <w:tcW w:w="924" w:type="pct"/>
            <w:shd w:val="clear" w:color="000000" w:fill="FFFFFF"/>
            <w:vAlign w:val="center"/>
            <w:hideMark/>
          </w:tcPr>
          <w:p w14:paraId="16E28C1E" w14:textId="77777777" w:rsidR="001912C2" w:rsidRPr="00BE66C1" w:rsidRDefault="001912C2" w:rsidP="00A04FF5">
            <w:pPr>
              <w:spacing w:after="0" w:line="240" w:lineRule="auto"/>
              <w:rPr>
                <w:rFonts w:eastAsia="Times New Roman"/>
                <w:spacing w:val="0"/>
                <w:sz w:val="18"/>
                <w:szCs w:val="16"/>
                <w:lang w:val="es-DO" w:eastAsia="es-DO"/>
              </w:rPr>
            </w:pPr>
            <w:r w:rsidRPr="00BE66C1">
              <w:rPr>
                <w:rFonts w:eastAsia="Times New Roman"/>
                <w:spacing w:val="0"/>
                <w:sz w:val="18"/>
                <w:szCs w:val="16"/>
                <w:lang w:val="es-DO" w:eastAsia="es-DO"/>
              </w:rPr>
              <w:t>Cantidad de Producto 1</w:t>
            </w:r>
          </w:p>
        </w:tc>
        <w:tc>
          <w:tcPr>
            <w:tcW w:w="293" w:type="pct"/>
            <w:shd w:val="clear" w:color="000000" w:fill="FFFFFF"/>
            <w:noWrap/>
            <w:hideMark/>
          </w:tcPr>
          <w:p w14:paraId="0C262023" w14:textId="77777777" w:rsidR="001912C2" w:rsidRPr="00B1519C" w:rsidRDefault="001912C2" w:rsidP="00A04FF5">
            <w:pPr>
              <w:rPr>
                <w:rFonts w:eastAsia="Times New Roman"/>
                <w:spacing w:val="0"/>
                <w:sz w:val="18"/>
                <w:szCs w:val="16"/>
                <w:lang w:val="es-DO" w:eastAsia="es-DO"/>
              </w:rPr>
            </w:pPr>
          </w:p>
          <w:p w14:paraId="2DAB8BE6"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2922BE56" w14:textId="77777777" w:rsidR="001912C2" w:rsidRPr="00B1519C" w:rsidRDefault="001912C2" w:rsidP="00A04FF5">
            <w:pPr>
              <w:rPr>
                <w:rFonts w:eastAsia="Times New Roman"/>
                <w:spacing w:val="0"/>
                <w:sz w:val="18"/>
                <w:szCs w:val="16"/>
                <w:lang w:val="es-DO" w:eastAsia="es-DO"/>
              </w:rPr>
            </w:pPr>
          </w:p>
          <w:p w14:paraId="34ECC388"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7A160D86" w14:textId="77777777" w:rsidR="001912C2" w:rsidRPr="00B1519C" w:rsidRDefault="001912C2" w:rsidP="00A04FF5">
            <w:pPr>
              <w:rPr>
                <w:rFonts w:eastAsia="Times New Roman"/>
                <w:spacing w:val="0"/>
                <w:sz w:val="18"/>
                <w:szCs w:val="16"/>
                <w:lang w:val="es-DO" w:eastAsia="es-DO"/>
              </w:rPr>
            </w:pPr>
          </w:p>
          <w:p w14:paraId="3B11B4B5"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314E544E" w14:textId="77777777" w:rsidR="001912C2" w:rsidRPr="00B1519C" w:rsidRDefault="001912C2" w:rsidP="00A04FF5">
            <w:pPr>
              <w:rPr>
                <w:rFonts w:eastAsia="Times New Roman"/>
                <w:spacing w:val="0"/>
                <w:sz w:val="18"/>
                <w:szCs w:val="16"/>
                <w:lang w:val="es-DO" w:eastAsia="es-DO"/>
              </w:rPr>
            </w:pPr>
          </w:p>
          <w:p w14:paraId="2504F1EE"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tcPr>
          <w:p w14:paraId="49C1F6C6" w14:textId="77777777" w:rsidR="001912C2" w:rsidRPr="00B1519C" w:rsidRDefault="001912C2" w:rsidP="00A04FF5">
            <w:pPr>
              <w:rPr>
                <w:rFonts w:eastAsia="Times New Roman"/>
                <w:spacing w:val="0"/>
                <w:sz w:val="18"/>
                <w:szCs w:val="16"/>
                <w:lang w:val="es-DO" w:eastAsia="es-DO"/>
              </w:rPr>
            </w:pPr>
          </w:p>
          <w:p w14:paraId="3124F66D"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720E8E09" w14:textId="77777777" w:rsidR="001912C2" w:rsidRPr="00B1519C" w:rsidRDefault="001912C2" w:rsidP="00A04FF5">
            <w:pPr>
              <w:rPr>
                <w:rFonts w:eastAsia="Times New Roman"/>
                <w:spacing w:val="0"/>
                <w:sz w:val="18"/>
                <w:szCs w:val="16"/>
                <w:lang w:val="es-DO" w:eastAsia="es-DO"/>
              </w:rPr>
            </w:pPr>
          </w:p>
          <w:p w14:paraId="336BD253"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4A709916" w14:textId="77777777" w:rsidR="001912C2" w:rsidRPr="00B1519C" w:rsidRDefault="001912C2" w:rsidP="00A04FF5">
            <w:pPr>
              <w:rPr>
                <w:rFonts w:eastAsia="Times New Roman"/>
                <w:spacing w:val="0"/>
                <w:sz w:val="18"/>
                <w:szCs w:val="16"/>
                <w:lang w:val="es-DO" w:eastAsia="es-DO"/>
              </w:rPr>
            </w:pPr>
          </w:p>
          <w:p w14:paraId="5CADC026"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10B165DF" w14:textId="77777777" w:rsidR="001912C2" w:rsidRPr="00B1519C" w:rsidRDefault="001912C2" w:rsidP="00A04FF5">
            <w:pPr>
              <w:rPr>
                <w:rFonts w:eastAsia="Times New Roman"/>
                <w:spacing w:val="0"/>
                <w:sz w:val="18"/>
                <w:szCs w:val="16"/>
                <w:lang w:val="es-DO" w:eastAsia="es-DO"/>
              </w:rPr>
            </w:pPr>
          </w:p>
          <w:p w14:paraId="009DDD5A"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43418828" w14:textId="77777777" w:rsidR="001912C2" w:rsidRPr="00B1519C" w:rsidRDefault="001912C2" w:rsidP="00A04FF5">
            <w:pPr>
              <w:rPr>
                <w:rFonts w:eastAsia="Times New Roman"/>
                <w:spacing w:val="0"/>
                <w:sz w:val="18"/>
                <w:szCs w:val="16"/>
                <w:lang w:val="es-DO" w:eastAsia="es-DO"/>
              </w:rPr>
            </w:pPr>
          </w:p>
          <w:p w14:paraId="441144CB"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6588F204" w14:textId="77777777" w:rsidR="001912C2" w:rsidRPr="00B1519C" w:rsidRDefault="001912C2" w:rsidP="00A04FF5">
            <w:pPr>
              <w:rPr>
                <w:rFonts w:eastAsia="Times New Roman"/>
                <w:spacing w:val="0"/>
                <w:sz w:val="18"/>
                <w:szCs w:val="16"/>
                <w:lang w:val="es-DO" w:eastAsia="es-DO"/>
              </w:rPr>
            </w:pPr>
          </w:p>
          <w:p w14:paraId="51B96E3A"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noWrap/>
            <w:hideMark/>
          </w:tcPr>
          <w:p w14:paraId="51C67AB1" w14:textId="77777777" w:rsidR="001912C2" w:rsidRPr="00B1519C" w:rsidRDefault="001912C2" w:rsidP="00A04FF5">
            <w:pPr>
              <w:rPr>
                <w:rFonts w:eastAsia="Times New Roman"/>
                <w:spacing w:val="0"/>
                <w:sz w:val="18"/>
                <w:szCs w:val="16"/>
                <w:lang w:val="es-DO" w:eastAsia="es-DO"/>
              </w:rPr>
            </w:pPr>
          </w:p>
          <w:p w14:paraId="465DA70D" w14:textId="77777777" w:rsidR="001912C2" w:rsidRPr="00B1519C" w:rsidRDefault="001912C2" w:rsidP="00A04FF5">
            <w:r w:rsidRPr="00B1519C">
              <w:rPr>
                <w:rFonts w:eastAsia="Times New Roman"/>
                <w:spacing w:val="0"/>
                <w:sz w:val="18"/>
                <w:szCs w:val="16"/>
                <w:lang w:val="es-DO" w:eastAsia="es-DO"/>
              </w:rPr>
              <w:t>1007</w:t>
            </w:r>
          </w:p>
        </w:tc>
        <w:tc>
          <w:tcPr>
            <w:tcW w:w="293" w:type="pct"/>
            <w:shd w:val="clear" w:color="000000" w:fill="FFFFFF"/>
          </w:tcPr>
          <w:p w14:paraId="11DE73E5" w14:textId="77777777" w:rsidR="001912C2" w:rsidRPr="00B1519C" w:rsidRDefault="001912C2" w:rsidP="00A04FF5">
            <w:pPr>
              <w:rPr>
                <w:rFonts w:eastAsia="Times New Roman"/>
                <w:spacing w:val="0"/>
                <w:sz w:val="18"/>
                <w:szCs w:val="16"/>
                <w:lang w:val="es-DO" w:eastAsia="es-DO"/>
              </w:rPr>
            </w:pPr>
          </w:p>
          <w:p w14:paraId="1E10C753" w14:textId="77777777" w:rsidR="001912C2" w:rsidRPr="00B1519C" w:rsidRDefault="001912C2" w:rsidP="00A04FF5">
            <w:r w:rsidRPr="00B1519C">
              <w:rPr>
                <w:rFonts w:eastAsia="Times New Roman"/>
                <w:spacing w:val="0"/>
                <w:sz w:val="18"/>
                <w:szCs w:val="16"/>
                <w:lang w:val="es-DO" w:eastAsia="es-DO"/>
              </w:rPr>
              <w:t>1007</w:t>
            </w:r>
          </w:p>
        </w:tc>
        <w:tc>
          <w:tcPr>
            <w:tcW w:w="553" w:type="pct"/>
            <w:shd w:val="clear" w:color="000000" w:fill="FFFFFF"/>
            <w:noWrap/>
            <w:vAlign w:val="center"/>
          </w:tcPr>
          <w:p w14:paraId="04BB784C" w14:textId="77777777" w:rsidR="001912C2" w:rsidRPr="00B1519C" w:rsidRDefault="001912C2" w:rsidP="00A04FF5">
            <w:pPr>
              <w:spacing w:after="0" w:line="240" w:lineRule="auto"/>
              <w:jc w:val="center"/>
              <w:rPr>
                <w:rFonts w:eastAsia="Times New Roman"/>
                <w:b/>
                <w:bCs/>
                <w:spacing w:val="0"/>
                <w:sz w:val="18"/>
                <w:szCs w:val="16"/>
                <w:lang w:val="es-DO" w:eastAsia="es-DO"/>
              </w:rPr>
            </w:pPr>
          </w:p>
          <w:p w14:paraId="2702B77B" w14:textId="77777777" w:rsidR="001912C2" w:rsidRPr="00B1519C" w:rsidRDefault="001912C2" w:rsidP="00A04FF5">
            <w:pPr>
              <w:spacing w:after="0" w:line="240" w:lineRule="auto"/>
              <w:jc w:val="center"/>
              <w:rPr>
                <w:rFonts w:eastAsia="Times New Roman"/>
                <w:b/>
                <w:bCs/>
                <w:spacing w:val="0"/>
                <w:sz w:val="18"/>
                <w:szCs w:val="16"/>
                <w:lang w:val="es-DO" w:eastAsia="es-DO"/>
              </w:rPr>
            </w:pPr>
            <w:r w:rsidRPr="00B1519C">
              <w:rPr>
                <w:rFonts w:eastAsia="Times New Roman"/>
                <w:b/>
                <w:bCs/>
                <w:spacing w:val="0"/>
                <w:sz w:val="18"/>
                <w:szCs w:val="16"/>
                <w:lang w:val="es-DO" w:eastAsia="es-DO"/>
              </w:rPr>
              <w:t>12,084</w:t>
            </w:r>
          </w:p>
        </w:tc>
      </w:tr>
      <w:tr w:rsidR="001912C2" w:rsidRPr="000904E0" w14:paraId="249606FE" w14:textId="77777777" w:rsidTr="001912C2">
        <w:trPr>
          <w:cantSplit/>
          <w:trHeight w:val="1491"/>
        </w:trPr>
        <w:tc>
          <w:tcPr>
            <w:tcW w:w="924" w:type="pct"/>
            <w:shd w:val="clear" w:color="auto" w:fill="D9D9D9"/>
            <w:vAlign w:val="center"/>
            <w:hideMark/>
          </w:tcPr>
          <w:p w14:paraId="406B96E7" w14:textId="77777777" w:rsidR="001912C2" w:rsidRPr="00CB1A95" w:rsidRDefault="001912C2" w:rsidP="00A04FF5">
            <w:pPr>
              <w:spacing w:after="0" w:line="240" w:lineRule="auto"/>
              <w:rPr>
                <w:rFonts w:eastAsia="Times New Roman"/>
                <w:b/>
                <w:spacing w:val="0"/>
                <w:sz w:val="18"/>
                <w:szCs w:val="16"/>
                <w:lang w:val="es-DO" w:eastAsia="es-DO"/>
              </w:rPr>
            </w:pPr>
            <w:r w:rsidRPr="00CB1A95">
              <w:rPr>
                <w:rFonts w:eastAsia="Times New Roman"/>
                <w:b/>
                <w:spacing w:val="0"/>
                <w:sz w:val="18"/>
                <w:szCs w:val="16"/>
                <w:lang w:val="es-DO" w:eastAsia="es-DO"/>
              </w:rPr>
              <w:t>Inversión en Producto 1 en (RD$)</w:t>
            </w:r>
          </w:p>
        </w:tc>
        <w:tc>
          <w:tcPr>
            <w:tcW w:w="293" w:type="pct"/>
            <w:shd w:val="clear" w:color="auto" w:fill="D9D9D9"/>
            <w:noWrap/>
            <w:textDirection w:val="tbRl"/>
            <w:vAlign w:val="center"/>
            <w:hideMark/>
          </w:tcPr>
          <w:p w14:paraId="7A88EDBD"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sidRPr="008A728D">
              <w:rPr>
                <w:rFonts w:eastAsia="Times New Roman"/>
                <w:spacing w:val="0"/>
                <w:sz w:val="18"/>
                <w:szCs w:val="14"/>
                <w:lang w:val="es-DO" w:eastAsia="es-DO"/>
              </w:rPr>
              <w:t>39,961,650.95</w:t>
            </w:r>
          </w:p>
        </w:tc>
        <w:tc>
          <w:tcPr>
            <w:tcW w:w="293" w:type="pct"/>
            <w:shd w:val="clear" w:color="auto" w:fill="D9D9D9"/>
            <w:noWrap/>
            <w:textDirection w:val="tbRl"/>
            <w:vAlign w:val="center"/>
            <w:hideMark/>
          </w:tcPr>
          <w:p w14:paraId="721552FC"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45,087,897.78</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371D79F8"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53,183,261.30</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00DCF2A5"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37,358,603.78</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3755455C"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71,290,041.73</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5D52B4B6"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45,551,394.92</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48EB8AB3"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50,889,956.10</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0F34D40A"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55,448,895.15</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78B74365"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38,551,936.98</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hideMark/>
          </w:tcPr>
          <w:p w14:paraId="29A169A3"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76,659,148.47</w:t>
            </w:r>
            <w:r w:rsidRPr="008A728D">
              <w:rPr>
                <w:rFonts w:eastAsia="Times New Roman"/>
                <w:spacing w:val="0"/>
                <w:sz w:val="18"/>
                <w:szCs w:val="14"/>
                <w:lang w:val="es-DO" w:eastAsia="es-DO"/>
              </w:rPr>
              <w:t xml:space="preserve">   </w:t>
            </w:r>
          </w:p>
        </w:tc>
        <w:tc>
          <w:tcPr>
            <w:tcW w:w="293" w:type="pct"/>
            <w:shd w:val="clear" w:color="auto" w:fill="D9D9D9"/>
            <w:noWrap/>
            <w:textDirection w:val="tbRl"/>
            <w:vAlign w:val="center"/>
          </w:tcPr>
          <w:p w14:paraId="305E5414" w14:textId="77777777" w:rsidR="001912C2" w:rsidRPr="008A728D" w:rsidRDefault="001912C2" w:rsidP="00A04FF5">
            <w:pPr>
              <w:spacing w:after="0" w:line="240" w:lineRule="auto"/>
              <w:ind w:left="113" w:right="113"/>
              <w:jc w:val="right"/>
              <w:rPr>
                <w:rFonts w:eastAsia="Times New Roman"/>
                <w:spacing w:val="0"/>
                <w:sz w:val="18"/>
                <w:szCs w:val="14"/>
                <w:lang w:val="es-DO" w:eastAsia="es-DO"/>
              </w:rPr>
            </w:pPr>
            <w:r>
              <w:rPr>
                <w:rFonts w:eastAsia="Times New Roman"/>
                <w:spacing w:val="0"/>
                <w:sz w:val="18"/>
                <w:szCs w:val="14"/>
                <w:lang w:val="es-DO" w:eastAsia="es-DO"/>
              </w:rPr>
              <w:t>74,659,148.47</w:t>
            </w:r>
          </w:p>
        </w:tc>
        <w:tc>
          <w:tcPr>
            <w:tcW w:w="293" w:type="pct"/>
            <w:shd w:val="clear" w:color="auto" w:fill="D9D9D9"/>
            <w:textDirection w:val="tbRl"/>
            <w:vAlign w:val="center"/>
          </w:tcPr>
          <w:p w14:paraId="2DCC5025" w14:textId="77777777" w:rsidR="001912C2" w:rsidRPr="008A728D" w:rsidRDefault="001912C2" w:rsidP="00A04FF5">
            <w:pPr>
              <w:spacing w:after="0" w:line="240" w:lineRule="auto"/>
              <w:ind w:left="113" w:right="113"/>
              <w:jc w:val="right"/>
              <w:rPr>
                <w:rFonts w:eastAsia="Times New Roman"/>
                <w:bCs/>
                <w:spacing w:val="0"/>
                <w:sz w:val="18"/>
                <w:szCs w:val="14"/>
                <w:lang w:val="es-DO" w:eastAsia="es-DO"/>
              </w:rPr>
            </w:pPr>
            <w:r>
              <w:rPr>
                <w:rFonts w:eastAsia="Times New Roman"/>
                <w:bCs/>
                <w:spacing w:val="0"/>
                <w:sz w:val="18"/>
                <w:szCs w:val="14"/>
                <w:lang w:val="es-DO" w:eastAsia="es-DO"/>
              </w:rPr>
              <w:t>201,484,362.20</w:t>
            </w:r>
          </w:p>
        </w:tc>
        <w:tc>
          <w:tcPr>
            <w:tcW w:w="553" w:type="pct"/>
            <w:shd w:val="clear" w:color="auto" w:fill="D9D9D9"/>
            <w:noWrap/>
            <w:textDirection w:val="tbRl"/>
            <w:vAlign w:val="center"/>
          </w:tcPr>
          <w:p w14:paraId="122B5CDB" w14:textId="77777777" w:rsidR="001912C2" w:rsidRPr="008A728D" w:rsidRDefault="001912C2" w:rsidP="00A04FF5">
            <w:pPr>
              <w:spacing w:after="0" w:line="240" w:lineRule="auto"/>
              <w:ind w:left="113" w:right="113"/>
              <w:jc w:val="right"/>
              <w:rPr>
                <w:rFonts w:eastAsia="Times New Roman"/>
                <w:b/>
                <w:bCs/>
                <w:spacing w:val="0"/>
                <w:sz w:val="18"/>
                <w:szCs w:val="14"/>
                <w:lang w:val="es-DO" w:eastAsia="es-DO"/>
              </w:rPr>
            </w:pPr>
            <w:r>
              <w:rPr>
                <w:rFonts w:eastAsia="Times New Roman"/>
                <w:b/>
                <w:bCs/>
                <w:spacing w:val="0"/>
                <w:sz w:val="18"/>
                <w:szCs w:val="14"/>
                <w:lang w:val="es-DO" w:eastAsia="es-DO"/>
              </w:rPr>
              <w:t>790,110,913.55</w:t>
            </w:r>
          </w:p>
        </w:tc>
      </w:tr>
    </w:tbl>
    <w:p w14:paraId="2A96F20D" w14:textId="77777777" w:rsidR="001912C2" w:rsidRPr="0048500F" w:rsidRDefault="001912C2" w:rsidP="001912C2">
      <w:pPr>
        <w:rPr>
          <w:color w:val="4C4747"/>
          <w:sz w:val="16"/>
          <w:szCs w:val="18"/>
          <w:lang w:val="es-DO"/>
        </w:rPr>
      </w:pPr>
      <w:r w:rsidRPr="0048500F">
        <w:rPr>
          <w:color w:val="4C4747"/>
          <w:sz w:val="14"/>
          <w:szCs w:val="18"/>
          <w:lang w:val="es-DO"/>
        </w:rPr>
        <w:t xml:space="preserve">Nota: </w:t>
      </w:r>
      <w:r>
        <w:rPr>
          <w:color w:val="4C4747"/>
          <w:sz w:val="14"/>
          <w:szCs w:val="18"/>
          <w:lang w:val="es-DO"/>
        </w:rPr>
        <w:t>L</w:t>
      </w:r>
      <w:r w:rsidRPr="0048500F">
        <w:rPr>
          <w:color w:val="4C4747"/>
          <w:sz w:val="14"/>
          <w:szCs w:val="18"/>
          <w:lang w:val="es-DO"/>
        </w:rPr>
        <w:t>os valores para el mes de diciembre corresponde</w:t>
      </w:r>
      <w:r>
        <w:rPr>
          <w:color w:val="4C4747"/>
          <w:sz w:val="14"/>
          <w:szCs w:val="18"/>
          <w:lang w:val="es-DO"/>
        </w:rPr>
        <w:t xml:space="preserve"> a</w:t>
      </w:r>
      <w:r w:rsidRPr="0048500F">
        <w:rPr>
          <w:color w:val="4C4747"/>
          <w:sz w:val="14"/>
          <w:szCs w:val="18"/>
          <w:lang w:val="es-DO"/>
        </w:rPr>
        <w:t xml:space="preserve"> la ejecución real de me</w:t>
      </w:r>
      <w:r>
        <w:rPr>
          <w:color w:val="4C4747"/>
          <w:sz w:val="14"/>
          <w:szCs w:val="18"/>
          <w:lang w:val="es-DO"/>
        </w:rPr>
        <w:t>s.</w:t>
      </w:r>
      <w:r w:rsidRPr="0048500F">
        <w:rPr>
          <w:color w:val="4C4747"/>
          <w:sz w:val="14"/>
          <w:szCs w:val="18"/>
          <w:lang w:val="es-DO"/>
        </w:rPr>
        <w:t xml:space="preserve"> </w:t>
      </w:r>
    </w:p>
    <w:p w14:paraId="7BD0A3E7" w14:textId="3A7C10A1" w:rsidR="001912C2" w:rsidRPr="001912C2" w:rsidRDefault="001912C2" w:rsidP="001912C2">
      <w:pPr>
        <w:pStyle w:val="Ttulo1"/>
        <w:rPr>
          <w:noProof/>
          <w:lang w:val="es-ES"/>
        </w:rPr>
      </w:pPr>
      <w:bookmarkStart w:id="60" w:name="_Toc185255099"/>
      <w:bookmarkStart w:id="61" w:name="_Toc216875886"/>
      <w:r>
        <w:rPr>
          <w:noProof/>
          <w:lang w:val="es-ES"/>
        </w:rPr>
        <w:lastRenderedPageBreak/>
        <w:t>B</w:t>
      </w:r>
      <w:r w:rsidRPr="001912C2">
        <w:rPr>
          <w:noProof/>
          <w:lang w:val="es-ES"/>
        </w:rPr>
        <w:t xml:space="preserve">. </w:t>
      </w:r>
      <w:r w:rsidRPr="001912C2">
        <w:rPr>
          <w:noProof/>
          <w:color w:val="595959" w:themeColor="text1" w:themeTint="A6"/>
          <w:sz w:val="24"/>
          <w:szCs w:val="26"/>
          <w:lang w:val="es-ES"/>
        </w:rPr>
        <w:t>Matriz de Gestión Presupuestaria Anual</w:t>
      </w:r>
      <w:bookmarkEnd w:id="60"/>
      <w:bookmarkEnd w:id="61"/>
    </w:p>
    <w:p w14:paraId="0E2CC431" w14:textId="77777777" w:rsidR="001912C2" w:rsidRPr="000904E0" w:rsidRDefault="001912C2" w:rsidP="001912C2">
      <w:pPr>
        <w:spacing w:after="0"/>
        <w:rPr>
          <w:color w:val="4C4747"/>
          <w:lang w:val="es-DO"/>
        </w:rPr>
      </w:pPr>
    </w:p>
    <w:tbl>
      <w:tblPr>
        <w:tblStyle w:val="TableGrid"/>
        <w:tblW w:w="5079" w:type="pct"/>
        <w:tblInd w:w="0" w:type="dxa"/>
        <w:tblCellMar>
          <w:top w:w="17" w:type="dxa"/>
          <w:right w:w="5" w:type="dxa"/>
        </w:tblCellMar>
        <w:tblLook w:val="04A0" w:firstRow="1" w:lastRow="0" w:firstColumn="1" w:lastColumn="0" w:noHBand="0" w:noVBand="1"/>
      </w:tblPr>
      <w:tblGrid>
        <w:gridCol w:w="1120"/>
        <w:gridCol w:w="1823"/>
        <w:gridCol w:w="1226"/>
        <w:gridCol w:w="1099"/>
        <w:gridCol w:w="880"/>
        <w:gridCol w:w="742"/>
        <w:gridCol w:w="1135"/>
      </w:tblGrid>
      <w:tr w:rsidR="001912C2" w:rsidRPr="000904E0" w14:paraId="6FDE49A9" w14:textId="77777777" w:rsidTr="00A5394C">
        <w:trPr>
          <w:trHeight w:val="1129"/>
        </w:trPr>
        <w:tc>
          <w:tcPr>
            <w:tcW w:w="698"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666F353C" w14:textId="77777777" w:rsidR="001912C2" w:rsidRPr="000904E0" w:rsidRDefault="001912C2" w:rsidP="00A04FF5">
            <w:pPr>
              <w:spacing w:after="33" w:line="234" w:lineRule="auto"/>
              <w:jc w:val="center"/>
              <w:rPr>
                <w:color w:val="FFFFFF" w:themeColor="background1"/>
                <w:sz w:val="16"/>
                <w:szCs w:val="16"/>
                <w:lang w:val="es-DO"/>
              </w:rPr>
            </w:pPr>
            <w:r w:rsidRPr="000904E0">
              <w:rPr>
                <w:rFonts w:eastAsia="Times New Roman"/>
                <w:b/>
                <w:color w:val="FFFFFF" w:themeColor="background1"/>
                <w:sz w:val="16"/>
                <w:szCs w:val="16"/>
                <w:lang w:val="es-DO"/>
              </w:rPr>
              <w:t xml:space="preserve">Código Programa / </w:t>
            </w:r>
          </w:p>
          <w:p w14:paraId="535A29CB" w14:textId="77777777" w:rsidR="001912C2" w:rsidRPr="000904E0" w:rsidRDefault="001912C2" w:rsidP="00A04FF5">
            <w:pPr>
              <w:ind w:left="132"/>
              <w:rPr>
                <w:color w:val="FFFFFF" w:themeColor="background1"/>
                <w:sz w:val="16"/>
                <w:szCs w:val="16"/>
                <w:lang w:val="es-DO"/>
              </w:rPr>
            </w:pPr>
            <w:r w:rsidRPr="000904E0">
              <w:rPr>
                <w:rFonts w:eastAsia="Times New Roman"/>
                <w:b/>
                <w:color w:val="FFFFFF" w:themeColor="background1"/>
                <w:sz w:val="16"/>
                <w:szCs w:val="16"/>
                <w:lang w:val="es-DO"/>
              </w:rPr>
              <w:t>Subprograma</w:t>
            </w:r>
            <w:r w:rsidRPr="000904E0">
              <w:rPr>
                <w:rFonts w:eastAsia="Times New Roman"/>
                <w:color w:val="FFFFFF" w:themeColor="background1"/>
                <w:sz w:val="16"/>
                <w:szCs w:val="16"/>
                <w:lang w:val="es-DO"/>
              </w:rPr>
              <w:t xml:space="preserve"> </w:t>
            </w:r>
          </w:p>
        </w:tc>
        <w:tc>
          <w:tcPr>
            <w:tcW w:w="1136"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45023945" w14:textId="77777777" w:rsidR="001912C2" w:rsidRPr="000904E0" w:rsidRDefault="001912C2" w:rsidP="00A04FF5">
            <w:pPr>
              <w:ind w:left="12"/>
              <w:jc w:val="center"/>
              <w:rPr>
                <w:color w:val="FFFFFF" w:themeColor="background1"/>
                <w:sz w:val="16"/>
                <w:szCs w:val="16"/>
                <w:lang w:val="es-DO"/>
              </w:rPr>
            </w:pPr>
            <w:r w:rsidRPr="000904E0">
              <w:rPr>
                <w:rFonts w:eastAsia="Times New Roman"/>
                <w:b/>
                <w:color w:val="FFFFFF" w:themeColor="background1"/>
                <w:sz w:val="16"/>
                <w:szCs w:val="16"/>
                <w:lang w:val="es-DO"/>
              </w:rPr>
              <w:t>Nombre del Programa</w:t>
            </w:r>
            <w:r w:rsidRPr="000904E0">
              <w:rPr>
                <w:rFonts w:eastAsia="Times New Roman"/>
                <w:color w:val="FFFFFF" w:themeColor="background1"/>
                <w:sz w:val="16"/>
                <w:szCs w:val="16"/>
                <w:lang w:val="es-DO"/>
              </w:rPr>
              <w:t xml:space="preserve"> </w:t>
            </w:r>
          </w:p>
        </w:tc>
        <w:tc>
          <w:tcPr>
            <w:tcW w:w="764"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015BF4D2" w14:textId="77777777" w:rsidR="001912C2" w:rsidRPr="000904E0" w:rsidRDefault="001912C2" w:rsidP="00A04FF5">
            <w:pPr>
              <w:jc w:val="center"/>
              <w:rPr>
                <w:color w:val="FFFFFF" w:themeColor="background1"/>
                <w:sz w:val="16"/>
                <w:szCs w:val="16"/>
                <w:lang w:val="es-DO"/>
              </w:rPr>
            </w:pPr>
            <w:r w:rsidRPr="000904E0">
              <w:rPr>
                <w:rFonts w:eastAsia="Times New Roman"/>
                <w:b/>
                <w:color w:val="FFFFFF" w:themeColor="background1"/>
                <w:sz w:val="16"/>
                <w:szCs w:val="16"/>
                <w:lang w:val="es-DO"/>
              </w:rPr>
              <w:t>Asignación presupuestaria 202</w:t>
            </w:r>
            <w:r>
              <w:rPr>
                <w:rFonts w:eastAsia="Times New Roman"/>
                <w:b/>
                <w:color w:val="FFFFFF" w:themeColor="background1"/>
                <w:sz w:val="16"/>
                <w:szCs w:val="16"/>
                <w:lang w:val="es-DO"/>
              </w:rPr>
              <w:t>5</w:t>
            </w:r>
            <w:r w:rsidRPr="000904E0">
              <w:rPr>
                <w:rFonts w:eastAsia="Times New Roman"/>
                <w:b/>
                <w:color w:val="FFFFFF" w:themeColor="background1"/>
                <w:sz w:val="16"/>
                <w:szCs w:val="16"/>
                <w:lang w:val="es-DO"/>
              </w:rPr>
              <w:t xml:space="preserve"> (RD$)</w:t>
            </w:r>
            <w:r w:rsidRPr="000904E0">
              <w:rPr>
                <w:rFonts w:eastAsia="Times New Roman"/>
                <w:color w:val="FFFFFF" w:themeColor="background1"/>
                <w:sz w:val="16"/>
                <w:szCs w:val="16"/>
                <w:lang w:val="es-DO"/>
              </w:rPr>
              <w:t xml:space="preserve"> </w:t>
            </w:r>
          </w:p>
        </w:tc>
        <w:tc>
          <w:tcPr>
            <w:tcW w:w="685"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3FCBCD38" w14:textId="77777777" w:rsidR="001912C2" w:rsidRPr="000904E0" w:rsidRDefault="001912C2" w:rsidP="00A04FF5">
            <w:pPr>
              <w:ind w:left="63" w:right="9"/>
              <w:jc w:val="center"/>
              <w:rPr>
                <w:color w:val="FFFFFF" w:themeColor="background1"/>
                <w:sz w:val="16"/>
                <w:szCs w:val="16"/>
                <w:lang w:val="es-DO"/>
              </w:rPr>
            </w:pPr>
            <w:r w:rsidRPr="000904E0">
              <w:rPr>
                <w:rFonts w:eastAsia="Times New Roman"/>
                <w:b/>
                <w:color w:val="FFFFFF" w:themeColor="background1"/>
                <w:sz w:val="16"/>
                <w:szCs w:val="16"/>
                <w:lang w:val="es-DO"/>
              </w:rPr>
              <w:t>Ejecución a octubre 202</w:t>
            </w:r>
            <w:r>
              <w:rPr>
                <w:rFonts w:eastAsia="Times New Roman"/>
                <w:b/>
                <w:color w:val="FFFFFF" w:themeColor="background1"/>
                <w:sz w:val="16"/>
                <w:szCs w:val="16"/>
                <w:lang w:val="es-DO"/>
              </w:rPr>
              <w:t>5</w:t>
            </w:r>
            <w:r w:rsidRPr="000904E0">
              <w:rPr>
                <w:rFonts w:eastAsia="Times New Roman"/>
                <w:b/>
                <w:color w:val="FFFFFF" w:themeColor="background1"/>
                <w:sz w:val="16"/>
                <w:szCs w:val="16"/>
                <w:lang w:val="es-DO"/>
              </w:rPr>
              <w:t xml:space="preserve"> (RD$)</w:t>
            </w:r>
            <w:r w:rsidRPr="000904E0">
              <w:rPr>
                <w:rFonts w:eastAsia="Times New Roman"/>
                <w:color w:val="FFFFFF" w:themeColor="background1"/>
                <w:sz w:val="16"/>
                <w:szCs w:val="16"/>
                <w:lang w:val="es-DO"/>
              </w:rPr>
              <w:t xml:space="preserve"> </w:t>
            </w:r>
          </w:p>
        </w:tc>
        <w:tc>
          <w:tcPr>
            <w:tcW w:w="548"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088CA847" w14:textId="77777777" w:rsidR="001912C2" w:rsidRPr="000904E0" w:rsidRDefault="001912C2" w:rsidP="00A04FF5">
            <w:pPr>
              <w:ind w:left="18"/>
              <w:jc w:val="center"/>
              <w:rPr>
                <w:color w:val="FFFFFF" w:themeColor="background1"/>
                <w:sz w:val="16"/>
                <w:szCs w:val="16"/>
                <w:lang w:val="es-DO"/>
              </w:rPr>
            </w:pPr>
            <w:r w:rsidRPr="000904E0">
              <w:rPr>
                <w:rFonts w:eastAsia="Times New Roman"/>
                <w:b/>
                <w:color w:val="FFFFFF" w:themeColor="background1"/>
                <w:sz w:val="16"/>
                <w:szCs w:val="16"/>
                <w:lang w:val="es-DO"/>
              </w:rPr>
              <w:t xml:space="preserve">Cantidad de </w:t>
            </w:r>
          </w:p>
          <w:p w14:paraId="17205CF3" w14:textId="77777777" w:rsidR="001912C2" w:rsidRPr="000904E0" w:rsidRDefault="001912C2" w:rsidP="00A04FF5">
            <w:pPr>
              <w:jc w:val="center"/>
              <w:rPr>
                <w:color w:val="FFFFFF" w:themeColor="background1"/>
                <w:sz w:val="16"/>
                <w:szCs w:val="16"/>
                <w:lang w:val="es-DO"/>
              </w:rPr>
            </w:pPr>
            <w:r w:rsidRPr="000904E0">
              <w:rPr>
                <w:rFonts w:eastAsia="Times New Roman"/>
                <w:b/>
                <w:color w:val="FFFFFF" w:themeColor="background1"/>
                <w:sz w:val="16"/>
                <w:szCs w:val="16"/>
                <w:lang w:val="es-DO"/>
              </w:rPr>
              <w:t>Productos Generados por Programa</w:t>
            </w:r>
            <w:r w:rsidRPr="000904E0">
              <w:rPr>
                <w:rFonts w:eastAsia="Times New Roman"/>
                <w:color w:val="FFFFFF" w:themeColor="background1"/>
                <w:sz w:val="16"/>
                <w:szCs w:val="16"/>
                <w:lang w:val="es-DO"/>
              </w:rPr>
              <w:t xml:space="preserve"> </w:t>
            </w:r>
          </w:p>
        </w:tc>
        <w:tc>
          <w:tcPr>
            <w:tcW w:w="462"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4F9A8FBF" w14:textId="77777777" w:rsidR="001912C2" w:rsidRPr="000904E0" w:rsidRDefault="001912C2" w:rsidP="00A04FF5">
            <w:pPr>
              <w:jc w:val="center"/>
              <w:rPr>
                <w:color w:val="FFFFFF" w:themeColor="background1"/>
                <w:sz w:val="16"/>
                <w:szCs w:val="16"/>
                <w:lang w:val="es-DO"/>
              </w:rPr>
            </w:pPr>
            <w:r w:rsidRPr="000904E0">
              <w:rPr>
                <w:rFonts w:eastAsia="Times New Roman"/>
                <w:b/>
                <w:color w:val="FFFFFF" w:themeColor="background1"/>
                <w:sz w:val="16"/>
                <w:szCs w:val="16"/>
                <w:lang w:val="es-DO"/>
              </w:rPr>
              <w:t>Índice de Ejecución %</w:t>
            </w:r>
            <w:r w:rsidRPr="000904E0">
              <w:rPr>
                <w:rFonts w:eastAsia="Times New Roman"/>
                <w:color w:val="FFFFFF" w:themeColor="background1"/>
                <w:sz w:val="16"/>
                <w:szCs w:val="16"/>
                <w:lang w:val="es-DO"/>
              </w:rPr>
              <w:t xml:space="preserve"> </w:t>
            </w:r>
          </w:p>
        </w:tc>
        <w:tc>
          <w:tcPr>
            <w:tcW w:w="707"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77897870" w14:textId="77777777" w:rsidR="001912C2" w:rsidRPr="000904E0" w:rsidRDefault="001912C2" w:rsidP="00A04FF5">
            <w:pPr>
              <w:jc w:val="center"/>
              <w:rPr>
                <w:color w:val="FFFFFF" w:themeColor="background1"/>
                <w:sz w:val="16"/>
                <w:szCs w:val="16"/>
                <w:lang w:val="es-DO"/>
              </w:rPr>
            </w:pPr>
            <w:r w:rsidRPr="000904E0">
              <w:rPr>
                <w:rFonts w:eastAsia="Times New Roman"/>
                <w:b/>
                <w:color w:val="FFFFFF" w:themeColor="background1"/>
                <w:sz w:val="16"/>
                <w:szCs w:val="16"/>
                <w:lang w:val="es-DO"/>
              </w:rPr>
              <w:t>Participación ejecución por programa</w:t>
            </w:r>
            <w:r w:rsidRPr="000904E0">
              <w:rPr>
                <w:rFonts w:eastAsia="Times New Roman"/>
                <w:color w:val="FFFFFF" w:themeColor="background1"/>
                <w:sz w:val="16"/>
                <w:szCs w:val="16"/>
                <w:lang w:val="es-DO"/>
              </w:rPr>
              <w:t xml:space="preserve"> </w:t>
            </w:r>
          </w:p>
        </w:tc>
      </w:tr>
      <w:tr w:rsidR="00A5394C" w:rsidRPr="00520A17" w14:paraId="7B903B90" w14:textId="77777777" w:rsidTr="00A5394C">
        <w:trPr>
          <w:trHeight w:val="620"/>
        </w:trPr>
        <w:tc>
          <w:tcPr>
            <w:tcW w:w="69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BCC4AB" w14:textId="77777777" w:rsidR="00A5394C" w:rsidRPr="008A728D" w:rsidRDefault="00A5394C" w:rsidP="00A04FF5">
            <w:pPr>
              <w:ind w:left="4"/>
              <w:jc w:val="center"/>
              <w:rPr>
                <w:sz w:val="16"/>
                <w:szCs w:val="16"/>
                <w:lang w:val="es-DO"/>
              </w:rPr>
            </w:pPr>
            <w:r w:rsidRPr="008A728D">
              <w:rPr>
                <w:sz w:val="16"/>
                <w:szCs w:val="16"/>
                <w:lang w:val="es-DO"/>
              </w:rPr>
              <w:t>11</w:t>
            </w:r>
          </w:p>
        </w:tc>
        <w:tc>
          <w:tcPr>
            <w:tcW w:w="1136"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D199BC" w14:textId="77777777" w:rsidR="00A5394C" w:rsidRPr="008A728D" w:rsidRDefault="00A5394C" w:rsidP="00A04FF5">
            <w:pPr>
              <w:jc w:val="center"/>
              <w:rPr>
                <w:sz w:val="16"/>
                <w:szCs w:val="16"/>
                <w:lang w:val="es-DO"/>
              </w:rPr>
            </w:pPr>
            <w:r w:rsidRPr="008A728D">
              <w:rPr>
                <w:sz w:val="16"/>
                <w:szCs w:val="16"/>
                <w:lang w:val="es-DO"/>
              </w:rPr>
              <w:t>Control y Fiscalización Compañía de Seguros</w:t>
            </w:r>
          </w:p>
        </w:tc>
        <w:tc>
          <w:tcPr>
            <w:tcW w:w="76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036AF5" w14:textId="77777777" w:rsidR="00A5394C" w:rsidRPr="008A728D" w:rsidRDefault="00A5394C" w:rsidP="00A04FF5">
            <w:pPr>
              <w:ind w:right="66"/>
              <w:jc w:val="center"/>
              <w:rPr>
                <w:sz w:val="16"/>
                <w:szCs w:val="16"/>
                <w:lang w:val="es-DO"/>
              </w:rPr>
            </w:pPr>
            <w:r w:rsidRPr="008A728D">
              <w:rPr>
                <w:rFonts w:eastAsia="Times New Roman"/>
                <w:sz w:val="16"/>
                <w:szCs w:val="16"/>
                <w:lang w:val="es-DO"/>
              </w:rPr>
              <w:t>790,110,913.55</w:t>
            </w:r>
          </w:p>
        </w:tc>
        <w:tc>
          <w:tcPr>
            <w:tcW w:w="685"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2B128B" w14:textId="77777777" w:rsidR="00A5394C" w:rsidRPr="00520A17" w:rsidRDefault="00A5394C" w:rsidP="00A04FF5">
            <w:pPr>
              <w:ind w:left="-12"/>
              <w:jc w:val="center"/>
              <w:rPr>
                <w:sz w:val="16"/>
                <w:szCs w:val="16"/>
                <w:highlight w:val="yellow"/>
                <w:lang w:val="es-DO"/>
              </w:rPr>
            </w:pPr>
            <w:r w:rsidRPr="00BC13FE">
              <w:rPr>
                <w:sz w:val="16"/>
                <w:szCs w:val="16"/>
                <w:lang w:val="es-DO"/>
              </w:rPr>
              <w:t>513,967,202.88</w:t>
            </w:r>
          </w:p>
        </w:tc>
        <w:tc>
          <w:tcPr>
            <w:tcW w:w="548"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733AA8" w14:textId="77777777" w:rsidR="00A5394C" w:rsidRPr="008A728D" w:rsidRDefault="00A5394C" w:rsidP="00A04FF5">
            <w:pPr>
              <w:ind w:left="15"/>
              <w:jc w:val="center"/>
              <w:rPr>
                <w:sz w:val="16"/>
                <w:szCs w:val="16"/>
                <w:lang w:val="es-DO"/>
              </w:rPr>
            </w:pPr>
            <w:r w:rsidRPr="008A728D">
              <w:rPr>
                <w:sz w:val="16"/>
                <w:szCs w:val="16"/>
                <w:lang w:val="es-DO"/>
              </w:rPr>
              <w:t>1</w:t>
            </w:r>
          </w:p>
        </w:tc>
        <w:tc>
          <w:tcPr>
            <w:tcW w:w="462"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9E28E8" w14:textId="77777777" w:rsidR="00A5394C" w:rsidRPr="00BC13FE" w:rsidRDefault="00A5394C" w:rsidP="00A04FF5">
            <w:pPr>
              <w:ind w:left="228"/>
              <w:jc w:val="center"/>
              <w:rPr>
                <w:sz w:val="16"/>
                <w:szCs w:val="16"/>
                <w:lang w:val="es-DO"/>
              </w:rPr>
            </w:pPr>
            <w:r w:rsidRPr="00BC13FE">
              <w:rPr>
                <w:rFonts w:eastAsia="Times New Roman"/>
                <w:sz w:val="16"/>
                <w:szCs w:val="16"/>
                <w:lang w:val="es-DO"/>
              </w:rPr>
              <w:t>65%</w:t>
            </w:r>
          </w:p>
        </w:tc>
        <w:tc>
          <w:tcPr>
            <w:tcW w:w="707" w:type="pct"/>
            <w:vMerge w:val="restart"/>
            <w:tcBorders>
              <w:top w:val="single" w:sz="8" w:space="0" w:color="000000" w:themeColor="text1"/>
              <w:left w:val="single" w:sz="8" w:space="0" w:color="000000" w:themeColor="text1"/>
              <w:right w:val="single" w:sz="8" w:space="0" w:color="000000" w:themeColor="text1"/>
            </w:tcBorders>
            <w:vAlign w:val="center"/>
          </w:tcPr>
          <w:p w14:paraId="7B941901" w14:textId="77777777" w:rsidR="00A5394C" w:rsidRPr="00520A17" w:rsidRDefault="00A5394C" w:rsidP="00A04FF5">
            <w:pPr>
              <w:ind w:left="13"/>
              <w:jc w:val="center"/>
              <w:rPr>
                <w:sz w:val="16"/>
                <w:szCs w:val="16"/>
                <w:highlight w:val="yellow"/>
                <w:lang w:val="es-DO"/>
              </w:rPr>
            </w:pPr>
            <w:r w:rsidRPr="00B1519C">
              <w:rPr>
                <w:sz w:val="16"/>
                <w:szCs w:val="16"/>
                <w:lang w:val="es-DO"/>
              </w:rPr>
              <w:t>100%</w:t>
            </w:r>
          </w:p>
        </w:tc>
      </w:tr>
      <w:tr w:rsidR="00A5394C" w:rsidRPr="000904E0" w14:paraId="608FFFB1" w14:textId="77777777" w:rsidTr="00A5394C">
        <w:trPr>
          <w:trHeight w:val="375"/>
        </w:trPr>
        <w:tc>
          <w:tcPr>
            <w:tcW w:w="6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6749FB6C" w14:textId="77777777" w:rsidR="00A5394C" w:rsidRPr="008A728D" w:rsidRDefault="00A5394C" w:rsidP="00A04FF5">
            <w:pPr>
              <w:ind w:left="132"/>
              <w:rPr>
                <w:sz w:val="16"/>
                <w:szCs w:val="16"/>
                <w:lang w:val="es-DO"/>
              </w:rPr>
            </w:pPr>
            <w:r w:rsidRPr="008A728D">
              <w:rPr>
                <w:rFonts w:eastAsia="Times New Roman"/>
                <w:b/>
                <w:sz w:val="16"/>
                <w:szCs w:val="16"/>
                <w:lang w:val="es-DO"/>
              </w:rPr>
              <w:t xml:space="preserve">Total, General </w:t>
            </w:r>
            <w:r w:rsidRPr="008A728D">
              <w:rPr>
                <w:rFonts w:eastAsia="Times New Roman"/>
                <w:sz w:val="16"/>
                <w:szCs w:val="16"/>
                <w:lang w:val="es-DO"/>
              </w:rPr>
              <w:t xml:space="preserve"> </w:t>
            </w:r>
          </w:p>
        </w:tc>
        <w:tc>
          <w:tcPr>
            <w:tcW w:w="113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1C3F3EAB" w14:textId="77777777" w:rsidR="00A5394C" w:rsidRPr="008A728D" w:rsidRDefault="00A5394C" w:rsidP="00A04FF5">
            <w:pPr>
              <w:ind w:left="74"/>
              <w:rPr>
                <w:sz w:val="16"/>
                <w:szCs w:val="16"/>
                <w:lang w:val="es-DO"/>
              </w:rPr>
            </w:pPr>
            <w:r w:rsidRPr="008A728D">
              <w:rPr>
                <w:rFonts w:eastAsia="Times New Roman"/>
                <w:sz w:val="16"/>
                <w:szCs w:val="16"/>
                <w:lang w:val="es-DO"/>
              </w:rPr>
              <w:t xml:space="preserve">  </w:t>
            </w:r>
          </w:p>
        </w:tc>
        <w:tc>
          <w:tcPr>
            <w:tcW w:w="76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4153F732" w14:textId="77777777" w:rsidR="00A5394C" w:rsidRPr="008A728D" w:rsidRDefault="00A5394C" w:rsidP="00A04FF5">
            <w:pPr>
              <w:jc w:val="center"/>
              <w:rPr>
                <w:sz w:val="16"/>
                <w:szCs w:val="16"/>
                <w:lang w:val="es-DO"/>
              </w:rPr>
            </w:pPr>
            <w:r w:rsidRPr="008A728D">
              <w:rPr>
                <w:sz w:val="16"/>
                <w:szCs w:val="16"/>
                <w:lang w:val="es-DO"/>
              </w:rPr>
              <w:t>790,110,913.55</w:t>
            </w:r>
          </w:p>
        </w:tc>
        <w:tc>
          <w:tcPr>
            <w:tcW w:w="68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4D3F012B" w14:textId="77777777" w:rsidR="00A5394C" w:rsidRPr="00520A17" w:rsidRDefault="00A5394C" w:rsidP="00A04FF5">
            <w:pPr>
              <w:jc w:val="center"/>
              <w:rPr>
                <w:sz w:val="16"/>
                <w:szCs w:val="16"/>
                <w:highlight w:val="yellow"/>
                <w:lang w:val="es-DO"/>
              </w:rPr>
            </w:pPr>
            <w:r w:rsidRPr="00BC13FE">
              <w:rPr>
                <w:rFonts w:eastAsia="Times New Roman"/>
                <w:b/>
                <w:sz w:val="16"/>
                <w:szCs w:val="16"/>
                <w:lang w:val="es-DO"/>
              </w:rPr>
              <w:t>5</w:t>
            </w:r>
            <w:r>
              <w:rPr>
                <w:rFonts w:eastAsia="Times New Roman"/>
                <w:b/>
                <w:sz w:val="16"/>
                <w:szCs w:val="16"/>
                <w:lang w:val="es-DO"/>
              </w:rPr>
              <w:t>13,967,202.88</w:t>
            </w:r>
          </w:p>
        </w:tc>
        <w:tc>
          <w:tcPr>
            <w:tcW w:w="5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051CBDD2" w14:textId="77777777" w:rsidR="00A5394C" w:rsidRPr="008A728D" w:rsidRDefault="00A5394C" w:rsidP="00A04FF5">
            <w:pPr>
              <w:ind w:left="10"/>
              <w:jc w:val="center"/>
              <w:rPr>
                <w:b/>
                <w:sz w:val="16"/>
                <w:szCs w:val="16"/>
                <w:lang w:val="es-DO"/>
              </w:rPr>
            </w:pPr>
            <w:r w:rsidRPr="008A728D">
              <w:rPr>
                <w:b/>
                <w:sz w:val="16"/>
                <w:szCs w:val="16"/>
                <w:lang w:val="es-DO"/>
              </w:rPr>
              <w:t>1</w:t>
            </w:r>
          </w:p>
        </w:tc>
        <w:tc>
          <w:tcPr>
            <w:tcW w:w="46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vAlign w:val="center"/>
          </w:tcPr>
          <w:p w14:paraId="3AAAC3AF" w14:textId="77777777" w:rsidR="00A5394C" w:rsidRPr="00BC13FE" w:rsidRDefault="00A5394C" w:rsidP="00A04FF5">
            <w:pPr>
              <w:ind w:left="74"/>
              <w:jc w:val="center"/>
              <w:rPr>
                <w:b/>
                <w:sz w:val="16"/>
                <w:szCs w:val="16"/>
                <w:lang w:val="es-DO"/>
              </w:rPr>
            </w:pPr>
            <w:r>
              <w:rPr>
                <w:rFonts w:eastAsia="Times New Roman"/>
                <w:b/>
                <w:sz w:val="16"/>
                <w:szCs w:val="16"/>
                <w:lang w:val="es-DO"/>
              </w:rPr>
              <w:t xml:space="preserve"> </w:t>
            </w:r>
            <w:r w:rsidRPr="00BC13FE">
              <w:rPr>
                <w:rFonts w:eastAsia="Times New Roman"/>
                <w:b/>
                <w:sz w:val="16"/>
                <w:szCs w:val="16"/>
                <w:lang w:val="es-DO"/>
              </w:rPr>
              <w:t>65%</w:t>
            </w:r>
          </w:p>
        </w:tc>
        <w:tc>
          <w:tcPr>
            <w:tcW w:w="707" w:type="pct"/>
            <w:vMerge/>
            <w:tcBorders>
              <w:left w:val="single" w:sz="8" w:space="0" w:color="000000" w:themeColor="text1"/>
              <w:bottom w:val="single" w:sz="8" w:space="0" w:color="000000" w:themeColor="text1"/>
              <w:right w:val="single" w:sz="8" w:space="0" w:color="000000" w:themeColor="text1"/>
            </w:tcBorders>
            <w:shd w:val="clear" w:color="auto" w:fill="D9D9D9"/>
            <w:vAlign w:val="center"/>
          </w:tcPr>
          <w:p w14:paraId="4421D25D" w14:textId="77777777" w:rsidR="00A5394C" w:rsidRPr="00CB1A95" w:rsidRDefault="00A5394C" w:rsidP="00A04FF5">
            <w:pPr>
              <w:ind w:left="69"/>
              <w:jc w:val="center"/>
              <w:rPr>
                <w:b/>
                <w:sz w:val="16"/>
                <w:szCs w:val="16"/>
                <w:lang w:val="es-DO"/>
              </w:rPr>
            </w:pPr>
          </w:p>
        </w:tc>
      </w:tr>
    </w:tbl>
    <w:p w14:paraId="32F791AA" w14:textId="5E9BE758" w:rsidR="005310B7" w:rsidRDefault="005310B7" w:rsidP="005310B7">
      <w:pPr>
        <w:rPr>
          <w:lang w:val="es-ES"/>
        </w:rPr>
      </w:pPr>
    </w:p>
    <w:p w14:paraId="62D6D96D" w14:textId="77777777" w:rsidR="005310B7" w:rsidRPr="005310B7" w:rsidRDefault="005310B7" w:rsidP="005310B7">
      <w:pPr>
        <w:rPr>
          <w:lang w:val="es-ES"/>
        </w:rPr>
      </w:pPr>
    </w:p>
    <w:p w14:paraId="307318B9" w14:textId="08B51516" w:rsidR="00485B71" w:rsidRPr="005310B7" w:rsidRDefault="00A04FF5" w:rsidP="00A04FF5">
      <w:pPr>
        <w:pStyle w:val="Ttulo1"/>
        <w:jc w:val="left"/>
        <w:rPr>
          <w:noProof/>
          <w:color w:val="595959" w:themeColor="text1" w:themeTint="A6"/>
          <w:sz w:val="24"/>
          <w:szCs w:val="26"/>
          <w:lang w:val="es-ES"/>
        </w:rPr>
      </w:pPr>
      <w:bookmarkStart w:id="62" w:name="_Toc216875887"/>
      <w:r>
        <w:rPr>
          <w:noProof/>
          <w:color w:val="595959" w:themeColor="text1" w:themeTint="A6"/>
          <w:sz w:val="24"/>
          <w:szCs w:val="26"/>
          <w:lang w:val="es-ES"/>
        </w:rPr>
        <w:t xml:space="preserve">C. </w:t>
      </w:r>
      <w:r w:rsidR="00A70DE5" w:rsidRPr="005310B7">
        <w:rPr>
          <w:noProof/>
          <w:color w:val="595959" w:themeColor="text1" w:themeTint="A6"/>
          <w:sz w:val="24"/>
          <w:szCs w:val="26"/>
          <w:lang w:val="es-ES"/>
        </w:rPr>
        <w:t xml:space="preserve">Matriz de </w:t>
      </w:r>
      <w:r>
        <w:rPr>
          <w:noProof/>
          <w:color w:val="595959" w:themeColor="text1" w:themeTint="A6"/>
          <w:sz w:val="24"/>
          <w:szCs w:val="26"/>
          <w:lang w:val="es-ES"/>
        </w:rPr>
        <w:t>Ejecución</w:t>
      </w:r>
      <w:r w:rsidR="00841CEC" w:rsidRPr="005310B7">
        <w:rPr>
          <w:noProof/>
          <w:color w:val="595959" w:themeColor="text1" w:themeTint="A6"/>
          <w:sz w:val="24"/>
          <w:szCs w:val="26"/>
          <w:lang w:val="es-ES"/>
        </w:rPr>
        <w:t xml:space="preserve"> Presupuestaria Por Objeto del Gasto, del 01 de enero al 31 de octubre 2025 y proyecciones de cierre.</w:t>
      </w:r>
      <w:bookmarkEnd w:id="62"/>
    </w:p>
    <w:tbl>
      <w:tblPr>
        <w:tblStyle w:val="TableNormal"/>
        <w:tblW w:w="820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7"/>
        <w:gridCol w:w="1166"/>
        <w:gridCol w:w="1331"/>
        <w:gridCol w:w="1497"/>
        <w:gridCol w:w="831"/>
        <w:gridCol w:w="416"/>
        <w:gridCol w:w="1081"/>
      </w:tblGrid>
      <w:tr w:rsidR="00246D3B" w:rsidRPr="00246D3B" w14:paraId="0D6FD4DA" w14:textId="77777777" w:rsidTr="00246D3B">
        <w:trPr>
          <w:trHeight w:val="1207"/>
        </w:trPr>
        <w:tc>
          <w:tcPr>
            <w:tcW w:w="1887" w:type="dxa"/>
            <w:shd w:val="clear" w:color="auto" w:fill="001F5F"/>
          </w:tcPr>
          <w:p w14:paraId="4E051F93" w14:textId="77777777" w:rsidR="00841CEC" w:rsidRPr="00246D3B" w:rsidRDefault="00841CEC" w:rsidP="00841CEC">
            <w:pPr>
              <w:pStyle w:val="TableParagraph"/>
              <w:rPr>
                <w:rFonts w:ascii="Times New Roman" w:hAnsi="Times New Roman" w:cs="Times New Roman"/>
                <w:b/>
                <w:color w:val="FFFFFF" w:themeColor="background1"/>
                <w:sz w:val="16"/>
                <w:szCs w:val="16"/>
              </w:rPr>
            </w:pPr>
            <w:bookmarkStart w:id="63" w:name="_Hlk217304999"/>
          </w:p>
          <w:p w14:paraId="35992A63" w14:textId="77777777" w:rsidR="00841CEC" w:rsidRPr="00246D3B" w:rsidRDefault="00841CEC" w:rsidP="00841CEC">
            <w:pPr>
              <w:pStyle w:val="TableParagraph"/>
              <w:spacing w:before="70"/>
              <w:rPr>
                <w:rFonts w:ascii="Times New Roman" w:hAnsi="Times New Roman" w:cs="Times New Roman"/>
                <w:b/>
                <w:color w:val="FFFFFF" w:themeColor="background1"/>
                <w:sz w:val="16"/>
                <w:szCs w:val="16"/>
              </w:rPr>
            </w:pPr>
          </w:p>
          <w:p w14:paraId="4FFBE597" w14:textId="77777777" w:rsidR="00841CEC" w:rsidRPr="00246D3B" w:rsidRDefault="00841CEC" w:rsidP="00841CEC">
            <w:pPr>
              <w:pStyle w:val="TableParagraph"/>
              <w:ind w:left="107"/>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4"/>
                <w:sz w:val="16"/>
                <w:szCs w:val="16"/>
              </w:rPr>
              <w:t>OBJETO</w:t>
            </w:r>
          </w:p>
        </w:tc>
        <w:tc>
          <w:tcPr>
            <w:tcW w:w="1165" w:type="dxa"/>
            <w:shd w:val="clear" w:color="auto" w:fill="001F5F"/>
          </w:tcPr>
          <w:p w14:paraId="0DA3B297" w14:textId="77777777" w:rsidR="00841CEC" w:rsidRPr="00246D3B" w:rsidRDefault="00841CEC" w:rsidP="00841CEC">
            <w:pPr>
              <w:pStyle w:val="TableParagraph"/>
              <w:spacing w:before="168"/>
              <w:rPr>
                <w:rFonts w:ascii="Times New Roman" w:hAnsi="Times New Roman" w:cs="Times New Roman"/>
                <w:b/>
                <w:color w:val="FFFFFF" w:themeColor="background1"/>
                <w:sz w:val="16"/>
                <w:szCs w:val="16"/>
              </w:rPr>
            </w:pPr>
          </w:p>
          <w:p w14:paraId="5C071170" w14:textId="77777777" w:rsidR="00841CEC" w:rsidRPr="00246D3B" w:rsidRDefault="00841CEC" w:rsidP="00841CEC">
            <w:pPr>
              <w:pStyle w:val="TableParagraph"/>
              <w:spacing w:line="276" w:lineRule="auto"/>
              <w:ind w:left="107" w:right="198"/>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5"/>
                <w:sz w:val="16"/>
                <w:szCs w:val="16"/>
              </w:rPr>
              <w:t>Presupu</w:t>
            </w:r>
            <w:r w:rsidRPr="00246D3B">
              <w:rPr>
                <w:rFonts w:ascii="Times New Roman" w:hAnsi="Times New Roman" w:cs="Times New Roman"/>
                <w:b/>
                <w:color w:val="FFFFFF" w:themeColor="background1"/>
                <w:spacing w:val="10"/>
                <w:sz w:val="16"/>
                <w:szCs w:val="16"/>
              </w:rPr>
              <w:t>esto</w:t>
            </w:r>
          </w:p>
          <w:p w14:paraId="1634D393" w14:textId="77777777" w:rsidR="00841CEC" w:rsidRPr="00246D3B" w:rsidRDefault="00841CEC" w:rsidP="00841CEC">
            <w:pPr>
              <w:pStyle w:val="TableParagraph"/>
              <w:spacing w:line="229" w:lineRule="exact"/>
              <w:ind w:left="107"/>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4"/>
                <w:sz w:val="16"/>
                <w:szCs w:val="16"/>
              </w:rPr>
              <w:t>Inicial</w:t>
            </w:r>
          </w:p>
        </w:tc>
        <w:tc>
          <w:tcPr>
            <w:tcW w:w="1331" w:type="dxa"/>
            <w:shd w:val="clear" w:color="auto" w:fill="001F5F"/>
          </w:tcPr>
          <w:p w14:paraId="03A578BC" w14:textId="77777777" w:rsidR="00841CEC" w:rsidRPr="00246D3B" w:rsidRDefault="00841CEC" w:rsidP="00841CEC">
            <w:pPr>
              <w:pStyle w:val="TableParagraph"/>
              <w:spacing w:before="36"/>
              <w:rPr>
                <w:rFonts w:ascii="Times New Roman" w:hAnsi="Times New Roman" w:cs="Times New Roman"/>
                <w:b/>
                <w:color w:val="FFFFFF" w:themeColor="background1"/>
                <w:sz w:val="16"/>
                <w:szCs w:val="16"/>
              </w:rPr>
            </w:pPr>
          </w:p>
          <w:p w14:paraId="7E157EF6" w14:textId="77777777" w:rsidR="00841CEC" w:rsidRPr="00246D3B" w:rsidRDefault="00841CEC" w:rsidP="00841CEC">
            <w:pPr>
              <w:pStyle w:val="TableParagraph"/>
              <w:spacing w:line="276" w:lineRule="auto"/>
              <w:ind w:left="10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5"/>
                <w:sz w:val="16"/>
                <w:szCs w:val="16"/>
              </w:rPr>
              <w:t>Presupue</w:t>
            </w:r>
            <w:r w:rsidRPr="00246D3B">
              <w:rPr>
                <w:rFonts w:ascii="Times New Roman" w:hAnsi="Times New Roman" w:cs="Times New Roman"/>
                <w:b/>
                <w:color w:val="FFFFFF" w:themeColor="background1"/>
                <w:spacing w:val="8"/>
                <w:sz w:val="16"/>
                <w:szCs w:val="16"/>
              </w:rPr>
              <w:t>sto</w:t>
            </w:r>
          </w:p>
          <w:p w14:paraId="19B4AC30" w14:textId="77777777" w:rsidR="00841CEC" w:rsidRPr="00246D3B" w:rsidRDefault="00841CEC" w:rsidP="00841CEC">
            <w:pPr>
              <w:pStyle w:val="TableParagraph"/>
              <w:spacing w:line="229" w:lineRule="exact"/>
              <w:ind w:left="10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4"/>
                <w:sz w:val="16"/>
                <w:szCs w:val="16"/>
              </w:rPr>
              <w:t>Vigente</w:t>
            </w:r>
          </w:p>
        </w:tc>
        <w:tc>
          <w:tcPr>
            <w:tcW w:w="1497" w:type="dxa"/>
            <w:shd w:val="clear" w:color="auto" w:fill="001F5F"/>
          </w:tcPr>
          <w:p w14:paraId="433E7AFD" w14:textId="77777777" w:rsidR="00841CEC" w:rsidRPr="00246D3B" w:rsidRDefault="00841CEC" w:rsidP="00841CEC">
            <w:pPr>
              <w:pStyle w:val="TableParagraph"/>
              <w:spacing w:before="134" w:line="276" w:lineRule="auto"/>
              <w:ind w:left="106" w:right="19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5"/>
                <w:sz w:val="16"/>
                <w:szCs w:val="16"/>
              </w:rPr>
              <w:t>Presupu</w:t>
            </w:r>
            <w:r w:rsidRPr="00246D3B">
              <w:rPr>
                <w:rFonts w:ascii="Times New Roman" w:hAnsi="Times New Roman" w:cs="Times New Roman"/>
                <w:b/>
                <w:color w:val="FFFFFF" w:themeColor="background1"/>
                <w:spacing w:val="10"/>
                <w:sz w:val="16"/>
                <w:szCs w:val="16"/>
              </w:rPr>
              <w:t>esto</w:t>
            </w:r>
          </w:p>
          <w:p w14:paraId="4F0115AC" w14:textId="77777777" w:rsidR="00841CEC" w:rsidRPr="00246D3B" w:rsidRDefault="00841CEC" w:rsidP="00841CEC">
            <w:pPr>
              <w:pStyle w:val="TableParagraph"/>
              <w:spacing w:line="276" w:lineRule="auto"/>
              <w:ind w:left="106" w:right="7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5"/>
                <w:sz w:val="16"/>
                <w:szCs w:val="16"/>
              </w:rPr>
              <w:t>Ejecutad</w:t>
            </w:r>
            <w:r w:rsidRPr="00246D3B">
              <w:rPr>
                <w:rFonts w:ascii="Times New Roman" w:hAnsi="Times New Roman" w:cs="Times New Roman"/>
                <w:b/>
                <w:color w:val="FFFFFF" w:themeColor="background1"/>
                <w:spacing w:val="-10"/>
                <w:sz w:val="16"/>
                <w:szCs w:val="16"/>
              </w:rPr>
              <w:t>o</w:t>
            </w:r>
          </w:p>
        </w:tc>
        <w:tc>
          <w:tcPr>
            <w:tcW w:w="1247" w:type="dxa"/>
            <w:gridSpan w:val="2"/>
            <w:shd w:val="clear" w:color="auto" w:fill="001F5F"/>
          </w:tcPr>
          <w:p w14:paraId="77A9588C" w14:textId="77777777" w:rsidR="00841CEC" w:rsidRPr="00246D3B" w:rsidRDefault="00841CEC" w:rsidP="00841CEC">
            <w:pPr>
              <w:pStyle w:val="TableParagraph"/>
              <w:ind w:left="10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0"/>
                <w:sz w:val="16"/>
                <w:szCs w:val="16"/>
              </w:rPr>
              <w:t>%</w:t>
            </w:r>
          </w:p>
          <w:p w14:paraId="36B6F6BC" w14:textId="77777777" w:rsidR="00841CEC" w:rsidRPr="00246D3B" w:rsidRDefault="00841CEC" w:rsidP="00841CEC">
            <w:pPr>
              <w:pStyle w:val="TableParagraph"/>
              <w:spacing w:before="36" w:line="276" w:lineRule="auto"/>
              <w:ind w:left="106" w:right="18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6"/>
                <w:sz w:val="16"/>
                <w:szCs w:val="16"/>
              </w:rPr>
              <w:t xml:space="preserve">de </w:t>
            </w:r>
            <w:r w:rsidRPr="00246D3B">
              <w:rPr>
                <w:rFonts w:ascii="Times New Roman" w:hAnsi="Times New Roman" w:cs="Times New Roman"/>
                <w:b/>
                <w:color w:val="FFFFFF" w:themeColor="background1"/>
                <w:spacing w:val="8"/>
                <w:sz w:val="16"/>
                <w:szCs w:val="16"/>
              </w:rPr>
              <w:t>Eje</w:t>
            </w:r>
            <w:r w:rsidRPr="00246D3B">
              <w:rPr>
                <w:rFonts w:ascii="Times New Roman" w:hAnsi="Times New Roman" w:cs="Times New Roman"/>
                <w:b/>
                <w:color w:val="FFFFFF" w:themeColor="background1"/>
                <w:spacing w:val="10"/>
                <w:sz w:val="16"/>
                <w:szCs w:val="16"/>
              </w:rPr>
              <w:t>cuci</w:t>
            </w:r>
            <w:r w:rsidRPr="00246D3B">
              <w:rPr>
                <w:rFonts w:ascii="Times New Roman" w:hAnsi="Times New Roman" w:cs="Times New Roman"/>
                <w:b/>
                <w:color w:val="FFFFFF" w:themeColor="background1"/>
                <w:spacing w:val="5"/>
                <w:sz w:val="16"/>
                <w:szCs w:val="16"/>
              </w:rPr>
              <w:t xml:space="preserve">ón </w:t>
            </w:r>
          </w:p>
        </w:tc>
        <w:tc>
          <w:tcPr>
            <w:tcW w:w="1080" w:type="dxa"/>
            <w:shd w:val="clear" w:color="auto" w:fill="001F5F"/>
          </w:tcPr>
          <w:p w14:paraId="24245826" w14:textId="77777777" w:rsidR="00841CEC" w:rsidRPr="00246D3B" w:rsidRDefault="00841CEC" w:rsidP="00841CEC">
            <w:pPr>
              <w:pStyle w:val="TableParagraph"/>
              <w:spacing w:before="36"/>
              <w:rPr>
                <w:rFonts w:ascii="Times New Roman" w:hAnsi="Times New Roman" w:cs="Times New Roman"/>
                <w:b/>
                <w:color w:val="FFFFFF" w:themeColor="background1"/>
                <w:sz w:val="16"/>
                <w:szCs w:val="16"/>
              </w:rPr>
            </w:pPr>
          </w:p>
          <w:p w14:paraId="21567915" w14:textId="77777777" w:rsidR="00841CEC" w:rsidRPr="00246D3B" w:rsidRDefault="00841CEC" w:rsidP="00841CEC">
            <w:pPr>
              <w:pStyle w:val="TableParagraph"/>
              <w:tabs>
                <w:tab w:val="left" w:pos="824"/>
              </w:tabs>
              <w:spacing w:line="276" w:lineRule="auto"/>
              <w:ind w:left="107" w:right="110"/>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5"/>
                <w:sz w:val="16"/>
                <w:szCs w:val="16"/>
              </w:rPr>
              <w:t>Proyecci</w:t>
            </w:r>
            <w:r w:rsidRPr="00246D3B">
              <w:rPr>
                <w:rFonts w:ascii="Times New Roman" w:hAnsi="Times New Roman" w:cs="Times New Roman"/>
                <w:b/>
                <w:color w:val="FFFFFF" w:themeColor="background1"/>
                <w:spacing w:val="5"/>
                <w:sz w:val="16"/>
                <w:szCs w:val="16"/>
              </w:rPr>
              <w:t xml:space="preserve">ón </w:t>
            </w:r>
            <w:r w:rsidRPr="00246D3B">
              <w:rPr>
                <w:rFonts w:ascii="Times New Roman" w:hAnsi="Times New Roman" w:cs="Times New Roman"/>
                <w:b/>
                <w:color w:val="FFFFFF" w:themeColor="background1"/>
                <w:spacing w:val="-5"/>
                <w:sz w:val="16"/>
                <w:szCs w:val="16"/>
              </w:rPr>
              <w:t>al</w:t>
            </w:r>
            <w:r w:rsidRPr="00246D3B">
              <w:rPr>
                <w:rFonts w:ascii="Times New Roman" w:hAnsi="Times New Roman" w:cs="Times New Roman"/>
                <w:b/>
                <w:color w:val="FFFFFF" w:themeColor="background1"/>
                <w:sz w:val="16"/>
                <w:szCs w:val="16"/>
              </w:rPr>
              <w:t xml:space="preserve"> </w:t>
            </w:r>
            <w:r w:rsidRPr="00246D3B">
              <w:rPr>
                <w:rFonts w:ascii="Times New Roman" w:hAnsi="Times New Roman" w:cs="Times New Roman"/>
                <w:b/>
                <w:color w:val="FFFFFF" w:themeColor="background1"/>
                <w:spacing w:val="14"/>
                <w:sz w:val="16"/>
                <w:szCs w:val="16"/>
              </w:rPr>
              <w:t>cierre</w:t>
            </w:r>
          </w:p>
        </w:tc>
      </w:tr>
      <w:tr w:rsidR="00246D3B" w:rsidRPr="00246D3B" w14:paraId="63B410B2" w14:textId="77777777" w:rsidTr="00246D3B">
        <w:trPr>
          <w:trHeight w:val="687"/>
        </w:trPr>
        <w:tc>
          <w:tcPr>
            <w:tcW w:w="1887" w:type="dxa"/>
            <w:shd w:val="clear" w:color="auto" w:fill="001F5F"/>
          </w:tcPr>
          <w:p w14:paraId="164567D8" w14:textId="77777777" w:rsidR="00841CEC" w:rsidRPr="00246D3B" w:rsidRDefault="00841CEC" w:rsidP="00841CEC">
            <w:pPr>
              <w:pStyle w:val="TableParagraph"/>
              <w:spacing w:before="134"/>
              <w:ind w:left="107"/>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4"/>
                <w:sz w:val="16"/>
                <w:szCs w:val="16"/>
              </w:rPr>
              <w:t>GASTOS</w:t>
            </w:r>
          </w:p>
        </w:tc>
        <w:tc>
          <w:tcPr>
            <w:tcW w:w="1165" w:type="dxa"/>
            <w:shd w:val="clear" w:color="auto" w:fill="001F5F"/>
          </w:tcPr>
          <w:p w14:paraId="7FAD893B" w14:textId="77777777" w:rsidR="00841CEC" w:rsidRPr="00246D3B" w:rsidRDefault="00841CEC" w:rsidP="00841CEC">
            <w:pPr>
              <w:pStyle w:val="TableParagraph"/>
              <w:spacing w:before="2"/>
              <w:ind w:left="107"/>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692</w:t>
            </w:r>
            <w:r w:rsidRPr="00246D3B">
              <w:rPr>
                <w:rFonts w:ascii="Times New Roman" w:hAnsi="Times New Roman" w:cs="Times New Roman"/>
                <w:b/>
                <w:color w:val="FFFFFF" w:themeColor="background1"/>
                <w:spacing w:val="-28"/>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11"/>
                <w:sz w:val="16"/>
                <w:szCs w:val="16"/>
              </w:rPr>
              <w:t>073</w:t>
            </w:r>
            <w:r w:rsidRPr="00246D3B">
              <w:rPr>
                <w:rFonts w:ascii="Times New Roman" w:hAnsi="Times New Roman" w:cs="Times New Roman"/>
                <w:b/>
                <w:color w:val="FFFFFF" w:themeColor="background1"/>
                <w:spacing w:val="-27"/>
                <w:sz w:val="16"/>
                <w:szCs w:val="16"/>
              </w:rPr>
              <w:t xml:space="preserve"> </w:t>
            </w:r>
            <w:r w:rsidRPr="00246D3B">
              <w:rPr>
                <w:rFonts w:ascii="Times New Roman" w:hAnsi="Times New Roman" w:cs="Times New Roman"/>
                <w:b/>
                <w:color w:val="FFFFFF" w:themeColor="background1"/>
                <w:spacing w:val="-10"/>
                <w:sz w:val="16"/>
                <w:szCs w:val="16"/>
              </w:rPr>
              <w:t>,</w:t>
            </w:r>
          </w:p>
          <w:p w14:paraId="3F768C60" w14:textId="77777777" w:rsidR="00841CEC" w:rsidRPr="00246D3B" w:rsidRDefault="00841CEC" w:rsidP="00841CEC">
            <w:pPr>
              <w:pStyle w:val="TableParagraph"/>
              <w:spacing w:before="34"/>
              <w:ind w:left="107"/>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784</w:t>
            </w:r>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5"/>
                <w:sz w:val="16"/>
                <w:szCs w:val="16"/>
              </w:rPr>
              <w:t>00</w:t>
            </w:r>
          </w:p>
        </w:tc>
        <w:tc>
          <w:tcPr>
            <w:tcW w:w="1331" w:type="dxa"/>
            <w:shd w:val="clear" w:color="auto" w:fill="001F5F"/>
          </w:tcPr>
          <w:p w14:paraId="41F4271A" w14:textId="77777777" w:rsidR="00841CEC" w:rsidRPr="00246D3B" w:rsidRDefault="00841CEC" w:rsidP="00841CEC">
            <w:pPr>
              <w:pStyle w:val="TableParagraph"/>
              <w:spacing w:before="2"/>
              <w:ind w:left="106"/>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692</w:t>
            </w:r>
            <w:r w:rsidRPr="00246D3B">
              <w:rPr>
                <w:rFonts w:ascii="Times New Roman" w:hAnsi="Times New Roman" w:cs="Times New Roman"/>
                <w:b/>
                <w:color w:val="FFFFFF" w:themeColor="background1"/>
                <w:spacing w:val="-28"/>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11"/>
                <w:sz w:val="16"/>
                <w:szCs w:val="16"/>
              </w:rPr>
              <w:t>073</w:t>
            </w:r>
            <w:r w:rsidRPr="00246D3B">
              <w:rPr>
                <w:rFonts w:ascii="Times New Roman" w:hAnsi="Times New Roman" w:cs="Times New Roman"/>
                <w:b/>
                <w:color w:val="FFFFFF" w:themeColor="background1"/>
                <w:spacing w:val="-27"/>
                <w:sz w:val="16"/>
                <w:szCs w:val="16"/>
              </w:rPr>
              <w:t xml:space="preserve"> </w:t>
            </w:r>
            <w:r w:rsidRPr="00246D3B">
              <w:rPr>
                <w:rFonts w:ascii="Times New Roman" w:hAnsi="Times New Roman" w:cs="Times New Roman"/>
                <w:b/>
                <w:color w:val="FFFFFF" w:themeColor="background1"/>
                <w:spacing w:val="-10"/>
                <w:sz w:val="16"/>
                <w:szCs w:val="16"/>
              </w:rPr>
              <w:t>,</w:t>
            </w:r>
          </w:p>
          <w:p w14:paraId="4E8CDD52" w14:textId="77777777" w:rsidR="00841CEC" w:rsidRPr="00246D3B" w:rsidRDefault="00841CEC" w:rsidP="00841CEC">
            <w:pPr>
              <w:pStyle w:val="TableParagraph"/>
              <w:spacing w:before="34"/>
              <w:ind w:left="106"/>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784</w:t>
            </w:r>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5"/>
                <w:sz w:val="16"/>
                <w:szCs w:val="16"/>
              </w:rPr>
              <w:t>00</w:t>
            </w:r>
          </w:p>
        </w:tc>
        <w:tc>
          <w:tcPr>
            <w:tcW w:w="1497" w:type="dxa"/>
            <w:shd w:val="clear" w:color="auto" w:fill="001F5F"/>
          </w:tcPr>
          <w:p w14:paraId="0D137A91" w14:textId="77777777" w:rsidR="00841CEC" w:rsidRPr="00246D3B" w:rsidRDefault="00841CEC" w:rsidP="00841CEC">
            <w:pPr>
              <w:pStyle w:val="TableParagraph"/>
              <w:spacing w:before="2"/>
              <w:ind w:left="106"/>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479</w:t>
            </w:r>
            <w:r w:rsidRPr="00246D3B">
              <w:rPr>
                <w:rFonts w:ascii="Times New Roman" w:hAnsi="Times New Roman" w:cs="Times New Roman"/>
                <w:b/>
                <w:color w:val="FFFFFF" w:themeColor="background1"/>
                <w:spacing w:val="-28"/>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11"/>
                <w:sz w:val="16"/>
                <w:szCs w:val="16"/>
              </w:rPr>
              <w:t>986</w:t>
            </w:r>
            <w:r w:rsidRPr="00246D3B">
              <w:rPr>
                <w:rFonts w:ascii="Times New Roman" w:hAnsi="Times New Roman" w:cs="Times New Roman"/>
                <w:b/>
                <w:color w:val="FFFFFF" w:themeColor="background1"/>
                <w:spacing w:val="-27"/>
                <w:sz w:val="16"/>
                <w:szCs w:val="16"/>
              </w:rPr>
              <w:t xml:space="preserve"> </w:t>
            </w:r>
            <w:r w:rsidRPr="00246D3B">
              <w:rPr>
                <w:rFonts w:ascii="Times New Roman" w:hAnsi="Times New Roman" w:cs="Times New Roman"/>
                <w:b/>
                <w:color w:val="FFFFFF" w:themeColor="background1"/>
                <w:spacing w:val="-10"/>
                <w:sz w:val="16"/>
                <w:szCs w:val="16"/>
              </w:rPr>
              <w:t>,</w:t>
            </w:r>
          </w:p>
          <w:p w14:paraId="3F51D61B" w14:textId="77777777" w:rsidR="00841CEC" w:rsidRPr="00246D3B" w:rsidRDefault="00841CEC" w:rsidP="00841CEC">
            <w:pPr>
              <w:pStyle w:val="TableParagraph"/>
              <w:spacing w:before="34"/>
              <w:ind w:left="106"/>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256</w:t>
            </w:r>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5"/>
                <w:sz w:val="16"/>
                <w:szCs w:val="16"/>
              </w:rPr>
              <w:t>14</w:t>
            </w:r>
          </w:p>
        </w:tc>
        <w:tc>
          <w:tcPr>
            <w:tcW w:w="1247" w:type="dxa"/>
            <w:gridSpan w:val="2"/>
            <w:shd w:val="clear" w:color="auto" w:fill="001F5F"/>
          </w:tcPr>
          <w:p w14:paraId="418FA3F3" w14:textId="77777777" w:rsidR="00841CEC" w:rsidRPr="00246D3B" w:rsidRDefault="00841CEC" w:rsidP="00841CEC">
            <w:pPr>
              <w:pStyle w:val="TableParagraph"/>
              <w:spacing w:before="2"/>
              <w:ind w:left="10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5"/>
                <w:sz w:val="16"/>
                <w:szCs w:val="16"/>
              </w:rPr>
              <w:t xml:space="preserve">69 </w:t>
            </w:r>
          </w:p>
          <w:p w14:paraId="3E916876" w14:textId="77777777" w:rsidR="00841CEC" w:rsidRPr="00246D3B" w:rsidRDefault="00841CEC" w:rsidP="00841CEC">
            <w:pPr>
              <w:pStyle w:val="TableParagraph"/>
              <w:spacing w:before="34"/>
              <w:ind w:left="106"/>
              <w:rPr>
                <w:rFonts w:ascii="Times New Roman" w:hAnsi="Times New Roman" w:cs="Times New Roman"/>
                <w:b/>
                <w:color w:val="FFFFFF" w:themeColor="background1"/>
                <w:sz w:val="16"/>
                <w:szCs w:val="16"/>
              </w:rPr>
            </w:pPr>
            <w:r w:rsidRPr="00246D3B">
              <w:rPr>
                <w:rFonts w:ascii="Times New Roman" w:hAnsi="Times New Roman" w:cs="Times New Roman"/>
                <w:b/>
                <w:color w:val="FFFFFF" w:themeColor="background1"/>
                <w:spacing w:val="-10"/>
                <w:sz w:val="16"/>
                <w:szCs w:val="16"/>
              </w:rPr>
              <w:t>%</w:t>
            </w:r>
          </w:p>
        </w:tc>
        <w:tc>
          <w:tcPr>
            <w:tcW w:w="1080" w:type="dxa"/>
            <w:shd w:val="clear" w:color="auto" w:fill="001F5F"/>
          </w:tcPr>
          <w:p w14:paraId="6B613FC5" w14:textId="77777777" w:rsidR="00841CEC" w:rsidRPr="00246D3B" w:rsidRDefault="00841CEC" w:rsidP="00841CEC">
            <w:pPr>
              <w:pStyle w:val="TableParagraph"/>
              <w:spacing w:before="2"/>
              <w:ind w:left="107"/>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212</w:t>
            </w:r>
            <w:r w:rsidRPr="00246D3B">
              <w:rPr>
                <w:rFonts w:ascii="Times New Roman" w:hAnsi="Times New Roman" w:cs="Times New Roman"/>
                <w:b/>
                <w:color w:val="FFFFFF" w:themeColor="background1"/>
                <w:spacing w:val="-28"/>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11"/>
                <w:sz w:val="16"/>
                <w:szCs w:val="16"/>
              </w:rPr>
              <w:t>087</w:t>
            </w:r>
            <w:r w:rsidRPr="00246D3B">
              <w:rPr>
                <w:rFonts w:ascii="Times New Roman" w:hAnsi="Times New Roman" w:cs="Times New Roman"/>
                <w:b/>
                <w:color w:val="FFFFFF" w:themeColor="background1"/>
                <w:spacing w:val="-27"/>
                <w:sz w:val="16"/>
                <w:szCs w:val="16"/>
              </w:rPr>
              <w:t xml:space="preserve"> </w:t>
            </w:r>
            <w:r w:rsidRPr="00246D3B">
              <w:rPr>
                <w:rFonts w:ascii="Times New Roman" w:hAnsi="Times New Roman" w:cs="Times New Roman"/>
                <w:b/>
                <w:color w:val="FFFFFF" w:themeColor="background1"/>
                <w:spacing w:val="-10"/>
                <w:sz w:val="16"/>
                <w:szCs w:val="16"/>
              </w:rPr>
              <w:t>,</w:t>
            </w:r>
          </w:p>
          <w:p w14:paraId="0CD85EA8" w14:textId="77777777" w:rsidR="00841CEC" w:rsidRPr="00246D3B" w:rsidRDefault="00841CEC" w:rsidP="00841CEC">
            <w:pPr>
              <w:pStyle w:val="TableParagraph"/>
              <w:spacing w:before="34"/>
              <w:ind w:left="107"/>
              <w:rPr>
                <w:rFonts w:ascii="Times New Roman" w:hAnsi="Times New Roman" w:cs="Times New Roman"/>
                <w:b/>
                <w:color w:val="FFFFFF" w:themeColor="background1"/>
                <w:sz w:val="16"/>
                <w:szCs w:val="16"/>
              </w:rPr>
            </w:pPr>
            <w:proofErr w:type="gramStart"/>
            <w:r w:rsidRPr="00246D3B">
              <w:rPr>
                <w:rFonts w:ascii="Times New Roman" w:hAnsi="Times New Roman" w:cs="Times New Roman"/>
                <w:b/>
                <w:color w:val="FFFFFF" w:themeColor="background1"/>
                <w:spacing w:val="11"/>
                <w:sz w:val="16"/>
                <w:szCs w:val="16"/>
              </w:rPr>
              <w:t>527</w:t>
            </w:r>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z w:val="16"/>
                <w:szCs w:val="16"/>
              </w:rPr>
              <w:t>.</w:t>
            </w:r>
            <w:proofErr w:type="gramEnd"/>
            <w:r w:rsidRPr="00246D3B">
              <w:rPr>
                <w:rFonts w:ascii="Times New Roman" w:hAnsi="Times New Roman" w:cs="Times New Roman"/>
                <w:b/>
                <w:color w:val="FFFFFF" w:themeColor="background1"/>
                <w:spacing w:val="-29"/>
                <w:sz w:val="16"/>
                <w:szCs w:val="16"/>
              </w:rPr>
              <w:t xml:space="preserve"> </w:t>
            </w:r>
            <w:r w:rsidRPr="00246D3B">
              <w:rPr>
                <w:rFonts w:ascii="Times New Roman" w:hAnsi="Times New Roman" w:cs="Times New Roman"/>
                <w:b/>
                <w:color w:val="FFFFFF" w:themeColor="background1"/>
                <w:spacing w:val="-5"/>
                <w:sz w:val="16"/>
                <w:szCs w:val="16"/>
              </w:rPr>
              <w:t>86</w:t>
            </w:r>
          </w:p>
        </w:tc>
      </w:tr>
      <w:tr w:rsidR="00246D3B" w:rsidRPr="00246D3B" w14:paraId="20884DDA" w14:textId="77777777" w:rsidTr="00246D3B">
        <w:trPr>
          <w:trHeight w:val="724"/>
        </w:trPr>
        <w:tc>
          <w:tcPr>
            <w:tcW w:w="1887" w:type="dxa"/>
            <w:tcBorders>
              <w:top w:val="nil"/>
            </w:tcBorders>
          </w:tcPr>
          <w:p w14:paraId="0DF16950"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1 -</w:t>
            </w:r>
          </w:p>
          <w:p w14:paraId="0161E414" w14:textId="77777777" w:rsidR="00841CEC" w:rsidRPr="001912C2" w:rsidRDefault="00841CEC" w:rsidP="00841CEC">
            <w:pPr>
              <w:pStyle w:val="TableParagraph"/>
              <w:spacing w:before="4" w:line="260" w:lineRule="atLeast"/>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REMUNERACIONES Y CONTRIBUCIONES</w:t>
            </w:r>
          </w:p>
        </w:tc>
        <w:tc>
          <w:tcPr>
            <w:tcW w:w="1165" w:type="dxa"/>
            <w:tcBorders>
              <w:top w:val="nil"/>
            </w:tcBorders>
          </w:tcPr>
          <w:p w14:paraId="237787B8"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484,765,018.00</w:t>
            </w:r>
          </w:p>
        </w:tc>
        <w:tc>
          <w:tcPr>
            <w:tcW w:w="1331" w:type="dxa"/>
            <w:tcBorders>
              <w:top w:val="nil"/>
            </w:tcBorders>
          </w:tcPr>
          <w:p w14:paraId="3B9E5704"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500,979,808.82</w:t>
            </w:r>
          </w:p>
        </w:tc>
        <w:tc>
          <w:tcPr>
            <w:tcW w:w="1497" w:type="dxa"/>
            <w:tcBorders>
              <w:top w:val="nil"/>
            </w:tcBorders>
          </w:tcPr>
          <w:p w14:paraId="447D0A22"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401,737,529.48</w:t>
            </w:r>
          </w:p>
        </w:tc>
        <w:tc>
          <w:tcPr>
            <w:tcW w:w="831" w:type="dxa"/>
            <w:tcBorders>
              <w:top w:val="nil"/>
            </w:tcBorders>
          </w:tcPr>
          <w:p w14:paraId="0BFA9C10" w14:textId="77777777" w:rsidR="00841CEC" w:rsidRPr="001912C2" w:rsidRDefault="00841CEC" w:rsidP="00841CEC">
            <w:pPr>
              <w:spacing w:before="34"/>
              <w:rPr>
                <w:rFonts w:ascii="Times New Roman" w:hAnsi="Times New Roman" w:cs="Times New Roman"/>
                <w:bCs/>
                <w:color w:val="767171"/>
                <w:spacing w:val="20"/>
                <w:sz w:val="16"/>
                <w:szCs w:val="16"/>
                <w:lang w:val="es-DO"/>
              </w:rPr>
            </w:pPr>
          </w:p>
          <w:p w14:paraId="2841BFE5" w14:textId="77777777" w:rsidR="00841CEC" w:rsidRPr="001912C2" w:rsidRDefault="00841CEC" w:rsidP="00841CEC">
            <w:pPr>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 xml:space="preserve">80% </w:t>
            </w:r>
          </w:p>
        </w:tc>
        <w:tc>
          <w:tcPr>
            <w:tcW w:w="1497" w:type="dxa"/>
            <w:gridSpan w:val="2"/>
            <w:tcBorders>
              <w:top w:val="nil"/>
            </w:tcBorders>
          </w:tcPr>
          <w:p w14:paraId="7D6B82DD"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99,242,279.34</w:t>
            </w:r>
          </w:p>
        </w:tc>
      </w:tr>
      <w:tr w:rsidR="00246D3B" w:rsidRPr="00246D3B" w14:paraId="1C7118AC" w14:textId="77777777" w:rsidTr="00246D3B">
        <w:trPr>
          <w:trHeight w:val="480"/>
        </w:trPr>
        <w:tc>
          <w:tcPr>
            <w:tcW w:w="1887" w:type="dxa"/>
          </w:tcPr>
          <w:p w14:paraId="281F5786"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2 - CONTRATACIÓN</w:t>
            </w:r>
          </w:p>
          <w:p w14:paraId="556D736A" w14:textId="77777777" w:rsidR="00841CEC" w:rsidRPr="001912C2" w:rsidRDefault="00841CEC" w:rsidP="00841CEC">
            <w:pPr>
              <w:pStyle w:val="TableParagraph"/>
              <w:spacing w:before="34"/>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DE SERVICIOS</w:t>
            </w:r>
          </w:p>
        </w:tc>
        <w:tc>
          <w:tcPr>
            <w:tcW w:w="1165" w:type="dxa"/>
          </w:tcPr>
          <w:p w14:paraId="62F18B23"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131,013,272.00</w:t>
            </w:r>
          </w:p>
        </w:tc>
        <w:tc>
          <w:tcPr>
            <w:tcW w:w="1331" w:type="dxa"/>
          </w:tcPr>
          <w:p w14:paraId="6773B18D"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186,641,276.12</w:t>
            </w:r>
          </w:p>
        </w:tc>
        <w:tc>
          <w:tcPr>
            <w:tcW w:w="1497" w:type="dxa"/>
          </w:tcPr>
          <w:p w14:paraId="5C6F6761"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90,549,285.29</w:t>
            </w:r>
          </w:p>
        </w:tc>
        <w:tc>
          <w:tcPr>
            <w:tcW w:w="831" w:type="dxa"/>
          </w:tcPr>
          <w:p w14:paraId="38DDE96D" w14:textId="77777777" w:rsidR="00841CEC" w:rsidRPr="001912C2" w:rsidRDefault="00841CEC" w:rsidP="00841CEC">
            <w:pPr>
              <w:spacing w:before="132"/>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 xml:space="preserve">49% </w:t>
            </w:r>
          </w:p>
        </w:tc>
        <w:tc>
          <w:tcPr>
            <w:tcW w:w="1497" w:type="dxa"/>
            <w:gridSpan w:val="2"/>
          </w:tcPr>
          <w:p w14:paraId="3450D7BC"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96,091,990.83</w:t>
            </w:r>
          </w:p>
        </w:tc>
      </w:tr>
      <w:tr w:rsidR="00246D3B" w:rsidRPr="00246D3B" w14:paraId="297D5F6F" w14:textId="77777777" w:rsidTr="00246D3B">
        <w:trPr>
          <w:trHeight w:val="482"/>
        </w:trPr>
        <w:tc>
          <w:tcPr>
            <w:tcW w:w="1887" w:type="dxa"/>
          </w:tcPr>
          <w:p w14:paraId="39CC3C00" w14:textId="77777777" w:rsidR="00841CEC" w:rsidRPr="001912C2" w:rsidRDefault="00841CEC" w:rsidP="00841CEC">
            <w:pPr>
              <w:pStyle w:val="TableParagraph"/>
              <w:tabs>
                <w:tab w:val="left" w:pos="2334"/>
              </w:tabs>
              <w:spacing w:before="2"/>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lastRenderedPageBreak/>
              <w:t>2 .</w:t>
            </w:r>
            <w:proofErr w:type="gramEnd"/>
            <w:r w:rsidRPr="001912C2">
              <w:rPr>
                <w:rFonts w:ascii="Times New Roman" w:eastAsiaTheme="minorHAnsi" w:hAnsi="Times New Roman" w:cs="Times New Roman"/>
                <w:bCs/>
                <w:color w:val="767171"/>
                <w:spacing w:val="20"/>
                <w:sz w:val="16"/>
                <w:szCs w:val="16"/>
                <w:lang w:val="es-DO"/>
              </w:rPr>
              <w:t xml:space="preserve"> 3 - MATERIALES</w:t>
            </w:r>
            <w:r w:rsidRPr="001912C2">
              <w:rPr>
                <w:rFonts w:ascii="Times New Roman" w:eastAsiaTheme="minorHAnsi" w:hAnsi="Times New Roman" w:cs="Times New Roman"/>
                <w:bCs/>
                <w:color w:val="767171"/>
                <w:spacing w:val="20"/>
                <w:sz w:val="16"/>
                <w:szCs w:val="16"/>
                <w:lang w:val="es-DO"/>
              </w:rPr>
              <w:tab/>
              <w:t>Y</w:t>
            </w:r>
          </w:p>
          <w:p w14:paraId="6B26AAB5" w14:textId="77777777" w:rsidR="00841CEC" w:rsidRPr="001912C2" w:rsidRDefault="00841CEC" w:rsidP="00841CEC">
            <w:pPr>
              <w:pStyle w:val="TableParagraph"/>
              <w:spacing w:before="34"/>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SUMINISTROS</w:t>
            </w:r>
          </w:p>
        </w:tc>
        <w:tc>
          <w:tcPr>
            <w:tcW w:w="1165" w:type="dxa"/>
          </w:tcPr>
          <w:p w14:paraId="456FD25F"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61,144,444.00</w:t>
            </w:r>
          </w:p>
        </w:tc>
        <w:tc>
          <w:tcPr>
            <w:tcW w:w="1331" w:type="dxa"/>
          </w:tcPr>
          <w:p w14:paraId="6DE660A6"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54,737,178.61</w:t>
            </w:r>
          </w:p>
        </w:tc>
        <w:tc>
          <w:tcPr>
            <w:tcW w:w="1497" w:type="dxa"/>
          </w:tcPr>
          <w:p w14:paraId="3A16ADDA"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13,761,880.77</w:t>
            </w:r>
          </w:p>
        </w:tc>
        <w:tc>
          <w:tcPr>
            <w:tcW w:w="831" w:type="dxa"/>
          </w:tcPr>
          <w:p w14:paraId="13184D41" w14:textId="77777777" w:rsidR="00841CEC" w:rsidRPr="001912C2" w:rsidRDefault="00841CEC" w:rsidP="00841CEC">
            <w:pPr>
              <w:spacing w:before="1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 xml:space="preserve">25% </w:t>
            </w:r>
          </w:p>
        </w:tc>
        <w:tc>
          <w:tcPr>
            <w:tcW w:w="1497" w:type="dxa"/>
            <w:gridSpan w:val="2"/>
          </w:tcPr>
          <w:p w14:paraId="26586DEA"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40,975,297.84</w:t>
            </w:r>
          </w:p>
        </w:tc>
      </w:tr>
      <w:tr w:rsidR="00246D3B" w:rsidRPr="00246D3B" w14:paraId="41831E53" w14:textId="77777777" w:rsidTr="00246D3B">
        <w:trPr>
          <w:trHeight w:val="723"/>
        </w:trPr>
        <w:tc>
          <w:tcPr>
            <w:tcW w:w="1887" w:type="dxa"/>
          </w:tcPr>
          <w:p w14:paraId="49C2EC5B"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4 -</w:t>
            </w:r>
          </w:p>
          <w:p w14:paraId="55F24064" w14:textId="77777777" w:rsidR="00841CEC" w:rsidRPr="001912C2" w:rsidRDefault="00841CEC" w:rsidP="00841CEC">
            <w:pPr>
              <w:pStyle w:val="TableParagraph"/>
              <w:spacing w:before="6" w:line="260" w:lineRule="atLeast"/>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TRANSFERENCIAS CORRIENTES</w:t>
            </w:r>
          </w:p>
        </w:tc>
        <w:tc>
          <w:tcPr>
            <w:tcW w:w="1165" w:type="dxa"/>
          </w:tcPr>
          <w:p w14:paraId="499D144B"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3,498,000.00</w:t>
            </w:r>
          </w:p>
        </w:tc>
        <w:tc>
          <w:tcPr>
            <w:tcW w:w="1331" w:type="dxa"/>
          </w:tcPr>
          <w:p w14:paraId="2A206487"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5,782,500.00</w:t>
            </w:r>
          </w:p>
        </w:tc>
        <w:tc>
          <w:tcPr>
            <w:tcW w:w="1497" w:type="dxa"/>
          </w:tcPr>
          <w:p w14:paraId="37BD5C5F"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1,181,401.51</w:t>
            </w:r>
          </w:p>
        </w:tc>
        <w:tc>
          <w:tcPr>
            <w:tcW w:w="831" w:type="dxa"/>
          </w:tcPr>
          <w:p w14:paraId="768D6D5E" w14:textId="77777777" w:rsidR="00841CEC" w:rsidRPr="001912C2" w:rsidRDefault="00841CEC" w:rsidP="00841CEC">
            <w:pPr>
              <w:spacing w:before="34"/>
              <w:rPr>
                <w:rFonts w:ascii="Times New Roman" w:hAnsi="Times New Roman" w:cs="Times New Roman"/>
                <w:bCs/>
                <w:color w:val="767171"/>
                <w:spacing w:val="20"/>
                <w:sz w:val="16"/>
                <w:szCs w:val="16"/>
                <w:lang w:val="es-DO"/>
              </w:rPr>
            </w:pPr>
          </w:p>
          <w:p w14:paraId="2AA9AC94"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 xml:space="preserve">20% </w:t>
            </w:r>
          </w:p>
        </w:tc>
        <w:tc>
          <w:tcPr>
            <w:tcW w:w="1497" w:type="dxa"/>
            <w:gridSpan w:val="2"/>
          </w:tcPr>
          <w:p w14:paraId="4A4E864D"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4,601,098.49</w:t>
            </w:r>
          </w:p>
        </w:tc>
      </w:tr>
      <w:tr w:rsidR="00246D3B" w:rsidRPr="00246D3B" w14:paraId="7B4D193F" w14:textId="77777777" w:rsidTr="00246D3B">
        <w:trPr>
          <w:trHeight w:val="965"/>
        </w:trPr>
        <w:tc>
          <w:tcPr>
            <w:tcW w:w="1887" w:type="dxa"/>
          </w:tcPr>
          <w:p w14:paraId="5E2F34A3" w14:textId="77777777" w:rsidR="00841CEC" w:rsidRPr="001912C2" w:rsidRDefault="00841CEC" w:rsidP="00841CEC">
            <w:pPr>
              <w:pStyle w:val="TableParagraph"/>
              <w:tabs>
                <w:tab w:val="left" w:pos="1679"/>
              </w:tabs>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6 - BIENES</w:t>
            </w:r>
          </w:p>
          <w:p w14:paraId="54032CED" w14:textId="77777777" w:rsidR="00841CEC" w:rsidRPr="001912C2" w:rsidRDefault="00841CEC" w:rsidP="00841CEC">
            <w:pPr>
              <w:pStyle w:val="TableParagraph"/>
              <w:spacing w:before="37"/>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MUEBLES,</w:t>
            </w:r>
          </w:p>
          <w:p w14:paraId="18DF6687" w14:textId="77777777" w:rsidR="00841CEC" w:rsidRPr="001912C2" w:rsidRDefault="00841CEC" w:rsidP="00841CEC">
            <w:pPr>
              <w:pStyle w:val="TableParagraph"/>
              <w:tabs>
                <w:tab w:val="left" w:pos="2356"/>
              </w:tabs>
              <w:spacing w:before="4" w:line="260" w:lineRule="atLeast"/>
              <w:ind w:left="107" w:right="111"/>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INMUEBLES</w:t>
            </w:r>
            <w:r w:rsidRPr="001912C2">
              <w:rPr>
                <w:rFonts w:ascii="Times New Roman" w:eastAsiaTheme="minorHAnsi" w:hAnsi="Times New Roman" w:cs="Times New Roman"/>
                <w:bCs/>
                <w:color w:val="767171"/>
                <w:spacing w:val="20"/>
                <w:sz w:val="16"/>
                <w:szCs w:val="16"/>
                <w:lang w:val="es-DO"/>
              </w:rPr>
              <w:tab/>
              <w:t>E INTANGIBLES</w:t>
            </w:r>
          </w:p>
        </w:tc>
        <w:tc>
          <w:tcPr>
            <w:tcW w:w="1165" w:type="dxa"/>
          </w:tcPr>
          <w:p w14:paraId="4D6D0822"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11,653,050</w:t>
            </w:r>
          </w:p>
        </w:tc>
        <w:tc>
          <w:tcPr>
            <w:tcW w:w="1331" w:type="dxa"/>
            <w:tcBorders>
              <w:bottom w:val="single" w:sz="4" w:space="0" w:color="000000"/>
            </w:tcBorders>
          </w:tcPr>
          <w:p w14:paraId="6ADDD7F1"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20,970,150.00</w:t>
            </w:r>
          </w:p>
        </w:tc>
        <w:tc>
          <w:tcPr>
            <w:tcW w:w="1497" w:type="dxa"/>
          </w:tcPr>
          <w:p w14:paraId="5BB21F5A"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6,750,254.57</w:t>
            </w:r>
          </w:p>
        </w:tc>
        <w:tc>
          <w:tcPr>
            <w:tcW w:w="831" w:type="dxa"/>
          </w:tcPr>
          <w:p w14:paraId="5B69A1A0" w14:textId="77777777" w:rsidR="00841CEC" w:rsidRPr="001912C2" w:rsidRDefault="00841CEC" w:rsidP="00841CEC">
            <w:pPr>
              <w:spacing w:before="169"/>
              <w:rPr>
                <w:rFonts w:ascii="Times New Roman" w:hAnsi="Times New Roman" w:cs="Times New Roman"/>
                <w:bCs/>
                <w:color w:val="767171"/>
                <w:spacing w:val="20"/>
                <w:sz w:val="16"/>
                <w:szCs w:val="16"/>
                <w:lang w:val="es-DO"/>
              </w:rPr>
            </w:pPr>
          </w:p>
          <w:p w14:paraId="7E6A6078" w14:textId="77777777" w:rsidR="00841CEC" w:rsidRPr="001912C2" w:rsidRDefault="00841CEC" w:rsidP="00841CEC">
            <w:pPr>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 xml:space="preserve">32% </w:t>
            </w:r>
          </w:p>
        </w:tc>
        <w:tc>
          <w:tcPr>
            <w:tcW w:w="1497" w:type="dxa"/>
            <w:gridSpan w:val="2"/>
          </w:tcPr>
          <w:p w14:paraId="5203EAA2"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14,219,895.43</w:t>
            </w:r>
          </w:p>
        </w:tc>
      </w:tr>
      <w:tr w:rsidR="00246D3B" w:rsidRPr="00246D3B" w14:paraId="04C1889E" w14:textId="77777777" w:rsidTr="00246D3B">
        <w:trPr>
          <w:trHeight w:val="426"/>
        </w:trPr>
        <w:tc>
          <w:tcPr>
            <w:tcW w:w="1887" w:type="dxa"/>
          </w:tcPr>
          <w:p w14:paraId="57CE8244" w14:textId="77777777" w:rsidR="00841CEC" w:rsidRPr="001912C2" w:rsidRDefault="00841CEC" w:rsidP="00841CEC">
            <w:pPr>
              <w:pStyle w:val="TableParagraph"/>
              <w:spacing w:before="101"/>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7 - OBRAS</w:t>
            </w:r>
          </w:p>
        </w:tc>
        <w:tc>
          <w:tcPr>
            <w:tcW w:w="1165" w:type="dxa"/>
            <w:tcBorders>
              <w:right w:val="single" w:sz="4" w:space="0" w:color="000000"/>
            </w:tcBorders>
          </w:tcPr>
          <w:p w14:paraId="286858A0"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0. 00</w:t>
            </w:r>
          </w:p>
        </w:tc>
        <w:tc>
          <w:tcPr>
            <w:tcW w:w="1331" w:type="dxa"/>
            <w:tcBorders>
              <w:top w:val="single" w:sz="4" w:space="0" w:color="000000"/>
              <w:left w:val="single" w:sz="4" w:space="0" w:color="000000"/>
              <w:bottom w:val="single" w:sz="4" w:space="0" w:color="000000"/>
              <w:right w:val="single" w:sz="4" w:space="0" w:color="000000"/>
            </w:tcBorders>
          </w:tcPr>
          <w:p w14:paraId="461CB782" w14:textId="77777777" w:rsidR="00841CEC" w:rsidRPr="001912C2" w:rsidRDefault="00841CEC" w:rsidP="00841CEC">
            <w:pPr>
              <w:spacing w:before="34"/>
              <w:ind w:left="111"/>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21,000,000.00</w:t>
            </w:r>
          </w:p>
        </w:tc>
        <w:tc>
          <w:tcPr>
            <w:tcW w:w="1497" w:type="dxa"/>
            <w:tcBorders>
              <w:left w:val="single" w:sz="4" w:space="0" w:color="000000"/>
            </w:tcBorders>
          </w:tcPr>
          <w:p w14:paraId="56B8D7B5" w14:textId="77777777" w:rsidR="00841CEC" w:rsidRPr="001912C2" w:rsidRDefault="00841CEC" w:rsidP="00841CEC">
            <w:pPr>
              <w:spacing w:before="34"/>
              <w:ind w:left="111"/>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0. 00</w:t>
            </w:r>
          </w:p>
        </w:tc>
        <w:tc>
          <w:tcPr>
            <w:tcW w:w="831" w:type="dxa"/>
          </w:tcPr>
          <w:p w14:paraId="0C3820A9" w14:textId="77777777" w:rsidR="00841CEC" w:rsidRPr="001912C2" w:rsidRDefault="00841CEC" w:rsidP="00841CEC">
            <w:pPr>
              <w:spacing w:before="34"/>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 xml:space="preserve">0% </w:t>
            </w:r>
          </w:p>
        </w:tc>
        <w:tc>
          <w:tcPr>
            <w:tcW w:w="1497" w:type="dxa"/>
            <w:gridSpan w:val="2"/>
          </w:tcPr>
          <w:p w14:paraId="6049A811"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21,000,000.00</w:t>
            </w:r>
          </w:p>
        </w:tc>
      </w:tr>
      <w:tr w:rsidR="00246D3B" w:rsidRPr="00246D3B" w14:paraId="1C80708A" w14:textId="77777777" w:rsidTr="00246D3B">
        <w:trPr>
          <w:trHeight w:val="964"/>
        </w:trPr>
        <w:tc>
          <w:tcPr>
            <w:tcW w:w="1887" w:type="dxa"/>
          </w:tcPr>
          <w:p w14:paraId="0FA2D338" w14:textId="77777777" w:rsidR="00841CEC" w:rsidRPr="001912C2" w:rsidRDefault="00841CEC" w:rsidP="00841CEC">
            <w:pPr>
              <w:pStyle w:val="TableParagraph"/>
              <w:spacing w:line="276" w:lineRule="auto"/>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8 - ADQUISICIÓN DE ACTIVOS</w:t>
            </w:r>
          </w:p>
          <w:p w14:paraId="748DB932" w14:textId="77777777" w:rsidR="00841CEC" w:rsidRPr="001912C2" w:rsidRDefault="00841CEC" w:rsidP="00841CEC">
            <w:pPr>
              <w:pStyle w:val="TableParagraph"/>
              <w:tabs>
                <w:tab w:val="left" w:pos="2018"/>
              </w:tabs>
              <w:spacing w:line="229" w:lineRule="exact"/>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FINANCIEROS</w:t>
            </w:r>
            <w:r w:rsidRPr="001912C2">
              <w:rPr>
                <w:rFonts w:ascii="Times New Roman" w:eastAsiaTheme="minorHAnsi" w:hAnsi="Times New Roman" w:cs="Times New Roman"/>
                <w:bCs/>
                <w:color w:val="767171"/>
                <w:spacing w:val="20"/>
                <w:sz w:val="16"/>
                <w:szCs w:val="16"/>
                <w:lang w:val="es-DO"/>
              </w:rPr>
              <w:tab/>
              <w:t>CON</w:t>
            </w:r>
          </w:p>
          <w:p w14:paraId="7C06B9A8" w14:textId="77777777" w:rsidR="00841CEC" w:rsidRPr="001912C2" w:rsidRDefault="00841CEC" w:rsidP="00841CEC">
            <w:pPr>
              <w:pStyle w:val="TableParagraph"/>
              <w:spacing w:before="36"/>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FINES POLÍTICOS</w:t>
            </w:r>
          </w:p>
        </w:tc>
        <w:tc>
          <w:tcPr>
            <w:tcW w:w="1165" w:type="dxa"/>
            <w:tcBorders>
              <w:right w:val="single" w:sz="4" w:space="0" w:color="000000"/>
            </w:tcBorders>
          </w:tcPr>
          <w:p w14:paraId="290D6409"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01C36672"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403DC73B"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1331" w:type="dxa"/>
            <w:tcBorders>
              <w:top w:val="single" w:sz="4" w:space="0" w:color="000000"/>
              <w:left w:val="single" w:sz="4" w:space="0" w:color="000000"/>
              <w:bottom w:val="single" w:sz="4" w:space="0" w:color="000000"/>
              <w:right w:val="single" w:sz="4" w:space="0" w:color="000000"/>
            </w:tcBorders>
          </w:tcPr>
          <w:p w14:paraId="1D10F589"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2EA83DBF"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07558BFA"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1497" w:type="dxa"/>
            <w:tcBorders>
              <w:left w:val="single" w:sz="4" w:space="0" w:color="000000"/>
            </w:tcBorders>
          </w:tcPr>
          <w:p w14:paraId="77E7A326"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0C6AE4E4"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7BDBAA82"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831" w:type="dxa"/>
          </w:tcPr>
          <w:p w14:paraId="35293975"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098E1DA4"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1497" w:type="dxa"/>
            <w:gridSpan w:val="2"/>
          </w:tcPr>
          <w:p w14:paraId="2C13D1C7"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0F6397C9"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p>
          <w:p w14:paraId="7AC2C159" w14:textId="77777777" w:rsidR="00841CEC" w:rsidRPr="001912C2" w:rsidRDefault="00841CEC" w:rsidP="00841CEC">
            <w:pPr>
              <w:spacing w:before="34"/>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r>
      <w:tr w:rsidR="00246D3B" w:rsidRPr="00246D3B" w14:paraId="37B99DB0" w14:textId="77777777" w:rsidTr="00246D3B">
        <w:trPr>
          <w:trHeight w:val="480"/>
        </w:trPr>
        <w:tc>
          <w:tcPr>
            <w:tcW w:w="1887" w:type="dxa"/>
          </w:tcPr>
          <w:p w14:paraId="066A25B1"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2 .</w:t>
            </w:r>
            <w:proofErr w:type="gramEnd"/>
            <w:r w:rsidRPr="001912C2">
              <w:rPr>
                <w:rFonts w:ascii="Times New Roman" w:eastAsiaTheme="minorHAnsi" w:hAnsi="Times New Roman" w:cs="Times New Roman"/>
                <w:bCs/>
                <w:color w:val="767171"/>
                <w:spacing w:val="20"/>
                <w:sz w:val="16"/>
                <w:szCs w:val="16"/>
                <w:lang w:val="es-DO"/>
              </w:rPr>
              <w:t xml:space="preserve"> 9 - GASTOS</w:t>
            </w:r>
          </w:p>
          <w:p w14:paraId="3134BCB0" w14:textId="77777777" w:rsidR="00841CEC" w:rsidRPr="001912C2" w:rsidRDefault="00841CEC" w:rsidP="00841CEC">
            <w:pPr>
              <w:pStyle w:val="TableParagraph"/>
              <w:spacing w:before="34"/>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FINANCIEROS</w:t>
            </w:r>
          </w:p>
        </w:tc>
        <w:tc>
          <w:tcPr>
            <w:tcW w:w="1165" w:type="dxa"/>
          </w:tcPr>
          <w:p w14:paraId="4F37670E" w14:textId="77777777" w:rsidR="00841CEC" w:rsidRPr="001912C2" w:rsidRDefault="00841CEC" w:rsidP="00841CEC">
            <w:pPr>
              <w:spacing w:before="34"/>
              <w:rPr>
                <w:rFonts w:ascii="Times New Roman" w:hAnsi="Times New Roman" w:cs="Times New Roman"/>
                <w:bCs/>
                <w:color w:val="767171"/>
                <w:spacing w:val="20"/>
                <w:sz w:val="16"/>
                <w:szCs w:val="16"/>
                <w:lang w:val="es-DO"/>
              </w:rPr>
            </w:pPr>
          </w:p>
          <w:p w14:paraId="1B7969FE" w14:textId="77777777" w:rsidR="00841CEC" w:rsidRPr="001912C2" w:rsidRDefault="00841CEC" w:rsidP="00841CEC">
            <w:pPr>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1331" w:type="dxa"/>
            <w:tcBorders>
              <w:top w:val="single" w:sz="4" w:space="0" w:color="000000"/>
            </w:tcBorders>
          </w:tcPr>
          <w:p w14:paraId="1BE3E9F3" w14:textId="77777777" w:rsidR="00841CEC" w:rsidRPr="001912C2" w:rsidRDefault="00841CEC" w:rsidP="00841CEC">
            <w:pPr>
              <w:spacing w:before="34"/>
              <w:rPr>
                <w:rFonts w:ascii="Times New Roman" w:hAnsi="Times New Roman" w:cs="Times New Roman"/>
                <w:bCs/>
                <w:color w:val="767171"/>
                <w:spacing w:val="20"/>
                <w:sz w:val="16"/>
                <w:szCs w:val="16"/>
                <w:lang w:val="es-DO"/>
              </w:rPr>
            </w:pPr>
          </w:p>
          <w:p w14:paraId="1192DD5B" w14:textId="77777777" w:rsidR="00841CEC" w:rsidRPr="001912C2" w:rsidRDefault="00841CEC" w:rsidP="00841CEC">
            <w:pPr>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1497" w:type="dxa"/>
          </w:tcPr>
          <w:p w14:paraId="4A42A9E0" w14:textId="77777777" w:rsidR="00841CEC" w:rsidRPr="001912C2" w:rsidRDefault="00841CEC" w:rsidP="00841CEC">
            <w:pPr>
              <w:spacing w:before="34"/>
              <w:rPr>
                <w:rFonts w:ascii="Times New Roman" w:hAnsi="Times New Roman" w:cs="Times New Roman"/>
                <w:bCs/>
                <w:color w:val="767171"/>
                <w:spacing w:val="20"/>
                <w:sz w:val="16"/>
                <w:szCs w:val="16"/>
                <w:lang w:val="es-DO"/>
              </w:rPr>
            </w:pPr>
          </w:p>
          <w:p w14:paraId="7A7BCA97" w14:textId="77777777" w:rsidR="00841CEC" w:rsidRPr="001912C2" w:rsidRDefault="00841CEC" w:rsidP="00841CEC">
            <w:pPr>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831" w:type="dxa"/>
          </w:tcPr>
          <w:p w14:paraId="7A180959" w14:textId="77777777" w:rsidR="00841CEC" w:rsidRPr="001912C2" w:rsidRDefault="00841CEC" w:rsidP="00841CEC">
            <w:pPr>
              <w:spacing w:before="132"/>
              <w:ind w:left="106"/>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c>
          <w:tcPr>
            <w:tcW w:w="1497" w:type="dxa"/>
            <w:gridSpan w:val="2"/>
          </w:tcPr>
          <w:p w14:paraId="072B9D56" w14:textId="77777777" w:rsidR="00841CEC" w:rsidRPr="001912C2" w:rsidRDefault="00841CEC" w:rsidP="00841CEC">
            <w:pPr>
              <w:spacing w:before="34"/>
              <w:rPr>
                <w:rFonts w:ascii="Times New Roman" w:hAnsi="Times New Roman" w:cs="Times New Roman"/>
                <w:bCs/>
                <w:color w:val="767171"/>
                <w:spacing w:val="20"/>
                <w:sz w:val="16"/>
                <w:szCs w:val="16"/>
                <w:lang w:val="es-DO"/>
              </w:rPr>
            </w:pPr>
          </w:p>
          <w:p w14:paraId="2F3FA56A" w14:textId="77777777" w:rsidR="00841CEC" w:rsidRPr="001912C2" w:rsidRDefault="00841CEC" w:rsidP="00841CEC">
            <w:pPr>
              <w:ind w:left="107"/>
              <w:rPr>
                <w:rFonts w:ascii="Times New Roman" w:hAnsi="Times New Roman" w:cs="Times New Roman"/>
                <w:bCs/>
                <w:color w:val="767171"/>
                <w:spacing w:val="20"/>
                <w:sz w:val="16"/>
                <w:szCs w:val="16"/>
                <w:lang w:val="es-DO"/>
              </w:rPr>
            </w:pPr>
            <w:r w:rsidRPr="001912C2">
              <w:rPr>
                <w:rFonts w:ascii="Times New Roman" w:hAnsi="Times New Roman" w:cs="Times New Roman"/>
                <w:bCs/>
                <w:color w:val="767171"/>
                <w:spacing w:val="20"/>
                <w:sz w:val="16"/>
                <w:szCs w:val="16"/>
                <w:lang w:val="es-DO"/>
              </w:rPr>
              <w:t>-</w:t>
            </w:r>
          </w:p>
        </w:tc>
      </w:tr>
      <w:tr w:rsidR="00246D3B" w:rsidRPr="00246D3B" w14:paraId="70899EF2" w14:textId="77777777" w:rsidTr="00246D3B">
        <w:trPr>
          <w:trHeight w:val="482"/>
        </w:trPr>
        <w:tc>
          <w:tcPr>
            <w:tcW w:w="3053" w:type="dxa"/>
            <w:gridSpan w:val="2"/>
            <w:shd w:val="clear" w:color="auto" w:fill="001F5F"/>
          </w:tcPr>
          <w:p w14:paraId="66E33C08" w14:textId="77777777" w:rsidR="00841CEC" w:rsidRPr="001912C2" w:rsidRDefault="00841CEC" w:rsidP="00841CEC">
            <w:pPr>
              <w:pStyle w:val="TableParagraph"/>
              <w:spacing w:before="134"/>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APLICACIONES FINANCIERAS</w:t>
            </w:r>
          </w:p>
        </w:tc>
        <w:tc>
          <w:tcPr>
            <w:tcW w:w="1331" w:type="dxa"/>
            <w:shd w:val="clear" w:color="auto" w:fill="001F5F"/>
          </w:tcPr>
          <w:p w14:paraId="3682E99B"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5748ABF6"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shd w:val="clear" w:color="auto" w:fill="001F5F"/>
          </w:tcPr>
          <w:p w14:paraId="19F9CF3E"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1F902CF5"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831" w:type="dxa"/>
            <w:shd w:val="clear" w:color="auto" w:fill="001F5F"/>
          </w:tcPr>
          <w:p w14:paraId="791965A7"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5E5DAFC7"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gridSpan w:val="2"/>
            <w:shd w:val="clear" w:color="auto" w:fill="001F5F"/>
          </w:tcPr>
          <w:p w14:paraId="4B2D45BA"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22D8C1A5"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r>
      <w:tr w:rsidR="00246D3B" w:rsidRPr="00246D3B" w14:paraId="5DDEB572" w14:textId="77777777" w:rsidTr="00246D3B">
        <w:trPr>
          <w:trHeight w:val="723"/>
        </w:trPr>
        <w:tc>
          <w:tcPr>
            <w:tcW w:w="1887" w:type="dxa"/>
          </w:tcPr>
          <w:p w14:paraId="6AA3991B" w14:textId="77777777" w:rsidR="00841CEC" w:rsidRPr="001912C2" w:rsidRDefault="00841CEC" w:rsidP="00841CEC">
            <w:pPr>
              <w:pStyle w:val="TableParagraph"/>
              <w:spacing w:before="2" w:line="276" w:lineRule="auto"/>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4 .</w:t>
            </w:r>
            <w:proofErr w:type="gramEnd"/>
            <w:r w:rsidRPr="001912C2">
              <w:rPr>
                <w:rFonts w:ascii="Times New Roman" w:eastAsiaTheme="minorHAnsi" w:hAnsi="Times New Roman" w:cs="Times New Roman"/>
                <w:bCs/>
                <w:color w:val="767171"/>
                <w:spacing w:val="20"/>
                <w:sz w:val="16"/>
                <w:szCs w:val="16"/>
                <w:lang w:val="es-DO"/>
              </w:rPr>
              <w:t xml:space="preserve"> 1 - INCREMENTO DE ACTIVOS</w:t>
            </w:r>
          </w:p>
          <w:p w14:paraId="21358FEE" w14:textId="77777777" w:rsidR="00841CEC" w:rsidRPr="001912C2" w:rsidRDefault="00841CEC" w:rsidP="00841CEC">
            <w:pPr>
              <w:pStyle w:val="TableParagraph"/>
              <w:spacing w:line="229" w:lineRule="exact"/>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FINANCIEROS</w:t>
            </w:r>
          </w:p>
        </w:tc>
        <w:tc>
          <w:tcPr>
            <w:tcW w:w="1165" w:type="dxa"/>
          </w:tcPr>
          <w:p w14:paraId="1EDF5F40"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7A55E028"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331" w:type="dxa"/>
          </w:tcPr>
          <w:p w14:paraId="4B854A6D"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53852704"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tcPr>
          <w:p w14:paraId="3636A21D"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68F60E52"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831" w:type="dxa"/>
          </w:tcPr>
          <w:p w14:paraId="42904D2F"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34EDE568"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gridSpan w:val="2"/>
          </w:tcPr>
          <w:p w14:paraId="25869EC0"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3884E8AB"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r>
      <w:tr w:rsidR="00246D3B" w:rsidRPr="00246D3B" w14:paraId="1B3CF2F2" w14:textId="77777777" w:rsidTr="00246D3B">
        <w:trPr>
          <w:trHeight w:val="482"/>
        </w:trPr>
        <w:tc>
          <w:tcPr>
            <w:tcW w:w="1887" w:type="dxa"/>
          </w:tcPr>
          <w:p w14:paraId="43E3C1A3"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4 .</w:t>
            </w:r>
            <w:proofErr w:type="gramEnd"/>
            <w:r w:rsidRPr="001912C2">
              <w:rPr>
                <w:rFonts w:ascii="Times New Roman" w:eastAsiaTheme="minorHAnsi" w:hAnsi="Times New Roman" w:cs="Times New Roman"/>
                <w:bCs/>
                <w:color w:val="767171"/>
                <w:spacing w:val="20"/>
                <w:sz w:val="16"/>
                <w:szCs w:val="16"/>
                <w:lang w:val="es-DO"/>
              </w:rPr>
              <w:t xml:space="preserve"> 2 – DISMINUCIÓN DE</w:t>
            </w:r>
          </w:p>
          <w:p w14:paraId="13886149" w14:textId="77777777" w:rsidR="00841CEC" w:rsidRPr="001912C2" w:rsidRDefault="00841CEC" w:rsidP="00841CEC">
            <w:pPr>
              <w:pStyle w:val="TableParagraph"/>
              <w:spacing w:before="36"/>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PASIVOS</w:t>
            </w:r>
          </w:p>
        </w:tc>
        <w:tc>
          <w:tcPr>
            <w:tcW w:w="1165" w:type="dxa"/>
          </w:tcPr>
          <w:p w14:paraId="7208E38A"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5A0E23E9"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331" w:type="dxa"/>
          </w:tcPr>
          <w:p w14:paraId="6B84885E"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56707F79"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tcPr>
          <w:p w14:paraId="34D73294"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3EBC27A4"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831" w:type="dxa"/>
          </w:tcPr>
          <w:p w14:paraId="53498A2E"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4746EB1D"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gridSpan w:val="2"/>
          </w:tcPr>
          <w:p w14:paraId="06B6A0AA" w14:textId="77777777" w:rsidR="00841CEC" w:rsidRPr="001912C2" w:rsidRDefault="00841CEC" w:rsidP="00841CEC">
            <w:pPr>
              <w:pStyle w:val="TableParagraph"/>
              <w:spacing w:before="36"/>
              <w:rPr>
                <w:rFonts w:ascii="Times New Roman" w:eastAsiaTheme="minorHAnsi" w:hAnsi="Times New Roman" w:cs="Times New Roman"/>
                <w:bCs/>
                <w:color w:val="767171"/>
                <w:spacing w:val="20"/>
                <w:sz w:val="16"/>
                <w:szCs w:val="16"/>
                <w:lang w:val="es-DO"/>
              </w:rPr>
            </w:pPr>
          </w:p>
          <w:p w14:paraId="273E472B"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r>
      <w:tr w:rsidR="00246D3B" w:rsidRPr="00246D3B" w14:paraId="3CB836FD" w14:textId="77777777" w:rsidTr="00246D3B">
        <w:trPr>
          <w:trHeight w:val="724"/>
        </w:trPr>
        <w:tc>
          <w:tcPr>
            <w:tcW w:w="1887" w:type="dxa"/>
          </w:tcPr>
          <w:p w14:paraId="0C40FBD8" w14:textId="77777777" w:rsidR="00841CEC" w:rsidRPr="001912C2" w:rsidRDefault="00841CEC" w:rsidP="00841CEC">
            <w:pPr>
              <w:pStyle w:val="TableParagraph"/>
              <w:tabs>
                <w:tab w:val="left" w:pos="2194"/>
              </w:tabs>
              <w:spacing w:line="276" w:lineRule="auto"/>
              <w:ind w:left="107" w:right="110"/>
              <w:rPr>
                <w:rFonts w:ascii="Times New Roman" w:eastAsiaTheme="minorHAnsi" w:hAnsi="Times New Roman" w:cs="Times New Roman"/>
                <w:bCs/>
                <w:color w:val="767171"/>
                <w:spacing w:val="20"/>
                <w:sz w:val="16"/>
                <w:szCs w:val="16"/>
                <w:lang w:val="es-DO"/>
              </w:rPr>
            </w:pPr>
            <w:proofErr w:type="gramStart"/>
            <w:r w:rsidRPr="001912C2">
              <w:rPr>
                <w:rFonts w:ascii="Times New Roman" w:eastAsiaTheme="minorHAnsi" w:hAnsi="Times New Roman" w:cs="Times New Roman"/>
                <w:bCs/>
                <w:color w:val="767171"/>
                <w:spacing w:val="20"/>
                <w:sz w:val="16"/>
                <w:szCs w:val="16"/>
                <w:lang w:val="es-DO"/>
              </w:rPr>
              <w:t>4 .</w:t>
            </w:r>
            <w:proofErr w:type="gramEnd"/>
            <w:r w:rsidRPr="001912C2">
              <w:rPr>
                <w:rFonts w:ascii="Times New Roman" w:eastAsiaTheme="minorHAnsi" w:hAnsi="Times New Roman" w:cs="Times New Roman"/>
                <w:bCs/>
                <w:color w:val="767171"/>
                <w:spacing w:val="20"/>
                <w:sz w:val="16"/>
                <w:szCs w:val="16"/>
                <w:lang w:val="es-DO"/>
              </w:rPr>
              <w:t xml:space="preserve"> 3 - DISMINUCIÓN DE FONDOS DE</w:t>
            </w:r>
          </w:p>
          <w:p w14:paraId="340A3D59" w14:textId="77777777" w:rsidR="00841CEC" w:rsidRPr="001912C2" w:rsidRDefault="00841CEC" w:rsidP="00841CEC">
            <w:pPr>
              <w:pStyle w:val="TableParagraph"/>
              <w:spacing w:before="1"/>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TERCEROS</w:t>
            </w:r>
          </w:p>
        </w:tc>
        <w:tc>
          <w:tcPr>
            <w:tcW w:w="1165" w:type="dxa"/>
          </w:tcPr>
          <w:p w14:paraId="07E05BCC"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452E5A21"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331" w:type="dxa"/>
          </w:tcPr>
          <w:p w14:paraId="1E448699"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45EC508E"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tcPr>
          <w:p w14:paraId="15DB418A"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176DF878"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831" w:type="dxa"/>
          </w:tcPr>
          <w:p w14:paraId="70E1C2F2"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2000B653" w14:textId="77777777" w:rsidR="00841CEC" w:rsidRPr="001912C2" w:rsidRDefault="00841CEC" w:rsidP="00841CEC">
            <w:pPr>
              <w:pStyle w:val="TableParagraph"/>
              <w:ind w:left="106"/>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c>
          <w:tcPr>
            <w:tcW w:w="1497" w:type="dxa"/>
            <w:gridSpan w:val="2"/>
          </w:tcPr>
          <w:p w14:paraId="565F6418" w14:textId="77777777" w:rsidR="00841CEC" w:rsidRPr="001912C2" w:rsidRDefault="00841CEC" w:rsidP="00841CEC">
            <w:pPr>
              <w:pStyle w:val="TableParagraph"/>
              <w:spacing w:before="168"/>
              <w:rPr>
                <w:rFonts w:ascii="Times New Roman" w:eastAsiaTheme="minorHAnsi" w:hAnsi="Times New Roman" w:cs="Times New Roman"/>
                <w:bCs/>
                <w:color w:val="767171"/>
                <w:spacing w:val="20"/>
                <w:sz w:val="16"/>
                <w:szCs w:val="16"/>
                <w:lang w:val="es-DO"/>
              </w:rPr>
            </w:pPr>
          </w:p>
          <w:p w14:paraId="248FD3AC" w14:textId="77777777" w:rsidR="00841CEC" w:rsidRPr="001912C2" w:rsidRDefault="00841CEC" w:rsidP="00841CEC">
            <w:pPr>
              <w:pStyle w:val="TableParagraph"/>
              <w:ind w:left="107"/>
              <w:rPr>
                <w:rFonts w:ascii="Times New Roman" w:eastAsiaTheme="minorHAnsi" w:hAnsi="Times New Roman" w:cs="Times New Roman"/>
                <w:bCs/>
                <w:color w:val="767171"/>
                <w:spacing w:val="20"/>
                <w:sz w:val="16"/>
                <w:szCs w:val="16"/>
                <w:lang w:val="es-DO"/>
              </w:rPr>
            </w:pPr>
            <w:r w:rsidRPr="001912C2">
              <w:rPr>
                <w:rFonts w:ascii="Times New Roman" w:eastAsiaTheme="minorHAnsi" w:hAnsi="Times New Roman" w:cs="Times New Roman"/>
                <w:bCs/>
                <w:color w:val="767171"/>
                <w:spacing w:val="20"/>
                <w:sz w:val="16"/>
                <w:szCs w:val="16"/>
                <w:lang w:val="es-DO"/>
              </w:rPr>
              <w:t>-</w:t>
            </w:r>
          </w:p>
        </w:tc>
      </w:tr>
      <w:tr w:rsidR="00246D3B" w:rsidRPr="00246D3B" w14:paraId="22BDF385" w14:textId="77777777" w:rsidTr="00246D3B">
        <w:trPr>
          <w:trHeight w:val="767"/>
        </w:trPr>
        <w:tc>
          <w:tcPr>
            <w:tcW w:w="1887" w:type="dxa"/>
            <w:shd w:val="clear" w:color="auto" w:fill="D9D9D9"/>
          </w:tcPr>
          <w:p w14:paraId="02226905" w14:textId="77777777" w:rsidR="00841CEC" w:rsidRPr="00246D3B" w:rsidRDefault="00841CEC" w:rsidP="00841CEC">
            <w:pPr>
              <w:tabs>
                <w:tab w:val="left" w:pos="1183"/>
                <w:tab w:val="left" w:pos="2334"/>
              </w:tabs>
              <w:spacing w:line="276" w:lineRule="auto"/>
              <w:ind w:left="107" w:right="111"/>
              <w:rPr>
                <w:rFonts w:ascii="Times New Roman" w:hAnsi="Times New Roman" w:cs="Times New Roman"/>
                <w:b/>
                <w:color w:val="000000" w:themeColor="text1"/>
                <w:sz w:val="16"/>
                <w:szCs w:val="16"/>
                <w:lang w:val="es-ES"/>
              </w:rPr>
            </w:pPr>
            <w:r w:rsidRPr="00246D3B">
              <w:rPr>
                <w:rFonts w:ascii="Times New Roman" w:hAnsi="Times New Roman" w:cs="Times New Roman"/>
                <w:b/>
                <w:color w:val="000000" w:themeColor="text1"/>
                <w:spacing w:val="14"/>
                <w:sz w:val="16"/>
                <w:szCs w:val="16"/>
                <w:lang w:val="es-ES"/>
              </w:rPr>
              <w:lastRenderedPageBreak/>
              <w:t>TOTAL,</w:t>
            </w:r>
            <w:r w:rsidRPr="00246D3B">
              <w:rPr>
                <w:rFonts w:ascii="Times New Roman" w:hAnsi="Times New Roman" w:cs="Times New Roman"/>
                <w:b/>
                <w:color w:val="000000" w:themeColor="text1"/>
                <w:sz w:val="16"/>
                <w:szCs w:val="16"/>
                <w:lang w:val="es-ES"/>
              </w:rPr>
              <w:t xml:space="preserve"> </w:t>
            </w:r>
            <w:r w:rsidRPr="00246D3B">
              <w:rPr>
                <w:rFonts w:ascii="Times New Roman" w:hAnsi="Times New Roman" w:cs="Times New Roman"/>
                <w:b/>
                <w:color w:val="000000" w:themeColor="text1"/>
                <w:spacing w:val="14"/>
                <w:sz w:val="16"/>
                <w:szCs w:val="16"/>
                <w:lang w:val="es-ES"/>
              </w:rPr>
              <w:t>GASTOS</w:t>
            </w:r>
            <w:r w:rsidRPr="00246D3B">
              <w:rPr>
                <w:rFonts w:ascii="Times New Roman" w:hAnsi="Times New Roman" w:cs="Times New Roman"/>
                <w:b/>
                <w:color w:val="000000" w:themeColor="text1"/>
                <w:sz w:val="16"/>
                <w:szCs w:val="16"/>
                <w:lang w:val="es-ES"/>
              </w:rPr>
              <w:t xml:space="preserve"> y </w:t>
            </w:r>
            <w:r w:rsidRPr="00246D3B">
              <w:rPr>
                <w:rFonts w:ascii="Times New Roman" w:hAnsi="Times New Roman" w:cs="Times New Roman"/>
                <w:b/>
                <w:color w:val="000000" w:themeColor="text1"/>
                <w:spacing w:val="16"/>
                <w:sz w:val="16"/>
                <w:szCs w:val="16"/>
                <w:lang w:val="es-ES"/>
              </w:rPr>
              <w:t>APLICACIONES</w:t>
            </w:r>
          </w:p>
          <w:p w14:paraId="7D23A7E0" w14:textId="77777777" w:rsidR="00841CEC" w:rsidRPr="00246D3B" w:rsidRDefault="00841CEC" w:rsidP="00841CEC">
            <w:pPr>
              <w:spacing w:before="1"/>
              <w:ind w:left="107"/>
              <w:rPr>
                <w:rFonts w:ascii="Times New Roman" w:hAnsi="Times New Roman" w:cs="Times New Roman"/>
                <w:b/>
                <w:color w:val="000000" w:themeColor="text1"/>
                <w:sz w:val="16"/>
                <w:szCs w:val="16"/>
                <w:lang w:val="es-ES"/>
              </w:rPr>
            </w:pPr>
            <w:r w:rsidRPr="00246D3B">
              <w:rPr>
                <w:rFonts w:ascii="Times New Roman" w:hAnsi="Times New Roman" w:cs="Times New Roman"/>
                <w:b/>
                <w:color w:val="000000" w:themeColor="text1"/>
                <w:spacing w:val="15"/>
                <w:sz w:val="16"/>
                <w:szCs w:val="16"/>
                <w:lang w:val="es-ES"/>
              </w:rPr>
              <w:t>FINANCIERAS</w:t>
            </w:r>
          </w:p>
        </w:tc>
        <w:tc>
          <w:tcPr>
            <w:tcW w:w="1165" w:type="dxa"/>
            <w:shd w:val="clear" w:color="auto" w:fill="D9D9D9"/>
          </w:tcPr>
          <w:p w14:paraId="73C04055" w14:textId="77777777" w:rsidR="00246D3B" w:rsidRPr="00A70DE5" w:rsidRDefault="00246D3B" w:rsidP="00246D3B">
            <w:pPr>
              <w:spacing w:before="132"/>
              <w:jc w:val="center"/>
              <w:rPr>
                <w:rFonts w:ascii="Times New Roman" w:hAnsi="Times New Roman" w:cs="Times New Roman"/>
                <w:b/>
                <w:color w:val="000000" w:themeColor="text1"/>
                <w:spacing w:val="11"/>
                <w:sz w:val="16"/>
                <w:szCs w:val="16"/>
                <w:lang w:val="es-ES"/>
              </w:rPr>
            </w:pPr>
          </w:p>
          <w:p w14:paraId="5BEC2C05" w14:textId="5487AB37" w:rsidR="00841CEC" w:rsidRPr="00246D3B" w:rsidRDefault="00841CEC" w:rsidP="00246D3B">
            <w:pPr>
              <w:spacing w:before="132"/>
              <w:jc w:val="center"/>
              <w:rPr>
                <w:rFonts w:ascii="Times New Roman" w:hAnsi="Times New Roman" w:cs="Times New Roman"/>
                <w:b/>
                <w:color w:val="000000" w:themeColor="text1"/>
                <w:sz w:val="16"/>
                <w:szCs w:val="16"/>
              </w:rPr>
            </w:pPr>
            <w:r w:rsidRPr="00246D3B">
              <w:rPr>
                <w:rFonts w:ascii="Times New Roman" w:hAnsi="Times New Roman" w:cs="Times New Roman"/>
                <w:b/>
                <w:color w:val="000000" w:themeColor="text1"/>
                <w:spacing w:val="11"/>
                <w:sz w:val="16"/>
                <w:szCs w:val="16"/>
              </w:rPr>
              <w:t>692</w:t>
            </w:r>
            <w:r w:rsidRPr="00246D3B">
              <w:rPr>
                <w:rFonts w:ascii="Times New Roman" w:hAnsi="Times New Roman" w:cs="Times New Roman"/>
                <w:b/>
                <w:color w:val="000000" w:themeColor="text1"/>
                <w:spacing w:val="-28"/>
                <w:sz w:val="16"/>
                <w:szCs w:val="16"/>
              </w:rPr>
              <w:t>,</w:t>
            </w:r>
            <w:r w:rsidRPr="00246D3B">
              <w:rPr>
                <w:rFonts w:ascii="Times New Roman" w:hAnsi="Times New Roman" w:cs="Times New Roman"/>
                <w:b/>
                <w:color w:val="000000" w:themeColor="text1"/>
                <w:spacing w:val="-29"/>
                <w:sz w:val="16"/>
                <w:szCs w:val="16"/>
              </w:rPr>
              <w:t xml:space="preserve"> </w:t>
            </w:r>
            <w:r w:rsidRPr="00246D3B">
              <w:rPr>
                <w:rFonts w:ascii="Times New Roman" w:hAnsi="Times New Roman" w:cs="Times New Roman"/>
                <w:b/>
                <w:color w:val="000000" w:themeColor="text1"/>
                <w:spacing w:val="11"/>
                <w:sz w:val="16"/>
                <w:szCs w:val="16"/>
              </w:rPr>
              <w:t>073</w:t>
            </w:r>
            <w:r w:rsidRPr="00246D3B">
              <w:rPr>
                <w:rFonts w:ascii="Times New Roman" w:hAnsi="Times New Roman" w:cs="Times New Roman"/>
                <w:b/>
                <w:color w:val="000000" w:themeColor="text1"/>
                <w:spacing w:val="-27"/>
                <w:sz w:val="16"/>
                <w:szCs w:val="16"/>
              </w:rPr>
              <w:t>,</w:t>
            </w:r>
            <w:r w:rsidRPr="00246D3B">
              <w:rPr>
                <w:rFonts w:ascii="Times New Roman" w:hAnsi="Times New Roman" w:cs="Times New Roman"/>
                <w:b/>
                <w:color w:val="000000" w:themeColor="text1"/>
                <w:spacing w:val="11"/>
                <w:sz w:val="16"/>
                <w:szCs w:val="16"/>
              </w:rPr>
              <w:t>784</w:t>
            </w:r>
            <w:r w:rsidRPr="00246D3B">
              <w:rPr>
                <w:rFonts w:ascii="Times New Roman" w:hAnsi="Times New Roman" w:cs="Times New Roman"/>
                <w:b/>
                <w:color w:val="000000" w:themeColor="text1"/>
                <w:spacing w:val="-29"/>
                <w:sz w:val="16"/>
                <w:szCs w:val="16"/>
              </w:rPr>
              <w:t xml:space="preserve">. </w:t>
            </w:r>
            <w:r w:rsidRPr="00246D3B">
              <w:rPr>
                <w:rFonts w:ascii="Times New Roman" w:hAnsi="Times New Roman" w:cs="Times New Roman"/>
                <w:b/>
                <w:color w:val="000000" w:themeColor="text1"/>
                <w:spacing w:val="-5"/>
                <w:sz w:val="16"/>
                <w:szCs w:val="16"/>
              </w:rPr>
              <w:t>00</w:t>
            </w:r>
          </w:p>
        </w:tc>
        <w:tc>
          <w:tcPr>
            <w:tcW w:w="1331" w:type="dxa"/>
            <w:shd w:val="clear" w:color="auto" w:fill="D9D9D9"/>
          </w:tcPr>
          <w:p w14:paraId="2F68DBD0" w14:textId="77777777" w:rsidR="00246D3B" w:rsidRDefault="00246D3B" w:rsidP="00246D3B">
            <w:pPr>
              <w:spacing w:before="34"/>
              <w:jc w:val="center"/>
              <w:rPr>
                <w:rFonts w:ascii="Times New Roman" w:hAnsi="Times New Roman" w:cs="Times New Roman"/>
                <w:b/>
                <w:color w:val="000000" w:themeColor="text1"/>
                <w:spacing w:val="-5"/>
                <w:sz w:val="16"/>
                <w:szCs w:val="16"/>
              </w:rPr>
            </w:pPr>
          </w:p>
          <w:p w14:paraId="19545D30" w14:textId="77777777" w:rsidR="00246D3B" w:rsidRDefault="00246D3B" w:rsidP="00246D3B">
            <w:pPr>
              <w:spacing w:before="34"/>
              <w:jc w:val="center"/>
              <w:rPr>
                <w:rFonts w:ascii="Times New Roman" w:hAnsi="Times New Roman" w:cs="Times New Roman"/>
                <w:b/>
                <w:color w:val="000000" w:themeColor="text1"/>
                <w:spacing w:val="-5"/>
                <w:sz w:val="16"/>
                <w:szCs w:val="16"/>
              </w:rPr>
            </w:pPr>
          </w:p>
          <w:p w14:paraId="62F03400" w14:textId="16215F5E" w:rsidR="00841CEC" w:rsidRPr="00246D3B" w:rsidRDefault="00841CEC" w:rsidP="00246D3B">
            <w:pPr>
              <w:spacing w:before="34"/>
              <w:jc w:val="center"/>
              <w:rPr>
                <w:rFonts w:ascii="Times New Roman" w:hAnsi="Times New Roman" w:cs="Times New Roman"/>
                <w:b/>
                <w:color w:val="000000" w:themeColor="text1"/>
                <w:sz w:val="16"/>
                <w:szCs w:val="16"/>
              </w:rPr>
            </w:pPr>
            <w:r w:rsidRPr="00246D3B">
              <w:rPr>
                <w:rFonts w:ascii="Times New Roman" w:hAnsi="Times New Roman" w:cs="Times New Roman"/>
                <w:b/>
                <w:color w:val="000000" w:themeColor="text1"/>
                <w:spacing w:val="-5"/>
                <w:sz w:val="16"/>
                <w:szCs w:val="16"/>
              </w:rPr>
              <w:t>790,110,913.55</w:t>
            </w:r>
          </w:p>
        </w:tc>
        <w:tc>
          <w:tcPr>
            <w:tcW w:w="1497" w:type="dxa"/>
            <w:shd w:val="clear" w:color="auto" w:fill="D9D9D9"/>
          </w:tcPr>
          <w:p w14:paraId="092EB85D" w14:textId="77777777" w:rsidR="00246D3B" w:rsidRDefault="00246D3B" w:rsidP="00246D3B">
            <w:pPr>
              <w:spacing w:before="132"/>
              <w:jc w:val="center"/>
              <w:rPr>
                <w:rFonts w:ascii="Times New Roman" w:hAnsi="Times New Roman" w:cs="Times New Roman"/>
                <w:b/>
                <w:color w:val="000000" w:themeColor="text1"/>
                <w:spacing w:val="11"/>
                <w:sz w:val="16"/>
                <w:szCs w:val="16"/>
              </w:rPr>
            </w:pPr>
          </w:p>
          <w:p w14:paraId="2D601559" w14:textId="64C5893C" w:rsidR="00841CEC" w:rsidRPr="00246D3B" w:rsidRDefault="00841CEC" w:rsidP="00246D3B">
            <w:pPr>
              <w:spacing w:before="132"/>
              <w:jc w:val="center"/>
              <w:rPr>
                <w:rFonts w:ascii="Times New Roman" w:hAnsi="Times New Roman" w:cs="Times New Roman"/>
                <w:b/>
                <w:color w:val="000000" w:themeColor="text1"/>
                <w:sz w:val="16"/>
                <w:szCs w:val="16"/>
              </w:rPr>
            </w:pPr>
            <w:r w:rsidRPr="00246D3B">
              <w:rPr>
                <w:rFonts w:ascii="Times New Roman" w:hAnsi="Times New Roman" w:cs="Times New Roman"/>
                <w:b/>
                <w:color w:val="000000" w:themeColor="text1"/>
                <w:spacing w:val="11"/>
                <w:sz w:val="16"/>
                <w:szCs w:val="16"/>
              </w:rPr>
              <w:t>513,967,202.88</w:t>
            </w:r>
          </w:p>
        </w:tc>
        <w:tc>
          <w:tcPr>
            <w:tcW w:w="831" w:type="dxa"/>
            <w:shd w:val="clear" w:color="auto" w:fill="D9D9D9"/>
          </w:tcPr>
          <w:p w14:paraId="5A1FCFBF" w14:textId="77777777" w:rsidR="00841CEC" w:rsidRPr="00246D3B" w:rsidRDefault="00841CEC" w:rsidP="00246D3B">
            <w:pPr>
              <w:spacing w:before="34"/>
              <w:jc w:val="center"/>
              <w:rPr>
                <w:rFonts w:ascii="Times New Roman" w:hAnsi="Times New Roman" w:cs="Times New Roman"/>
                <w:b/>
                <w:color w:val="000000" w:themeColor="text1"/>
                <w:sz w:val="16"/>
                <w:szCs w:val="16"/>
              </w:rPr>
            </w:pPr>
          </w:p>
          <w:p w14:paraId="6373EB66" w14:textId="77777777" w:rsidR="00246D3B" w:rsidRDefault="00246D3B" w:rsidP="00246D3B">
            <w:pPr>
              <w:jc w:val="center"/>
              <w:rPr>
                <w:rFonts w:ascii="Times New Roman" w:hAnsi="Times New Roman" w:cs="Times New Roman"/>
                <w:b/>
                <w:color w:val="000000" w:themeColor="text1"/>
                <w:spacing w:val="8"/>
                <w:sz w:val="16"/>
                <w:szCs w:val="16"/>
              </w:rPr>
            </w:pPr>
          </w:p>
          <w:p w14:paraId="52D7687F" w14:textId="60637B09" w:rsidR="00841CEC" w:rsidRPr="00246D3B" w:rsidRDefault="00841CEC" w:rsidP="00246D3B">
            <w:pPr>
              <w:jc w:val="center"/>
              <w:rPr>
                <w:rFonts w:ascii="Times New Roman" w:hAnsi="Times New Roman" w:cs="Times New Roman"/>
                <w:b/>
                <w:color w:val="000000" w:themeColor="text1"/>
                <w:sz w:val="16"/>
                <w:szCs w:val="16"/>
              </w:rPr>
            </w:pPr>
            <w:r w:rsidRPr="00246D3B">
              <w:rPr>
                <w:rFonts w:ascii="Times New Roman" w:hAnsi="Times New Roman" w:cs="Times New Roman"/>
                <w:b/>
                <w:color w:val="000000" w:themeColor="text1"/>
                <w:spacing w:val="8"/>
                <w:sz w:val="16"/>
                <w:szCs w:val="16"/>
              </w:rPr>
              <w:t>65%</w:t>
            </w:r>
          </w:p>
        </w:tc>
        <w:tc>
          <w:tcPr>
            <w:tcW w:w="1497" w:type="dxa"/>
            <w:gridSpan w:val="2"/>
            <w:shd w:val="clear" w:color="auto" w:fill="D9D9D9"/>
          </w:tcPr>
          <w:p w14:paraId="22BF0B4D" w14:textId="77777777" w:rsidR="00246D3B" w:rsidRDefault="00246D3B" w:rsidP="00246D3B">
            <w:pPr>
              <w:spacing w:before="132"/>
              <w:jc w:val="center"/>
              <w:rPr>
                <w:rFonts w:ascii="Times New Roman" w:hAnsi="Times New Roman" w:cs="Times New Roman"/>
                <w:b/>
                <w:color w:val="000000" w:themeColor="text1"/>
                <w:spacing w:val="11"/>
                <w:sz w:val="16"/>
                <w:szCs w:val="16"/>
              </w:rPr>
            </w:pPr>
          </w:p>
          <w:p w14:paraId="5F06CB9B" w14:textId="711A8DCE" w:rsidR="00841CEC" w:rsidRPr="00246D3B" w:rsidRDefault="00841CEC" w:rsidP="00246D3B">
            <w:pPr>
              <w:spacing w:before="132"/>
              <w:jc w:val="center"/>
              <w:rPr>
                <w:rFonts w:ascii="Times New Roman" w:hAnsi="Times New Roman" w:cs="Times New Roman"/>
                <w:b/>
                <w:color w:val="000000" w:themeColor="text1"/>
                <w:sz w:val="16"/>
                <w:szCs w:val="16"/>
              </w:rPr>
            </w:pPr>
            <w:r w:rsidRPr="00246D3B">
              <w:rPr>
                <w:rFonts w:ascii="Times New Roman" w:hAnsi="Times New Roman" w:cs="Times New Roman"/>
                <w:b/>
                <w:color w:val="000000" w:themeColor="text1"/>
                <w:spacing w:val="11"/>
                <w:sz w:val="16"/>
                <w:szCs w:val="16"/>
              </w:rPr>
              <w:t>276</w:t>
            </w:r>
            <w:r w:rsidRPr="00246D3B">
              <w:rPr>
                <w:rFonts w:ascii="Times New Roman" w:hAnsi="Times New Roman" w:cs="Times New Roman"/>
                <w:b/>
                <w:color w:val="000000" w:themeColor="text1"/>
                <w:spacing w:val="-28"/>
                <w:sz w:val="16"/>
                <w:szCs w:val="16"/>
              </w:rPr>
              <w:t>,</w:t>
            </w:r>
            <w:r w:rsidRPr="00246D3B">
              <w:rPr>
                <w:rFonts w:ascii="Times New Roman" w:hAnsi="Times New Roman" w:cs="Times New Roman"/>
                <w:b/>
                <w:color w:val="000000" w:themeColor="text1"/>
                <w:spacing w:val="-29"/>
                <w:sz w:val="16"/>
                <w:szCs w:val="16"/>
              </w:rPr>
              <w:t>130</w:t>
            </w:r>
            <w:r w:rsidRPr="00246D3B">
              <w:rPr>
                <w:rFonts w:ascii="Times New Roman" w:hAnsi="Times New Roman" w:cs="Times New Roman"/>
                <w:b/>
                <w:color w:val="000000" w:themeColor="text1"/>
                <w:spacing w:val="-27"/>
                <w:sz w:val="16"/>
                <w:szCs w:val="16"/>
              </w:rPr>
              <w:t>,</w:t>
            </w:r>
            <w:r w:rsidRPr="00246D3B">
              <w:rPr>
                <w:rFonts w:ascii="Times New Roman" w:hAnsi="Times New Roman" w:cs="Times New Roman"/>
                <w:b/>
                <w:color w:val="000000" w:themeColor="text1"/>
                <w:spacing w:val="11"/>
                <w:sz w:val="16"/>
                <w:szCs w:val="16"/>
              </w:rPr>
              <w:t>561</w:t>
            </w:r>
            <w:r w:rsidRPr="00246D3B">
              <w:rPr>
                <w:rFonts w:ascii="Times New Roman" w:hAnsi="Times New Roman" w:cs="Times New Roman"/>
                <w:b/>
                <w:color w:val="000000" w:themeColor="text1"/>
                <w:spacing w:val="-29"/>
                <w:sz w:val="16"/>
                <w:szCs w:val="16"/>
              </w:rPr>
              <w:t xml:space="preserve"> </w:t>
            </w:r>
            <w:r w:rsidRPr="00246D3B">
              <w:rPr>
                <w:rFonts w:ascii="Times New Roman" w:hAnsi="Times New Roman" w:cs="Times New Roman"/>
                <w:b/>
                <w:color w:val="000000" w:themeColor="text1"/>
                <w:sz w:val="16"/>
                <w:szCs w:val="16"/>
              </w:rPr>
              <w:t>.93</w:t>
            </w:r>
          </w:p>
        </w:tc>
      </w:tr>
    </w:tbl>
    <w:bookmarkEnd w:id="63"/>
    <w:p w14:paraId="0EF7A1AC" w14:textId="79B63F87" w:rsidR="00246D3B" w:rsidRDefault="00246D3B" w:rsidP="00485B71">
      <w:pPr>
        <w:spacing w:line="360" w:lineRule="auto"/>
        <w:jc w:val="both"/>
        <w:rPr>
          <w:rFonts w:eastAsia="Calibri"/>
          <w:noProof/>
          <w:color w:val="4C4747"/>
          <w:sz w:val="22"/>
          <w:lang w:val="es-ES"/>
        </w:rPr>
      </w:pPr>
      <w:r w:rsidRPr="00246D3B">
        <w:rPr>
          <w:rFonts w:eastAsia="Calibri"/>
          <w:noProof/>
          <w:color w:val="4C4747"/>
          <w:sz w:val="22"/>
          <w:lang w:val="es-ES"/>
        </w:rPr>
        <w:t xml:space="preserve">FUENTE: elaboraciòn propia con datos del SIGEF. </w:t>
      </w:r>
    </w:p>
    <w:p w14:paraId="5FB01627" w14:textId="014EB69B" w:rsidR="002072F5" w:rsidRDefault="002072F5" w:rsidP="00485B71">
      <w:pPr>
        <w:spacing w:line="360" w:lineRule="auto"/>
        <w:jc w:val="both"/>
        <w:rPr>
          <w:rFonts w:eastAsia="Calibri"/>
          <w:noProof/>
          <w:color w:val="4C4747"/>
          <w:sz w:val="22"/>
          <w:lang w:val="es-ES"/>
        </w:rPr>
      </w:pPr>
    </w:p>
    <w:p w14:paraId="43C00305" w14:textId="54A4A304" w:rsidR="002072F5" w:rsidRDefault="002072F5" w:rsidP="00485B71">
      <w:pPr>
        <w:spacing w:line="360" w:lineRule="auto"/>
        <w:jc w:val="both"/>
        <w:rPr>
          <w:rFonts w:eastAsia="Calibri"/>
          <w:noProof/>
          <w:color w:val="4C4747"/>
          <w:sz w:val="22"/>
          <w:lang w:val="es-ES"/>
        </w:rPr>
      </w:pPr>
    </w:p>
    <w:p w14:paraId="1BF63FD8" w14:textId="43D8ACDA" w:rsidR="002072F5" w:rsidRDefault="002072F5" w:rsidP="00485B71">
      <w:pPr>
        <w:spacing w:line="360" w:lineRule="auto"/>
        <w:jc w:val="both"/>
        <w:rPr>
          <w:rFonts w:eastAsia="Calibri"/>
          <w:noProof/>
          <w:color w:val="4C4747"/>
          <w:sz w:val="22"/>
          <w:lang w:val="es-ES"/>
        </w:rPr>
      </w:pPr>
    </w:p>
    <w:p w14:paraId="6A6BF9D7" w14:textId="77777777" w:rsidR="002072F5" w:rsidRDefault="002072F5" w:rsidP="00485B71">
      <w:pPr>
        <w:spacing w:line="360" w:lineRule="auto"/>
        <w:jc w:val="both"/>
        <w:rPr>
          <w:rFonts w:eastAsia="Calibri"/>
          <w:noProof/>
          <w:color w:val="4C4747"/>
          <w:sz w:val="22"/>
          <w:lang w:val="es-ES"/>
        </w:rPr>
      </w:pPr>
    </w:p>
    <w:p w14:paraId="2BA714FD" w14:textId="17647FFD" w:rsidR="00A70DE5" w:rsidRDefault="00A70DE5" w:rsidP="00A04FF5">
      <w:pPr>
        <w:pStyle w:val="Ttulo1"/>
        <w:numPr>
          <w:ilvl w:val="0"/>
          <w:numId w:val="2"/>
        </w:numPr>
        <w:rPr>
          <w:noProof/>
          <w:color w:val="595959" w:themeColor="text1" w:themeTint="A6"/>
          <w:sz w:val="24"/>
          <w:szCs w:val="26"/>
          <w:lang w:val="es-ES"/>
        </w:rPr>
      </w:pPr>
      <w:bookmarkStart w:id="64" w:name="_Toc216875888"/>
      <w:r w:rsidRPr="005310B7">
        <w:rPr>
          <w:noProof/>
          <w:color w:val="595959" w:themeColor="text1" w:themeTint="A6"/>
          <w:sz w:val="24"/>
          <w:szCs w:val="26"/>
          <w:lang w:val="es-ES"/>
        </w:rPr>
        <w:t xml:space="preserve">Matriz de </w:t>
      </w:r>
      <w:r w:rsidR="005310B7" w:rsidRPr="005310B7">
        <w:rPr>
          <w:noProof/>
          <w:color w:val="595959" w:themeColor="text1" w:themeTint="A6"/>
          <w:sz w:val="24"/>
          <w:szCs w:val="26"/>
          <w:lang w:val="es-ES"/>
        </w:rPr>
        <w:t>P</w:t>
      </w:r>
      <w:r w:rsidRPr="005310B7">
        <w:rPr>
          <w:noProof/>
          <w:color w:val="595959" w:themeColor="text1" w:themeTint="A6"/>
          <w:sz w:val="24"/>
          <w:szCs w:val="26"/>
          <w:lang w:val="es-ES"/>
        </w:rPr>
        <w:t xml:space="preserve">rinciplaes </w:t>
      </w:r>
      <w:r w:rsidR="005310B7" w:rsidRPr="005310B7">
        <w:rPr>
          <w:noProof/>
          <w:color w:val="595959" w:themeColor="text1" w:themeTint="A6"/>
          <w:sz w:val="24"/>
          <w:szCs w:val="26"/>
          <w:lang w:val="es-ES"/>
        </w:rPr>
        <w:t>I</w:t>
      </w:r>
      <w:r w:rsidRPr="005310B7">
        <w:rPr>
          <w:noProof/>
          <w:color w:val="595959" w:themeColor="text1" w:themeTint="A6"/>
          <w:sz w:val="24"/>
          <w:szCs w:val="26"/>
          <w:lang w:val="es-ES"/>
        </w:rPr>
        <w:t>ndicadores del POA</w:t>
      </w:r>
      <w:bookmarkEnd w:id="64"/>
      <w:r w:rsidRPr="005310B7">
        <w:rPr>
          <w:noProof/>
          <w:color w:val="595959" w:themeColor="text1" w:themeTint="A6"/>
          <w:sz w:val="24"/>
          <w:szCs w:val="26"/>
          <w:lang w:val="es-ES"/>
        </w:rPr>
        <w:t xml:space="preserve"> </w:t>
      </w:r>
    </w:p>
    <w:p w14:paraId="38789428" w14:textId="04D88D17" w:rsidR="002072F5" w:rsidRDefault="002072F5" w:rsidP="002072F5">
      <w:pPr>
        <w:rPr>
          <w:lang w:val="es-ES"/>
        </w:rPr>
      </w:pPr>
    </w:p>
    <w:tbl>
      <w:tblPr>
        <w:tblW w:w="9308" w:type="dxa"/>
        <w:tblInd w:w="-289" w:type="dxa"/>
        <w:tblLayout w:type="fixed"/>
        <w:tblCellMar>
          <w:left w:w="70" w:type="dxa"/>
          <w:right w:w="70" w:type="dxa"/>
        </w:tblCellMar>
        <w:tblLook w:val="04A0" w:firstRow="1" w:lastRow="0" w:firstColumn="1" w:lastColumn="0" w:noHBand="0" w:noVBand="1"/>
      </w:tblPr>
      <w:tblGrid>
        <w:gridCol w:w="601"/>
        <w:gridCol w:w="1201"/>
        <w:gridCol w:w="1201"/>
        <w:gridCol w:w="1392"/>
        <w:gridCol w:w="1134"/>
        <w:gridCol w:w="709"/>
        <w:gridCol w:w="818"/>
        <w:gridCol w:w="1308"/>
        <w:gridCol w:w="944"/>
      </w:tblGrid>
      <w:tr w:rsidR="009D14E3" w:rsidRPr="000904E0" w14:paraId="39583930" w14:textId="77777777" w:rsidTr="009D14E3">
        <w:trPr>
          <w:trHeight w:val="789"/>
          <w:tblHeader/>
        </w:trPr>
        <w:tc>
          <w:tcPr>
            <w:tcW w:w="60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521660A"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NO.</w:t>
            </w:r>
          </w:p>
        </w:tc>
        <w:tc>
          <w:tcPr>
            <w:tcW w:w="1201" w:type="dxa"/>
            <w:tcBorders>
              <w:top w:val="single" w:sz="4" w:space="0" w:color="auto"/>
              <w:left w:val="nil"/>
              <w:bottom w:val="single" w:sz="4" w:space="0" w:color="auto"/>
              <w:right w:val="single" w:sz="4" w:space="0" w:color="auto"/>
            </w:tcBorders>
            <w:shd w:val="clear" w:color="auto" w:fill="002060"/>
            <w:vAlign w:val="center"/>
            <w:hideMark/>
          </w:tcPr>
          <w:p w14:paraId="0D545D6F"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ÁREA</w:t>
            </w:r>
          </w:p>
        </w:tc>
        <w:tc>
          <w:tcPr>
            <w:tcW w:w="1201" w:type="dxa"/>
            <w:tcBorders>
              <w:top w:val="single" w:sz="4" w:space="0" w:color="auto"/>
              <w:left w:val="nil"/>
              <w:bottom w:val="single" w:sz="4" w:space="0" w:color="auto"/>
              <w:right w:val="single" w:sz="4" w:space="0" w:color="auto"/>
            </w:tcBorders>
            <w:shd w:val="clear" w:color="auto" w:fill="002060"/>
            <w:vAlign w:val="center"/>
            <w:hideMark/>
          </w:tcPr>
          <w:p w14:paraId="78912FF5"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PROCESO</w:t>
            </w:r>
          </w:p>
        </w:tc>
        <w:tc>
          <w:tcPr>
            <w:tcW w:w="1392" w:type="dxa"/>
            <w:tcBorders>
              <w:top w:val="single" w:sz="4" w:space="0" w:color="auto"/>
              <w:left w:val="nil"/>
              <w:bottom w:val="single" w:sz="4" w:space="0" w:color="auto"/>
              <w:right w:val="single" w:sz="4" w:space="0" w:color="auto"/>
            </w:tcBorders>
            <w:shd w:val="clear" w:color="auto" w:fill="002060"/>
            <w:vAlign w:val="center"/>
            <w:hideMark/>
          </w:tcPr>
          <w:p w14:paraId="74E9B287"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NOMBRE DEL INDICADOR</w:t>
            </w:r>
          </w:p>
        </w:tc>
        <w:tc>
          <w:tcPr>
            <w:tcW w:w="1134" w:type="dxa"/>
            <w:tcBorders>
              <w:top w:val="single" w:sz="4" w:space="0" w:color="auto"/>
              <w:left w:val="nil"/>
              <w:bottom w:val="single" w:sz="4" w:space="0" w:color="auto"/>
              <w:right w:val="single" w:sz="4" w:space="0" w:color="auto"/>
            </w:tcBorders>
            <w:shd w:val="clear" w:color="auto" w:fill="002060"/>
            <w:vAlign w:val="center"/>
            <w:hideMark/>
          </w:tcPr>
          <w:p w14:paraId="4472CDDE"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FRECUENCIA</w:t>
            </w:r>
          </w:p>
        </w:tc>
        <w:tc>
          <w:tcPr>
            <w:tcW w:w="709" w:type="dxa"/>
            <w:tcBorders>
              <w:top w:val="single" w:sz="4" w:space="0" w:color="auto"/>
              <w:left w:val="nil"/>
              <w:bottom w:val="single" w:sz="4" w:space="0" w:color="auto"/>
              <w:right w:val="single" w:sz="4" w:space="0" w:color="auto"/>
            </w:tcBorders>
            <w:shd w:val="clear" w:color="auto" w:fill="002060"/>
            <w:vAlign w:val="center"/>
            <w:hideMark/>
          </w:tcPr>
          <w:p w14:paraId="03509BFD" w14:textId="1B578FFF"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LÍNEA BASE (202</w:t>
            </w:r>
            <w:r>
              <w:rPr>
                <w:rFonts w:eastAsia="Times New Roman"/>
                <w:b/>
                <w:color w:val="FFFFFF" w:themeColor="background1"/>
                <w:sz w:val="14"/>
                <w:szCs w:val="16"/>
                <w:lang w:val="es-DO" w:eastAsia="es-MX"/>
              </w:rPr>
              <w:t>4</w:t>
            </w:r>
            <w:r w:rsidRPr="000904E0">
              <w:rPr>
                <w:rFonts w:eastAsia="Times New Roman"/>
                <w:b/>
                <w:color w:val="FFFFFF" w:themeColor="background1"/>
                <w:sz w:val="14"/>
                <w:szCs w:val="16"/>
                <w:lang w:val="es-DO" w:eastAsia="es-MX"/>
              </w:rPr>
              <w:t>)</w:t>
            </w:r>
          </w:p>
        </w:tc>
        <w:tc>
          <w:tcPr>
            <w:tcW w:w="818" w:type="dxa"/>
            <w:tcBorders>
              <w:top w:val="single" w:sz="4" w:space="0" w:color="auto"/>
              <w:left w:val="nil"/>
              <w:bottom w:val="single" w:sz="4" w:space="0" w:color="auto"/>
              <w:right w:val="single" w:sz="4" w:space="0" w:color="auto"/>
            </w:tcBorders>
            <w:shd w:val="clear" w:color="auto" w:fill="002060"/>
            <w:vAlign w:val="center"/>
            <w:hideMark/>
          </w:tcPr>
          <w:p w14:paraId="467CE053"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META</w:t>
            </w:r>
          </w:p>
        </w:tc>
        <w:tc>
          <w:tcPr>
            <w:tcW w:w="1308" w:type="dxa"/>
            <w:tcBorders>
              <w:top w:val="single" w:sz="4" w:space="0" w:color="auto"/>
              <w:left w:val="nil"/>
              <w:bottom w:val="single" w:sz="4" w:space="0" w:color="auto"/>
              <w:right w:val="single" w:sz="4" w:space="0" w:color="auto"/>
            </w:tcBorders>
            <w:shd w:val="clear" w:color="auto" w:fill="002060"/>
            <w:vAlign w:val="center"/>
            <w:hideMark/>
          </w:tcPr>
          <w:p w14:paraId="3FB69876"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RESULTADO</w:t>
            </w:r>
          </w:p>
        </w:tc>
        <w:tc>
          <w:tcPr>
            <w:tcW w:w="944" w:type="dxa"/>
            <w:tcBorders>
              <w:top w:val="single" w:sz="4" w:space="0" w:color="auto"/>
              <w:left w:val="nil"/>
              <w:bottom w:val="single" w:sz="4" w:space="0" w:color="auto"/>
              <w:right w:val="single" w:sz="4" w:space="0" w:color="auto"/>
            </w:tcBorders>
            <w:shd w:val="clear" w:color="auto" w:fill="002060"/>
            <w:vAlign w:val="center"/>
            <w:hideMark/>
          </w:tcPr>
          <w:p w14:paraId="5B03BC36" w14:textId="77777777" w:rsidR="00BA72B0" w:rsidRPr="000904E0" w:rsidRDefault="00BA72B0" w:rsidP="00A04FF5">
            <w:pPr>
              <w:spacing w:after="0" w:line="240" w:lineRule="auto"/>
              <w:jc w:val="center"/>
              <w:rPr>
                <w:rFonts w:eastAsia="Times New Roman"/>
                <w:b/>
                <w:color w:val="FFFFFF" w:themeColor="background1"/>
                <w:sz w:val="14"/>
                <w:szCs w:val="16"/>
                <w:lang w:val="es-DO" w:eastAsia="es-MX"/>
              </w:rPr>
            </w:pPr>
            <w:r w:rsidRPr="000904E0">
              <w:rPr>
                <w:rFonts w:eastAsia="Times New Roman"/>
                <w:b/>
                <w:color w:val="FFFFFF" w:themeColor="background1"/>
                <w:sz w:val="14"/>
                <w:szCs w:val="16"/>
                <w:lang w:val="es-DO" w:eastAsia="es-MX"/>
              </w:rPr>
              <w:t xml:space="preserve">PORCENTAJE DE AVANCE </w:t>
            </w:r>
          </w:p>
        </w:tc>
      </w:tr>
      <w:tr w:rsidR="009D14E3" w:rsidRPr="000904E0" w14:paraId="0A33BD7A" w14:textId="77777777" w:rsidTr="009D14E3">
        <w:trPr>
          <w:trHeight w:val="1055"/>
        </w:trPr>
        <w:tc>
          <w:tcPr>
            <w:tcW w:w="601" w:type="dxa"/>
            <w:vMerge w:val="restart"/>
            <w:tcBorders>
              <w:top w:val="nil"/>
              <w:left w:val="single" w:sz="4" w:space="0" w:color="auto"/>
              <w:right w:val="single" w:sz="4" w:space="0" w:color="auto"/>
            </w:tcBorders>
            <w:shd w:val="clear" w:color="auto" w:fill="auto"/>
            <w:noWrap/>
            <w:vAlign w:val="center"/>
            <w:hideMark/>
          </w:tcPr>
          <w:p w14:paraId="0896AA8D" w14:textId="77777777" w:rsidR="00BA72B0" w:rsidRPr="00CC271A" w:rsidRDefault="00BA72B0" w:rsidP="00A04FF5">
            <w:pPr>
              <w:spacing w:line="240" w:lineRule="auto"/>
              <w:jc w:val="center"/>
              <w:rPr>
                <w:bCs/>
                <w:sz w:val="16"/>
                <w:szCs w:val="16"/>
                <w:lang w:val="es-DO"/>
              </w:rPr>
            </w:pPr>
            <w:r>
              <w:rPr>
                <w:bCs/>
                <w:sz w:val="16"/>
                <w:szCs w:val="16"/>
                <w:lang w:val="es-DO"/>
              </w:rPr>
              <w:t>1</w:t>
            </w:r>
          </w:p>
        </w:tc>
        <w:tc>
          <w:tcPr>
            <w:tcW w:w="1201" w:type="dxa"/>
            <w:vMerge w:val="restart"/>
            <w:tcBorders>
              <w:top w:val="nil"/>
              <w:left w:val="single" w:sz="4" w:space="0" w:color="auto"/>
              <w:right w:val="single" w:sz="4" w:space="0" w:color="auto"/>
            </w:tcBorders>
            <w:shd w:val="clear" w:color="auto" w:fill="auto"/>
            <w:noWrap/>
            <w:vAlign w:val="center"/>
            <w:hideMark/>
          </w:tcPr>
          <w:p w14:paraId="17199AF9" w14:textId="30F5CEE5" w:rsidR="00BA72B0" w:rsidRPr="00CC271A" w:rsidRDefault="00BA72B0" w:rsidP="00A04FF5">
            <w:pPr>
              <w:spacing w:line="240" w:lineRule="auto"/>
              <w:jc w:val="both"/>
              <w:rPr>
                <w:bCs/>
                <w:sz w:val="16"/>
                <w:szCs w:val="16"/>
                <w:lang w:val="es-DO"/>
              </w:rPr>
            </w:pPr>
            <w:r w:rsidRPr="00CC271A">
              <w:rPr>
                <w:bCs/>
                <w:sz w:val="16"/>
                <w:szCs w:val="16"/>
                <w:lang w:val="es-DO"/>
              </w:rPr>
              <w:t>Dirección Técnica de Seguros y Reaseguros</w:t>
            </w:r>
          </w:p>
        </w:tc>
        <w:tc>
          <w:tcPr>
            <w:tcW w:w="1201" w:type="dxa"/>
            <w:vMerge w:val="restart"/>
            <w:tcBorders>
              <w:top w:val="nil"/>
              <w:left w:val="single" w:sz="4" w:space="0" w:color="auto"/>
              <w:right w:val="single" w:sz="4" w:space="0" w:color="auto"/>
            </w:tcBorders>
            <w:shd w:val="clear" w:color="auto" w:fill="auto"/>
            <w:vAlign w:val="center"/>
            <w:hideMark/>
          </w:tcPr>
          <w:p w14:paraId="4C5AFB54" w14:textId="33926716" w:rsidR="00BA72B0" w:rsidRPr="00CC271A" w:rsidRDefault="00BA72B0" w:rsidP="00A04FF5">
            <w:pPr>
              <w:spacing w:line="240" w:lineRule="auto"/>
              <w:jc w:val="both"/>
              <w:rPr>
                <w:bCs/>
                <w:sz w:val="16"/>
                <w:szCs w:val="16"/>
                <w:lang w:val="es-DO"/>
              </w:rPr>
            </w:pPr>
            <w:r>
              <w:rPr>
                <w:bCs/>
                <w:sz w:val="16"/>
                <w:szCs w:val="16"/>
                <w:lang w:val="es-DO"/>
              </w:rPr>
              <w:t xml:space="preserve">Registro, control y regulación </w:t>
            </w:r>
            <w:r w:rsidRPr="00CC271A">
              <w:rPr>
                <w:bCs/>
                <w:sz w:val="16"/>
                <w:szCs w:val="16"/>
                <w:lang w:val="es-DO"/>
              </w:rPr>
              <w:t xml:space="preserve"> </w:t>
            </w:r>
          </w:p>
        </w:tc>
        <w:tc>
          <w:tcPr>
            <w:tcW w:w="1392" w:type="dxa"/>
            <w:tcBorders>
              <w:top w:val="nil"/>
              <w:left w:val="nil"/>
              <w:bottom w:val="single" w:sz="4" w:space="0" w:color="auto"/>
              <w:right w:val="single" w:sz="4" w:space="0" w:color="auto"/>
            </w:tcBorders>
            <w:shd w:val="clear" w:color="auto" w:fill="auto"/>
            <w:vAlign w:val="center"/>
            <w:hideMark/>
          </w:tcPr>
          <w:p w14:paraId="59689A2F" w14:textId="330A4A84" w:rsidR="00BA72B0" w:rsidRPr="00CC271A" w:rsidRDefault="00BA72B0" w:rsidP="00BA72B0">
            <w:pPr>
              <w:spacing w:line="240" w:lineRule="auto"/>
              <w:rPr>
                <w:bCs/>
                <w:sz w:val="16"/>
                <w:szCs w:val="16"/>
                <w:lang w:val="es-DO"/>
              </w:rPr>
            </w:pPr>
            <w:r>
              <w:rPr>
                <w:bCs/>
                <w:sz w:val="16"/>
                <w:szCs w:val="16"/>
                <w:lang w:val="es-DO"/>
              </w:rPr>
              <w:t>Cantidad de e</w:t>
            </w:r>
            <w:r w:rsidRPr="00CC271A">
              <w:rPr>
                <w:bCs/>
                <w:sz w:val="16"/>
                <w:szCs w:val="16"/>
                <w:lang w:val="es-DO"/>
              </w:rPr>
              <w:t>misiones de certificaciones de pólizas de seguros generales, de personas y fianzas.</w:t>
            </w:r>
          </w:p>
        </w:tc>
        <w:tc>
          <w:tcPr>
            <w:tcW w:w="1134" w:type="dxa"/>
            <w:tcBorders>
              <w:top w:val="nil"/>
              <w:left w:val="nil"/>
              <w:bottom w:val="single" w:sz="4" w:space="0" w:color="auto"/>
              <w:right w:val="single" w:sz="4" w:space="0" w:color="auto"/>
            </w:tcBorders>
            <w:shd w:val="clear" w:color="auto" w:fill="auto"/>
            <w:noWrap/>
            <w:vAlign w:val="center"/>
            <w:hideMark/>
          </w:tcPr>
          <w:p w14:paraId="1CEFE0A8"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nil"/>
              <w:left w:val="nil"/>
              <w:bottom w:val="single" w:sz="4" w:space="0" w:color="auto"/>
              <w:right w:val="single" w:sz="4" w:space="0" w:color="auto"/>
            </w:tcBorders>
            <w:shd w:val="clear" w:color="auto" w:fill="auto"/>
            <w:noWrap/>
            <w:vAlign w:val="center"/>
          </w:tcPr>
          <w:p w14:paraId="398A4FDE" w14:textId="0647E51D" w:rsidR="00BA72B0" w:rsidRPr="00CC271A" w:rsidRDefault="00BA72B0" w:rsidP="00A04FF5">
            <w:pPr>
              <w:spacing w:line="240" w:lineRule="auto"/>
              <w:jc w:val="center"/>
              <w:rPr>
                <w:bCs/>
                <w:sz w:val="16"/>
                <w:szCs w:val="16"/>
                <w:lang w:val="es-DO"/>
              </w:rPr>
            </w:pPr>
            <w:r>
              <w:rPr>
                <w:bCs/>
                <w:sz w:val="16"/>
                <w:szCs w:val="16"/>
                <w:lang w:val="es-DO"/>
              </w:rPr>
              <w:t>3,436</w:t>
            </w:r>
          </w:p>
        </w:tc>
        <w:tc>
          <w:tcPr>
            <w:tcW w:w="818" w:type="dxa"/>
            <w:tcBorders>
              <w:top w:val="nil"/>
              <w:left w:val="nil"/>
              <w:bottom w:val="single" w:sz="4" w:space="0" w:color="auto"/>
              <w:right w:val="single" w:sz="4" w:space="0" w:color="auto"/>
            </w:tcBorders>
            <w:shd w:val="clear" w:color="auto" w:fill="auto"/>
            <w:noWrap/>
            <w:vAlign w:val="center"/>
            <w:hideMark/>
          </w:tcPr>
          <w:p w14:paraId="0A26D264" w14:textId="10F6B840" w:rsidR="00BA72B0" w:rsidRPr="00CC271A" w:rsidRDefault="006D47EA" w:rsidP="00A04FF5">
            <w:pPr>
              <w:spacing w:line="240" w:lineRule="auto"/>
              <w:jc w:val="center"/>
              <w:rPr>
                <w:bCs/>
                <w:sz w:val="16"/>
                <w:szCs w:val="16"/>
                <w:lang w:val="es-DO"/>
              </w:rPr>
            </w:pPr>
            <w:r>
              <w:rPr>
                <w:bCs/>
                <w:sz w:val="16"/>
                <w:szCs w:val="16"/>
                <w:lang w:val="es-DO"/>
              </w:rPr>
              <w:t>4967</w:t>
            </w:r>
          </w:p>
        </w:tc>
        <w:tc>
          <w:tcPr>
            <w:tcW w:w="1308" w:type="dxa"/>
            <w:tcBorders>
              <w:top w:val="nil"/>
              <w:left w:val="nil"/>
              <w:bottom w:val="single" w:sz="4" w:space="0" w:color="auto"/>
              <w:right w:val="single" w:sz="4" w:space="0" w:color="auto"/>
            </w:tcBorders>
            <w:shd w:val="clear" w:color="auto" w:fill="auto"/>
            <w:noWrap/>
            <w:vAlign w:val="center"/>
            <w:hideMark/>
          </w:tcPr>
          <w:p w14:paraId="0E61F889" w14:textId="1DBB09CF" w:rsidR="00BA72B0" w:rsidRPr="00CC271A" w:rsidRDefault="00C4077F" w:rsidP="00A04FF5">
            <w:pPr>
              <w:spacing w:line="240" w:lineRule="auto"/>
              <w:jc w:val="center"/>
              <w:rPr>
                <w:bCs/>
                <w:sz w:val="16"/>
                <w:szCs w:val="16"/>
                <w:lang w:val="es-DO"/>
              </w:rPr>
            </w:pPr>
            <w:r w:rsidRPr="00C4077F">
              <w:rPr>
                <w:bCs/>
                <w:sz w:val="16"/>
                <w:szCs w:val="16"/>
                <w:lang w:val="es-DO"/>
              </w:rPr>
              <w:t>4,665</w:t>
            </w:r>
          </w:p>
        </w:tc>
        <w:tc>
          <w:tcPr>
            <w:tcW w:w="944" w:type="dxa"/>
            <w:tcBorders>
              <w:top w:val="nil"/>
              <w:left w:val="nil"/>
              <w:bottom w:val="single" w:sz="4" w:space="0" w:color="auto"/>
              <w:right w:val="single" w:sz="4" w:space="0" w:color="auto"/>
            </w:tcBorders>
            <w:shd w:val="clear" w:color="auto" w:fill="auto"/>
            <w:noWrap/>
            <w:vAlign w:val="center"/>
            <w:hideMark/>
          </w:tcPr>
          <w:p w14:paraId="5F8847B4" w14:textId="7F9B58F2" w:rsidR="00BA72B0" w:rsidRPr="00CC271A" w:rsidRDefault="006D47EA" w:rsidP="00A04FF5">
            <w:pPr>
              <w:spacing w:line="240" w:lineRule="auto"/>
              <w:jc w:val="center"/>
              <w:rPr>
                <w:bCs/>
                <w:sz w:val="16"/>
                <w:szCs w:val="16"/>
                <w:lang w:val="es-DO"/>
              </w:rPr>
            </w:pPr>
            <w:r>
              <w:rPr>
                <w:bCs/>
                <w:sz w:val="16"/>
                <w:szCs w:val="16"/>
                <w:lang w:val="es-DO"/>
              </w:rPr>
              <w:t>94</w:t>
            </w:r>
            <w:r w:rsidR="00BA72B0">
              <w:rPr>
                <w:bCs/>
                <w:sz w:val="16"/>
                <w:szCs w:val="16"/>
                <w:lang w:val="es-DO"/>
              </w:rPr>
              <w:t>%</w:t>
            </w:r>
          </w:p>
        </w:tc>
      </w:tr>
      <w:tr w:rsidR="009D14E3" w:rsidRPr="000904E0" w14:paraId="226D6D33" w14:textId="77777777" w:rsidTr="009D14E3">
        <w:trPr>
          <w:trHeight w:val="1055"/>
        </w:trPr>
        <w:tc>
          <w:tcPr>
            <w:tcW w:w="601" w:type="dxa"/>
            <w:vMerge/>
            <w:tcBorders>
              <w:left w:val="single" w:sz="4" w:space="0" w:color="auto"/>
              <w:right w:val="single" w:sz="4" w:space="0" w:color="auto"/>
            </w:tcBorders>
            <w:vAlign w:val="center"/>
            <w:hideMark/>
          </w:tcPr>
          <w:p w14:paraId="7DF8B92C" w14:textId="77777777" w:rsidR="00BA72B0" w:rsidRPr="00CC271A" w:rsidRDefault="00BA72B0" w:rsidP="00A04FF5">
            <w:pPr>
              <w:spacing w:line="240" w:lineRule="auto"/>
              <w:jc w:val="center"/>
              <w:rPr>
                <w:bCs/>
                <w:sz w:val="16"/>
                <w:szCs w:val="16"/>
                <w:lang w:val="es-DO"/>
              </w:rPr>
            </w:pPr>
          </w:p>
        </w:tc>
        <w:tc>
          <w:tcPr>
            <w:tcW w:w="1201" w:type="dxa"/>
            <w:vMerge/>
            <w:tcBorders>
              <w:left w:val="single" w:sz="4" w:space="0" w:color="auto"/>
              <w:right w:val="single" w:sz="4" w:space="0" w:color="auto"/>
            </w:tcBorders>
            <w:vAlign w:val="center"/>
            <w:hideMark/>
          </w:tcPr>
          <w:p w14:paraId="49E4D49B" w14:textId="77777777" w:rsidR="00BA72B0" w:rsidRPr="00CC271A" w:rsidRDefault="00BA72B0" w:rsidP="00A04FF5">
            <w:pPr>
              <w:spacing w:line="240" w:lineRule="auto"/>
              <w:jc w:val="both"/>
              <w:rPr>
                <w:bCs/>
                <w:sz w:val="16"/>
                <w:szCs w:val="16"/>
                <w:lang w:val="es-DO"/>
              </w:rPr>
            </w:pPr>
          </w:p>
        </w:tc>
        <w:tc>
          <w:tcPr>
            <w:tcW w:w="1201" w:type="dxa"/>
            <w:vMerge/>
            <w:tcBorders>
              <w:left w:val="single" w:sz="4" w:space="0" w:color="auto"/>
              <w:right w:val="single" w:sz="4" w:space="0" w:color="auto"/>
            </w:tcBorders>
            <w:vAlign w:val="center"/>
            <w:hideMark/>
          </w:tcPr>
          <w:p w14:paraId="6ABD0F74" w14:textId="77777777" w:rsidR="00BA72B0" w:rsidRPr="00CC271A" w:rsidRDefault="00BA72B0" w:rsidP="00A04FF5">
            <w:pPr>
              <w:spacing w:line="240" w:lineRule="auto"/>
              <w:jc w:val="both"/>
              <w:rPr>
                <w:bCs/>
                <w:sz w:val="16"/>
                <w:szCs w:val="16"/>
                <w:lang w:val="es-DO"/>
              </w:rPr>
            </w:pPr>
          </w:p>
        </w:tc>
        <w:tc>
          <w:tcPr>
            <w:tcW w:w="1392" w:type="dxa"/>
            <w:tcBorders>
              <w:top w:val="nil"/>
              <w:left w:val="nil"/>
              <w:bottom w:val="single" w:sz="4" w:space="0" w:color="auto"/>
              <w:right w:val="single" w:sz="4" w:space="0" w:color="auto"/>
            </w:tcBorders>
            <w:shd w:val="clear" w:color="auto" w:fill="auto"/>
            <w:vAlign w:val="center"/>
            <w:hideMark/>
          </w:tcPr>
          <w:p w14:paraId="7206CA7A" w14:textId="77777777" w:rsidR="00BA72B0" w:rsidRPr="00CC271A" w:rsidRDefault="00BA72B0" w:rsidP="00BA72B0">
            <w:pPr>
              <w:spacing w:line="240" w:lineRule="auto"/>
              <w:rPr>
                <w:bCs/>
                <w:sz w:val="16"/>
                <w:szCs w:val="16"/>
                <w:lang w:val="es-DO"/>
              </w:rPr>
            </w:pPr>
            <w:r w:rsidRPr="00CC271A">
              <w:rPr>
                <w:bCs/>
                <w:sz w:val="16"/>
                <w:szCs w:val="16"/>
                <w:lang w:val="es-DO"/>
              </w:rPr>
              <w:t>Expedición y renovación de licencias de operación para corredores de seguros.</w:t>
            </w:r>
          </w:p>
        </w:tc>
        <w:tc>
          <w:tcPr>
            <w:tcW w:w="1134" w:type="dxa"/>
            <w:tcBorders>
              <w:top w:val="nil"/>
              <w:left w:val="nil"/>
              <w:bottom w:val="single" w:sz="4" w:space="0" w:color="auto"/>
              <w:right w:val="single" w:sz="4" w:space="0" w:color="auto"/>
            </w:tcBorders>
            <w:shd w:val="clear" w:color="auto" w:fill="auto"/>
            <w:noWrap/>
            <w:vAlign w:val="center"/>
            <w:hideMark/>
          </w:tcPr>
          <w:p w14:paraId="09929566"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nil"/>
              <w:left w:val="nil"/>
              <w:bottom w:val="single" w:sz="4" w:space="0" w:color="auto"/>
              <w:right w:val="single" w:sz="4" w:space="0" w:color="auto"/>
            </w:tcBorders>
            <w:shd w:val="clear" w:color="auto" w:fill="auto"/>
            <w:noWrap/>
            <w:vAlign w:val="center"/>
          </w:tcPr>
          <w:p w14:paraId="577A0CE5" w14:textId="07AB060A" w:rsidR="00BA72B0" w:rsidRPr="00CC271A" w:rsidRDefault="00BA72B0" w:rsidP="00A04FF5">
            <w:pPr>
              <w:spacing w:line="240" w:lineRule="auto"/>
              <w:jc w:val="center"/>
              <w:rPr>
                <w:bCs/>
                <w:sz w:val="16"/>
                <w:szCs w:val="16"/>
                <w:lang w:val="es-DO"/>
              </w:rPr>
            </w:pPr>
            <w:r w:rsidRPr="0003648D">
              <w:rPr>
                <w:bCs/>
                <w:sz w:val="16"/>
                <w:szCs w:val="16"/>
                <w:lang w:val="es-DO"/>
              </w:rPr>
              <w:t>1,385</w:t>
            </w:r>
          </w:p>
        </w:tc>
        <w:tc>
          <w:tcPr>
            <w:tcW w:w="818" w:type="dxa"/>
            <w:tcBorders>
              <w:top w:val="nil"/>
              <w:left w:val="nil"/>
              <w:bottom w:val="single" w:sz="4" w:space="0" w:color="auto"/>
              <w:right w:val="single" w:sz="4" w:space="0" w:color="auto"/>
            </w:tcBorders>
            <w:shd w:val="clear" w:color="auto" w:fill="auto"/>
            <w:noWrap/>
            <w:vAlign w:val="center"/>
            <w:hideMark/>
          </w:tcPr>
          <w:p w14:paraId="004D98CB" w14:textId="0C134C3E" w:rsidR="00BA72B0" w:rsidRPr="00CC271A" w:rsidRDefault="006D47EA" w:rsidP="00A04FF5">
            <w:pPr>
              <w:spacing w:line="240" w:lineRule="auto"/>
              <w:jc w:val="center"/>
              <w:rPr>
                <w:bCs/>
                <w:sz w:val="16"/>
                <w:szCs w:val="16"/>
                <w:lang w:val="es-DO"/>
              </w:rPr>
            </w:pPr>
            <w:r>
              <w:rPr>
                <w:bCs/>
                <w:sz w:val="16"/>
                <w:szCs w:val="16"/>
                <w:lang w:val="es-DO"/>
              </w:rPr>
              <w:t>2,999</w:t>
            </w:r>
          </w:p>
        </w:tc>
        <w:tc>
          <w:tcPr>
            <w:tcW w:w="1308" w:type="dxa"/>
            <w:tcBorders>
              <w:top w:val="nil"/>
              <w:left w:val="nil"/>
              <w:bottom w:val="single" w:sz="4" w:space="0" w:color="auto"/>
              <w:right w:val="single" w:sz="4" w:space="0" w:color="auto"/>
            </w:tcBorders>
            <w:shd w:val="clear" w:color="auto" w:fill="auto"/>
            <w:noWrap/>
            <w:vAlign w:val="center"/>
            <w:hideMark/>
          </w:tcPr>
          <w:p w14:paraId="3BEB50EE" w14:textId="68BDF196" w:rsidR="00BA72B0" w:rsidRPr="00CC271A" w:rsidRDefault="00C4077F" w:rsidP="00A04FF5">
            <w:pPr>
              <w:spacing w:line="240" w:lineRule="auto"/>
              <w:jc w:val="center"/>
              <w:rPr>
                <w:bCs/>
                <w:sz w:val="16"/>
                <w:szCs w:val="16"/>
                <w:lang w:val="es-DO"/>
              </w:rPr>
            </w:pPr>
            <w:r w:rsidRPr="00C4077F">
              <w:rPr>
                <w:bCs/>
                <w:sz w:val="16"/>
                <w:szCs w:val="16"/>
                <w:lang w:val="es-DO"/>
              </w:rPr>
              <w:t>2,394</w:t>
            </w:r>
          </w:p>
        </w:tc>
        <w:tc>
          <w:tcPr>
            <w:tcW w:w="944" w:type="dxa"/>
            <w:tcBorders>
              <w:top w:val="nil"/>
              <w:left w:val="nil"/>
              <w:bottom w:val="single" w:sz="4" w:space="0" w:color="auto"/>
              <w:right w:val="single" w:sz="4" w:space="0" w:color="auto"/>
            </w:tcBorders>
            <w:shd w:val="clear" w:color="auto" w:fill="auto"/>
            <w:noWrap/>
            <w:vAlign w:val="center"/>
            <w:hideMark/>
          </w:tcPr>
          <w:p w14:paraId="4D8C823E" w14:textId="266DA7BD" w:rsidR="00BA72B0" w:rsidRPr="00CC271A" w:rsidRDefault="006D47EA" w:rsidP="00A04FF5">
            <w:pPr>
              <w:spacing w:line="240" w:lineRule="auto"/>
              <w:jc w:val="center"/>
              <w:rPr>
                <w:bCs/>
                <w:sz w:val="16"/>
                <w:szCs w:val="16"/>
                <w:lang w:val="es-DO"/>
              </w:rPr>
            </w:pPr>
            <w:r>
              <w:rPr>
                <w:bCs/>
                <w:sz w:val="16"/>
                <w:szCs w:val="16"/>
                <w:lang w:val="es-DO"/>
              </w:rPr>
              <w:t>81</w:t>
            </w:r>
            <w:r w:rsidR="00BA72B0" w:rsidRPr="00CC271A">
              <w:rPr>
                <w:bCs/>
                <w:sz w:val="16"/>
                <w:szCs w:val="16"/>
                <w:lang w:val="es-DO"/>
              </w:rPr>
              <w:t>%</w:t>
            </w:r>
          </w:p>
        </w:tc>
      </w:tr>
      <w:tr w:rsidR="009D14E3" w:rsidRPr="00C72BF8" w14:paraId="20001D33" w14:textId="77777777" w:rsidTr="009D14E3">
        <w:trPr>
          <w:trHeight w:val="1055"/>
        </w:trPr>
        <w:tc>
          <w:tcPr>
            <w:tcW w:w="601" w:type="dxa"/>
            <w:vMerge/>
            <w:tcBorders>
              <w:left w:val="single" w:sz="4" w:space="0" w:color="auto"/>
              <w:bottom w:val="single" w:sz="4" w:space="0" w:color="000000"/>
              <w:right w:val="single" w:sz="4" w:space="0" w:color="auto"/>
            </w:tcBorders>
            <w:vAlign w:val="center"/>
          </w:tcPr>
          <w:p w14:paraId="5B030DD9" w14:textId="77777777" w:rsidR="00BA72B0" w:rsidRPr="00CC271A" w:rsidRDefault="00BA72B0" w:rsidP="00A04FF5">
            <w:pPr>
              <w:spacing w:line="240" w:lineRule="auto"/>
              <w:jc w:val="center"/>
              <w:rPr>
                <w:bCs/>
                <w:sz w:val="16"/>
                <w:szCs w:val="16"/>
                <w:lang w:val="es-DO"/>
              </w:rPr>
            </w:pPr>
          </w:p>
        </w:tc>
        <w:tc>
          <w:tcPr>
            <w:tcW w:w="1201" w:type="dxa"/>
            <w:vMerge/>
            <w:tcBorders>
              <w:left w:val="single" w:sz="4" w:space="0" w:color="auto"/>
              <w:bottom w:val="single" w:sz="4" w:space="0" w:color="000000"/>
              <w:right w:val="single" w:sz="4" w:space="0" w:color="auto"/>
            </w:tcBorders>
            <w:vAlign w:val="center"/>
          </w:tcPr>
          <w:p w14:paraId="1F37333F" w14:textId="77777777" w:rsidR="00BA72B0" w:rsidRPr="00CC271A" w:rsidRDefault="00BA72B0" w:rsidP="00A04FF5">
            <w:pPr>
              <w:spacing w:line="240" w:lineRule="auto"/>
              <w:jc w:val="both"/>
              <w:rPr>
                <w:bCs/>
                <w:sz w:val="16"/>
                <w:szCs w:val="16"/>
                <w:lang w:val="es-DO"/>
              </w:rPr>
            </w:pPr>
          </w:p>
        </w:tc>
        <w:tc>
          <w:tcPr>
            <w:tcW w:w="1201" w:type="dxa"/>
            <w:vMerge/>
            <w:tcBorders>
              <w:left w:val="single" w:sz="4" w:space="0" w:color="auto"/>
              <w:bottom w:val="single" w:sz="4" w:space="0" w:color="000000"/>
              <w:right w:val="single" w:sz="4" w:space="0" w:color="auto"/>
            </w:tcBorders>
            <w:vAlign w:val="center"/>
          </w:tcPr>
          <w:p w14:paraId="23B5C391" w14:textId="77777777" w:rsidR="00BA72B0" w:rsidRPr="00CC271A" w:rsidRDefault="00BA72B0" w:rsidP="00A04FF5">
            <w:pPr>
              <w:spacing w:line="240" w:lineRule="auto"/>
              <w:jc w:val="both"/>
              <w:rPr>
                <w:bCs/>
                <w:sz w:val="16"/>
                <w:szCs w:val="16"/>
                <w:lang w:val="es-DO"/>
              </w:rPr>
            </w:pPr>
          </w:p>
        </w:tc>
        <w:tc>
          <w:tcPr>
            <w:tcW w:w="1392" w:type="dxa"/>
            <w:tcBorders>
              <w:top w:val="nil"/>
              <w:left w:val="nil"/>
              <w:bottom w:val="single" w:sz="4" w:space="0" w:color="auto"/>
              <w:right w:val="single" w:sz="4" w:space="0" w:color="auto"/>
            </w:tcBorders>
            <w:shd w:val="clear" w:color="auto" w:fill="auto"/>
            <w:vAlign w:val="center"/>
          </w:tcPr>
          <w:p w14:paraId="0F1C56B0" w14:textId="77777777" w:rsidR="00BA72B0" w:rsidRPr="00CC271A" w:rsidRDefault="00BA72B0" w:rsidP="00BA72B0">
            <w:pPr>
              <w:spacing w:line="240" w:lineRule="auto"/>
              <w:rPr>
                <w:bCs/>
                <w:sz w:val="16"/>
                <w:szCs w:val="16"/>
                <w:lang w:val="es-DO"/>
              </w:rPr>
            </w:pPr>
            <w:r w:rsidRPr="00C72BF8">
              <w:rPr>
                <w:bCs/>
                <w:sz w:val="16"/>
                <w:szCs w:val="16"/>
                <w:lang w:val="es-DO"/>
              </w:rPr>
              <w:t>Control y regulación de Operaciones de seguros y reaseguros.</w:t>
            </w:r>
          </w:p>
        </w:tc>
        <w:tc>
          <w:tcPr>
            <w:tcW w:w="1134" w:type="dxa"/>
            <w:tcBorders>
              <w:top w:val="nil"/>
              <w:left w:val="nil"/>
              <w:bottom w:val="single" w:sz="4" w:space="0" w:color="auto"/>
              <w:right w:val="single" w:sz="4" w:space="0" w:color="auto"/>
            </w:tcBorders>
            <w:shd w:val="clear" w:color="auto" w:fill="auto"/>
            <w:noWrap/>
            <w:vAlign w:val="center"/>
          </w:tcPr>
          <w:p w14:paraId="4D365C94"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nil"/>
              <w:left w:val="nil"/>
              <w:bottom w:val="single" w:sz="4" w:space="0" w:color="auto"/>
              <w:right w:val="single" w:sz="4" w:space="0" w:color="auto"/>
            </w:tcBorders>
            <w:shd w:val="clear" w:color="auto" w:fill="auto"/>
            <w:noWrap/>
            <w:vAlign w:val="center"/>
          </w:tcPr>
          <w:p w14:paraId="398A6DE9" w14:textId="4FCBD13A" w:rsidR="00BA72B0" w:rsidRPr="00CC271A" w:rsidRDefault="00BA72B0" w:rsidP="00A04FF5">
            <w:pPr>
              <w:spacing w:line="240" w:lineRule="auto"/>
              <w:jc w:val="center"/>
              <w:rPr>
                <w:bCs/>
                <w:sz w:val="16"/>
                <w:szCs w:val="16"/>
                <w:lang w:val="es-DO"/>
              </w:rPr>
            </w:pPr>
            <w:r w:rsidRPr="0003648D">
              <w:rPr>
                <w:bCs/>
                <w:sz w:val="16"/>
                <w:szCs w:val="16"/>
                <w:lang w:val="es-DO"/>
              </w:rPr>
              <w:t>99</w:t>
            </w:r>
          </w:p>
        </w:tc>
        <w:tc>
          <w:tcPr>
            <w:tcW w:w="818" w:type="dxa"/>
            <w:tcBorders>
              <w:top w:val="nil"/>
              <w:left w:val="nil"/>
              <w:bottom w:val="single" w:sz="4" w:space="0" w:color="auto"/>
              <w:right w:val="single" w:sz="4" w:space="0" w:color="auto"/>
            </w:tcBorders>
            <w:shd w:val="clear" w:color="auto" w:fill="auto"/>
            <w:noWrap/>
            <w:vAlign w:val="center"/>
          </w:tcPr>
          <w:p w14:paraId="0EA75CD0" w14:textId="6FDDC066" w:rsidR="00BA72B0" w:rsidRPr="003C3E57" w:rsidRDefault="006D47EA" w:rsidP="00A04FF5">
            <w:pPr>
              <w:spacing w:line="240" w:lineRule="auto"/>
              <w:jc w:val="center"/>
              <w:rPr>
                <w:bCs/>
                <w:sz w:val="16"/>
                <w:szCs w:val="16"/>
                <w:lang w:val="es-DO"/>
              </w:rPr>
            </w:pPr>
            <w:r>
              <w:rPr>
                <w:bCs/>
                <w:sz w:val="16"/>
                <w:szCs w:val="16"/>
                <w:lang w:val="es-DO"/>
              </w:rPr>
              <w:t>120</w:t>
            </w:r>
          </w:p>
        </w:tc>
        <w:tc>
          <w:tcPr>
            <w:tcW w:w="1308" w:type="dxa"/>
            <w:tcBorders>
              <w:top w:val="nil"/>
              <w:left w:val="nil"/>
              <w:bottom w:val="single" w:sz="4" w:space="0" w:color="auto"/>
              <w:right w:val="single" w:sz="4" w:space="0" w:color="auto"/>
            </w:tcBorders>
            <w:shd w:val="clear" w:color="auto" w:fill="auto"/>
            <w:noWrap/>
            <w:vAlign w:val="center"/>
          </w:tcPr>
          <w:p w14:paraId="45A050E2" w14:textId="299A3FB2" w:rsidR="00BA72B0" w:rsidRPr="00CC271A" w:rsidRDefault="00482399" w:rsidP="00A04FF5">
            <w:pPr>
              <w:spacing w:line="240" w:lineRule="auto"/>
              <w:jc w:val="center"/>
              <w:rPr>
                <w:bCs/>
                <w:sz w:val="16"/>
                <w:szCs w:val="16"/>
                <w:lang w:val="es-DO"/>
              </w:rPr>
            </w:pPr>
            <w:r>
              <w:rPr>
                <w:bCs/>
                <w:sz w:val="16"/>
                <w:szCs w:val="16"/>
                <w:lang w:val="es-DO"/>
              </w:rPr>
              <w:t>326</w:t>
            </w:r>
          </w:p>
        </w:tc>
        <w:tc>
          <w:tcPr>
            <w:tcW w:w="944" w:type="dxa"/>
            <w:tcBorders>
              <w:top w:val="nil"/>
              <w:left w:val="nil"/>
              <w:bottom w:val="single" w:sz="4" w:space="0" w:color="auto"/>
              <w:right w:val="single" w:sz="4" w:space="0" w:color="auto"/>
            </w:tcBorders>
            <w:shd w:val="clear" w:color="auto" w:fill="auto"/>
            <w:noWrap/>
            <w:vAlign w:val="center"/>
          </w:tcPr>
          <w:p w14:paraId="324BC638" w14:textId="7DA27689" w:rsidR="00BA72B0" w:rsidRPr="00CC271A" w:rsidRDefault="006D47EA" w:rsidP="00A04FF5">
            <w:pPr>
              <w:spacing w:line="240" w:lineRule="auto"/>
              <w:jc w:val="center"/>
              <w:rPr>
                <w:bCs/>
                <w:sz w:val="16"/>
                <w:szCs w:val="16"/>
                <w:lang w:val="es-DO"/>
              </w:rPr>
            </w:pPr>
            <w:r>
              <w:rPr>
                <w:bCs/>
                <w:sz w:val="16"/>
                <w:szCs w:val="16"/>
                <w:lang w:val="es-DO"/>
              </w:rPr>
              <w:t>271</w:t>
            </w:r>
            <w:r w:rsidR="00BA72B0">
              <w:rPr>
                <w:bCs/>
                <w:sz w:val="16"/>
                <w:szCs w:val="16"/>
                <w:lang w:val="es-DO"/>
              </w:rPr>
              <w:t>%</w:t>
            </w:r>
          </w:p>
        </w:tc>
      </w:tr>
      <w:tr w:rsidR="009D14E3" w:rsidRPr="000904E0" w14:paraId="5B7094E3" w14:textId="77777777" w:rsidTr="009D14E3">
        <w:trPr>
          <w:trHeight w:val="105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3F6CF29D" w14:textId="77777777" w:rsidR="00BA72B0" w:rsidRPr="00CC271A" w:rsidRDefault="00BA72B0" w:rsidP="00A04FF5">
            <w:pPr>
              <w:spacing w:line="240" w:lineRule="auto"/>
              <w:jc w:val="center"/>
              <w:rPr>
                <w:bCs/>
                <w:sz w:val="16"/>
                <w:szCs w:val="16"/>
                <w:lang w:val="es-DO"/>
              </w:rPr>
            </w:pPr>
            <w:r>
              <w:rPr>
                <w:bCs/>
                <w:sz w:val="16"/>
                <w:szCs w:val="16"/>
                <w:lang w:val="es-DO"/>
              </w:rPr>
              <w:t>2</w:t>
            </w:r>
          </w:p>
        </w:tc>
        <w:tc>
          <w:tcPr>
            <w:tcW w:w="1201" w:type="dxa"/>
            <w:tcBorders>
              <w:top w:val="nil"/>
              <w:left w:val="nil"/>
              <w:bottom w:val="single" w:sz="4" w:space="0" w:color="auto"/>
              <w:right w:val="single" w:sz="4" w:space="0" w:color="auto"/>
            </w:tcBorders>
            <w:shd w:val="clear" w:color="auto" w:fill="auto"/>
            <w:noWrap/>
            <w:vAlign w:val="center"/>
            <w:hideMark/>
          </w:tcPr>
          <w:p w14:paraId="51A436A5" w14:textId="77777777" w:rsidR="00BA72B0" w:rsidRPr="00CC271A" w:rsidRDefault="00BA72B0" w:rsidP="00A04FF5">
            <w:pPr>
              <w:spacing w:line="240" w:lineRule="auto"/>
              <w:jc w:val="both"/>
              <w:rPr>
                <w:bCs/>
                <w:sz w:val="16"/>
                <w:szCs w:val="16"/>
                <w:lang w:val="es-DO"/>
              </w:rPr>
            </w:pPr>
            <w:r w:rsidRPr="00CC271A">
              <w:rPr>
                <w:bCs/>
                <w:sz w:val="16"/>
                <w:szCs w:val="16"/>
                <w:lang w:val="es-DO"/>
              </w:rPr>
              <w:t>Dirección de Control y Supervisión</w:t>
            </w:r>
          </w:p>
        </w:tc>
        <w:tc>
          <w:tcPr>
            <w:tcW w:w="1201" w:type="dxa"/>
            <w:tcBorders>
              <w:top w:val="nil"/>
              <w:left w:val="nil"/>
              <w:bottom w:val="single" w:sz="4" w:space="0" w:color="auto"/>
              <w:right w:val="single" w:sz="4" w:space="0" w:color="auto"/>
            </w:tcBorders>
            <w:shd w:val="clear" w:color="auto" w:fill="auto"/>
            <w:vAlign w:val="center"/>
            <w:hideMark/>
          </w:tcPr>
          <w:p w14:paraId="23D127F8" w14:textId="36A196FC" w:rsidR="00BA72B0" w:rsidRPr="00CC271A" w:rsidRDefault="00BA72B0" w:rsidP="00354A6E">
            <w:pPr>
              <w:spacing w:line="240" w:lineRule="auto"/>
              <w:rPr>
                <w:bCs/>
                <w:sz w:val="16"/>
                <w:szCs w:val="16"/>
                <w:lang w:val="es-DO"/>
              </w:rPr>
            </w:pPr>
            <w:r w:rsidRPr="00CC271A">
              <w:rPr>
                <w:bCs/>
                <w:sz w:val="16"/>
                <w:szCs w:val="16"/>
                <w:lang w:val="es-DO"/>
              </w:rPr>
              <w:t>Supervisión a Intermediarios, ajustadores, aseguradores y reaseguradores</w:t>
            </w:r>
          </w:p>
        </w:tc>
        <w:tc>
          <w:tcPr>
            <w:tcW w:w="1392" w:type="dxa"/>
            <w:tcBorders>
              <w:top w:val="nil"/>
              <w:left w:val="nil"/>
              <w:bottom w:val="single" w:sz="4" w:space="0" w:color="auto"/>
              <w:right w:val="single" w:sz="4" w:space="0" w:color="auto"/>
            </w:tcBorders>
            <w:shd w:val="clear" w:color="auto" w:fill="auto"/>
            <w:vAlign w:val="center"/>
            <w:hideMark/>
          </w:tcPr>
          <w:p w14:paraId="29F70845" w14:textId="516C3685" w:rsidR="00BA72B0" w:rsidRPr="00CC271A" w:rsidRDefault="00354A6E" w:rsidP="00354A6E">
            <w:pPr>
              <w:spacing w:line="240" w:lineRule="auto"/>
              <w:rPr>
                <w:bCs/>
                <w:sz w:val="16"/>
                <w:szCs w:val="16"/>
                <w:lang w:val="es-DO"/>
              </w:rPr>
            </w:pPr>
            <w:r>
              <w:rPr>
                <w:bCs/>
                <w:sz w:val="16"/>
                <w:szCs w:val="16"/>
                <w:lang w:val="es-DO"/>
              </w:rPr>
              <w:t xml:space="preserve">Casos de compañías de seguros, reaseguros e intermediarios </w:t>
            </w:r>
            <w:r w:rsidR="00BA72B0" w:rsidRPr="00CC271A">
              <w:rPr>
                <w:bCs/>
                <w:sz w:val="16"/>
                <w:szCs w:val="16"/>
                <w:lang w:val="es-DO"/>
              </w:rPr>
              <w:t>supervisadas</w:t>
            </w:r>
            <w:r>
              <w:rPr>
                <w:bCs/>
                <w:sz w:val="16"/>
                <w:szCs w:val="16"/>
                <w:lang w:val="es-DO"/>
              </w:rPr>
              <w:t>.</w:t>
            </w:r>
          </w:p>
        </w:tc>
        <w:tc>
          <w:tcPr>
            <w:tcW w:w="1134" w:type="dxa"/>
            <w:tcBorders>
              <w:top w:val="nil"/>
              <w:left w:val="nil"/>
              <w:bottom w:val="single" w:sz="4" w:space="0" w:color="auto"/>
              <w:right w:val="single" w:sz="4" w:space="0" w:color="auto"/>
            </w:tcBorders>
            <w:shd w:val="clear" w:color="auto" w:fill="auto"/>
            <w:noWrap/>
            <w:vAlign w:val="center"/>
            <w:hideMark/>
          </w:tcPr>
          <w:p w14:paraId="05051B3B"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2FF269F2" w14:textId="660BBD6C" w:rsidR="00BA72B0" w:rsidRPr="00CC271A" w:rsidRDefault="00BA72B0" w:rsidP="00A04FF5">
            <w:pPr>
              <w:spacing w:line="240" w:lineRule="auto"/>
              <w:jc w:val="center"/>
              <w:rPr>
                <w:bCs/>
                <w:sz w:val="16"/>
                <w:szCs w:val="16"/>
                <w:lang w:val="es-DO"/>
              </w:rPr>
            </w:pPr>
            <w:r>
              <w:rPr>
                <w:bCs/>
                <w:sz w:val="16"/>
                <w:szCs w:val="16"/>
                <w:lang w:val="es-DO"/>
              </w:rPr>
              <w:t>215</w:t>
            </w:r>
          </w:p>
        </w:tc>
        <w:tc>
          <w:tcPr>
            <w:tcW w:w="818" w:type="dxa"/>
            <w:tcBorders>
              <w:top w:val="nil"/>
              <w:left w:val="nil"/>
              <w:bottom w:val="single" w:sz="4" w:space="0" w:color="auto"/>
              <w:right w:val="single" w:sz="4" w:space="0" w:color="auto"/>
            </w:tcBorders>
            <w:shd w:val="clear" w:color="auto" w:fill="auto"/>
            <w:noWrap/>
            <w:vAlign w:val="center"/>
            <w:hideMark/>
          </w:tcPr>
          <w:p w14:paraId="01D735A5" w14:textId="2B410602" w:rsidR="00BA72B0" w:rsidRPr="00CC271A" w:rsidRDefault="001912C2" w:rsidP="00A04FF5">
            <w:pPr>
              <w:spacing w:line="240" w:lineRule="auto"/>
              <w:jc w:val="center"/>
              <w:rPr>
                <w:bCs/>
                <w:sz w:val="16"/>
                <w:szCs w:val="16"/>
                <w:lang w:val="es-DO"/>
              </w:rPr>
            </w:pPr>
            <w:r>
              <w:rPr>
                <w:bCs/>
                <w:sz w:val="16"/>
                <w:szCs w:val="16"/>
                <w:lang w:val="es-DO"/>
              </w:rPr>
              <w:t>266</w:t>
            </w:r>
          </w:p>
        </w:tc>
        <w:tc>
          <w:tcPr>
            <w:tcW w:w="1308" w:type="dxa"/>
            <w:tcBorders>
              <w:top w:val="nil"/>
              <w:left w:val="nil"/>
              <w:bottom w:val="single" w:sz="4" w:space="0" w:color="auto"/>
              <w:right w:val="single" w:sz="4" w:space="0" w:color="auto"/>
            </w:tcBorders>
            <w:shd w:val="clear" w:color="auto" w:fill="auto"/>
            <w:noWrap/>
            <w:vAlign w:val="center"/>
            <w:hideMark/>
          </w:tcPr>
          <w:p w14:paraId="3831AE6B" w14:textId="4165C4B3" w:rsidR="00BA72B0" w:rsidRPr="00CC271A" w:rsidRDefault="001912C2" w:rsidP="00A04FF5">
            <w:pPr>
              <w:spacing w:line="240" w:lineRule="auto"/>
              <w:jc w:val="center"/>
              <w:rPr>
                <w:bCs/>
                <w:sz w:val="16"/>
                <w:szCs w:val="16"/>
                <w:lang w:val="es-DO"/>
              </w:rPr>
            </w:pPr>
            <w:r>
              <w:rPr>
                <w:bCs/>
                <w:sz w:val="16"/>
                <w:szCs w:val="16"/>
                <w:lang w:val="es-DO"/>
              </w:rPr>
              <w:t>261</w:t>
            </w:r>
          </w:p>
        </w:tc>
        <w:tc>
          <w:tcPr>
            <w:tcW w:w="944" w:type="dxa"/>
            <w:tcBorders>
              <w:top w:val="nil"/>
              <w:left w:val="nil"/>
              <w:bottom w:val="single" w:sz="4" w:space="0" w:color="auto"/>
              <w:right w:val="single" w:sz="4" w:space="0" w:color="auto"/>
            </w:tcBorders>
            <w:shd w:val="clear" w:color="auto" w:fill="auto"/>
            <w:noWrap/>
            <w:vAlign w:val="center"/>
            <w:hideMark/>
          </w:tcPr>
          <w:p w14:paraId="64FD108B" w14:textId="15133B4B" w:rsidR="00BA72B0" w:rsidRPr="00CC271A" w:rsidRDefault="001912C2" w:rsidP="00A04FF5">
            <w:pPr>
              <w:spacing w:line="240" w:lineRule="auto"/>
              <w:jc w:val="center"/>
              <w:rPr>
                <w:bCs/>
                <w:sz w:val="16"/>
                <w:szCs w:val="16"/>
                <w:lang w:val="es-DO"/>
              </w:rPr>
            </w:pPr>
            <w:r>
              <w:rPr>
                <w:bCs/>
                <w:sz w:val="16"/>
                <w:szCs w:val="16"/>
                <w:lang w:val="es-DO"/>
              </w:rPr>
              <w:t>98</w:t>
            </w:r>
            <w:r w:rsidR="00BA72B0" w:rsidRPr="00CC271A">
              <w:rPr>
                <w:bCs/>
                <w:sz w:val="16"/>
                <w:szCs w:val="16"/>
                <w:lang w:val="es-DO"/>
              </w:rPr>
              <w:t>%</w:t>
            </w:r>
          </w:p>
        </w:tc>
      </w:tr>
      <w:tr w:rsidR="009D14E3" w:rsidRPr="000904E0" w14:paraId="40BB055D" w14:textId="77777777" w:rsidTr="009D14E3">
        <w:trPr>
          <w:trHeight w:val="105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090CB3FE" w14:textId="77777777" w:rsidR="00BA72B0" w:rsidRPr="00CC271A" w:rsidRDefault="00BA72B0" w:rsidP="00A04FF5">
            <w:pPr>
              <w:spacing w:line="240" w:lineRule="auto"/>
              <w:jc w:val="center"/>
              <w:rPr>
                <w:bCs/>
                <w:sz w:val="16"/>
                <w:szCs w:val="16"/>
                <w:lang w:val="es-DO"/>
              </w:rPr>
            </w:pPr>
            <w:r>
              <w:rPr>
                <w:bCs/>
                <w:sz w:val="16"/>
                <w:szCs w:val="16"/>
                <w:lang w:val="es-DO"/>
              </w:rPr>
              <w:t>3</w:t>
            </w:r>
          </w:p>
        </w:tc>
        <w:tc>
          <w:tcPr>
            <w:tcW w:w="1201" w:type="dxa"/>
            <w:tcBorders>
              <w:top w:val="nil"/>
              <w:left w:val="nil"/>
              <w:bottom w:val="single" w:sz="4" w:space="0" w:color="auto"/>
              <w:right w:val="single" w:sz="4" w:space="0" w:color="auto"/>
            </w:tcBorders>
            <w:shd w:val="clear" w:color="auto" w:fill="auto"/>
            <w:noWrap/>
            <w:vAlign w:val="center"/>
            <w:hideMark/>
          </w:tcPr>
          <w:p w14:paraId="4761BD7D" w14:textId="77777777" w:rsidR="00BA72B0" w:rsidRPr="00CC271A" w:rsidRDefault="00BA72B0" w:rsidP="00A04FF5">
            <w:pPr>
              <w:spacing w:line="240" w:lineRule="auto"/>
              <w:jc w:val="both"/>
              <w:rPr>
                <w:bCs/>
                <w:sz w:val="16"/>
                <w:szCs w:val="16"/>
                <w:lang w:val="es-DO"/>
              </w:rPr>
            </w:pPr>
            <w:r w:rsidRPr="00CC271A">
              <w:rPr>
                <w:bCs/>
                <w:sz w:val="16"/>
                <w:szCs w:val="16"/>
                <w:lang w:val="es-DO"/>
              </w:rPr>
              <w:t>Dirección Jurídica</w:t>
            </w:r>
          </w:p>
        </w:tc>
        <w:tc>
          <w:tcPr>
            <w:tcW w:w="1201" w:type="dxa"/>
            <w:tcBorders>
              <w:top w:val="nil"/>
              <w:left w:val="nil"/>
              <w:bottom w:val="single" w:sz="4" w:space="0" w:color="auto"/>
              <w:right w:val="single" w:sz="4" w:space="0" w:color="auto"/>
            </w:tcBorders>
            <w:shd w:val="clear" w:color="auto" w:fill="auto"/>
            <w:vAlign w:val="center"/>
            <w:hideMark/>
          </w:tcPr>
          <w:p w14:paraId="0BAF3051" w14:textId="77777777" w:rsidR="00BA72B0" w:rsidRPr="00CC271A" w:rsidRDefault="00BA72B0" w:rsidP="00A04FF5">
            <w:pPr>
              <w:spacing w:line="240" w:lineRule="auto"/>
              <w:jc w:val="both"/>
              <w:rPr>
                <w:bCs/>
                <w:sz w:val="16"/>
                <w:szCs w:val="16"/>
                <w:lang w:val="es-DO"/>
              </w:rPr>
            </w:pPr>
            <w:r w:rsidRPr="00CC271A">
              <w:rPr>
                <w:bCs/>
                <w:sz w:val="16"/>
                <w:szCs w:val="16"/>
                <w:lang w:val="es-DO"/>
              </w:rPr>
              <w:t>Asistencia legal, conciliación y arbitraje</w:t>
            </w:r>
          </w:p>
        </w:tc>
        <w:tc>
          <w:tcPr>
            <w:tcW w:w="1392" w:type="dxa"/>
            <w:tcBorders>
              <w:top w:val="nil"/>
              <w:left w:val="nil"/>
              <w:bottom w:val="single" w:sz="4" w:space="0" w:color="auto"/>
              <w:right w:val="single" w:sz="4" w:space="0" w:color="auto"/>
            </w:tcBorders>
            <w:shd w:val="clear" w:color="auto" w:fill="auto"/>
            <w:vAlign w:val="center"/>
            <w:hideMark/>
          </w:tcPr>
          <w:p w14:paraId="5ADD46FA" w14:textId="77777777" w:rsidR="00BA72B0" w:rsidRPr="00CC271A" w:rsidRDefault="00BA72B0" w:rsidP="00A04FF5">
            <w:pPr>
              <w:spacing w:line="240" w:lineRule="auto"/>
              <w:jc w:val="both"/>
              <w:rPr>
                <w:bCs/>
                <w:sz w:val="16"/>
                <w:szCs w:val="16"/>
                <w:lang w:val="es-DO"/>
              </w:rPr>
            </w:pPr>
            <w:r w:rsidRPr="00CC271A">
              <w:rPr>
                <w:bCs/>
                <w:sz w:val="16"/>
                <w:szCs w:val="16"/>
                <w:lang w:val="es-DO"/>
              </w:rPr>
              <w:t>Cantidad de casos atendidos</w:t>
            </w:r>
          </w:p>
        </w:tc>
        <w:tc>
          <w:tcPr>
            <w:tcW w:w="1134" w:type="dxa"/>
            <w:tcBorders>
              <w:top w:val="nil"/>
              <w:left w:val="nil"/>
              <w:bottom w:val="single" w:sz="4" w:space="0" w:color="auto"/>
              <w:right w:val="single" w:sz="4" w:space="0" w:color="auto"/>
            </w:tcBorders>
            <w:shd w:val="clear" w:color="auto" w:fill="auto"/>
            <w:noWrap/>
            <w:vAlign w:val="center"/>
            <w:hideMark/>
          </w:tcPr>
          <w:p w14:paraId="75F8BD75"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nil"/>
              <w:left w:val="nil"/>
              <w:bottom w:val="single" w:sz="4" w:space="0" w:color="auto"/>
              <w:right w:val="single" w:sz="4" w:space="0" w:color="auto"/>
            </w:tcBorders>
            <w:shd w:val="clear" w:color="auto" w:fill="auto"/>
            <w:noWrap/>
            <w:vAlign w:val="center"/>
            <w:hideMark/>
          </w:tcPr>
          <w:p w14:paraId="62892D22" w14:textId="0C9EDE8C" w:rsidR="00BA72B0" w:rsidRPr="00CC271A" w:rsidRDefault="00354A6E" w:rsidP="00A04FF5">
            <w:pPr>
              <w:spacing w:line="240" w:lineRule="auto"/>
              <w:jc w:val="center"/>
              <w:rPr>
                <w:bCs/>
                <w:sz w:val="16"/>
                <w:szCs w:val="16"/>
                <w:lang w:val="es-DO"/>
              </w:rPr>
            </w:pPr>
            <w:r>
              <w:rPr>
                <w:bCs/>
                <w:sz w:val="16"/>
                <w:szCs w:val="16"/>
                <w:lang w:val="es-DO"/>
              </w:rPr>
              <w:t>506</w:t>
            </w:r>
          </w:p>
        </w:tc>
        <w:tc>
          <w:tcPr>
            <w:tcW w:w="818" w:type="dxa"/>
            <w:tcBorders>
              <w:top w:val="nil"/>
              <w:left w:val="nil"/>
              <w:bottom w:val="single" w:sz="4" w:space="0" w:color="auto"/>
              <w:right w:val="single" w:sz="4" w:space="0" w:color="auto"/>
            </w:tcBorders>
            <w:shd w:val="clear" w:color="auto" w:fill="auto"/>
            <w:noWrap/>
            <w:vAlign w:val="center"/>
            <w:hideMark/>
          </w:tcPr>
          <w:p w14:paraId="43956677" w14:textId="2D121AD8" w:rsidR="00BA72B0" w:rsidRPr="00CC271A" w:rsidRDefault="001912C2" w:rsidP="00A04FF5">
            <w:pPr>
              <w:spacing w:line="240" w:lineRule="auto"/>
              <w:jc w:val="center"/>
              <w:rPr>
                <w:bCs/>
                <w:sz w:val="16"/>
                <w:szCs w:val="16"/>
                <w:lang w:val="es-DO"/>
              </w:rPr>
            </w:pPr>
            <w:r>
              <w:rPr>
                <w:bCs/>
                <w:sz w:val="16"/>
                <w:szCs w:val="16"/>
                <w:lang w:val="es-DO"/>
              </w:rPr>
              <w:t>7</w:t>
            </w:r>
            <w:r w:rsidR="006D47EA">
              <w:rPr>
                <w:bCs/>
                <w:sz w:val="16"/>
                <w:szCs w:val="16"/>
                <w:lang w:val="es-DO"/>
              </w:rPr>
              <w:t>68</w:t>
            </w:r>
          </w:p>
        </w:tc>
        <w:tc>
          <w:tcPr>
            <w:tcW w:w="1308" w:type="dxa"/>
            <w:tcBorders>
              <w:top w:val="nil"/>
              <w:left w:val="nil"/>
              <w:bottom w:val="single" w:sz="4" w:space="0" w:color="auto"/>
              <w:right w:val="single" w:sz="4" w:space="0" w:color="auto"/>
            </w:tcBorders>
            <w:shd w:val="clear" w:color="auto" w:fill="auto"/>
            <w:noWrap/>
            <w:vAlign w:val="center"/>
            <w:hideMark/>
          </w:tcPr>
          <w:p w14:paraId="5588B966" w14:textId="0519E6FB" w:rsidR="00BA72B0" w:rsidRPr="00CC271A" w:rsidRDefault="001912C2" w:rsidP="00A04FF5">
            <w:pPr>
              <w:spacing w:line="240" w:lineRule="auto"/>
              <w:jc w:val="center"/>
              <w:rPr>
                <w:bCs/>
                <w:sz w:val="16"/>
                <w:szCs w:val="16"/>
                <w:lang w:val="es-DO"/>
              </w:rPr>
            </w:pPr>
            <w:r>
              <w:rPr>
                <w:bCs/>
                <w:sz w:val="16"/>
                <w:szCs w:val="16"/>
                <w:lang w:val="es-DO"/>
              </w:rPr>
              <w:t>6</w:t>
            </w:r>
            <w:r w:rsidR="006D47EA">
              <w:rPr>
                <w:bCs/>
                <w:sz w:val="16"/>
                <w:szCs w:val="16"/>
                <w:lang w:val="es-DO"/>
              </w:rPr>
              <w:t>77</w:t>
            </w:r>
          </w:p>
        </w:tc>
        <w:tc>
          <w:tcPr>
            <w:tcW w:w="944" w:type="dxa"/>
            <w:tcBorders>
              <w:top w:val="nil"/>
              <w:left w:val="nil"/>
              <w:bottom w:val="single" w:sz="4" w:space="0" w:color="auto"/>
              <w:right w:val="single" w:sz="4" w:space="0" w:color="auto"/>
            </w:tcBorders>
            <w:shd w:val="clear" w:color="auto" w:fill="auto"/>
            <w:noWrap/>
            <w:vAlign w:val="center"/>
            <w:hideMark/>
          </w:tcPr>
          <w:p w14:paraId="793D538B" w14:textId="473C6A2F" w:rsidR="00BA72B0" w:rsidRPr="00CC271A" w:rsidRDefault="001912C2" w:rsidP="00A04FF5">
            <w:pPr>
              <w:spacing w:line="240" w:lineRule="auto"/>
              <w:jc w:val="center"/>
              <w:rPr>
                <w:bCs/>
                <w:sz w:val="16"/>
                <w:szCs w:val="16"/>
                <w:lang w:val="es-DO"/>
              </w:rPr>
            </w:pPr>
            <w:r>
              <w:rPr>
                <w:bCs/>
                <w:sz w:val="16"/>
                <w:szCs w:val="16"/>
                <w:lang w:val="es-DO"/>
              </w:rPr>
              <w:t>8</w:t>
            </w:r>
            <w:r w:rsidR="006D47EA">
              <w:rPr>
                <w:bCs/>
                <w:sz w:val="16"/>
                <w:szCs w:val="16"/>
                <w:lang w:val="es-DO"/>
              </w:rPr>
              <w:t>8</w:t>
            </w:r>
            <w:r w:rsidR="00BA72B0" w:rsidRPr="00CC271A">
              <w:rPr>
                <w:bCs/>
                <w:sz w:val="16"/>
                <w:szCs w:val="16"/>
                <w:lang w:val="es-DO"/>
              </w:rPr>
              <w:t>%</w:t>
            </w:r>
          </w:p>
        </w:tc>
      </w:tr>
      <w:tr w:rsidR="009D14E3" w:rsidRPr="000904E0" w14:paraId="0E674A0D" w14:textId="77777777" w:rsidTr="009D14E3">
        <w:trPr>
          <w:trHeight w:val="1055"/>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61C9A304" w14:textId="77777777" w:rsidR="00BA72B0" w:rsidRPr="00CC271A" w:rsidRDefault="00BA72B0" w:rsidP="00A04FF5">
            <w:pPr>
              <w:spacing w:line="240" w:lineRule="auto"/>
              <w:jc w:val="center"/>
              <w:rPr>
                <w:bCs/>
                <w:sz w:val="16"/>
                <w:szCs w:val="16"/>
                <w:lang w:val="es-DO"/>
              </w:rPr>
            </w:pPr>
            <w:r>
              <w:rPr>
                <w:bCs/>
                <w:sz w:val="16"/>
                <w:szCs w:val="16"/>
                <w:lang w:val="es-DO"/>
              </w:rPr>
              <w:t>4</w:t>
            </w:r>
          </w:p>
        </w:tc>
        <w:tc>
          <w:tcPr>
            <w:tcW w:w="1201" w:type="dxa"/>
            <w:tcBorders>
              <w:top w:val="nil"/>
              <w:left w:val="nil"/>
              <w:bottom w:val="single" w:sz="4" w:space="0" w:color="auto"/>
              <w:right w:val="single" w:sz="4" w:space="0" w:color="auto"/>
            </w:tcBorders>
            <w:shd w:val="clear" w:color="auto" w:fill="auto"/>
            <w:noWrap/>
            <w:vAlign w:val="center"/>
            <w:hideMark/>
          </w:tcPr>
          <w:p w14:paraId="0F7FAF51" w14:textId="77777777" w:rsidR="00BA72B0" w:rsidRPr="00CC271A" w:rsidRDefault="00BA72B0" w:rsidP="00A04FF5">
            <w:pPr>
              <w:spacing w:line="240" w:lineRule="auto"/>
              <w:jc w:val="both"/>
              <w:rPr>
                <w:bCs/>
                <w:sz w:val="16"/>
                <w:szCs w:val="16"/>
                <w:lang w:val="es-DO"/>
              </w:rPr>
            </w:pPr>
            <w:r w:rsidRPr="00CC271A">
              <w:rPr>
                <w:bCs/>
                <w:sz w:val="16"/>
                <w:szCs w:val="16"/>
                <w:lang w:val="es-DO"/>
              </w:rPr>
              <w:t>Dirección de Liquidación de Compañías</w:t>
            </w:r>
          </w:p>
        </w:tc>
        <w:tc>
          <w:tcPr>
            <w:tcW w:w="1201" w:type="dxa"/>
            <w:tcBorders>
              <w:top w:val="nil"/>
              <w:left w:val="nil"/>
              <w:bottom w:val="single" w:sz="4" w:space="0" w:color="auto"/>
              <w:right w:val="single" w:sz="4" w:space="0" w:color="auto"/>
            </w:tcBorders>
            <w:shd w:val="clear" w:color="auto" w:fill="auto"/>
            <w:vAlign w:val="center"/>
            <w:hideMark/>
          </w:tcPr>
          <w:p w14:paraId="30756841" w14:textId="6FA4CC46" w:rsidR="00BA72B0" w:rsidRPr="00CC271A" w:rsidRDefault="00354A6E" w:rsidP="00A04FF5">
            <w:pPr>
              <w:spacing w:line="240" w:lineRule="auto"/>
              <w:jc w:val="both"/>
              <w:rPr>
                <w:bCs/>
                <w:sz w:val="16"/>
                <w:szCs w:val="16"/>
                <w:lang w:val="es-DO"/>
              </w:rPr>
            </w:pPr>
            <w:r w:rsidRPr="0078052B">
              <w:rPr>
                <w:bCs/>
                <w:sz w:val="16"/>
                <w:szCs w:val="16"/>
                <w:lang w:val="es-DO"/>
              </w:rPr>
              <w:t>Reclamaciones de Compañías de Seguros en Liquidación"</w:t>
            </w:r>
          </w:p>
        </w:tc>
        <w:tc>
          <w:tcPr>
            <w:tcW w:w="1392" w:type="dxa"/>
            <w:tcBorders>
              <w:top w:val="nil"/>
              <w:left w:val="nil"/>
              <w:bottom w:val="single" w:sz="4" w:space="0" w:color="auto"/>
              <w:right w:val="single" w:sz="4" w:space="0" w:color="auto"/>
            </w:tcBorders>
            <w:shd w:val="clear" w:color="auto" w:fill="auto"/>
            <w:vAlign w:val="center"/>
            <w:hideMark/>
          </w:tcPr>
          <w:p w14:paraId="232D5770" w14:textId="77777777" w:rsidR="00BA72B0" w:rsidRPr="00CC271A" w:rsidRDefault="00BA72B0" w:rsidP="00A04FF5">
            <w:pPr>
              <w:spacing w:line="240" w:lineRule="auto"/>
              <w:jc w:val="both"/>
              <w:rPr>
                <w:bCs/>
                <w:sz w:val="16"/>
                <w:szCs w:val="16"/>
                <w:lang w:val="es-DO"/>
              </w:rPr>
            </w:pPr>
            <w:r w:rsidRPr="0078052B">
              <w:rPr>
                <w:bCs/>
                <w:sz w:val="16"/>
                <w:szCs w:val="16"/>
                <w:lang w:val="es-DO"/>
              </w:rPr>
              <w:t>Control, Registro y Atención de Procesos y Reclamaciones de Compañías de Seguros en Liquidación"</w:t>
            </w:r>
          </w:p>
        </w:tc>
        <w:tc>
          <w:tcPr>
            <w:tcW w:w="1134" w:type="dxa"/>
            <w:tcBorders>
              <w:top w:val="nil"/>
              <w:left w:val="nil"/>
              <w:bottom w:val="single" w:sz="4" w:space="0" w:color="auto"/>
              <w:right w:val="single" w:sz="4" w:space="0" w:color="auto"/>
            </w:tcBorders>
            <w:shd w:val="clear" w:color="auto" w:fill="auto"/>
            <w:noWrap/>
            <w:vAlign w:val="center"/>
            <w:hideMark/>
          </w:tcPr>
          <w:p w14:paraId="1D8024A7"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nil"/>
              <w:left w:val="nil"/>
              <w:bottom w:val="single" w:sz="4" w:space="0" w:color="auto"/>
              <w:right w:val="single" w:sz="4" w:space="0" w:color="auto"/>
            </w:tcBorders>
            <w:shd w:val="clear" w:color="auto" w:fill="auto"/>
            <w:noWrap/>
            <w:vAlign w:val="center"/>
          </w:tcPr>
          <w:p w14:paraId="580AE0A6" w14:textId="3C557A8A" w:rsidR="00BA72B0" w:rsidRPr="00CC271A" w:rsidRDefault="00354A6E" w:rsidP="00A04FF5">
            <w:pPr>
              <w:spacing w:line="240" w:lineRule="auto"/>
              <w:jc w:val="center"/>
              <w:rPr>
                <w:bCs/>
                <w:sz w:val="16"/>
                <w:szCs w:val="16"/>
                <w:lang w:val="es-DO"/>
              </w:rPr>
            </w:pPr>
            <w:r w:rsidRPr="0078052B">
              <w:rPr>
                <w:bCs/>
                <w:sz w:val="16"/>
                <w:szCs w:val="16"/>
                <w:lang w:val="es-DO"/>
              </w:rPr>
              <w:t>2,767</w:t>
            </w:r>
          </w:p>
        </w:tc>
        <w:tc>
          <w:tcPr>
            <w:tcW w:w="818" w:type="dxa"/>
            <w:tcBorders>
              <w:top w:val="nil"/>
              <w:left w:val="nil"/>
              <w:bottom w:val="single" w:sz="4" w:space="0" w:color="auto"/>
              <w:right w:val="single" w:sz="4" w:space="0" w:color="auto"/>
            </w:tcBorders>
            <w:shd w:val="clear" w:color="auto" w:fill="auto"/>
            <w:noWrap/>
            <w:vAlign w:val="center"/>
            <w:hideMark/>
          </w:tcPr>
          <w:p w14:paraId="3459332C" w14:textId="3DB772A7" w:rsidR="00BA72B0" w:rsidRPr="00CC271A" w:rsidRDefault="001912C2" w:rsidP="00A04FF5">
            <w:pPr>
              <w:spacing w:line="240" w:lineRule="auto"/>
              <w:jc w:val="center"/>
              <w:rPr>
                <w:bCs/>
                <w:sz w:val="16"/>
                <w:szCs w:val="16"/>
                <w:lang w:val="es-DO"/>
              </w:rPr>
            </w:pPr>
            <w:r>
              <w:rPr>
                <w:bCs/>
                <w:sz w:val="16"/>
                <w:szCs w:val="16"/>
                <w:lang w:val="es-DO"/>
              </w:rPr>
              <w:t>700</w:t>
            </w:r>
          </w:p>
        </w:tc>
        <w:tc>
          <w:tcPr>
            <w:tcW w:w="1308" w:type="dxa"/>
            <w:tcBorders>
              <w:top w:val="nil"/>
              <w:left w:val="nil"/>
              <w:bottom w:val="single" w:sz="4" w:space="0" w:color="auto"/>
              <w:right w:val="single" w:sz="4" w:space="0" w:color="auto"/>
            </w:tcBorders>
            <w:shd w:val="clear" w:color="auto" w:fill="auto"/>
            <w:noWrap/>
            <w:vAlign w:val="center"/>
            <w:hideMark/>
          </w:tcPr>
          <w:p w14:paraId="5D0CE3EB" w14:textId="226EE160" w:rsidR="00BA72B0" w:rsidRPr="00CC271A" w:rsidRDefault="001912C2" w:rsidP="00A04FF5">
            <w:pPr>
              <w:spacing w:line="240" w:lineRule="auto"/>
              <w:jc w:val="center"/>
              <w:rPr>
                <w:bCs/>
                <w:sz w:val="16"/>
                <w:szCs w:val="16"/>
                <w:lang w:val="es-DO"/>
              </w:rPr>
            </w:pPr>
            <w:r w:rsidRPr="001912C2">
              <w:rPr>
                <w:bCs/>
                <w:sz w:val="16"/>
                <w:szCs w:val="16"/>
                <w:lang w:val="es-DO"/>
              </w:rPr>
              <w:t>5</w:t>
            </w:r>
            <w:r w:rsidR="00482399" w:rsidRPr="001912C2">
              <w:rPr>
                <w:bCs/>
                <w:sz w:val="16"/>
                <w:szCs w:val="16"/>
                <w:lang w:val="es-DO"/>
              </w:rPr>
              <w:t>98</w:t>
            </w:r>
          </w:p>
        </w:tc>
        <w:tc>
          <w:tcPr>
            <w:tcW w:w="944" w:type="dxa"/>
            <w:tcBorders>
              <w:top w:val="nil"/>
              <w:left w:val="nil"/>
              <w:bottom w:val="single" w:sz="4" w:space="0" w:color="auto"/>
              <w:right w:val="single" w:sz="4" w:space="0" w:color="auto"/>
            </w:tcBorders>
            <w:shd w:val="clear" w:color="auto" w:fill="auto"/>
            <w:noWrap/>
            <w:vAlign w:val="center"/>
            <w:hideMark/>
          </w:tcPr>
          <w:p w14:paraId="52908C68" w14:textId="42269E67" w:rsidR="00BA72B0" w:rsidRPr="00CC271A" w:rsidRDefault="001912C2" w:rsidP="00A04FF5">
            <w:pPr>
              <w:spacing w:line="240" w:lineRule="auto"/>
              <w:jc w:val="center"/>
              <w:rPr>
                <w:bCs/>
                <w:sz w:val="16"/>
                <w:szCs w:val="16"/>
                <w:lang w:val="es-DO"/>
              </w:rPr>
            </w:pPr>
            <w:r>
              <w:rPr>
                <w:bCs/>
                <w:sz w:val="16"/>
                <w:szCs w:val="16"/>
                <w:lang w:val="es-DO"/>
              </w:rPr>
              <w:t>85</w:t>
            </w:r>
            <w:r w:rsidR="00BA72B0" w:rsidRPr="00CC271A">
              <w:rPr>
                <w:bCs/>
                <w:sz w:val="16"/>
                <w:szCs w:val="16"/>
                <w:lang w:val="es-DO"/>
              </w:rPr>
              <w:t>%</w:t>
            </w:r>
          </w:p>
        </w:tc>
      </w:tr>
      <w:tr w:rsidR="009D14E3" w:rsidRPr="000904E0" w14:paraId="29FAEEED" w14:textId="77777777" w:rsidTr="009D14E3">
        <w:trPr>
          <w:trHeight w:val="1055"/>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08727" w14:textId="77777777" w:rsidR="00BA72B0" w:rsidRPr="00CC271A" w:rsidRDefault="00BA72B0" w:rsidP="00A04FF5">
            <w:pPr>
              <w:spacing w:line="240" w:lineRule="auto"/>
              <w:jc w:val="center"/>
              <w:rPr>
                <w:bCs/>
                <w:sz w:val="16"/>
                <w:szCs w:val="16"/>
                <w:lang w:val="es-DO"/>
              </w:rPr>
            </w:pPr>
            <w:r>
              <w:rPr>
                <w:bCs/>
                <w:sz w:val="16"/>
                <w:szCs w:val="16"/>
                <w:lang w:val="es-DO"/>
              </w:rPr>
              <w:t>5</w:t>
            </w:r>
          </w:p>
        </w:tc>
        <w:tc>
          <w:tcPr>
            <w:tcW w:w="1201" w:type="dxa"/>
            <w:tcBorders>
              <w:top w:val="single" w:sz="4" w:space="0" w:color="auto"/>
              <w:left w:val="nil"/>
              <w:bottom w:val="single" w:sz="4" w:space="0" w:color="auto"/>
              <w:right w:val="single" w:sz="4" w:space="0" w:color="auto"/>
            </w:tcBorders>
            <w:shd w:val="clear" w:color="auto" w:fill="auto"/>
            <w:noWrap/>
            <w:vAlign w:val="center"/>
            <w:hideMark/>
          </w:tcPr>
          <w:p w14:paraId="629DA002" w14:textId="77777777" w:rsidR="00BA72B0" w:rsidRPr="00CC271A" w:rsidRDefault="00BA72B0" w:rsidP="00354A6E">
            <w:pPr>
              <w:spacing w:line="240" w:lineRule="auto"/>
              <w:rPr>
                <w:bCs/>
                <w:sz w:val="16"/>
                <w:szCs w:val="16"/>
                <w:lang w:val="es-DO"/>
              </w:rPr>
            </w:pPr>
            <w:r w:rsidRPr="0078052B">
              <w:rPr>
                <w:bCs/>
                <w:sz w:val="16"/>
                <w:szCs w:val="16"/>
                <w:lang w:val="es-DO"/>
              </w:rPr>
              <w:t xml:space="preserve">Departamento </w:t>
            </w:r>
            <w:r>
              <w:rPr>
                <w:bCs/>
                <w:sz w:val="16"/>
                <w:szCs w:val="16"/>
                <w:lang w:val="es-DO"/>
              </w:rPr>
              <w:t>d</w:t>
            </w:r>
            <w:r w:rsidRPr="0078052B">
              <w:rPr>
                <w:bCs/>
                <w:sz w:val="16"/>
                <w:szCs w:val="16"/>
                <w:lang w:val="es-DO"/>
              </w:rPr>
              <w:t xml:space="preserve">e Prevención </w:t>
            </w:r>
            <w:r>
              <w:rPr>
                <w:bCs/>
                <w:sz w:val="16"/>
                <w:szCs w:val="16"/>
                <w:lang w:val="es-DO"/>
              </w:rPr>
              <w:t>d</w:t>
            </w:r>
            <w:r w:rsidRPr="0078052B">
              <w:rPr>
                <w:bCs/>
                <w:sz w:val="16"/>
                <w:szCs w:val="16"/>
                <w:lang w:val="es-DO"/>
              </w:rPr>
              <w:t xml:space="preserve">e Lavado </w:t>
            </w:r>
            <w:r>
              <w:rPr>
                <w:bCs/>
                <w:sz w:val="16"/>
                <w:szCs w:val="16"/>
                <w:lang w:val="es-DO"/>
              </w:rPr>
              <w:t>d</w:t>
            </w:r>
            <w:r w:rsidRPr="0078052B">
              <w:rPr>
                <w:bCs/>
                <w:sz w:val="16"/>
                <w:szCs w:val="16"/>
                <w:lang w:val="es-DO"/>
              </w:rPr>
              <w:t>e Activos</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14:paraId="54105972" w14:textId="77777777" w:rsidR="00BA72B0" w:rsidRPr="00CC271A" w:rsidRDefault="00BA72B0" w:rsidP="00354A6E">
            <w:pPr>
              <w:spacing w:line="240" w:lineRule="auto"/>
              <w:rPr>
                <w:bCs/>
                <w:sz w:val="16"/>
                <w:szCs w:val="16"/>
                <w:lang w:val="es-DO"/>
              </w:rPr>
            </w:pPr>
            <w:r w:rsidRPr="00411424">
              <w:rPr>
                <w:bCs/>
                <w:sz w:val="16"/>
                <w:szCs w:val="16"/>
                <w:lang w:val="es-DO"/>
              </w:rPr>
              <w:t>Supervisión del cumplimiento Ley 155-17</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14:paraId="124459C3" w14:textId="3067B618" w:rsidR="00BA72B0" w:rsidRPr="00CC271A" w:rsidRDefault="00BA72B0" w:rsidP="00354A6E">
            <w:pPr>
              <w:spacing w:line="240" w:lineRule="auto"/>
              <w:rPr>
                <w:bCs/>
                <w:sz w:val="16"/>
                <w:szCs w:val="16"/>
                <w:lang w:val="es-DO"/>
              </w:rPr>
            </w:pPr>
            <w:r w:rsidRPr="0003648D">
              <w:rPr>
                <w:bCs/>
                <w:sz w:val="16"/>
                <w:szCs w:val="16"/>
                <w:lang w:val="es-DO"/>
              </w:rPr>
              <w:t xml:space="preserve">Supervisión del cumplimiento Ley 155-17 a Compañías de Seguros y </w:t>
            </w:r>
            <w:r w:rsidR="00354A6E" w:rsidRPr="0003648D">
              <w:rPr>
                <w:bCs/>
                <w:sz w:val="16"/>
                <w:szCs w:val="16"/>
                <w:lang w:val="es-DO"/>
              </w:rPr>
              <w:t>Reaseguros, Corredores</w:t>
            </w:r>
            <w:r w:rsidRPr="0003648D">
              <w:rPr>
                <w:bCs/>
                <w:sz w:val="16"/>
                <w:szCs w:val="16"/>
                <w:lang w:val="es-DO"/>
              </w:rPr>
              <w:t xml:space="preserve"> Morales de Seguros y Corredores </w:t>
            </w:r>
            <w:r w:rsidRPr="0003648D">
              <w:rPr>
                <w:bCs/>
                <w:sz w:val="16"/>
                <w:szCs w:val="16"/>
                <w:lang w:val="es-DO"/>
              </w:rPr>
              <w:lastRenderedPageBreak/>
              <w:t>Físicos de Seguros</w:t>
            </w:r>
            <w:r w:rsidR="00354A6E">
              <w:rPr>
                <w:bCs/>
                <w:sz w:val="16"/>
                <w:szCs w:val="16"/>
                <w:lang w:val="es-DO"/>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3343E2B" w14:textId="77777777" w:rsidR="00BA72B0" w:rsidRPr="0078052B" w:rsidRDefault="00BA72B0" w:rsidP="00A04FF5">
            <w:pPr>
              <w:spacing w:line="240" w:lineRule="auto"/>
              <w:jc w:val="both"/>
              <w:rPr>
                <w:bCs/>
                <w:sz w:val="14"/>
                <w:szCs w:val="16"/>
                <w:lang w:val="es-DO"/>
              </w:rPr>
            </w:pPr>
            <w:r w:rsidRPr="0078052B">
              <w:rPr>
                <w:bCs/>
                <w:sz w:val="14"/>
                <w:szCs w:val="16"/>
                <w:lang w:val="es-DO"/>
              </w:rPr>
              <w:lastRenderedPageBreak/>
              <w:t>Trimestral</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641D787" w14:textId="2FCBAE15" w:rsidR="00BA72B0" w:rsidRPr="00CC271A" w:rsidRDefault="00354A6E" w:rsidP="00A04FF5">
            <w:pPr>
              <w:spacing w:line="240" w:lineRule="auto"/>
              <w:jc w:val="center"/>
              <w:rPr>
                <w:bCs/>
                <w:sz w:val="16"/>
                <w:szCs w:val="16"/>
                <w:lang w:val="es-DO"/>
              </w:rPr>
            </w:pPr>
            <w:r w:rsidRPr="0078052B">
              <w:rPr>
                <w:bCs/>
                <w:sz w:val="16"/>
                <w:szCs w:val="16"/>
                <w:lang w:val="es-DO"/>
              </w:rPr>
              <w:t>3,137</w:t>
            </w:r>
          </w:p>
        </w:tc>
        <w:tc>
          <w:tcPr>
            <w:tcW w:w="818" w:type="dxa"/>
            <w:tcBorders>
              <w:top w:val="single" w:sz="4" w:space="0" w:color="auto"/>
              <w:left w:val="nil"/>
              <w:bottom w:val="single" w:sz="4" w:space="0" w:color="auto"/>
              <w:right w:val="single" w:sz="4" w:space="0" w:color="auto"/>
            </w:tcBorders>
            <w:shd w:val="clear" w:color="auto" w:fill="auto"/>
            <w:noWrap/>
            <w:vAlign w:val="center"/>
            <w:hideMark/>
          </w:tcPr>
          <w:p w14:paraId="06F64311" w14:textId="1FE7CCC5" w:rsidR="00BA72B0" w:rsidRPr="00CC271A" w:rsidRDefault="001912C2" w:rsidP="00A04FF5">
            <w:pPr>
              <w:spacing w:line="240" w:lineRule="auto"/>
              <w:jc w:val="center"/>
              <w:rPr>
                <w:bCs/>
                <w:sz w:val="16"/>
                <w:szCs w:val="16"/>
                <w:lang w:val="es-DO"/>
              </w:rPr>
            </w:pPr>
            <w:r>
              <w:rPr>
                <w:bCs/>
                <w:sz w:val="16"/>
                <w:szCs w:val="16"/>
                <w:lang w:val="es-DO"/>
              </w:rPr>
              <w:t>3,722</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3077A1AB" w14:textId="7F533EEC" w:rsidR="00BA72B0" w:rsidRPr="00CC271A" w:rsidRDefault="00482399" w:rsidP="00A04FF5">
            <w:pPr>
              <w:spacing w:line="240" w:lineRule="auto"/>
              <w:jc w:val="center"/>
              <w:rPr>
                <w:bCs/>
                <w:sz w:val="16"/>
                <w:szCs w:val="16"/>
                <w:lang w:val="es-DO"/>
              </w:rPr>
            </w:pPr>
            <w:r>
              <w:rPr>
                <w:bCs/>
                <w:sz w:val="16"/>
                <w:szCs w:val="16"/>
                <w:lang w:val="es-DO"/>
              </w:rPr>
              <w:t>3,437</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7881E353" w14:textId="24F14512" w:rsidR="00BA72B0" w:rsidRPr="00CC271A" w:rsidRDefault="001912C2" w:rsidP="00A04FF5">
            <w:pPr>
              <w:spacing w:line="240" w:lineRule="auto"/>
              <w:jc w:val="center"/>
              <w:rPr>
                <w:bCs/>
                <w:sz w:val="16"/>
                <w:szCs w:val="16"/>
                <w:lang w:val="es-DO"/>
              </w:rPr>
            </w:pPr>
            <w:r>
              <w:rPr>
                <w:bCs/>
                <w:sz w:val="16"/>
                <w:szCs w:val="16"/>
                <w:lang w:val="es-DO"/>
              </w:rPr>
              <w:t>92</w:t>
            </w:r>
            <w:r w:rsidR="00BA72B0" w:rsidRPr="00CC271A">
              <w:rPr>
                <w:bCs/>
                <w:sz w:val="16"/>
                <w:szCs w:val="16"/>
                <w:lang w:val="es-DO"/>
              </w:rPr>
              <w:t>%</w:t>
            </w:r>
          </w:p>
        </w:tc>
      </w:tr>
      <w:tr w:rsidR="009D14E3" w:rsidRPr="000904E0" w14:paraId="63ECB0D7" w14:textId="77777777" w:rsidTr="009D14E3">
        <w:trPr>
          <w:trHeight w:val="1283"/>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CB2AC" w14:textId="77777777" w:rsidR="00BA72B0" w:rsidRPr="00CC271A" w:rsidRDefault="00BA72B0" w:rsidP="00A04FF5">
            <w:pPr>
              <w:spacing w:line="240" w:lineRule="auto"/>
              <w:jc w:val="center"/>
              <w:rPr>
                <w:bCs/>
                <w:sz w:val="16"/>
                <w:szCs w:val="16"/>
                <w:lang w:val="es-DO"/>
              </w:rPr>
            </w:pPr>
            <w:r>
              <w:rPr>
                <w:bCs/>
                <w:sz w:val="16"/>
                <w:szCs w:val="16"/>
                <w:lang w:val="es-DO"/>
              </w:rPr>
              <w:t>6</w:t>
            </w:r>
          </w:p>
        </w:tc>
        <w:tc>
          <w:tcPr>
            <w:tcW w:w="1201" w:type="dxa"/>
            <w:tcBorders>
              <w:top w:val="single" w:sz="4" w:space="0" w:color="auto"/>
              <w:left w:val="nil"/>
              <w:bottom w:val="single" w:sz="4" w:space="0" w:color="auto"/>
              <w:right w:val="single" w:sz="4" w:space="0" w:color="auto"/>
            </w:tcBorders>
            <w:shd w:val="clear" w:color="auto" w:fill="auto"/>
            <w:noWrap/>
            <w:vAlign w:val="center"/>
          </w:tcPr>
          <w:p w14:paraId="6E4F2947" w14:textId="77777777" w:rsidR="00BA72B0" w:rsidRPr="0078052B" w:rsidRDefault="00BA72B0" w:rsidP="00354A6E">
            <w:pPr>
              <w:spacing w:line="240" w:lineRule="auto"/>
              <w:rPr>
                <w:bCs/>
                <w:sz w:val="16"/>
                <w:szCs w:val="16"/>
                <w:lang w:val="es-DO"/>
              </w:rPr>
            </w:pPr>
            <w:r w:rsidRPr="00CC271A">
              <w:rPr>
                <w:bCs/>
                <w:sz w:val="16"/>
                <w:szCs w:val="16"/>
                <w:lang w:val="es-DO"/>
              </w:rPr>
              <w:t>Dirección de Planificación y Desarrollo</w:t>
            </w:r>
          </w:p>
        </w:tc>
        <w:tc>
          <w:tcPr>
            <w:tcW w:w="1201" w:type="dxa"/>
            <w:tcBorders>
              <w:top w:val="single" w:sz="4" w:space="0" w:color="auto"/>
              <w:left w:val="nil"/>
              <w:bottom w:val="single" w:sz="4" w:space="0" w:color="auto"/>
              <w:right w:val="single" w:sz="4" w:space="0" w:color="auto"/>
            </w:tcBorders>
            <w:shd w:val="clear" w:color="auto" w:fill="auto"/>
            <w:vAlign w:val="center"/>
          </w:tcPr>
          <w:p w14:paraId="6DEF7CDB" w14:textId="77777777" w:rsidR="00BA72B0" w:rsidRPr="00411424" w:rsidRDefault="00BA72B0" w:rsidP="00A04FF5">
            <w:pPr>
              <w:spacing w:line="240" w:lineRule="auto"/>
              <w:jc w:val="both"/>
              <w:rPr>
                <w:bCs/>
                <w:sz w:val="16"/>
                <w:szCs w:val="16"/>
                <w:lang w:val="es-DO"/>
              </w:rPr>
            </w:pPr>
            <w:r w:rsidRPr="00CC271A">
              <w:rPr>
                <w:bCs/>
                <w:sz w:val="16"/>
                <w:szCs w:val="16"/>
                <w:lang w:val="es-DO"/>
              </w:rPr>
              <w:t>Conducción Estratégica</w:t>
            </w:r>
          </w:p>
        </w:tc>
        <w:tc>
          <w:tcPr>
            <w:tcW w:w="1392" w:type="dxa"/>
            <w:tcBorders>
              <w:top w:val="single" w:sz="4" w:space="0" w:color="auto"/>
              <w:left w:val="nil"/>
              <w:bottom w:val="single" w:sz="4" w:space="0" w:color="auto"/>
              <w:right w:val="single" w:sz="4" w:space="0" w:color="auto"/>
            </w:tcBorders>
            <w:shd w:val="clear" w:color="auto" w:fill="auto"/>
            <w:vAlign w:val="center"/>
          </w:tcPr>
          <w:p w14:paraId="1795C556" w14:textId="3879B6DA" w:rsidR="00BA72B0" w:rsidRPr="0003648D" w:rsidRDefault="00C4077F" w:rsidP="00A04FF5">
            <w:pPr>
              <w:spacing w:line="240" w:lineRule="auto"/>
              <w:jc w:val="both"/>
              <w:rPr>
                <w:bCs/>
                <w:sz w:val="16"/>
                <w:szCs w:val="16"/>
                <w:lang w:val="es-DO"/>
              </w:rPr>
            </w:pPr>
            <w:r>
              <w:rPr>
                <w:bCs/>
                <w:sz w:val="16"/>
                <w:szCs w:val="16"/>
                <w:lang w:val="es-DO"/>
              </w:rPr>
              <w:t>Producción integral</w:t>
            </w:r>
            <w:r w:rsidR="00354A6E">
              <w:rPr>
                <w:bCs/>
                <w:sz w:val="16"/>
                <w:szCs w:val="16"/>
                <w:lang w:val="es-DO"/>
              </w:rPr>
              <w:t xml:space="preserve"> </w:t>
            </w:r>
            <w:r>
              <w:rPr>
                <w:bCs/>
                <w:sz w:val="16"/>
                <w:szCs w:val="16"/>
                <w:lang w:val="es-DO"/>
              </w:rPr>
              <w:t xml:space="preserve">de planificación </w:t>
            </w:r>
            <w:r w:rsidR="00354A6E">
              <w:rPr>
                <w:bCs/>
                <w:sz w:val="16"/>
                <w:szCs w:val="16"/>
                <w:lang w:val="es-DO"/>
              </w:rPr>
              <w:t>institucional</w:t>
            </w:r>
            <w:r>
              <w:rPr>
                <w:bCs/>
                <w:sz w:val="16"/>
                <w:szCs w:val="16"/>
                <w:lang w:val="es-DO"/>
              </w:rPr>
              <w:t xml:space="preserve"> (Planes</w:t>
            </w:r>
            <w:r w:rsidR="00354A6E">
              <w:rPr>
                <w:bCs/>
                <w:sz w:val="16"/>
                <w:szCs w:val="16"/>
                <w:lang w:val="es-DO"/>
              </w:rPr>
              <w:t>, programas y proyectos)</w:t>
            </w:r>
            <w:r>
              <w:rPr>
                <w:bCs/>
                <w:sz w:val="16"/>
                <w:szCs w:val="16"/>
                <w:lang w:val="es-DO"/>
              </w:rPr>
              <w:t>.</w:t>
            </w:r>
            <w:r w:rsidR="00354A6E">
              <w:rPr>
                <w:bCs/>
                <w:sz w:val="16"/>
                <w:szCs w:val="16"/>
                <w:lang w:val="es-DO"/>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C03DBF" w14:textId="77777777" w:rsidR="00BA72B0" w:rsidRPr="0078052B" w:rsidRDefault="00BA72B0" w:rsidP="00A04FF5">
            <w:pPr>
              <w:spacing w:line="240" w:lineRule="auto"/>
              <w:jc w:val="both"/>
              <w:rPr>
                <w:bCs/>
                <w:sz w:val="14"/>
                <w:szCs w:val="16"/>
                <w:lang w:val="es-DO"/>
              </w:rPr>
            </w:pPr>
            <w:r w:rsidRPr="0078052B">
              <w:rPr>
                <w:bCs/>
                <w:sz w:val="14"/>
                <w:szCs w:val="16"/>
                <w:lang w:val="es-DO"/>
              </w:rPr>
              <w:t>Trimestral</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50DA97E" w14:textId="7813521C" w:rsidR="00BA72B0" w:rsidRPr="00CC271A" w:rsidRDefault="00354A6E" w:rsidP="00A04FF5">
            <w:pPr>
              <w:spacing w:line="240" w:lineRule="auto"/>
              <w:jc w:val="center"/>
              <w:rPr>
                <w:bCs/>
                <w:sz w:val="16"/>
                <w:szCs w:val="16"/>
                <w:lang w:val="es-DO"/>
              </w:rPr>
            </w:pPr>
            <w:r>
              <w:rPr>
                <w:bCs/>
                <w:sz w:val="16"/>
                <w:szCs w:val="16"/>
                <w:lang w:val="es-DO"/>
              </w:rPr>
              <w:t>210</w:t>
            </w:r>
          </w:p>
        </w:tc>
        <w:tc>
          <w:tcPr>
            <w:tcW w:w="818" w:type="dxa"/>
            <w:tcBorders>
              <w:top w:val="single" w:sz="4" w:space="0" w:color="auto"/>
              <w:left w:val="nil"/>
              <w:bottom w:val="single" w:sz="4" w:space="0" w:color="auto"/>
              <w:right w:val="single" w:sz="4" w:space="0" w:color="auto"/>
            </w:tcBorders>
            <w:shd w:val="clear" w:color="auto" w:fill="auto"/>
            <w:noWrap/>
            <w:vAlign w:val="center"/>
          </w:tcPr>
          <w:p w14:paraId="082C3034" w14:textId="3DA52025" w:rsidR="00BA72B0" w:rsidRPr="0078052B" w:rsidRDefault="00C4077F" w:rsidP="00A04FF5">
            <w:pPr>
              <w:spacing w:line="240" w:lineRule="auto"/>
              <w:jc w:val="center"/>
              <w:rPr>
                <w:bCs/>
                <w:sz w:val="16"/>
                <w:szCs w:val="16"/>
                <w:lang w:val="es-DO"/>
              </w:rPr>
            </w:pPr>
            <w:r>
              <w:rPr>
                <w:bCs/>
                <w:sz w:val="16"/>
                <w:szCs w:val="16"/>
                <w:lang w:val="es-DO"/>
              </w:rPr>
              <w:t>300</w:t>
            </w:r>
          </w:p>
        </w:tc>
        <w:tc>
          <w:tcPr>
            <w:tcW w:w="1308" w:type="dxa"/>
            <w:tcBorders>
              <w:top w:val="single" w:sz="4" w:space="0" w:color="auto"/>
              <w:left w:val="nil"/>
              <w:bottom w:val="single" w:sz="4" w:space="0" w:color="auto"/>
              <w:right w:val="single" w:sz="4" w:space="0" w:color="auto"/>
            </w:tcBorders>
            <w:shd w:val="clear" w:color="auto" w:fill="auto"/>
            <w:noWrap/>
            <w:vAlign w:val="center"/>
          </w:tcPr>
          <w:p w14:paraId="2241DDCF" w14:textId="1C2BCB85" w:rsidR="00BA72B0" w:rsidRPr="0078052B" w:rsidRDefault="00C4077F" w:rsidP="00A04FF5">
            <w:pPr>
              <w:spacing w:line="240" w:lineRule="auto"/>
              <w:jc w:val="center"/>
              <w:rPr>
                <w:bCs/>
                <w:sz w:val="16"/>
                <w:szCs w:val="16"/>
                <w:lang w:val="es-DO"/>
              </w:rPr>
            </w:pPr>
            <w:r>
              <w:rPr>
                <w:bCs/>
                <w:sz w:val="16"/>
                <w:szCs w:val="16"/>
                <w:lang w:val="es-DO"/>
              </w:rPr>
              <w:t>303</w:t>
            </w:r>
          </w:p>
        </w:tc>
        <w:tc>
          <w:tcPr>
            <w:tcW w:w="944" w:type="dxa"/>
            <w:tcBorders>
              <w:top w:val="single" w:sz="4" w:space="0" w:color="auto"/>
              <w:left w:val="nil"/>
              <w:bottom w:val="single" w:sz="4" w:space="0" w:color="auto"/>
              <w:right w:val="single" w:sz="4" w:space="0" w:color="auto"/>
            </w:tcBorders>
            <w:shd w:val="clear" w:color="auto" w:fill="auto"/>
            <w:noWrap/>
            <w:vAlign w:val="center"/>
          </w:tcPr>
          <w:p w14:paraId="53E71A67" w14:textId="7C2C6B6F" w:rsidR="00BA72B0" w:rsidRDefault="00C4077F" w:rsidP="00A04FF5">
            <w:pPr>
              <w:spacing w:line="240" w:lineRule="auto"/>
              <w:jc w:val="center"/>
              <w:rPr>
                <w:bCs/>
                <w:sz w:val="16"/>
                <w:szCs w:val="16"/>
                <w:lang w:val="es-DO"/>
              </w:rPr>
            </w:pPr>
            <w:r>
              <w:rPr>
                <w:bCs/>
                <w:sz w:val="16"/>
                <w:szCs w:val="16"/>
                <w:lang w:val="es-DO"/>
              </w:rPr>
              <w:t>101</w:t>
            </w:r>
            <w:r w:rsidR="00BA72B0" w:rsidRPr="00CC271A">
              <w:rPr>
                <w:bCs/>
                <w:sz w:val="16"/>
                <w:szCs w:val="16"/>
                <w:lang w:val="es-DO"/>
              </w:rPr>
              <w:t>%</w:t>
            </w:r>
          </w:p>
        </w:tc>
      </w:tr>
    </w:tbl>
    <w:p w14:paraId="3A14D460" w14:textId="6F7E1749" w:rsidR="002072F5" w:rsidRDefault="002072F5" w:rsidP="002072F5">
      <w:pPr>
        <w:rPr>
          <w:lang w:val="es-ES"/>
        </w:rPr>
      </w:pPr>
    </w:p>
    <w:p w14:paraId="6D3F24FB" w14:textId="77777777" w:rsidR="00E0316A" w:rsidRDefault="00E0316A" w:rsidP="002072F5">
      <w:pPr>
        <w:rPr>
          <w:lang w:val="es-ES"/>
        </w:rPr>
      </w:pPr>
    </w:p>
    <w:p w14:paraId="2C87F146" w14:textId="77777777" w:rsidR="002072F5" w:rsidRPr="002072F5" w:rsidRDefault="002072F5" w:rsidP="002072F5">
      <w:pPr>
        <w:rPr>
          <w:lang w:val="es-ES"/>
        </w:rPr>
      </w:pPr>
    </w:p>
    <w:p w14:paraId="673560C4" w14:textId="56706BB8" w:rsidR="005310B7" w:rsidRPr="002072F5" w:rsidRDefault="005310B7" w:rsidP="00A04FF5">
      <w:pPr>
        <w:pStyle w:val="Ttulo1"/>
        <w:numPr>
          <w:ilvl w:val="0"/>
          <w:numId w:val="2"/>
        </w:numPr>
        <w:jc w:val="left"/>
        <w:rPr>
          <w:noProof/>
          <w:color w:val="595959" w:themeColor="text1" w:themeTint="A6"/>
          <w:sz w:val="24"/>
          <w:szCs w:val="26"/>
          <w:lang w:val="es-ES"/>
        </w:rPr>
      </w:pPr>
      <w:bookmarkStart w:id="65" w:name="_Toc216875889"/>
      <w:r w:rsidRPr="002072F5">
        <w:rPr>
          <w:noProof/>
          <w:color w:val="595959" w:themeColor="text1" w:themeTint="A6"/>
          <w:sz w:val="24"/>
          <w:szCs w:val="26"/>
          <w:lang w:val="es-ES"/>
        </w:rPr>
        <w:t>Resumen del Plan de Compras (PACC)</w:t>
      </w:r>
      <w:bookmarkEnd w:id="65"/>
    </w:p>
    <w:tbl>
      <w:tblPr>
        <w:tblStyle w:val="TableNormal"/>
        <w:tblW w:w="7912" w:type="dxa"/>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3834"/>
      </w:tblGrid>
      <w:tr w:rsidR="002072F5" w:rsidRPr="000936C0" w14:paraId="249D0C1F" w14:textId="77777777" w:rsidTr="00BA72B0">
        <w:trPr>
          <w:trHeight w:val="414"/>
        </w:trPr>
        <w:tc>
          <w:tcPr>
            <w:tcW w:w="7912" w:type="dxa"/>
            <w:gridSpan w:val="2"/>
            <w:shd w:val="clear" w:color="auto" w:fill="001F5F"/>
          </w:tcPr>
          <w:p w14:paraId="4C24389F" w14:textId="77777777" w:rsidR="002072F5" w:rsidRPr="00BA72B0" w:rsidRDefault="002072F5" w:rsidP="002072F5">
            <w:pPr>
              <w:pStyle w:val="TableParagraph"/>
              <w:spacing w:line="275" w:lineRule="exact"/>
              <w:ind w:right="20"/>
              <w:jc w:val="center"/>
              <w:rPr>
                <w:b/>
                <w:sz w:val="20"/>
                <w:szCs w:val="20"/>
              </w:rPr>
            </w:pPr>
            <w:r w:rsidRPr="00BA72B0">
              <w:rPr>
                <w:b/>
                <w:color w:val="FFFFFF"/>
                <w:spacing w:val="16"/>
                <w:sz w:val="20"/>
                <w:szCs w:val="20"/>
              </w:rPr>
              <w:t>RESUMEN</w:t>
            </w:r>
            <w:r w:rsidRPr="00BA72B0">
              <w:rPr>
                <w:b/>
                <w:color w:val="FFFFFF"/>
                <w:spacing w:val="41"/>
                <w:sz w:val="20"/>
                <w:szCs w:val="20"/>
              </w:rPr>
              <w:t xml:space="preserve"> </w:t>
            </w:r>
            <w:r w:rsidRPr="00BA72B0">
              <w:rPr>
                <w:b/>
                <w:color w:val="FFFFFF"/>
                <w:spacing w:val="12"/>
                <w:sz w:val="20"/>
                <w:szCs w:val="20"/>
              </w:rPr>
              <w:t>DEL</w:t>
            </w:r>
            <w:r w:rsidRPr="00BA72B0">
              <w:rPr>
                <w:b/>
                <w:color w:val="FFFFFF"/>
                <w:spacing w:val="49"/>
                <w:sz w:val="20"/>
                <w:szCs w:val="20"/>
              </w:rPr>
              <w:t xml:space="preserve"> </w:t>
            </w:r>
            <w:r w:rsidRPr="00BA72B0">
              <w:rPr>
                <w:b/>
                <w:color w:val="FFFFFF"/>
                <w:spacing w:val="14"/>
                <w:sz w:val="20"/>
                <w:szCs w:val="20"/>
              </w:rPr>
              <w:t>PLAN</w:t>
            </w:r>
            <w:r w:rsidRPr="00BA72B0">
              <w:rPr>
                <w:b/>
                <w:color w:val="FFFFFF"/>
                <w:spacing w:val="43"/>
                <w:sz w:val="20"/>
                <w:szCs w:val="20"/>
              </w:rPr>
              <w:t xml:space="preserve"> </w:t>
            </w:r>
            <w:r w:rsidRPr="00BA72B0">
              <w:rPr>
                <w:b/>
                <w:color w:val="FFFFFF"/>
                <w:sz w:val="20"/>
                <w:szCs w:val="20"/>
              </w:rPr>
              <w:t>DE</w:t>
            </w:r>
            <w:r w:rsidRPr="00BA72B0">
              <w:rPr>
                <w:b/>
                <w:color w:val="FFFFFF"/>
                <w:spacing w:val="47"/>
                <w:sz w:val="20"/>
                <w:szCs w:val="20"/>
              </w:rPr>
              <w:t xml:space="preserve"> </w:t>
            </w:r>
            <w:r w:rsidRPr="00BA72B0">
              <w:rPr>
                <w:b/>
                <w:color w:val="FFFFFF"/>
                <w:spacing w:val="14"/>
                <w:sz w:val="20"/>
                <w:szCs w:val="20"/>
              </w:rPr>
              <w:t>COMPRAS</w:t>
            </w:r>
          </w:p>
        </w:tc>
      </w:tr>
      <w:tr w:rsidR="002072F5" w:rsidRPr="00BA72B0" w14:paraId="2C14A147" w14:textId="77777777" w:rsidTr="00BA72B0">
        <w:trPr>
          <w:trHeight w:val="412"/>
        </w:trPr>
        <w:tc>
          <w:tcPr>
            <w:tcW w:w="7912" w:type="dxa"/>
            <w:gridSpan w:val="2"/>
            <w:shd w:val="clear" w:color="auto" w:fill="001F5F"/>
          </w:tcPr>
          <w:p w14:paraId="37E6CB5E" w14:textId="77777777" w:rsidR="002072F5" w:rsidRPr="00BA72B0" w:rsidRDefault="002072F5" w:rsidP="002072F5">
            <w:pPr>
              <w:pStyle w:val="TableParagraph"/>
              <w:spacing w:line="275" w:lineRule="exact"/>
              <w:ind w:left="4" w:right="20"/>
              <w:jc w:val="center"/>
              <w:rPr>
                <w:b/>
                <w:sz w:val="20"/>
                <w:szCs w:val="20"/>
              </w:rPr>
            </w:pPr>
            <w:r w:rsidRPr="00BA72B0">
              <w:rPr>
                <w:b/>
                <w:color w:val="FFFFFF"/>
                <w:spacing w:val="14"/>
                <w:sz w:val="20"/>
                <w:szCs w:val="20"/>
              </w:rPr>
              <w:t>DATOS</w:t>
            </w:r>
            <w:r w:rsidRPr="00BA72B0">
              <w:rPr>
                <w:b/>
                <w:color w:val="FFFFFF"/>
                <w:spacing w:val="50"/>
                <w:sz w:val="20"/>
                <w:szCs w:val="20"/>
              </w:rPr>
              <w:t xml:space="preserve"> </w:t>
            </w:r>
            <w:r w:rsidRPr="00BA72B0">
              <w:rPr>
                <w:b/>
                <w:color w:val="FFFFFF"/>
                <w:sz w:val="20"/>
                <w:szCs w:val="20"/>
              </w:rPr>
              <w:t>DE</w:t>
            </w:r>
            <w:r w:rsidRPr="00BA72B0">
              <w:rPr>
                <w:b/>
                <w:color w:val="FFFFFF"/>
                <w:spacing w:val="50"/>
                <w:sz w:val="20"/>
                <w:szCs w:val="20"/>
              </w:rPr>
              <w:t xml:space="preserve"> </w:t>
            </w:r>
            <w:r w:rsidRPr="00BA72B0">
              <w:rPr>
                <w:b/>
                <w:color w:val="FFFFFF"/>
                <w:spacing w:val="16"/>
                <w:sz w:val="20"/>
                <w:szCs w:val="20"/>
              </w:rPr>
              <w:t>CABECERA</w:t>
            </w:r>
            <w:r w:rsidRPr="00BA72B0">
              <w:rPr>
                <w:b/>
                <w:color w:val="FFFFFF"/>
                <w:spacing w:val="48"/>
                <w:sz w:val="20"/>
                <w:szCs w:val="20"/>
              </w:rPr>
              <w:t xml:space="preserve"> </w:t>
            </w:r>
            <w:r w:rsidRPr="00BA72B0">
              <w:rPr>
                <w:b/>
                <w:color w:val="FFFFFF"/>
                <w:spacing w:val="10"/>
                <w:sz w:val="20"/>
                <w:szCs w:val="20"/>
              </w:rPr>
              <w:t>PACC</w:t>
            </w:r>
          </w:p>
        </w:tc>
      </w:tr>
      <w:tr w:rsidR="002072F5" w:rsidRPr="00BA72B0" w14:paraId="1643F970" w14:textId="77777777" w:rsidTr="00BA72B0">
        <w:trPr>
          <w:trHeight w:val="414"/>
        </w:trPr>
        <w:tc>
          <w:tcPr>
            <w:tcW w:w="4078" w:type="dxa"/>
          </w:tcPr>
          <w:p w14:paraId="2E7BE940" w14:textId="77777777" w:rsidR="002072F5" w:rsidRPr="00BA72B0" w:rsidRDefault="002072F5" w:rsidP="002072F5">
            <w:pPr>
              <w:pStyle w:val="TableParagraph"/>
              <w:spacing w:line="275" w:lineRule="exact"/>
              <w:ind w:left="107"/>
              <w:rPr>
                <w:sz w:val="20"/>
                <w:szCs w:val="20"/>
              </w:rPr>
            </w:pPr>
            <w:r w:rsidRPr="00BA72B0">
              <w:rPr>
                <w:color w:val="767070"/>
                <w:spacing w:val="14"/>
                <w:sz w:val="20"/>
                <w:szCs w:val="20"/>
              </w:rPr>
              <w:t>Monto</w:t>
            </w:r>
            <w:r w:rsidRPr="00BA72B0">
              <w:rPr>
                <w:color w:val="767070"/>
                <w:spacing w:val="43"/>
                <w:sz w:val="20"/>
                <w:szCs w:val="20"/>
              </w:rPr>
              <w:t xml:space="preserve"> </w:t>
            </w:r>
            <w:r w:rsidRPr="00BA72B0">
              <w:rPr>
                <w:color w:val="767070"/>
                <w:spacing w:val="16"/>
                <w:sz w:val="20"/>
                <w:szCs w:val="20"/>
              </w:rPr>
              <w:t>estimado</w:t>
            </w:r>
            <w:r w:rsidRPr="00BA72B0">
              <w:rPr>
                <w:color w:val="767070"/>
                <w:spacing w:val="45"/>
                <w:sz w:val="20"/>
                <w:szCs w:val="20"/>
              </w:rPr>
              <w:t xml:space="preserve"> </w:t>
            </w:r>
            <w:r w:rsidRPr="00BA72B0">
              <w:rPr>
                <w:color w:val="767070"/>
                <w:spacing w:val="11"/>
                <w:sz w:val="20"/>
                <w:szCs w:val="20"/>
              </w:rPr>
              <w:t>total</w:t>
            </w:r>
          </w:p>
        </w:tc>
        <w:tc>
          <w:tcPr>
            <w:tcW w:w="3834" w:type="dxa"/>
          </w:tcPr>
          <w:p w14:paraId="62B00886" w14:textId="77777777" w:rsidR="002072F5" w:rsidRPr="00BA72B0" w:rsidRDefault="002072F5" w:rsidP="002072F5">
            <w:pPr>
              <w:pStyle w:val="TableParagraph"/>
              <w:spacing w:line="275" w:lineRule="exact"/>
              <w:ind w:left="7" w:right="19"/>
              <w:jc w:val="center"/>
              <w:rPr>
                <w:sz w:val="20"/>
                <w:szCs w:val="20"/>
              </w:rPr>
            </w:pPr>
            <w:r w:rsidRPr="00BA72B0">
              <w:rPr>
                <w:color w:val="767070"/>
                <w:spacing w:val="12"/>
                <w:sz w:val="20"/>
                <w:szCs w:val="20"/>
              </w:rPr>
              <w:t>RD$ $126,953,136.45</w:t>
            </w:r>
          </w:p>
        </w:tc>
      </w:tr>
      <w:tr w:rsidR="002072F5" w:rsidRPr="00BA72B0" w14:paraId="51A152B0" w14:textId="77777777" w:rsidTr="00BA72B0">
        <w:trPr>
          <w:trHeight w:val="412"/>
        </w:trPr>
        <w:tc>
          <w:tcPr>
            <w:tcW w:w="4078" w:type="dxa"/>
          </w:tcPr>
          <w:p w14:paraId="48C501B9" w14:textId="77777777" w:rsidR="002072F5" w:rsidRPr="00BA72B0" w:rsidRDefault="002072F5" w:rsidP="002072F5">
            <w:pPr>
              <w:pStyle w:val="TableParagraph"/>
              <w:spacing w:line="275" w:lineRule="exact"/>
              <w:ind w:left="107"/>
              <w:rPr>
                <w:sz w:val="20"/>
                <w:szCs w:val="20"/>
              </w:rPr>
            </w:pPr>
            <w:r w:rsidRPr="00BA72B0">
              <w:rPr>
                <w:color w:val="767070"/>
                <w:spacing w:val="14"/>
                <w:sz w:val="20"/>
                <w:szCs w:val="20"/>
              </w:rPr>
              <w:t>Monto</w:t>
            </w:r>
            <w:r w:rsidRPr="00BA72B0">
              <w:rPr>
                <w:color w:val="767070"/>
                <w:spacing w:val="42"/>
                <w:sz w:val="20"/>
                <w:szCs w:val="20"/>
              </w:rPr>
              <w:t xml:space="preserve"> </w:t>
            </w:r>
            <w:r w:rsidRPr="00BA72B0">
              <w:rPr>
                <w:color w:val="767070"/>
                <w:spacing w:val="15"/>
                <w:sz w:val="20"/>
                <w:szCs w:val="20"/>
              </w:rPr>
              <w:t>total</w:t>
            </w:r>
            <w:r w:rsidRPr="00BA72B0">
              <w:rPr>
                <w:color w:val="767070"/>
                <w:spacing w:val="43"/>
                <w:sz w:val="20"/>
                <w:szCs w:val="20"/>
              </w:rPr>
              <w:t xml:space="preserve"> </w:t>
            </w:r>
            <w:r w:rsidRPr="00BA72B0">
              <w:rPr>
                <w:color w:val="767070"/>
                <w:spacing w:val="15"/>
                <w:sz w:val="20"/>
                <w:szCs w:val="20"/>
              </w:rPr>
              <w:t>contratado</w:t>
            </w:r>
          </w:p>
        </w:tc>
        <w:tc>
          <w:tcPr>
            <w:tcW w:w="3834" w:type="dxa"/>
          </w:tcPr>
          <w:p w14:paraId="48DFED59" w14:textId="77777777" w:rsidR="002072F5" w:rsidRPr="00BA72B0" w:rsidRDefault="002072F5" w:rsidP="002072F5">
            <w:pPr>
              <w:pStyle w:val="TableParagraph"/>
              <w:spacing w:line="275" w:lineRule="exact"/>
              <w:ind w:left="7" w:right="19"/>
              <w:jc w:val="center"/>
              <w:rPr>
                <w:sz w:val="20"/>
                <w:szCs w:val="20"/>
              </w:rPr>
            </w:pPr>
            <w:r w:rsidRPr="00BA72B0">
              <w:rPr>
                <w:color w:val="767070"/>
                <w:spacing w:val="12"/>
                <w:sz w:val="20"/>
                <w:szCs w:val="20"/>
              </w:rPr>
              <w:t>RD$47,837,759.00</w:t>
            </w:r>
          </w:p>
        </w:tc>
      </w:tr>
      <w:tr w:rsidR="002072F5" w:rsidRPr="00BA72B0" w14:paraId="719DD335" w14:textId="77777777" w:rsidTr="00BA72B0">
        <w:trPr>
          <w:trHeight w:val="415"/>
        </w:trPr>
        <w:tc>
          <w:tcPr>
            <w:tcW w:w="4078" w:type="dxa"/>
          </w:tcPr>
          <w:p w14:paraId="34EDFE3C" w14:textId="77777777" w:rsidR="002072F5" w:rsidRPr="00BA72B0" w:rsidRDefault="002072F5" w:rsidP="002072F5">
            <w:pPr>
              <w:pStyle w:val="TableParagraph"/>
              <w:spacing w:before="1"/>
              <w:ind w:left="107"/>
              <w:rPr>
                <w:sz w:val="20"/>
                <w:szCs w:val="20"/>
              </w:rPr>
            </w:pPr>
            <w:r w:rsidRPr="00BA72B0">
              <w:rPr>
                <w:color w:val="767070"/>
                <w:spacing w:val="16"/>
                <w:sz w:val="20"/>
                <w:szCs w:val="20"/>
              </w:rPr>
              <w:t>Cantidad</w:t>
            </w:r>
            <w:r w:rsidRPr="00BA72B0">
              <w:rPr>
                <w:color w:val="767070"/>
                <w:spacing w:val="40"/>
                <w:sz w:val="20"/>
                <w:szCs w:val="20"/>
              </w:rPr>
              <w:t xml:space="preserve"> </w:t>
            </w:r>
            <w:r w:rsidRPr="00BA72B0">
              <w:rPr>
                <w:color w:val="767070"/>
                <w:spacing w:val="10"/>
                <w:sz w:val="20"/>
                <w:szCs w:val="20"/>
              </w:rPr>
              <w:t>de</w:t>
            </w:r>
            <w:r w:rsidRPr="00BA72B0">
              <w:rPr>
                <w:color w:val="767070"/>
                <w:spacing w:val="43"/>
                <w:sz w:val="20"/>
                <w:szCs w:val="20"/>
              </w:rPr>
              <w:t xml:space="preserve"> </w:t>
            </w:r>
            <w:r w:rsidRPr="00BA72B0">
              <w:rPr>
                <w:color w:val="767070"/>
                <w:spacing w:val="16"/>
                <w:sz w:val="20"/>
                <w:szCs w:val="20"/>
              </w:rPr>
              <w:t>procesos</w:t>
            </w:r>
            <w:r w:rsidRPr="00BA72B0">
              <w:rPr>
                <w:color w:val="767070"/>
                <w:spacing w:val="45"/>
                <w:sz w:val="20"/>
                <w:szCs w:val="20"/>
              </w:rPr>
              <w:t xml:space="preserve"> </w:t>
            </w:r>
            <w:r w:rsidRPr="00BA72B0">
              <w:rPr>
                <w:color w:val="767070"/>
                <w:spacing w:val="15"/>
                <w:sz w:val="20"/>
                <w:szCs w:val="20"/>
              </w:rPr>
              <w:t>registrados</w:t>
            </w:r>
          </w:p>
        </w:tc>
        <w:tc>
          <w:tcPr>
            <w:tcW w:w="3834" w:type="dxa"/>
          </w:tcPr>
          <w:p w14:paraId="293F0489" w14:textId="0FF87727" w:rsidR="002072F5" w:rsidRPr="00BA72B0" w:rsidRDefault="0040593F" w:rsidP="002072F5">
            <w:pPr>
              <w:pStyle w:val="TableParagraph"/>
              <w:spacing w:before="1"/>
              <w:ind w:left="26" w:right="19"/>
              <w:jc w:val="center"/>
              <w:rPr>
                <w:sz w:val="20"/>
                <w:szCs w:val="20"/>
              </w:rPr>
            </w:pPr>
            <w:r>
              <w:rPr>
                <w:color w:val="767070"/>
                <w:spacing w:val="14"/>
                <w:sz w:val="20"/>
                <w:szCs w:val="20"/>
              </w:rPr>
              <w:t>85</w:t>
            </w:r>
          </w:p>
        </w:tc>
      </w:tr>
      <w:tr w:rsidR="002072F5" w:rsidRPr="00BA72B0" w14:paraId="533400E6" w14:textId="77777777" w:rsidTr="00BA72B0">
        <w:trPr>
          <w:trHeight w:val="414"/>
        </w:trPr>
        <w:tc>
          <w:tcPr>
            <w:tcW w:w="4078" w:type="dxa"/>
          </w:tcPr>
          <w:p w14:paraId="4EBC977B" w14:textId="77777777" w:rsidR="002072F5" w:rsidRPr="00BA72B0" w:rsidRDefault="002072F5" w:rsidP="002072F5">
            <w:pPr>
              <w:pStyle w:val="TableParagraph"/>
              <w:spacing w:line="275" w:lineRule="exact"/>
              <w:ind w:left="107"/>
              <w:rPr>
                <w:sz w:val="20"/>
                <w:szCs w:val="20"/>
              </w:rPr>
            </w:pPr>
            <w:r w:rsidRPr="00BA72B0">
              <w:rPr>
                <w:color w:val="767070"/>
                <w:spacing w:val="14"/>
                <w:sz w:val="20"/>
                <w:szCs w:val="20"/>
              </w:rPr>
              <w:t>Capítulo</w:t>
            </w:r>
          </w:p>
        </w:tc>
        <w:tc>
          <w:tcPr>
            <w:tcW w:w="3834" w:type="dxa"/>
          </w:tcPr>
          <w:p w14:paraId="340C3402" w14:textId="77777777" w:rsidR="002072F5" w:rsidRPr="00BA72B0" w:rsidRDefault="002072F5" w:rsidP="002072F5">
            <w:pPr>
              <w:pStyle w:val="TableParagraph"/>
              <w:spacing w:line="275" w:lineRule="exact"/>
              <w:ind w:left="26" w:right="19"/>
              <w:jc w:val="center"/>
              <w:rPr>
                <w:sz w:val="20"/>
                <w:szCs w:val="20"/>
              </w:rPr>
            </w:pPr>
            <w:r w:rsidRPr="00BA72B0">
              <w:rPr>
                <w:color w:val="767070"/>
                <w:spacing w:val="15"/>
                <w:sz w:val="20"/>
                <w:szCs w:val="20"/>
              </w:rPr>
              <w:t>5127</w:t>
            </w:r>
          </w:p>
        </w:tc>
      </w:tr>
      <w:tr w:rsidR="002072F5" w:rsidRPr="00BA72B0" w14:paraId="76814E46" w14:textId="77777777" w:rsidTr="00BA72B0">
        <w:trPr>
          <w:trHeight w:val="412"/>
        </w:trPr>
        <w:tc>
          <w:tcPr>
            <w:tcW w:w="4078" w:type="dxa"/>
          </w:tcPr>
          <w:p w14:paraId="0D135F09" w14:textId="77777777" w:rsidR="002072F5" w:rsidRPr="00BA72B0" w:rsidRDefault="002072F5" w:rsidP="002072F5">
            <w:pPr>
              <w:pStyle w:val="TableParagraph"/>
              <w:spacing w:line="275" w:lineRule="exact"/>
              <w:ind w:left="107"/>
              <w:rPr>
                <w:sz w:val="20"/>
                <w:szCs w:val="20"/>
              </w:rPr>
            </w:pPr>
            <w:r w:rsidRPr="00BA72B0">
              <w:rPr>
                <w:color w:val="767070"/>
                <w:spacing w:val="12"/>
                <w:sz w:val="20"/>
                <w:szCs w:val="20"/>
              </w:rPr>
              <w:t>Sub</w:t>
            </w:r>
            <w:r w:rsidRPr="00BA72B0">
              <w:rPr>
                <w:color w:val="767070"/>
                <w:spacing w:val="41"/>
                <w:sz w:val="20"/>
                <w:szCs w:val="20"/>
              </w:rPr>
              <w:t xml:space="preserve"> </w:t>
            </w:r>
            <w:r w:rsidRPr="00BA72B0">
              <w:rPr>
                <w:color w:val="767070"/>
                <w:spacing w:val="14"/>
                <w:sz w:val="20"/>
                <w:szCs w:val="20"/>
              </w:rPr>
              <w:t>capítulo</w:t>
            </w:r>
          </w:p>
        </w:tc>
        <w:tc>
          <w:tcPr>
            <w:tcW w:w="3834" w:type="dxa"/>
          </w:tcPr>
          <w:p w14:paraId="3B3189D4" w14:textId="77777777" w:rsidR="002072F5" w:rsidRPr="00BA72B0" w:rsidRDefault="002072F5" w:rsidP="002072F5">
            <w:pPr>
              <w:pStyle w:val="TableParagraph"/>
              <w:spacing w:line="275" w:lineRule="exact"/>
              <w:ind w:left="8" w:right="19"/>
              <w:jc w:val="center"/>
              <w:rPr>
                <w:sz w:val="20"/>
                <w:szCs w:val="20"/>
              </w:rPr>
            </w:pPr>
            <w:r w:rsidRPr="00BA72B0">
              <w:rPr>
                <w:color w:val="767070"/>
                <w:spacing w:val="4"/>
                <w:sz w:val="20"/>
                <w:szCs w:val="20"/>
              </w:rPr>
              <w:t>01</w:t>
            </w:r>
          </w:p>
        </w:tc>
      </w:tr>
      <w:tr w:rsidR="002072F5" w:rsidRPr="00BA72B0" w14:paraId="1863CC3A" w14:textId="77777777" w:rsidTr="00BA72B0">
        <w:trPr>
          <w:trHeight w:val="414"/>
        </w:trPr>
        <w:tc>
          <w:tcPr>
            <w:tcW w:w="4078" w:type="dxa"/>
          </w:tcPr>
          <w:p w14:paraId="59A4BF7A" w14:textId="77777777" w:rsidR="002072F5" w:rsidRPr="00BA72B0" w:rsidRDefault="002072F5" w:rsidP="002072F5">
            <w:pPr>
              <w:pStyle w:val="TableParagraph"/>
              <w:spacing w:before="1"/>
              <w:ind w:left="107"/>
              <w:rPr>
                <w:sz w:val="20"/>
                <w:szCs w:val="20"/>
              </w:rPr>
            </w:pPr>
            <w:r w:rsidRPr="00BA72B0">
              <w:rPr>
                <w:color w:val="767070"/>
                <w:spacing w:val="15"/>
                <w:sz w:val="20"/>
                <w:szCs w:val="20"/>
              </w:rPr>
              <w:t>Unidad</w:t>
            </w:r>
            <w:r w:rsidRPr="00BA72B0">
              <w:rPr>
                <w:color w:val="767070"/>
                <w:spacing w:val="44"/>
                <w:sz w:val="20"/>
                <w:szCs w:val="20"/>
              </w:rPr>
              <w:t xml:space="preserve"> </w:t>
            </w:r>
            <w:r w:rsidRPr="00BA72B0">
              <w:rPr>
                <w:color w:val="767070"/>
                <w:spacing w:val="15"/>
                <w:sz w:val="20"/>
                <w:szCs w:val="20"/>
              </w:rPr>
              <w:t>ejecutora</w:t>
            </w:r>
          </w:p>
        </w:tc>
        <w:tc>
          <w:tcPr>
            <w:tcW w:w="3834" w:type="dxa"/>
          </w:tcPr>
          <w:p w14:paraId="20528277" w14:textId="77777777" w:rsidR="002072F5" w:rsidRPr="00BA72B0" w:rsidRDefault="002072F5" w:rsidP="002072F5">
            <w:pPr>
              <w:pStyle w:val="TableParagraph"/>
              <w:spacing w:before="1"/>
              <w:ind w:left="26" w:right="19"/>
              <w:jc w:val="center"/>
              <w:rPr>
                <w:sz w:val="20"/>
                <w:szCs w:val="20"/>
              </w:rPr>
            </w:pPr>
            <w:r w:rsidRPr="00BA72B0">
              <w:rPr>
                <w:color w:val="767070"/>
                <w:spacing w:val="15"/>
                <w:sz w:val="20"/>
                <w:szCs w:val="20"/>
              </w:rPr>
              <w:t>0001</w:t>
            </w:r>
          </w:p>
        </w:tc>
      </w:tr>
      <w:tr w:rsidR="002072F5" w:rsidRPr="00BA72B0" w14:paraId="5A483AE3" w14:textId="77777777" w:rsidTr="00BA72B0">
        <w:trPr>
          <w:trHeight w:val="414"/>
        </w:trPr>
        <w:tc>
          <w:tcPr>
            <w:tcW w:w="4078" w:type="dxa"/>
          </w:tcPr>
          <w:p w14:paraId="479E7B00" w14:textId="77777777" w:rsidR="002072F5" w:rsidRPr="00BA72B0" w:rsidRDefault="002072F5" w:rsidP="002072F5">
            <w:pPr>
              <w:pStyle w:val="TableParagraph"/>
              <w:spacing w:line="275" w:lineRule="exact"/>
              <w:ind w:left="107"/>
              <w:rPr>
                <w:sz w:val="20"/>
                <w:szCs w:val="20"/>
              </w:rPr>
            </w:pPr>
            <w:r w:rsidRPr="00BA72B0">
              <w:rPr>
                <w:color w:val="767070"/>
                <w:spacing w:val="15"/>
                <w:sz w:val="20"/>
                <w:szCs w:val="20"/>
              </w:rPr>
              <w:lastRenderedPageBreak/>
              <w:t>Unidad</w:t>
            </w:r>
            <w:r w:rsidRPr="00BA72B0">
              <w:rPr>
                <w:color w:val="767070"/>
                <w:spacing w:val="42"/>
                <w:sz w:val="20"/>
                <w:szCs w:val="20"/>
              </w:rPr>
              <w:t xml:space="preserve"> </w:t>
            </w:r>
            <w:r w:rsidRPr="00BA72B0">
              <w:rPr>
                <w:color w:val="767070"/>
                <w:spacing w:val="10"/>
                <w:sz w:val="20"/>
                <w:szCs w:val="20"/>
              </w:rPr>
              <w:t>de</w:t>
            </w:r>
            <w:r w:rsidRPr="00BA72B0">
              <w:rPr>
                <w:color w:val="767070"/>
                <w:spacing w:val="42"/>
                <w:sz w:val="20"/>
                <w:szCs w:val="20"/>
              </w:rPr>
              <w:t xml:space="preserve"> </w:t>
            </w:r>
            <w:r w:rsidRPr="00BA72B0">
              <w:rPr>
                <w:color w:val="767070"/>
                <w:spacing w:val="13"/>
                <w:sz w:val="20"/>
                <w:szCs w:val="20"/>
              </w:rPr>
              <w:t>compra</w:t>
            </w:r>
          </w:p>
        </w:tc>
        <w:tc>
          <w:tcPr>
            <w:tcW w:w="3834" w:type="dxa"/>
          </w:tcPr>
          <w:p w14:paraId="25E1961A" w14:textId="77777777" w:rsidR="002072F5" w:rsidRPr="00BA72B0" w:rsidRDefault="002072F5" w:rsidP="002072F5">
            <w:pPr>
              <w:pStyle w:val="TableParagraph"/>
              <w:spacing w:line="275" w:lineRule="exact"/>
              <w:ind w:left="7" w:right="26"/>
              <w:jc w:val="center"/>
              <w:rPr>
                <w:sz w:val="20"/>
                <w:szCs w:val="20"/>
              </w:rPr>
            </w:pPr>
            <w:r w:rsidRPr="00BA72B0">
              <w:rPr>
                <w:color w:val="767070"/>
                <w:spacing w:val="18"/>
                <w:sz w:val="20"/>
                <w:szCs w:val="20"/>
              </w:rPr>
              <w:t>Superintendencia</w:t>
            </w:r>
            <w:r w:rsidRPr="00BA72B0">
              <w:rPr>
                <w:color w:val="767070"/>
                <w:spacing w:val="34"/>
                <w:sz w:val="20"/>
                <w:szCs w:val="20"/>
              </w:rPr>
              <w:t xml:space="preserve"> </w:t>
            </w:r>
            <w:r w:rsidRPr="00BA72B0">
              <w:rPr>
                <w:color w:val="767070"/>
                <w:spacing w:val="10"/>
                <w:sz w:val="20"/>
                <w:szCs w:val="20"/>
              </w:rPr>
              <w:t>de</w:t>
            </w:r>
            <w:r w:rsidRPr="00BA72B0">
              <w:rPr>
                <w:color w:val="767070"/>
                <w:spacing w:val="41"/>
                <w:sz w:val="20"/>
                <w:szCs w:val="20"/>
              </w:rPr>
              <w:t xml:space="preserve"> </w:t>
            </w:r>
            <w:r w:rsidRPr="00BA72B0">
              <w:rPr>
                <w:color w:val="767070"/>
                <w:spacing w:val="14"/>
                <w:sz w:val="20"/>
                <w:szCs w:val="20"/>
              </w:rPr>
              <w:t>Seguros</w:t>
            </w:r>
          </w:p>
        </w:tc>
      </w:tr>
      <w:tr w:rsidR="002072F5" w:rsidRPr="00BA72B0" w14:paraId="0F186F8A" w14:textId="77777777" w:rsidTr="00BA72B0">
        <w:trPr>
          <w:trHeight w:val="412"/>
        </w:trPr>
        <w:tc>
          <w:tcPr>
            <w:tcW w:w="4078" w:type="dxa"/>
          </w:tcPr>
          <w:p w14:paraId="2007EF55" w14:textId="77777777" w:rsidR="002072F5" w:rsidRPr="00BA72B0" w:rsidRDefault="002072F5" w:rsidP="002072F5">
            <w:pPr>
              <w:pStyle w:val="TableParagraph"/>
              <w:spacing w:line="275" w:lineRule="exact"/>
              <w:ind w:left="107"/>
              <w:rPr>
                <w:sz w:val="20"/>
                <w:szCs w:val="20"/>
              </w:rPr>
            </w:pPr>
            <w:r w:rsidRPr="00BA72B0">
              <w:rPr>
                <w:color w:val="767070"/>
                <w:spacing w:val="12"/>
                <w:sz w:val="20"/>
                <w:szCs w:val="20"/>
              </w:rPr>
              <w:t>Año</w:t>
            </w:r>
            <w:r w:rsidRPr="00BA72B0">
              <w:rPr>
                <w:color w:val="767070"/>
                <w:spacing w:val="40"/>
                <w:sz w:val="20"/>
                <w:szCs w:val="20"/>
              </w:rPr>
              <w:t xml:space="preserve"> </w:t>
            </w:r>
            <w:r w:rsidRPr="00BA72B0">
              <w:rPr>
                <w:color w:val="767070"/>
                <w:spacing w:val="14"/>
                <w:sz w:val="20"/>
                <w:szCs w:val="20"/>
              </w:rPr>
              <w:t>fiscal</w:t>
            </w:r>
          </w:p>
        </w:tc>
        <w:tc>
          <w:tcPr>
            <w:tcW w:w="3834" w:type="dxa"/>
          </w:tcPr>
          <w:p w14:paraId="6B7553B0" w14:textId="77777777" w:rsidR="002072F5" w:rsidRPr="00BA72B0" w:rsidRDefault="002072F5" w:rsidP="002072F5">
            <w:pPr>
              <w:pStyle w:val="TableParagraph"/>
              <w:spacing w:line="275" w:lineRule="exact"/>
              <w:ind w:left="8" w:right="19"/>
              <w:jc w:val="center"/>
              <w:rPr>
                <w:sz w:val="20"/>
                <w:szCs w:val="20"/>
              </w:rPr>
            </w:pPr>
            <w:r w:rsidRPr="00BA72B0">
              <w:rPr>
                <w:color w:val="767070"/>
                <w:spacing w:val="10"/>
                <w:sz w:val="20"/>
                <w:szCs w:val="20"/>
              </w:rPr>
              <w:t>2025</w:t>
            </w:r>
          </w:p>
        </w:tc>
      </w:tr>
      <w:tr w:rsidR="002072F5" w:rsidRPr="00BA72B0" w14:paraId="4F014F6E" w14:textId="77777777" w:rsidTr="00BA72B0">
        <w:trPr>
          <w:trHeight w:val="414"/>
        </w:trPr>
        <w:tc>
          <w:tcPr>
            <w:tcW w:w="4078" w:type="dxa"/>
          </w:tcPr>
          <w:p w14:paraId="377BCA7D" w14:textId="77777777" w:rsidR="002072F5" w:rsidRPr="00BA72B0" w:rsidRDefault="002072F5" w:rsidP="002072F5">
            <w:pPr>
              <w:pStyle w:val="TableParagraph"/>
              <w:spacing w:before="1"/>
              <w:ind w:left="107"/>
              <w:rPr>
                <w:sz w:val="20"/>
                <w:szCs w:val="20"/>
              </w:rPr>
            </w:pPr>
            <w:r w:rsidRPr="00BA72B0">
              <w:rPr>
                <w:color w:val="767070"/>
                <w:spacing w:val="15"/>
                <w:sz w:val="20"/>
                <w:szCs w:val="20"/>
              </w:rPr>
              <w:t>Fecha</w:t>
            </w:r>
            <w:r w:rsidRPr="00BA72B0">
              <w:rPr>
                <w:color w:val="767070"/>
                <w:spacing w:val="41"/>
                <w:sz w:val="20"/>
                <w:szCs w:val="20"/>
              </w:rPr>
              <w:t xml:space="preserve"> </w:t>
            </w:r>
            <w:r w:rsidRPr="00BA72B0">
              <w:rPr>
                <w:color w:val="767070"/>
                <w:spacing w:val="15"/>
                <w:sz w:val="20"/>
                <w:szCs w:val="20"/>
              </w:rPr>
              <w:t>aprobación</w:t>
            </w:r>
          </w:p>
        </w:tc>
        <w:tc>
          <w:tcPr>
            <w:tcW w:w="3834" w:type="dxa"/>
          </w:tcPr>
          <w:p w14:paraId="2313F095" w14:textId="77777777" w:rsidR="002072F5" w:rsidRPr="00BA72B0" w:rsidRDefault="002072F5" w:rsidP="002072F5">
            <w:pPr>
              <w:pStyle w:val="TableParagraph"/>
              <w:spacing w:before="1"/>
              <w:ind w:left="8" w:right="19"/>
              <w:jc w:val="center"/>
              <w:rPr>
                <w:sz w:val="20"/>
                <w:szCs w:val="20"/>
              </w:rPr>
            </w:pPr>
            <w:r w:rsidRPr="00BA72B0">
              <w:rPr>
                <w:color w:val="767070"/>
                <w:spacing w:val="-10"/>
                <w:sz w:val="20"/>
                <w:szCs w:val="20"/>
              </w:rPr>
              <w:t>05 de diciembre</w:t>
            </w:r>
          </w:p>
        </w:tc>
      </w:tr>
      <w:tr w:rsidR="002072F5" w:rsidRPr="000936C0" w14:paraId="06310A1D" w14:textId="77777777" w:rsidTr="00BA72B0">
        <w:trPr>
          <w:trHeight w:val="828"/>
        </w:trPr>
        <w:tc>
          <w:tcPr>
            <w:tcW w:w="7912" w:type="dxa"/>
            <w:gridSpan w:val="2"/>
            <w:shd w:val="clear" w:color="auto" w:fill="001F5F"/>
          </w:tcPr>
          <w:p w14:paraId="00511DDC" w14:textId="77777777" w:rsidR="002072F5" w:rsidRPr="00BA72B0" w:rsidRDefault="002072F5" w:rsidP="002072F5">
            <w:pPr>
              <w:pStyle w:val="TableParagraph"/>
              <w:spacing w:line="275" w:lineRule="exact"/>
              <w:ind w:left="1" w:right="20"/>
              <w:jc w:val="center"/>
              <w:rPr>
                <w:b/>
                <w:sz w:val="20"/>
                <w:szCs w:val="20"/>
              </w:rPr>
            </w:pPr>
            <w:r w:rsidRPr="00BA72B0">
              <w:rPr>
                <w:b/>
                <w:color w:val="FFFFFF"/>
                <w:spacing w:val="16"/>
                <w:sz w:val="20"/>
                <w:szCs w:val="20"/>
              </w:rPr>
              <w:t>MONTOS</w:t>
            </w:r>
            <w:r w:rsidRPr="00BA72B0">
              <w:rPr>
                <w:b/>
                <w:color w:val="FFFFFF"/>
                <w:spacing w:val="39"/>
                <w:sz w:val="20"/>
                <w:szCs w:val="20"/>
              </w:rPr>
              <w:t xml:space="preserve"> </w:t>
            </w:r>
            <w:r w:rsidRPr="00BA72B0">
              <w:rPr>
                <w:b/>
                <w:color w:val="FFFFFF"/>
                <w:spacing w:val="17"/>
                <w:sz w:val="20"/>
                <w:szCs w:val="20"/>
              </w:rPr>
              <w:t>ESTIMADOS</w:t>
            </w:r>
            <w:r w:rsidRPr="00BA72B0">
              <w:rPr>
                <w:b/>
                <w:color w:val="FFFFFF"/>
                <w:spacing w:val="39"/>
                <w:sz w:val="20"/>
                <w:szCs w:val="20"/>
              </w:rPr>
              <w:t xml:space="preserve"> </w:t>
            </w:r>
            <w:r w:rsidRPr="00BA72B0">
              <w:rPr>
                <w:b/>
                <w:color w:val="FFFFFF"/>
                <w:spacing w:val="15"/>
                <w:sz w:val="20"/>
                <w:szCs w:val="20"/>
              </w:rPr>
              <w:t>SEGÚN</w:t>
            </w:r>
            <w:r w:rsidRPr="00BA72B0">
              <w:rPr>
                <w:b/>
                <w:color w:val="FFFFFF"/>
                <w:spacing w:val="40"/>
                <w:sz w:val="20"/>
                <w:szCs w:val="20"/>
              </w:rPr>
              <w:t xml:space="preserve"> </w:t>
            </w:r>
            <w:r w:rsidRPr="00BA72B0">
              <w:rPr>
                <w:b/>
                <w:color w:val="FFFFFF"/>
                <w:spacing w:val="16"/>
                <w:sz w:val="20"/>
                <w:szCs w:val="20"/>
              </w:rPr>
              <w:t>OBJETO</w:t>
            </w:r>
            <w:r w:rsidRPr="00BA72B0">
              <w:rPr>
                <w:b/>
                <w:color w:val="FFFFFF"/>
                <w:spacing w:val="39"/>
                <w:sz w:val="20"/>
                <w:szCs w:val="20"/>
              </w:rPr>
              <w:t xml:space="preserve"> </w:t>
            </w:r>
            <w:r w:rsidRPr="00BA72B0">
              <w:rPr>
                <w:b/>
                <w:color w:val="FFFFFF"/>
                <w:spacing w:val="-7"/>
                <w:sz w:val="20"/>
                <w:szCs w:val="20"/>
              </w:rPr>
              <w:t>DE</w:t>
            </w:r>
          </w:p>
          <w:p w14:paraId="42F32DCE" w14:textId="77777777" w:rsidR="002072F5" w:rsidRPr="00BA72B0" w:rsidRDefault="002072F5" w:rsidP="002072F5">
            <w:pPr>
              <w:pStyle w:val="TableParagraph"/>
              <w:spacing w:before="139"/>
              <w:ind w:left="6" w:right="20"/>
              <w:jc w:val="center"/>
              <w:rPr>
                <w:b/>
                <w:sz w:val="20"/>
                <w:szCs w:val="20"/>
              </w:rPr>
            </w:pPr>
            <w:r w:rsidRPr="00BA72B0">
              <w:rPr>
                <w:b/>
                <w:color w:val="FFFFFF"/>
                <w:spacing w:val="15"/>
                <w:sz w:val="20"/>
                <w:szCs w:val="20"/>
              </w:rPr>
              <w:t>CONTRATACIÓN</w:t>
            </w:r>
          </w:p>
        </w:tc>
      </w:tr>
      <w:tr w:rsidR="002072F5" w:rsidRPr="00BA72B0" w14:paraId="603C8281" w14:textId="77777777" w:rsidTr="00BA72B0">
        <w:trPr>
          <w:trHeight w:val="414"/>
        </w:trPr>
        <w:tc>
          <w:tcPr>
            <w:tcW w:w="4078" w:type="dxa"/>
          </w:tcPr>
          <w:p w14:paraId="225DA6F8" w14:textId="77777777" w:rsidR="002072F5" w:rsidRPr="00BA72B0" w:rsidRDefault="002072F5" w:rsidP="002072F5">
            <w:pPr>
              <w:pStyle w:val="TableParagraph"/>
              <w:spacing w:line="275" w:lineRule="exact"/>
              <w:ind w:left="107"/>
              <w:rPr>
                <w:sz w:val="20"/>
                <w:szCs w:val="20"/>
              </w:rPr>
            </w:pPr>
            <w:r w:rsidRPr="00BA72B0">
              <w:rPr>
                <w:color w:val="767070"/>
                <w:spacing w:val="13"/>
                <w:sz w:val="20"/>
                <w:szCs w:val="20"/>
              </w:rPr>
              <w:t>Bienes</w:t>
            </w:r>
          </w:p>
        </w:tc>
        <w:tc>
          <w:tcPr>
            <w:tcW w:w="3834" w:type="dxa"/>
          </w:tcPr>
          <w:p w14:paraId="7DDB46EA" w14:textId="77777777" w:rsidR="002072F5" w:rsidRPr="00BA72B0" w:rsidRDefault="002072F5" w:rsidP="002072F5">
            <w:pPr>
              <w:pStyle w:val="TableParagraph"/>
              <w:spacing w:before="1"/>
              <w:ind w:left="26" w:right="19"/>
              <w:jc w:val="center"/>
              <w:rPr>
                <w:sz w:val="20"/>
                <w:szCs w:val="20"/>
              </w:rPr>
            </w:pPr>
            <w:r w:rsidRPr="00BA72B0">
              <w:rPr>
                <w:color w:val="767070"/>
                <w:spacing w:val="15"/>
                <w:sz w:val="20"/>
                <w:szCs w:val="20"/>
              </w:rPr>
              <w:t>RD$23,670,263.00</w:t>
            </w:r>
          </w:p>
        </w:tc>
      </w:tr>
      <w:tr w:rsidR="002072F5" w:rsidRPr="00BA72B0" w14:paraId="5BA41A77" w14:textId="77777777" w:rsidTr="00BA72B0">
        <w:trPr>
          <w:trHeight w:val="412"/>
        </w:trPr>
        <w:tc>
          <w:tcPr>
            <w:tcW w:w="4078" w:type="dxa"/>
          </w:tcPr>
          <w:p w14:paraId="0C6786AD" w14:textId="77777777" w:rsidR="002072F5" w:rsidRPr="00BA72B0" w:rsidRDefault="002072F5" w:rsidP="002072F5">
            <w:pPr>
              <w:pStyle w:val="TableParagraph"/>
              <w:spacing w:line="275" w:lineRule="exact"/>
              <w:ind w:left="107"/>
              <w:rPr>
                <w:sz w:val="20"/>
                <w:szCs w:val="20"/>
              </w:rPr>
            </w:pPr>
            <w:r w:rsidRPr="00BA72B0">
              <w:rPr>
                <w:color w:val="767070"/>
                <w:spacing w:val="13"/>
                <w:sz w:val="20"/>
                <w:szCs w:val="20"/>
              </w:rPr>
              <w:t>Obras</w:t>
            </w:r>
          </w:p>
        </w:tc>
        <w:tc>
          <w:tcPr>
            <w:tcW w:w="3834" w:type="dxa"/>
          </w:tcPr>
          <w:p w14:paraId="7AA65F54" w14:textId="77777777" w:rsidR="002072F5" w:rsidRPr="00BA72B0" w:rsidRDefault="002072F5" w:rsidP="002072F5">
            <w:pPr>
              <w:pStyle w:val="TableParagraph"/>
              <w:spacing w:line="275" w:lineRule="exact"/>
              <w:ind w:left="10" w:right="19"/>
              <w:jc w:val="center"/>
              <w:rPr>
                <w:sz w:val="20"/>
                <w:szCs w:val="20"/>
              </w:rPr>
            </w:pPr>
            <w:r w:rsidRPr="00BA72B0">
              <w:rPr>
                <w:color w:val="767070"/>
                <w:spacing w:val="7"/>
                <w:sz w:val="20"/>
                <w:szCs w:val="20"/>
              </w:rPr>
              <w:t>N/A</w:t>
            </w:r>
          </w:p>
        </w:tc>
      </w:tr>
      <w:tr w:rsidR="002072F5" w:rsidRPr="00BA72B0" w14:paraId="3663081D" w14:textId="77777777" w:rsidTr="00BA72B0">
        <w:trPr>
          <w:trHeight w:val="414"/>
        </w:trPr>
        <w:tc>
          <w:tcPr>
            <w:tcW w:w="4078" w:type="dxa"/>
          </w:tcPr>
          <w:p w14:paraId="4198384C" w14:textId="77777777" w:rsidR="002072F5" w:rsidRPr="00BA72B0" w:rsidRDefault="002072F5" w:rsidP="002072F5">
            <w:pPr>
              <w:pStyle w:val="TableParagraph"/>
              <w:spacing w:before="1"/>
              <w:ind w:left="107"/>
              <w:rPr>
                <w:sz w:val="20"/>
                <w:szCs w:val="20"/>
              </w:rPr>
            </w:pPr>
            <w:r w:rsidRPr="00BA72B0">
              <w:rPr>
                <w:color w:val="767070"/>
                <w:spacing w:val="14"/>
                <w:sz w:val="20"/>
                <w:szCs w:val="20"/>
              </w:rPr>
              <w:t>Servicios</w:t>
            </w:r>
          </w:p>
        </w:tc>
        <w:tc>
          <w:tcPr>
            <w:tcW w:w="3834" w:type="dxa"/>
          </w:tcPr>
          <w:p w14:paraId="07B49920" w14:textId="77777777" w:rsidR="002072F5" w:rsidRPr="00BA72B0" w:rsidRDefault="002072F5" w:rsidP="002072F5">
            <w:pPr>
              <w:pStyle w:val="TableParagraph"/>
              <w:spacing w:before="1"/>
              <w:ind w:left="26" w:right="19"/>
              <w:jc w:val="center"/>
              <w:rPr>
                <w:sz w:val="20"/>
                <w:szCs w:val="20"/>
              </w:rPr>
            </w:pPr>
            <w:r w:rsidRPr="00BA72B0">
              <w:rPr>
                <w:color w:val="767070"/>
                <w:spacing w:val="15"/>
                <w:sz w:val="20"/>
                <w:szCs w:val="20"/>
              </w:rPr>
              <w:t>RD $24,157,496.00</w:t>
            </w:r>
          </w:p>
        </w:tc>
      </w:tr>
      <w:tr w:rsidR="002072F5" w:rsidRPr="00BA72B0" w14:paraId="078CCFAB" w14:textId="77777777" w:rsidTr="00BA72B0">
        <w:trPr>
          <w:trHeight w:val="414"/>
        </w:trPr>
        <w:tc>
          <w:tcPr>
            <w:tcW w:w="4078" w:type="dxa"/>
          </w:tcPr>
          <w:p w14:paraId="103B0FD0" w14:textId="77777777" w:rsidR="002072F5" w:rsidRPr="00BA72B0" w:rsidRDefault="002072F5" w:rsidP="002072F5">
            <w:pPr>
              <w:pStyle w:val="TableParagraph"/>
              <w:spacing w:line="275" w:lineRule="exact"/>
              <w:ind w:left="107"/>
              <w:rPr>
                <w:sz w:val="20"/>
                <w:szCs w:val="20"/>
              </w:rPr>
            </w:pPr>
            <w:r w:rsidRPr="00BA72B0">
              <w:rPr>
                <w:color w:val="767070"/>
                <w:spacing w:val="17"/>
                <w:sz w:val="20"/>
                <w:szCs w:val="20"/>
              </w:rPr>
              <w:t>Servicios:</w:t>
            </w:r>
            <w:r w:rsidRPr="00BA72B0">
              <w:rPr>
                <w:color w:val="767070"/>
                <w:spacing w:val="40"/>
                <w:sz w:val="20"/>
                <w:szCs w:val="20"/>
              </w:rPr>
              <w:t xml:space="preserve"> </w:t>
            </w:r>
            <w:r w:rsidRPr="00BA72B0">
              <w:rPr>
                <w:color w:val="767070"/>
                <w:spacing w:val="15"/>
                <w:sz w:val="20"/>
                <w:szCs w:val="20"/>
              </w:rPr>
              <w:t>consultoría</w:t>
            </w:r>
          </w:p>
        </w:tc>
        <w:tc>
          <w:tcPr>
            <w:tcW w:w="3834" w:type="dxa"/>
          </w:tcPr>
          <w:p w14:paraId="44DA58C8" w14:textId="77777777" w:rsidR="002072F5" w:rsidRPr="00BA72B0" w:rsidRDefault="002072F5" w:rsidP="002072F5">
            <w:pPr>
              <w:pStyle w:val="TableParagraph"/>
              <w:spacing w:line="275" w:lineRule="exact"/>
              <w:ind w:left="10" w:right="19"/>
              <w:jc w:val="center"/>
              <w:rPr>
                <w:sz w:val="20"/>
                <w:szCs w:val="20"/>
              </w:rPr>
            </w:pPr>
            <w:r w:rsidRPr="00BA72B0">
              <w:rPr>
                <w:color w:val="767070"/>
                <w:spacing w:val="7"/>
                <w:sz w:val="20"/>
                <w:szCs w:val="20"/>
              </w:rPr>
              <w:t>N/A</w:t>
            </w:r>
          </w:p>
        </w:tc>
      </w:tr>
      <w:tr w:rsidR="002072F5" w:rsidRPr="00BA72B0" w14:paraId="3078C5EB" w14:textId="77777777" w:rsidTr="00BA72B0">
        <w:trPr>
          <w:trHeight w:val="828"/>
        </w:trPr>
        <w:tc>
          <w:tcPr>
            <w:tcW w:w="4078" w:type="dxa"/>
          </w:tcPr>
          <w:p w14:paraId="400792E3" w14:textId="77777777" w:rsidR="002072F5" w:rsidRPr="00BA72B0" w:rsidRDefault="002072F5" w:rsidP="002072F5">
            <w:pPr>
              <w:pStyle w:val="TableParagraph"/>
              <w:spacing w:line="275" w:lineRule="exact"/>
              <w:ind w:left="107"/>
              <w:rPr>
                <w:sz w:val="20"/>
                <w:szCs w:val="20"/>
              </w:rPr>
            </w:pPr>
            <w:r w:rsidRPr="00BA72B0">
              <w:rPr>
                <w:color w:val="767070"/>
                <w:spacing w:val="17"/>
                <w:sz w:val="20"/>
                <w:szCs w:val="20"/>
              </w:rPr>
              <w:t>Servicios:</w:t>
            </w:r>
            <w:r w:rsidRPr="00BA72B0">
              <w:rPr>
                <w:color w:val="767070"/>
                <w:spacing w:val="43"/>
                <w:sz w:val="20"/>
                <w:szCs w:val="20"/>
              </w:rPr>
              <w:t xml:space="preserve"> </w:t>
            </w:r>
            <w:r w:rsidRPr="00BA72B0">
              <w:rPr>
                <w:color w:val="767070"/>
                <w:spacing w:val="17"/>
                <w:sz w:val="20"/>
                <w:szCs w:val="20"/>
              </w:rPr>
              <w:t>consultoría</w:t>
            </w:r>
            <w:r w:rsidRPr="00BA72B0">
              <w:rPr>
                <w:color w:val="767070"/>
                <w:spacing w:val="38"/>
                <w:sz w:val="20"/>
                <w:szCs w:val="20"/>
              </w:rPr>
              <w:t xml:space="preserve"> </w:t>
            </w:r>
            <w:r w:rsidRPr="00BA72B0">
              <w:rPr>
                <w:color w:val="767070"/>
                <w:spacing w:val="16"/>
                <w:sz w:val="20"/>
                <w:szCs w:val="20"/>
              </w:rPr>
              <w:t>basada</w:t>
            </w:r>
            <w:r w:rsidRPr="00BA72B0">
              <w:rPr>
                <w:color w:val="767070"/>
                <w:spacing w:val="43"/>
                <w:sz w:val="20"/>
                <w:szCs w:val="20"/>
              </w:rPr>
              <w:t xml:space="preserve"> </w:t>
            </w:r>
            <w:r w:rsidRPr="00BA72B0">
              <w:rPr>
                <w:color w:val="767070"/>
                <w:spacing w:val="5"/>
                <w:sz w:val="20"/>
                <w:szCs w:val="20"/>
              </w:rPr>
              <w:t>en</w:t>
            </w:r>
          </w:p>
          <w:p w14:paraId="7D9AD80A" w14:textId="77777777" w:rsidR="002072F5" w:rsidRPr="00BA72B0" w:rsidRDefault="002072F5" w:rsidP="002072F5">
            <w:pPr>
              <w:pStyle w:val="TableParagraph"/>
              <w:spacing w:before="137"/>
              <w:ind w:left="107"/>
              <w:rPr>
                <w:sz w:val="20"/>
                <w:szCs w:val="20"/>
              </w:rPr>
            </w:pPr>
            <w:r w:rsidRPr="00BA72B0">
              <w:rPr>
                <w:color w:val="767070"/>
                <w:spacing w:val="9"/>
                <w:sz w:val="20"/>
                <w:szCs w:val="20"/>
              </w:rPr>
              <w:t>la</w:t>
            </w:r>
            <w:r w:rsidRPr="00BA72B0">
              <w:rPr>
                <w:color w:val="767070"/>
                <w:spacing w:val="40"/>
                <w:sz w:val="20"/>
                <w:szCs w:val="20"/>
              </w:rPr>
              <w:t xml:space="preserve"> </w:t>
            </w:r>
            <w:r w:rsidRPr="00BA72B0">
              <w:rPr>
                <w:color w:val="767070"/>
                <w:spacing w:val="16"/>
                <w:sz w:val="20"/>
                <w:szCs w:val="20"/>
              </w:rPr>
              <w:t>calidad</w:t>
            </w:r>
            <w:r w:rsidRPr="00BA72B0">
              <w:rPr>
                <w:color w:val="767070"/>
                <w:spacing w:val="42"/>
                <w:sz w:val="20"/>
                <w:szCs w:val="20"/>
              </w:rPr>
              <w:t xml:space="preserve"> </w:t>
            </w:r>
            <w:r w:rsidRPr="00BA72B0">
              <w:rPr>
                <w:color w:val="767070"/>
                <w:spacing w:val="10"/>
                <w:sz w:val="20"/>
                <w:szCs w:val="20"/>
              </w:rPr>
              <w:t>de</w:t>
            </w:r>
            <w:r w:rsidRPr="00BA72B0">
              <w:rPr>
                <w:color w:val="767070"/>
                <w:spacing w:val="37"/>
                <w:sz w:val="20"/>
                <w:szCs w:val="20"/>
              </w:rPr>
              <w:t xml:space="preserve"> </w:t>
            </w:r>
            <w:r w:rsidRPr="00BA72B0">
              <w:rPr>
                <w:color w:val="767070"/>
                <w:spacing w:val="13"/>
                <w:sz w:val="20"/>
                <w:szCs w:val="20"/>
              </w:rPr>
              <w:t>los</w:t>
            </w:r>
            <w:r w:rsidRPr="00BA72B0">
              <w:rPr>
                <w:color w:val="767070"/>
                <w:spacing w:val="40"/>
                <w:sz w:val="20"/>
                <w:szCs w:val="20"/>
              </w:rPr>
              <w:t xml:space="preserve"> </w:t>
            </w:r>
            <w:r w:rsidRPr="00BA72B0">
              <w:rPr>
                <w:color w:val="767070"/>
                <w:spacing w:val="15"/>
                <w:sz w:val="20"/>
                <w:szCs w:val="20"/>
              </w:rPr>
              <w:t>servicios</w:t>
            </w:r>
          </w:p>
        </w:tc>
        <w:tc>
          <w:tcPr>
            <w:tcW w:w="3834" w:type="dxa"/>
          </w:tcPr>
          <w:p w14:paraId="385F0613" w14:textId="77777777" w:rsidR="002072F5" w:rsidRPr="00BA72B0" w:rsidRDefault="002072F5" w:rsidP="002072F5">
            <w:pPr>
              <w:pStyle w:val="TableParagraph"/>
              <w:spacing w:before="205"/>
              <w:ind w:left="10" w:right="19"/>
              <w:jc w:val="center"/>
              <w:rPr>
                <w:sz w:val="20"/>
                <w:szCs w:val="20"/>
              </w:rPr>
            </w:pPr>
            <w:r w:rsidRPr="00BA72B0">
              <w:rPr>
                <w:color w:val="767070"/>
                <w:spacing w:val="7"/>
                <w:sz w:val="20"/>
                <w:szCs w:val="20"/>
              </w:rPr>
              <w:t>N/A</w:t>
            </w:r>
          </w:p>
        </w:tc>
      </w:tr>
      <w:tr w:rsidR="002072F5" w:rsidRPr="000936C0" w14:paraId="4FF33332" w14:textId="77777777" w:rsidTr="00BA72B0">
        <w:trPr>
          <w:trHeight w:val="414"/>
        </w:trPr>
        <w:tc>
          <w:tcPr>
            <w:tcW w:w="7912" w:type="dxa"/>
            <w:gridSpan w:val="2"/>
            <w:shd w:val="clear" w:color="auto" w:fill="001F5F"/>
          </w:tcPr>
          <w:p w14:paraId="244D98FF" w14:textId="77777777" w:rsidR="002072F5" w:rsidRPr="00BA72B0" w:rsidRDefault="002072F5" w:rsidP="002072F5">
            <w:pPr>
              <w:pStyle w:val="TableParagraph"/>
              <w:spacing w:line="275" w:lineRule="exact"/>
              <w:ind w:left="172"/>
              <w:rPr>
                <w:b/>
                <w:sz w:val="20"/>
                <w:szCs w:val="20"/>
              </w:rPr>
            </w:pPr>
            <w:r w:rsidRPr="00BA72B0">
              <w:rPr>
                <w:b/>
                <w:color w:val="FFFFFF"/>
                <w:spacing w:val="16"/>
                <w:sz w:val="20"/>
                <w:szCs w:val="20"/>
              </w:rPr>
              <w:t>MONTOS</w:t>
            </w:r>
            <w:r w:rsidRPr="00BA72B0">
              <w:rPr>
                <w:b/>
                <w:color w:val="FFFFFF"/>
                <w:spacing w:val="36"/>
                <w:sz w:val="20"/>
                <w:szCs w:val="20"/>
              </w:rPr>
              <w:t xml:space="preserve"> </w:t>
            </w:r>
            <w:r w:rsidRPr="00BA72B0">
              <w:rPr>
                <w:b/>
                <w:color w:val="FFFFFF"/>
                <w:spacing w:val="17"/>
                <w:sz w:val="20"/>
                <w:szCs w:val="20"/>
              </w:rPr>
              <w:t>ESTIMADOS</w:t>
            </w:r>
            <w:r w:rsidRPr="00BA72B0">
              <w:rPr>
                <w:b/>
                <w:color w:val="FFFFFF"/>
                <w:spacing w:val="39"/>
                <w:sz w:val="20"/>
                <w:szCs w:val="20"/>
              </w:rPr>
              <w:t xml:space="preserve"> </w:t>
            </w:r>
            <w:r w:rsidRPr="00BA72B0">
              <w:rPr>
                <w:b/>
                <w:color w:val="FFFFFF"/>
                <w:spacing w:val="15"/>
                <w:sz w:val="20"/>
                <w:szCs w:val="20"/>
              </w:rPr>
              <w:t>SEGÚN</w:t>
            </w:r>
            <w:r w:rsidRPr="00BA72B0">
              <w:rPr>
                <w:b/>
                <w:color w:val="FFFFFF"/>
                <w:spacing w:val="40"/>
                <w:sz w:val="20"/>
                <w:szCs w:val="20"/>
              </w:rPr>
              <w:t xml:space="preserve"> </w:t>
            </w:r>
            <w:r w:rsidRPr="00BA72B0">
              <w:rPr>
                <w:b/>
                <w:color w:val="FFFFFF"/>
                <w:spacing w:val="18"/>
                <w:sz w:val="20"/>
                <w:szCs w:val="20"/>
              </w:rPr>
              <w:t>CLASIFICACIÓN</w:t>
            </w:r>
            <w:r w:rsidRPr="00BA72B0">
              <w:rPr>
                <w:b/>
                <w:color w:val="FFFFFF"/>
                <w:spacing w:val="40"/>
                <w:sz w:val="20"/>
                <w:szCs w:val="20"/>
              </w:rPr>
              <w:t xml:space="preserve"> </w:t>
            </w:r>
            <w:r w:rsidRPr="00BA72B0">
              <w:rPr>
                <w:b/>
                <w:color w:val="FFFFFF"/>
                <w:spacing w:val="14"/>
                <w:sz w:val="20"/>
                <w:szCs w:val="20"/>
              </w:rPr>
              <w:t>MIPYMES</w:t>
            </w:r>
          </w:p>
        </w:tc>
      </w:tr>
      <w:tr w:rsidR="002072F5" w:rsidRPr="00BA72B0" w14:paraId="4271FC66" w14:textId="77777777" w:rsidTr="00BA72B0">
        <w:trPr>
          <w:trHeight w:val="412"/>
        </w:trPr>
        <w:tc>
          <w:tcPr>
            <w:tcW w:w="4078" w:type="dxa"/>
          </w:tcPr>
          <w:p w14:paraId="3FFFE6B9" w14:textId="77777777" w:rsidR="002072F5" w:rsidRPr="00BA72B0" w:rsidRDefault="002072F5" w:rsidP="002072F5">
            <w:pPr>
              <w:pStyle w:val="TableParagraph"/>
              <w:spacing w:line="275" w:lineRule="exact"/>
              <w:ind w:left="107"/>
              <w:rPr>
                <w:sz w:val="20"/>
                <w:szCs w:val="20"/>
              </w:rPr>
            </w:pPr>
            <w:r w:rsidRPr="00BA72B0">
              <w:rPr>
                <w:color w:val="767070"/>
                <w:spacing w:val="14"/>
                <w:sz w:val="20"/>
                <w:szCs w:val="20"/>
              </w:rPr>
              <w:t>MiPymes</w:t>
            </w:r>
          </w:p>
        </w:tc>
        <w:tc>
          <w:tcPr>
            <w:tcW w:w="3834" w:type="dxa"/>
          </w:tcPr>
          <w:p w14:paraId="57430DB7" w14:textId="77777777" w:rsidR="002072F5" w:rsidRPr="00BA72B0" w:rsidRDefault="002072F5" w:rsidP="002072F5">
            <w:pPr>
              <w:pStyle w:val="TableParagraph"/>
              <w:spacing w:line="275" w:lineRule="exact"/>
              <w:ind w:left="10" w:right="19"/>
              <w:jc w:val="center"/>
              <w:rPr>
                <w:color w:val="767070"/>
                <w:spacing w:val="15"/>
                <w:sz w:val="20"/>
                <w:szCs w:val="20"/>
              </w:rPr>
            </w:pPr>
            <w:r w:rsidRPr="00BA72B0">
              <w:rPr>
                <w:color w:val="767070"/>
                <w:spacing w:val="15"/>
                <w:sz w:val="20"/>
                <w:szCs w:val="20"/>
              </w:rPr>
              <w:t>RD$15,673,464</w:t>
            </w:r>
          </w:p>
        </w:tc>
      </w:tr>
      <w:tr w:rsidR="002072F5" w:rsidRPr="00BA72B0" w14:paraId="79D5104A" w14:textId="77777777" w:rsidTr="00BA72B0">
        <w:trPr>
          <w:trHeight w:val="414"/>
        </w:trPr>
        <w:tc>
          <w:tcPr>
            <w:tcW w:w="4078" w:type="dxa"/>
          </w:tcPr>
          <w:p w14:paraId="29ECA382" w14:textId="77777777" w:rsidR="002072F5" w:rsidRPr="00BA72B0" w:rsidRDefault="002072F5" w:rsidP="002072F5">
            <w:pPr>
              <w:pStyle w:val="TableParagraph"/>
              <w:spacing w:line="275" w:lineRule="exact"/>
              <w:ind w:left="107"/>
              <w:rPr>
                <w:sz w:val="20"/>
                <w:szCs w:val="20"/>
              </w:rPr>
            </w:pPr>
            <w:r w:rsidRPr="00BA72B0">
              <w:rPr>
                <w:color w:val="767070"/>
                <w:spacing w:val="16"/>
                <w:sz w:val="20"/>
                <w:szCs w:val="20"/>
              </w:rPr>
              <w:t>MiPymes</w:t>
            </w:r>
            <w:r w:rsidRPr="00BA72B0">
              <w:rPr>
                <w:color w:val="767070"/>
                <w:spacing w:val="39"/>
                <w:sz w:val="20"/>
                <w:szCs w:val="20"/>
              </w:rPr>
              <w:t xml:space="preserve"> </w:t>
            </w:r>
            <w:r w:rsidRPr="00BA72B0">
              <w:rPr>
                <w:color w:val="767070"/>
                <w:spacing w:val="11"/>
                <w:sz w:val="20"/>
                <w:szCs w:val="20"/>
              </w:rPr>
              <w:t>mujer</w:t>
            </w:r>
          </w:p>
        </w:tc>
        <w:tc>
          <w:tcPr>
            <w:tcW w:w="3834" w:type="dxa"/>
          </w:tcPr>
          <w:p w14:paraId="76496C85" w14:textId="77777777" w:rsidR="002072F5" w:rsidRPr="00BA72B0" w:rsidRDefault="002072F5" w:rsidP="002072F5">
            <w:pPr>
              <w:pStyle w:val="TableParagraph"/>
              <w:spacing w:line="275" w:lineRule="exact"/>
              <w:ind w:left="7" w:right="19"/>
              <w:jc w:val="center"/>
              <w:rPr>
                <w:color w:val="767070"/>
                <w:spacing w:val="15"/>
                <w:sz w:val="20"/>
                <w:szCs w:val="20"/>
              </w:rPr>
            </w:pPr>
            <w:r w:rsidRPr="00BA72B0">
              <w:rPr>
                <w:color w:val="767070"/>
                <w:spacing w:val="15"/>
                <w:sz w:val="20"/>
                <w:szCs w:val="20"/>
              </w:rPr>
              <w:t>RD$12,666,617.00</w:t>
            </w:r>
          </w:p>
        </w:tc>
      </w:tr>
      <w:tr w:rsidR="002072F5" w:rsidRPr="00BA72B0" w14:paraId="74219B10" w14:textId="77777777" w:rsidTr="00BA72B0">
        <w:trPr>
          <w:trHeight w:val="414"/>
        </w:trPr>
        <w:tc>
          <w:tcPr>
            <w:tcW w:w="4078" w:type="dxa"/>
          </w:tcPr>
          <w:p w14:paraId="7DDEEF53" w14:textId="77777777" w:rsidR="002072F5" w:rsidRPr="00BA72B0" w:rsidRDefault="002072F5" w:rsidP="002072F5">
            <w:pPr>
              <w:pStyle w:val="TableParagraph"/>
              <w:spacing w:line="275" w:lineRule="exact"/>
              <w:ind w:left="107"/>
              <w:rPr>
                <w:sz w:val="20"/>
                <w:szCs w:val="20"/>
              </w:rPr>
            </w:pPr>
            <w:r w:rsidRPr="00BA72B0">
              <w:rPr>
                <w:color w:val="767070"/>
                <w:sz w:val="20"/>
                <w:szCs w:val="20"/>
              </w:rPr>
              <w:t>No</w:t>
            </w:r>
            <w:r w:rsidRPr="00BA72B0">
              <w:rPr>
                <w:color w:val="767070"/>
                <w:spacing w:val="55"/>
                <w:sz w:val="20"/>
                <w:szCs w:val="20"/>
              </w:rPr>
              <w:t xml:space="preserve"> </w:t>
            </w:r>
            <w:r w:rsidRPr="00BA72B0">
              <w:rPr>
                <w:color w:val="767070"/>
                <w:spacing w:val="14"/>
                <w:sz w:val="20"/>
                <w:szCs w:val="20"/>
              </w:rPr>
              <w:t>MiPymes</w:t>
            </w:r>
          </w:p>
        </w:tc>
        <w:tc>
          <w:tcPr>
            <w:tcW w:w="3834" w:type="dxa"/>
          </w:tcPr>
          <w:p w14:paraId="6C903A83" w14:textId="77777777" w:rsidR="002072F5" w:rsidRPr="00BA72B0" w:rsidRDefault="002072F5" w:rsidP="002072F5">
            <w:pPr>
              <w:pStyle w:val="TableParagraph"/>
              <w:spacing w:line="275" w:lineRule="exact"/>
              <w:ind w:left="7" w:right="22"/>
              <w:jc w:val="center"/>
              <w:rPr>
                <w:color w:val="767070"/>
                <w:spacing w:val="15"/>
                <w:sz w:val="20"/>
                <w:szCs w:val="20"/>
              </w:rPr>
            </w:pPr>
            <w:r w:rsidRPr="00BA72B0">
              <w:rPr>
                <w:color w:val="767070"/>
                <w:spacing w:val="15"/>
                <w:sz w:val="20"/>
                <w:szCs w:val="20"/>
              </w:rPr>
              <w:t>RD$19,487,678</w:t>
            </w:r>
          </w:p>
        </w:tc>
      </w:tr>
      <w:tr w:rsidR="002072F5" w:rsidRPr="000936C0" w14:paraId="5ABAF649" w14:textId="77777777" w:rsidTr="00BA72B0">
        <w:trPr>
          <w:trHeight w:val="412"/>
        </w:trPr>
        <w:tc>
          <w:tcPr>
            <w:tcW w:w="7912" w:type="dxa"/>
            <w:gridSpan w:val="2"/>
            <w:shd w:val="clear" w:color="auto" w:fill="001F5F"/>
          </w:tcPr>
          <w:p w14:paraId="4846AF2C" w14:textId="77777777" w:rsidR="002072F5" w:rsidRPr="00BA72B0" w:rsidRDefault="002072F5" w:rsidP="002072F5">
            <w:pPr>
              <w:pStyle w:val="TableParagraph"/>
              <w:spacing w:line="275" w:lineRule="exact"/>
              <w:ind w:left="184"/>
              <w:rPr>
                <w:b/>
                <w:sz w:val="20"/>
                <w:szCs w:val="20"/>
              </w:rPr>
            </w:pPr>
            <w:r w:rsidRPr="00BA72B0">
              <w:rPr>
                <w:b/>
                <w:color w:val="FFFFFF"/>
                <w:spacing w:val="16"/>
                <w:sz w:val="20"/>
                <w:szCs w:val="20"/>
              </w:rPr>
              <w:t>MONTOS</w:t>
            </w:r>
            <w:r w:rsidRPr="00BA72B0">
              <w:rPr>
                <w:b/>
                <w:color w:val="FFFFFF"/>
                <w:spacing w:val="42"/>
                <w:sz w:val="20"/>
                <w:szCs w:val="20"/>
              </w:rPr>
              <w:t xml:space="preserve"> </w:t>
            </w:r>
            <w:r w:rsidRPr="00BA72B0">
              <w:rPr>
                <w:b/>
                <w:color w:val="FFFFFF"/>
                <w:spacing w:val="17"/>
                <w:sz w:val="20"/>
                <w:szCs w:val="20"/>
              </w:rPr>
              <w:t>ESTIMADOS</w:t>
            </w:r>
            <w:r w:rsidRPr="00BA72B0">
              <w:rPr>
                <w:b/>
                <w:color w:val="FFFFFF"/>
                <w:spacing w:val="42"/>
                <w:sz w:val="20"/>
                <w:szCs w:val="20"/>
              </w:rPr>
              <w:t xml:space="preserve"> </w:t>
            </w:r>
            <w:r w:rsidRPr="00BA72B0">
              <w:rPr>
                <w:b/>
                <w:color w:val="FFFFFF"/>
                <w:spacing w:val="15"/>
                <w:sz w:val="20"/>
                <w:szCs w:val="20"/>
              </w:rPr>
              <w:t>SEGÚN</w:t>
            </w:r>
            <w:r w:rsidRPr="00BA72B0">
              <w:rPr>
                <w:b/>
                <w:color w:val="FFFFFF"/>
                <w:spacing w:val="43"/>
                <w:sz w:val="20"/>
                <w:szCs w:val="20"/>
              </w:rPr>
              <w:t xml:space="preserve"> </w:t>
            </w:r>
            <w:r w:rsidRPr="00BA72B0">
              <w:rPr>
                <w:b/>
                <w:color w:val="FFFFFF"/>
                <w:spacing w:val="14"/>
                <w:sz w:val="20"/>
                <w:szCs w:val="20"/>
              </w:rPr>
              <w:t>TIPO</w:t>
            </w:r>
            <w:r w:rsidRPr="00BA72B0">
              <w:rPr>
                <w:b/>
                <w:color w:val="FFFFFF"/>
                <w:spacing w:val="47"/>
                <w:sz w:val="20"/>
                <w:szCs w:val="20"/>
              </w:rPr>
              <w:t xml:space="preserve"> </w:t>
            </w:r>
            <w:r w:rsidRPr="00BA72B0">
              <w:rPr>
                <w:b/>
                <w:color w:val="FFFFFF"/>
                <w:sz w:val="20"/>
                <w:szCs w:val="20"/>
              </w:rPr>
              <w:t>DE</w:t>
            </w:r>
            <w:r w:rsidRPr="00BA72B0">
              <w:rPr>
                <w:b/>
                <w:color w:val="FFFFFF"/>
                <w:spacing w:val="46"/>
                <w:sz w:val="20"/>
                <w:szCs w:val="20"/>
              </w:rPr>
              <w:t xml:space="preserve"> </w:t>
            </w:r>
            <w:r w:rsidRPr="00BA72B0">
              <w:rPr>
                <w:b/>
                <w:color w:val="FFFFFF"/>
                <w:spacing w:val="15"/>
                <w:sz w:val="20"/>
                <w:szCs w:val="20"/>
              </w:rPr>
              <w:t>PROCEDIMIENTO</w:t>
            </w:r>
          </w:p>
        </w:tc>
      </w:tr>
      <w:tr w:rsidR="002072F5" w:rsidRPr="00BA72B0" w14:paraId="15AD6463" w14:textId="77777777" w:rsidTr="00BA72B0">
        <w:trPr>
          <w:trHeight w:val="414"/>
        </w:trPr>
        <w:tc>
          <w:tcPr>
            <w:tcW w:w="4078" w:type="dxa"/>
          </w:tcPr>
          <w:p w14:paraId="51873D6A" w14:textId="77777777" w:rsidR="002072F5" w:rsidRPr="00BA72B0" w:rsidRDefault="002072F5" w:rsidP="002072F5">
            <w:pPr>
              <w:pStyle w:val="TableParagraph"/>
              <w:spacing w:line="275" w:lineRule="exact"/>
              <w:ind w:left="107"/>
              <w:rPr>
                <w:sz w:val="20"/>
                <w:szCs w:val="20"/>
              </w:rPr>
            </w:pPr>
            <w:r w:rsidRPr="00BA72B0">
              <w:rPr>
                <w:color w:val="767070"/>
                <w:spacing w:val="16"/>
                <w:sz w:val="20"/>
                <w:szCs w:val="20"/>
              </w:rPr>
              <w:t>Compras</w:t>
            </w:r>
            <w:r w:rsidRPr="00BA72B0">
              <w:rPr>
                <w:color w:val="767070"/>
                <w:spacing w:val="38"/>
                <w:sz w:val="20"/>
                <w:szCs w:val="20"/>
              </w:rPr>
              <w:t xml:space="preserve"> </w:t>
            </w:r>
            <w:r w:rsidRPr="00BA72B0">
              <w:rPr>
                <w:color w:val="767070"/>
                <w:spacing w:val="13"/>
                <w:sz w:val="20"/>
                <w:szCs w:val="20"/>
              </w:rPr>
              <w:t>por</w:t>
            </w:r>
            <w:r w:rsidRPr="00BA72B0">
              <w:rPr>
                <w:color w:val="767070"/>
                <w:spacing w:val="42"/>
                <w:sz w:val="20"/>
                <w:szCs w:val="20"/>
              </w:rPr>
              <w:t xml:space="preserve"> </w:t>
            </w:r>
            <w:r w:rsidRPr="00BA72B0">
              <w:rPr>
                <w:color w:val="767070"/>
                <w:spacing w:val="16"/>
                <w:sz w:val="20"/>
                <w:szCs w:val="20"/>
              </w:rPr>
              <w:t>debajo</w:t>
            </w:r>
            <w:r w:rsidRPr="00BA72B0">
              <w:rPr>
                <w:color w:val="767070"/>
                <w:spacing w:val="40"/>
                <w:sz w:val="20"/>
                <w:szCs w:val="20"/>
              </w:rPr>
              <w:t xml:space="preserve"> </w:t>
            </w:r>
            <w:r w:rsidRPr="00BA72B0">
              <w:rPr>
                <w:color w:val="767070"/>
                <w:spacing w:val="12"/>
                <w:sz w:val="20"/>
                <w:szCs w:val="20"/>
              </w:rPr>
              <w:t>del</w:t>
            </w:r>
            <w:r w:rsidRPr="00BA72B0">
              <w:rPr>
                <w:color w:val="767070"/>
                <w:spacing w:val="40"/>
                <w:sz w:val="20"/>
                <w:szCs w:val="20"/>
              </w:rPr>
              <w:t xml:space="preserve"> </w:t>
            </w:r>
            <w:r w:rsidRPr="00BA72B0">
              <w:rPr>
                <w:color w:val="767070"/>
                <w:spacing w:val="14"/>
                <w:sz w:val="20"/>
                <w:szCs w:val="20"/>
              </w:rPr>
              <w:t>umbral</w:t>
            </w:r>
          </w:p>
        </w:tc>
        <w:tc>
          <w:tcPr>
            <w:tcW w:w="3834" w:type="dxa"/>
          </w:tcPr>
          <w:p w14:paraId="4C4BDEC1" w14:textId="77777777" w:rsidR="002072F5" w:rsidRPr="00BA72B0" w:rsidRDefault="002072F5" w:rsidP="002072F5">
            <w:pPr>
              <w:pStyle w:val="TableParagraph"/>
              <w:spacing w:line="275" w:lineRule="exact"/>
              <w:ind w:left="10" w:right="19"/>
              <w:jc w:val="center"/>
              <w:rPr>
                <w:color w:val="767070"/>
                <w:spacing w:val="15"/>
                <w:sz w:val="20"/>
                <w:szCs w:val="20"/>
              </w:rPr>
            </w:pPr>
            <w:r w:rsidRPr="00BA72B0">
              <w:rPr>
                <w:color w:val="767070"/>
                <w:spacing w:val="15"/>
                <w:sz w:val="20"/>
                <w:szCs w:val="20"/>
              </w:rPr>
              <w:t>RD$6,206,412.00</w:t>
            </w:r>
          </w:p>
        </w:tc>
      </w:tr>
      <w:tr w:rsidR="002072F5" w:rsidRPr="00BA72B0" w14:paraId="5BE752E3" w14:textId="77777777" w:rsidTr="00BA72B0">
        <w:trPr>
          <w:trHeight w:val="412"/>
        </w:trPr>
        <w:tc>
          <w:tcPr>
            <w:tcW w:w="4078" w:type="dxa"/>
          </w:tcPr>
          <w:p w14:paraId="37F0EE60" w14:textId="77777777" w:rsidR="002072F5" w:rsidRPr="00BA72B0" w:rsidRDefault="002072F5" w:rsidP="002072F5">
            <w:pPr>
              <w:pStyle w:val="TableParagraph"/>
              <w:spacing w:line="275" w:lineRule="exact"/>
              <w:ind w:left="107"/>
              <w:rPr>
                <w:sz w:val="20"/>
                <w:szCs w:val="20"/>
              </w:rPr>
            </w:pPr>
            <w:r w:rsidRPr="00BA72B0">
              <w:rPr>
                <w:color w:val="767070"/>
                <w:spacing w:val="15"/>
                <w:sz w:val="20"/>
                <w:szCs w:val="20"/>
              </w:rPr>
              <w:t>Compra</w:t>
            </w:r>
            <w:r w:rsidRPr="00BA72B0">
              <w:rPr>
                <w:color w:val="767070"/>
                <w:spacing w:val="43"/>
                <w:sz w:val="20"/>
                <w:szCs w:val="20"/>
              </w:rPr>
              <w:t xml:space="preserve"> </w:t>
            </w:r>
            <w:r w:rsidRPr="00BA72B0">
              <w:rPr>
                <w:color w:val="767070"/>
                <w:spacing w:val="13"/>
                <w:sz w:val="20"/>
                <w:szCs w:val="20"/>
              </w:rPr>
              <w:t>menor</w:t>
            </w:r>
          </w:p>
        </w:tc>
        <w:tc>
          <w:tcPr>
            <w:tcW w:w="3834" w:type="dxa"/>
          </w:tcPr>
          <w:p w14:paraId="30F5AC7F" w14:textId="77777777" w:rsidR="002072F5" w:rsidRPr="00BA72B0" w:rsidRDefault="002072F5" w:rsidP="002072F5">
            <w:pPr>
              <w:pStyle w:val="TableParagraph"/>
              <w:spacing w:line="275" w:lineRule="exact"/>
              <w:ind w:left="10" w:right="19"/>
              <w:jc w:val="center"/>
              <w:rPr>
                <w:color w:val="767070"/>
                <w:spacing w:val="15"/>
                <w:sz w:val="20"/>
                <w:szCs w:val="20"/>
              </w:rPr>
            </w:pPr>
            <w:r w:rsidRPr="00BA72B0">
              <w:rPr>
                <w:color w:val="767070"/>
                <w:spacing w:val="15"/>
                <w:sz w:val="20"/>
                <w:szCs w:val="20"/>
              </w:rPr>
              <w:t>RD$34,214,359.00</w:t>
            </w:r>
          </w:p>
        </w:tc>
      </w:tr>
      <w:tr w:rsidR="002072F5" w:rsidRPr="00BA72B0" w14:paraId="280D037A" w14:textId="77777777" w:rsidTr="00BA72B0">
        <w:trPr>
          <w:trHeight w:val="414"/>
        </w:trPr>
        <w:tc>
          <w:tcPr>
            <w:tcW w:w="4078" w:type="dxa"/>
          </w:tcPr>
          <w:p w14:paraId="5463A4A2" w14:textId="77777777" w:rsidR="002072F5" w:rsidRPr="00BA72B0" w:rsidRDefault="002072F5" w:rsidP="002072F5">
            <w:pPr>
              <w:pStyle w:val="TableParagraph"/>
              <w:spacing w:before="1"/>
              <w:ind w:left="107"/>
              <w:rPr>
                <w:sz w:val="20"/>
                <w:szCs w:val="20"/>
              </w:rPr>
            </w:pPr>
            <w:r w:rsidRPr="00BA72B0">
              <w:rPr>
                <w:color w:val="767070"/>
                <w:spacing w:val="17"/>
                <w:sz w:val="20"/>
                <w:szCs w:val="20"/>
              </w:rPr>
              <w:t>Comparación</w:t>
            </w:r>
            <w:r w:rsidRPr="00BA72B0">
              <w:rPr>
                <w:color w:val="767070"/>
                <w:spacing w:val="42"/>
                <w:sz w:val="20"/>
                <w:szCs w:val="20"/>
              </w:rPr>
              <w:t xml:space="preserve"> </w:t>
            </w:r>
            <w:r w:rsidRPr="00BA72B0">
              <w:rPr>
                <w:color w:val="767070"/>
                <w:spacing w:val="10"/>
                <w:sz w:val="20"/>
                <w:szCs w:val="20"/>
              </w:rPr>
              <w:t>de</w:t>
            </w:r>
            <w:r w:rsidRPr="00BA72B0">
              <w:rPr>
                <w:color w:val="767070"/>
                <w:spacing w:val="41"/>
                <w:sz w:val="20"/>
                <w:szCs w:val="20"/>
              </w:rPr>
              <w:t xml:space="preserve"> </w:t>
            </w:r>
            <w:r w:rsidRPr="00BA72B0">
              <w:rPr>
                <w:color w:val="767070"/>
                <w:spacing w:val="14"/>
                <w:sz w:val="20"/>
                <w:szCs w:val="20"/>
              </w:rPr>
              <w:t>precios</w:t>
            </w:r>
          </w:p>
        </w:tc>
        <w:tc>
          <w:tcPr>
            <w:tcW w:w="3834" w:type="dxa"/>
          </w:tcPr>
          <w:p w14:paraId="0DAFB059" w14:textId="77777777" w:rsidR="002072F5" w:rsidRPr="00BA72B0" w:rsidRDefault="002072F5" w:rsidP="002072F5">
            <w:pPr>
              <w:pStyle w:val="TableParagraph"/>
              <w:spacing w:line="275" w:lineRule="exact"/>
              <w:ind w:left="10" w:right="19"/>
              <w:jc w:val="center"/>
              <w:rPr>
                <w:color w:val="767070"/>
                <w:spacing w:val="15"/>
                <w:sz w:val="20"/>
                <w:szCs w:val="20"/>
              </w:rPr>
            </w:pPr>
            <w:r w:rsidRPr="00BA72B0">
              <w:rPr>
                <w:color w:val="767070"/>
                <w:spacing w:val="15"/>
                <w:sz w:val="20"/>
                <w:szCs w:val="20"/>
              </w:rPr>
              <w:t>RD$7,406,988.00</w:t>
            </w:r>
          </w:p>
        </w:tc>
      </w:tr>
    </w:tbl>
    <w:p w14:paraId="691B6873" w14:textId="77777777" w:rsidR="00BA72B0" w:rsidRPr="00BA72B0" w:rsidRDefault="00BA72B0" w:rsidP="00BA72B0">
      <w:pPr>
        <w:spacing w:before="26"/>
        <w:ind w:left="720"/>
        <w:rPr>
          <w:color w:val="4B4646"/>
          <w:spacing w:val="10"/>
          <w:sz w:val="16"/>
          <w:lang w:val="es-ES"/>
        </w:rPr>
      </w:pPr>
      <w:r w:rsidRPr="00BA72B0">
        <w:rPr>
          <w:color w:val="4B4646"/>
          <w:spacing w:val="10"/>
          <w:sz w:val="16"/>
          <w:lang w:val="es-ES"/>
        </w:rPr>
        <w:t>**Teniendo una proyección en lo que resta del año de compras por un valor de RD$34,684,258**</w:t>
      </w:r>
    </w:p>
    <w:p w14:paraId="0779003C" w14:textId="47A5EF4A" w:rsidR="00654164" w:rsidRDefault="00654164" w:rsidP="00654164">
      <w:pPr>
        <w:rPr>
          <w:color w:val="4C4747"/>
          <w:lang w:val="es-ES"/>
        </w:rPr>
      </w:pPr>
    </w:p>
    <w:p w14:paraId="43D9C5BF" w14:textId="3FE29709" w:rsidR="002072F5" w:rsidRDefault="002072F5" w:rsidP="00654164">
      <w:pPr>
        <w:rPr>
          <w:color w:val="4C4747"/>
          <w:lang w:val="es-ES"/>
        </w:rPr>
      </w:pPr>
    </w:p>
    <w:p w14:paraId="72C90E2E" w14:textId="2631F9B7" w:rsidR="002072F5" w:rsidRDefault="002072F5" w:rsidP="00654164">
      <w:pPr>
        <w:rPr>
          <w:color w:val="4C4747"/>
          <w:lang w:val="es-ES"/>
        </w:rPr>
      </w:pPr>
    </w:p>
    <w:p w14:paraId="6645B6D2" w14:textId="1B839239" w:rsidR="002072F5" w:rsidRDefault="002072F5" w:rsidP="00654164">
      <w:pPr>
        <w:rPr>
          <w:color w:val="4C4747"/>
          <w:lang w:val="es-ES"/>
        </w:rPr>
      </w:pPr>
    </w:p>
    <w:p w14:paraId="218D58D2" w14:textId="60A759D9" w:rsidR="002072F5" w:rsidRDefault="002072F5" w:rsidP="00654164">
      <w:pPr>
        <w:rPr>
          <w:color w:val="4C4747"/>
          <w:lang w:val="es-ES"/>
        </w:rPr>
      </w:pPr>
    </w:p>
    <w:p w14:paraId="0F2EC715" w14:textId="10981DAA" w:rsidR="00E0316A" w:rsidRDefault="00E0316A" w:rsidP="00654164">
      <w:pPr>
        <w:rPr>
          <w:color w:val="4C4747"/>
          <w:lang w:val="es-ES"/>
        </w:rPr>
      </w:pPr>
    </w:p>
    <w:p w14:paraId="36B6BC9A" w14:textId="1B6E427B" w:rsidR="00E0316A" w:rsidRDefault="00E0316A" w:rsidP="00654164">
      <w:pPr>
        <w:rPr>
          <w:color w:val="4C4747"/>
          <w:lang w:val="es-ES"/>
        </w:rPr>
      </w:pPr>
    </w:p>
    <w:p w14:paraId="6FF916B0" w14:textId="41E84C02" w:rsidR="00E0316A" w:rsidRDefault="00E0316A" w:rsidP="00654164">
      <w:pPr>
        <w:rPr>
          <w:color w:val="4C4747"/>
          <w:lang w:val="es-ES"/>
        </w:rPr>
      </w:pPr>
    </w:p>
    <w:p w14:paraId="07B8BC20" w14:textId="5515D178" w:rsidR="00E0316A" w:rsidRDefault="00E0316A" w:rsidP="00654164">
      <w:pPr>
        <w:rPr>
          <w:color w:val="4C4747"/>
          <w:lang w:val="es-ES"/>
        </w:rPr>
      </w:pPr>
    </w:p>
    <w:p w14:paraId="4111CB20" w14:textId="77777777" w:rsidR="00E0316A" w:rsidRDefault="00E0316A" w:rsidP="00654164">
      <w:pPr>
        <w:rPr>
          <w:color w:val="4C4747"/>
          <w:lang w:val="es-ES"/>
        </w:rPr>
      </w:pPr>
    </w:p>
    <w:p w14:paraId="632DC080" w14:textId="6D3EE988" w:rsidR="002072F5" w:rsidRDefault="002072F5" w:rsidP="00654164">
      <w:pPr>
        <w:rPr>
          <w:color w:val="4C4747"/>
          <w:lang w:val="es-ES"/>
        </w:rPr>
      </w:pPr>
    </w:p>
    <w:p w14:paraId="2191E9FD" w14:textId="75CA51D1" w:rsidR="002072F5" w:rsidRDefault="002072F5" w:rsidP="00654164">
      <w:pPr>
        <w:rPr>
          <w:color w:val="4C4747"/>
          <w:lang w:val="es-ES"/>
        </w:rPr>
      </w:pPr>
    </w:p>
    <w:p w14:paraId="6DB1C6FE" w14:textId="582BF914" w:rsidR="002072F5" w:rsidRDefault="002072F5" w:rsidP="00654164">
      <w:pPr>
        <w:rPr>
          <w:color w:val="4C4747"/>
          <w:lang w:val="es-ES"/>
        </w:rPr>
      </w:pPr>
    </w:p>
    <w:p w14:paraId="29FF6961" w14:textId="467A8468" w:rsidR="002072F5" w:rsidRDefault="002072F5" w:rsidP="00654164">
      <w:pPr>
        <w:rPr>
          <w:color w:val="4C4747"/>
          <w:lang w:val="es-ES"/>
        </w:rPr>
      </w:pPr>
    </w:p>
    <w:tbl>
      <w:tblPr>
        <w:tblStyle w:val="TableNormal"/>
        <w:tblW w:w="8300" w:type="dxa"/>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7"/>
        <w:gridCol w:w="4023"/>
      </w:tblGrid>
      <w:tr w:rsidR="002072F5" w:rsidRPr="000936C0" w14:paraId="67C22A0E" w14:textId="77777777" w:rsidTr="00BA72B0">
        <w:trPr>
          <w:trHeight w:val="418"/>
        </w:trPr>
        <w:tc>
          <w:tcPr>
            <w:tcW w:w="8300" w:type="dxa"/>
            <w:gridSpan w:val="2"/>
            <w:shd w:val="clear" w:color="auto" w:fill="001F5F"/>
          </w:tcPr>
          <w:p w14:paraId="71F1E3EF" w14:textId="77777777" w:rsidR="002072F5" w:rsidRPr="00BA72B0" w:rsidRDefault="002072F5" w:rsidP="002072F5">
            <w:pPr>
              <w:pStyle w:val="TableParagraph"/>
              <w:ind w:right="20"/>
              <w:jc w:val="center"/>
              <w:rPr>
                <w:b/>
                <w:sz w:val="20"/>
                <w:szCs w:val="18"/>
              </w:rPr>
            </w:pPr>
            <w:r w:rsidRPr="00BA72B0">
              <w:rPr>
                <w:b/>
                <w:color w:val="FFFFFF"/>
                <w:spacing w:val="16"/>
                <w:sz w:val="20"/>
                <w:szCs w:val="18"/>
              </w:rPr>
              <w:t>RESUMEN</w:t>
            </w:r>
            <w:r w:rsidRPr="00BA72B0">
              <w:rPr>
                <w:b/>
                <w:color w:val="FFFFFF"/>
                <w:spacing w:val="41"/>
                <w:sz w:val="20"/>
                <w:szCs w:val="18"/>
              </w:rPr>
              <w:t xml:space="preserve"> </w:t>
            </w:r>
            <w:r w:rsidRPr="00BA72B0">
              <w:rPr>
                <w:b/>
                <w:color w:val="FFFFFF"/>
                <w:spacing w:val="12"/>
                <w:sz w:val="20"/>
                <w:szCs w:val="18"/>
              </w:rPr>
              <w:t>DEL</w:t>
            </w:r>
            <w:r w:rsidRPr="00BA72B0">
              <w:rPr>
                <w:b/>
                <w:color w:val="FFFFFF"/>
                <w:spacing w:val="49"/>
                <w:sz w:val="20"/>
                <w:szCs w:val="18"/>
              </w:rPr>
              <w:t xml:space="preserve"> </w:t>
            </w:r>
            <w:r w:rsidRPr="00BA72B0">
              <w:rPr>
                <w:b/>
                <w:color w:val="FFFFFF"/>
                <w:spacing w:val="14"/>
                <w:sz w:val="20"/>
                <w:szCs w:val="18"/>
              </w:rPr>
              <w:t>PLAN</w:t>
            </w:r>
            <w:r w:rsidRPr="00BA72B0">
              <w:rPr>
                <w:b/>
                <w:color w:val="FFFFFF"/>
                <w:spacing w:val="43"/>
                <w:sz w:val="20"/>
                <w:szCs w:val="18"/>
              </w:rPr>
              <w:t xml:space="preserve"> </w:t>
            </w:r>
            <w:r w:rsidRPr="00BA72B0">
              <w:rPr>
                <w:b/>
                <w:color w:val="FFFFFF"/>
                <w:sz w:val="20"/>
                <w:szCs w:val="18"/>
              </w:rPr>
              <w:t>DE</w:t>
            </w:r>
            <w:r w:rsidRPr="00BA72B0">
              <w:rPr>
                <w:b/>
                <w:color w:val="FFFFFF"/>
                <w:spacing w:val="47"/>
                <w:sz w:val="20"/>
                <w:szCs w:val="18"/>
              </w:rPr>
              <w:t xml:space="preserve"> </w:t>
            </w:r>
            <w:r w:rsidRPr="00BA72B0">
              <w:rPr>
                <w:b/>
                <w:color w:val="FFFFFF"/>
                <w:spacing w:val="14"/>
                <w:sz w:val="20"/>
                <w:szCs w:val="18"/>
              </w:rPr>
              <w:t>COMPRAS</w:t>
            </w:r>
          </w:p>
        </w:tc>
      </w:tr>
      <w:tr w:rsidR="002072F5" w:rsidRPr="00BA72B0" w14:paraId="1E0C3486" w14:textId="77777777" w:rsidTr="00BA72B0">
        <w:trPr>
          <w:trHeight w:val="416"/>
        </w:trPr>
        <w:tc>
          <w:tcPr>
            <w:tcW w:w="4277" w:type="dxa"/>
          </w:tcPr>
          <w:p w14:paraId="1ED43A06" w14:textId="77777777" w:rsidR="002072F5" w:rsidRPr="00BA72B0" w:rsidRDefault="002072F5" w:rsidP="002072F5">
            <w:pPr>
              <w:pStyle w:val="TableParagraph"/>
              <w:ind w:left="107"/>
              <w:rPr>
                <w:sz w:val="20"/>
                <w:szCs w:val="18"/>
              </w:rPr>
            </w:pPr>
            <w:r w:rsidRPr="00BA72B0">
              <w:rPr>
                <w:color w:val="767070"/>
                <w:spacing w:val="17"/>
                <w:sz w:val="20"/>
                <w:szCs w:val="18"/>
              </w:rPr>
              <w:t>Licitación</w:t>
            </w:r>
            <w:r w:rsidRPr="00BA72B0">
              <w:rPr>
                <w:color w:val="767070"/>
                <w:spacing w:val="40"/>
                <w:sz w:val="20"/>
                <w:szCs w:val="18"/>
              </w:rPr>
              <w:t xml:space="preserve"> </w:t>
            </w:r>
            <w:r w:rsidRPr="00BA72B0">
              <w:rPr>
                <w:color w:val="767070"/>
                <w:spacing w:val="14"/>
                <w:sz w:val="20"/>
                <w:szCs w:val="18"/>
              </w:rPr>
              <w:t>pública</w:t>
            </w:r>
          </w:p>
        </w:tc>
        <w:tc>
          <w:tcPr>
            <w:tcW w:w="4022" w:type="dxa"/>
          </w:tcPr>
          <w:p w14:paraId="4EC2B0FA"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1FEEC60E" w14:textId="77777777" w:rsidTr="00BA72B0">
        <w:trPr>
          <w:trHeight w:val="418"/>
        </w:trPr>
        <w:tc>
          <w:tcPr>
            <w:tcW w:w="4277" w:type="dxa"/>
          </w:tcPr>
          <w:p w14:paraId="5547BA04" w14:textId="77777777" w:rsidR="002072F5" w:rsidRPr="00BA72B0" w:rsidRDefault="002072F5" w:rsidP="002072F5">
            <w:pPr>
              <w:pStyle w:val="TableParagraph"/>
              <w:ind w:left="107"/>
              <w:rPr>
                <w:sz w:val="20"/>
                <w:szCs w:val="18"/>
              </w:rPr>
            </w:pPr>
            <w:r w:rsidRPr="00BA72B0">
              <w:rPr>
                <w:color w:val="767070"/>
                <w:spacing w:val="17"/>
                <w:sz w:val="20"/>
                <w:szCs w:val="18"/>
              </w:rPr>
              <w:t>Licitación</w:t>
            </w:r>
            <w:r w:rsidRPr="00BA72B0">
              <w:rPr>
                <w:color w:val="767070"/>
                <w:spacing w:val="41"/>
                <w:sz w:val="20"/>
                <w:szCs w:val="18"/>
              </w:rPr>
              <w:t xml:space="preserve"> </w:t>
            </w:r>
            <w:r w:rsidRPr="00BA72B0">
              <w:rPr>
                <w:color w:val="767070"/>
                <w:spacing w:val="16"/>
                <w:sz w:val="20"/>
                <w:szCs w:val="18"/>
              </w:rPr>
              <w:t>pública</w:t>
            </w:r>
            <w:r w:rsidRPr="00BA72B0">
              <w:rPr>
                <w:color w:val="767070"/>
                <w:spacing w:val="40"/>
                <w:sz w:val="20"/>
                <w:szCs w:val="18"/>
              </w:rPr>
              <w:t xml:space="preserve"> </w:t>
            </w:r>
            <w:r w:rsidRPr="00BA72B0">
              <w:rPr>
                <w:color w:val="767070"/>
                <w:spacing w:val="16"/>
                <w:sz w:val="20"/>
                <w:szCs w:val="18"/>
              </w:rPr>
              <w:t>internacional</w:t>
            </w:r>
          </w:p>
        </w:tc>
        <w:tc>
          <w:tcPr>
            <w:tcW w:w="4022" w:type="dxa"/>
          </w:tcPr>
          <w:p w14:paraId="3BB81447"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703A0FBA" w14:textId="77777777" w:rsidTr="00BA72B0">
        <w:trPr>
          <w:trHeight w:val="418"/>
        </w:trPr>
        <w:tc>
          <w:tcPr>
            <w:tcW w:w="4277" w:type="dxa"/>
          </w:tcPr>
          <w:p w14:paraId="2630CDE5" w14:textId="77777777" w:rsidR="002072F5" w:rsidRPr="00BA72B0" w:rsidRDefault="002072F5" w:rsidP="002072F5">
            <w:pPr>
              <w:pStyle w:val="TableParagraph"/>
              <w:ind w:left="107"/>
              <w:rPr>
                <w:sz w:val="20"/>
                <w:szCs w:val="18"/>
              </w:rPr>
            </w:pPr>
            <w:r w:rsidRPr="00BA72B0">
              <w:rPr>
                <w:color w:val="767070"/>
                <w:spacing w:val="17"/>
                <w:sz w:val="20"/>
                <w:szCs w:val="18"/>
              </w:rPr>
              <w:t>Licitación</w:t>
            </w:r>
            <w:r w:rsidRPr="00BA72B0">
              <w:rPr>
                <w:color w:val="767070"/>
                <w:spacing w:val="41"/>
                <w:sz w:val="20"/>
                <w:szCs w:val="18"/>
              </w:rPr>
              <w:t xml:space="preserve"> </w:t>
            </w:r>
            <w:r w:rsidRPr="00BA72B0">
              <w:rPr>
                <w:color w:val="767070"/>
                <w:spacing w:val="15"/>
                <w:sz w:val="20"/>
                <w:szCs w:val="18"/>
              </w:rPr>
              <w:t>restringida</w:t>
            </w:r>
          </w:p>
        </w:tc>
        <w:tc>
          <w:tcPr>
            <w:tcW w:w="4022" w:type="dxa"/>
          </w:tcPr>
          <w:p w14:paraId="3957969E"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566F99FE" w14:textId="77777777" w:rsidTr="00BA72B0">
        <w:trPr>
          <w:trHeight w:val="416"/>
        </w:trPr>
        <w:tc>
          <w:tcPr>
            <w:tcW w:w="4277" w:type="dxa"/>
          </w:tcPr>
          <w:p w14:paraId="7E7A34B9" w14:textId="77777777" w:rsidR="002072F5" w:rsidRPr="00BA72B0" w:rsidRDefault="002072F5" w:rsidP="002072F5">
            <w:pPr>
              <w:pStyle w:val="TableParagraph"/>
              <w:ind w:left="107"/>
              <w:rPr>
                <w:sz w:val="20"/>
                <w:szCs w:val="18"/>
              </w:rPr>
            </w:pPr>
            <w:r w:rsidRPr="00BA72B0">
              <w:rPr>
                <w:color w:val="767070"/>
                <w:spacing w:val="15"/>
                <w:sz w:val="20"/>
                <w:szCs w:val="18"/>
              </w:rPr>
              <w:t>Sorteo</w:t>
            </w:r>
            <w:r w:rsidRPr="00BA72B0">
              <w:rPr>
                <w:color w:val="767070"/>
                <w:spacing w:val="40"/>
                <w:sz w:val="20"/>
                <w:szCs w:val="18"/>
              </w:rPr>
              <w:t xml:space="preserve"> </w:t>
            </w:r>
            <w:r w:rsidRPr="00BA72B0">
              <w:rPr>
                <w:color w:val="767070"/>
                <w:spacing w:val="10"/>
                <w:sz w:val="20"/>
                <w:szCs w:val="18"/>
              </w:rPr>
              <w:t>de</w:t>
            </w:r>
            <w:r w:rsidRPr="00BA72B0">
              <w:rPr>
                <w:color w:val="767070"/>
                <w:spacing w:val="39"/>
                <w:sz w:val="20"/>
                <w:szCs w:val="18"/>
              </w:rPr>
              <w:t xml:space="preserve"> </w:t>
            </w:r>
            <w:r w:rsidRPr="00BA72B0">
              <w:rPr>
                <w:color w:val="767070"/>
                <w:spacing w:val="11"/>
                <w:sz w:val="20"/>
                <w:szCs w:val="18"/>
              </w:rPr>
              <w:t>obras</w:t>
            </w:r>
          </w:p>
        </w:tc>
        <w:tc>
          <w:tcPr>
            <w:tcW w:w="4022" w:type="dxa"/>
          </w:tcPr>
          <w:p w14:paraId="31459B9D"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3D85F6C6" w14:textId="77777777" w:rsidTr="00BA72B0">
        <w:trPr>
          <w:trHeight w:val="365"/>
        </w:trPr>
        <w:tc>
          <w:tcPr>
            <w:tcW w:w="4277" w:type="dxa"/>
          </w:tcPr>
          <w:p w14:paraId="12739BD0" w14:textId="77777777" w:rsidR="002072F5" w:rsidRPr="00BA72B0" w:rsidRDefault="002072F5" w:rsidP="002072F5">
            <w:pPr>
              <w:pStyle w:val="TableParagraph"/>
              <w:ind w:left="107" w:right="233"/>
              <w:rPr>
                <w:sz w:val="20"/>
                <w:szCs w:val="18"/>
              </w:rPr>
            </w:pPr>
            <w:r w:rsidRPr="00BA72B0">
              <w:rPr>
                <w:color w:val="767070"/>
                <w:spacing w:val="16"/>
                <w:sz w:val="20"/>
                <w:szCs w:val="18"/>
              </w:rPr>
              <w:t xml:space="preserve">Excepción </w:t>
            </w:r>
            <w:r w:rsidRPr="00BA72B0">
              <w:rPr>
                <w:color w:val="767070"/>
                <w:sz w:val="20"/>
                <w:szCs w:val="18"/>
              </w:rPr>
              <w:t>-</w:t>
            </w:r>
            <w:r w:rsidRPr="00BA72B0">
              <w:rPr>
                <w:color w:val="767070"/>
                <w:spacing w:val="16"/>
                <w:sz w:val="20"/>
                <w:szCs w:val="18"/>
              </w:rPr>
              <w:t xml:space="preserve"> bienes </w:t>
            </w:r>
            <w:r w:rsidRPr="00BA72B0">
              <w:rPr>
                <w:color w:val="767070"/>
                <w:sz w:val="20"/>
                <w:szCs w:val="18"/>
              </w:rPr>
              <w:t>o</w:t>
            </w:r>
            <w:r w:rsidRPr="00BA72B0">
              <w:rPr>
                <w:color w:val="767070"/>
                <w:spacing w:val="17"/>
                <w:sz w:val="20"/>
                <w:szCs w:val="18"/>
              </w:rPr>
              <w:t xml:space="preserve"> servicios </w:t>
            </w:r>
            <w:r w:rsidRPr="00BA72B0">
              <w:rPr>
                <w:color w:val="767070"/>
                <w:spacing w:val="8"/>
                <w:sz w:val="20"/>
                <w:szCs w:val="18"/>
              </w:rPr>
              <w:t>con</w:t>
            </w:r>
          </w:p>
          <w:p w14:paraId="782D3BAC" w14:textId="77777777" w:rsidR="002072F5" w:rsidRPr="00BA72B0" w:rsidRDefault="002072F5" w:rsidP="002072F5">
            <w:pPr>
              <w:pStyle w:val="TableParagraph"/>
              <w:ind w:left="107"/>
              <w:rPr>
                <w:sz w:val="20"/>
                <w:szCs w:val="18"/>
              </w:rPr>
            </w:pPr>
            <w:r w:rsidRPr="00BA72B0">
              <w:rPr>
                <w:color w:val="767070"/>
                <w:spacing w:val="15"/>
                <w:sz w:val="20"/>
                <w:szCs w:val="18"/>
              </w:rPr>
              <w:t>exclusividad</w:t>
            </w:r>
          </w:p>
        </w:tc>
        <w:tc>
          <w:tcPr>
            <w:tcW w:w="4022" w:type="dxa"/>
          </w:tcPr>
          <w:p w14:paraId="7A572FC4" w14:textId="77777777" w:rsidR="002072F5" w:rsidRPr="00BA72B0" w:rsidRDefault="002072F5" w:rsidP="002072F5">
            <w:pPr>
              <w:pStyle w:val="TableParagraph"/>
              <w:spacing w:before="138"/>
              <w:rPr>
                <w:b/>
                <w:sz w:val="20"/>
                <w:szCs w:val="18"/>
              </w:rPr>
            </w:pPr>
          </w:p>
          <w:p w14:paraId="7DD05CD3"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2D302125" w14:textId="77777777" w:rsidTr="00BA72B0">
        <w:trPr>
          <w:trHeight w:val="1257"/>
        </w:trPr>
        <w:tc>
          <w:tcPr>
            <w:tcW w:w="4277" w:type="dxa"/>
          </w:tcPr>
          <w:p w14:paraId="5758E7F7" w14:textId="77777777" w:rsidR="002072F5" w:rsidRPr="00BA72B0" w:rsidRDefault="002072F5" w:rsidP="002072F5">
            <w:pPr>
              <w:pStyle w:val="TableParagraph"/>
              <w:ind w:left="107"/>
              <w:rPr>
                <w:sz w:val="20"/>
                <w:szCs w:val="18"/>
              </w:rPr>
            </w:pPr>
            <w:r w:rsidRPr="00BA72B0">
              <w:rPr>
                <w:color w:val="767070"/>
                <w:spacing w:val="16"/>
                <w:sz w:val="20"/>
                <w:szCs w:val="18"/>
              </w:rPr>
              <w:lastRenderedPageBreak/>
              <w:t>Excepción</w:t>
            </w:r>
            <w:r w:rsidRPr="00BA72B0">
              <w:rPr>
                <w:color w:val="767070"/>
                <w:spacing w:val="46"/>
                <w:sz w:val="20"/>
                <w:szCs w:val="18"/>
              </w:rPr>
              <w:t xml:space="preserve"> </w:t>
            </w:r>
            <w:r w:rsidRPr="00BA72B0">
              <w:rPr>
                <w:color w:val="767070"/>
                <w:sz w:val="20"/>
                <w:szCs w:val="18"/>
              </w:rPr>
              <w:t>-</w:t>
            </w:r>
            <w:r w:rsidRPr="00BA72B0">
              <w:rPr>
                <w:color w:val="767070"/>
                <w:spacing w:val="44"/>
                <w:sz w:val="20"/>
                <w:szCs w:val="18"/>
              </w:rPr>
              <w:t xml:space="preserve"> </w:t>
            </w:r>
            <w:r w:rsidRPr="00BA72B0">
              <w:rPr>
                <w:color w:val="767070"/>
                <w:spacing w:val="15"/>
                <w:sz w:val="20"/>
                <w:szCs w:val="18"/>
              </w:rPr>
              <w:t>construcción,</w:t>
            </w:r>
          </w:p>
          <w:p w14:paraId="08C7C700" w14:textId="77777777" w:rsidR="002072F5" w:rsidRPr="00BA72B0" w:rsidRDefault="002072F5" w:rsidP="002072F5">
            <w:pPr>
              <w:pStyle w:val="TableParagraph"/>
              <w:spacing w:before="139"/>
              <w:ind w:left="107"/>
              <w:rPr>
                <w:sz w:val="20"/>
                <w:szCs w:val="18"/>
              </w:rPr>
            </w:pPr>
            <w:r w:rsidRPr="00BA72B0">
              <w:rPr>
                <w:color w:val="767070"/>
                <w:spacing w:val="17"/>
                <w:sz w:val="20"/>
                <w:szCs w:val="18"/>
              </w:rPr>
              <w:t>instalación</w:t>
            </w:r>
            <w:r w:rsidRPr="00BA72B0">
              <w:rPr>
                <w:color w:val="767070"/>
                <w:spacing w:val="41"/>
                <w:sz w:val="20"/>
                <w:szCs w:val="18"/>
              </w:rPr>
              <w:t xml:space="preserve"> </w:t>
            </w:r>
            <w:r w:rsidRPr="00BA72B0">
              <w:rPr>
                <w:color w:val="767070"/>
                <w:sz w:val="20"/>
                <w:szCs w:val="18"/>
              </w:rPr>
              <w:t>o</w:t>
            </w:r>
            <w:r w:rsidRPr="00BA72B0">
              <w:rPr>
                <w:color w:val="767070"/>
                <w:spacing w:val="41"/>
                <w:sz w:val="20"/>
                <w:szCs w:val="18"/>
              </w:rPr>
              <w:t xml:space="preserve"> </w:t>
            </w:r>
            <w:r w:rsidRPr="00BA72B0">
              <w:rPr>
                <w:color w:val="767070"/>
                <w:spacing w:val="17"/>
                <w:sz w:val="20"/>
                <w:szCs w:val="18"/>
              </w:rPr>
              <w:t>Adquisición</w:t>
            </w:r>
            <w:r w:rsidRPr="00BA72B0">
              <w:rPr>
                <w:color w:val="767070"/>
                <w:spacing w:val="41"/>
                <w:sz w:val="20"/>
                <w:szCs w:val="18"/>
              </w:rPr>
              <w:t xml:space="preserve"> </w:t>
            </w:r>
            <w:r w:rsidRPr="00BA72B0">
              <w:rPr>
                <w:color w:val="767070"/>
                <w:spacing w:val="5"/>
                <w:sz w:val="20"/>
                <w:szCs w:val="18"/>
              </w:rPr>
              <w:t>de</w:t>
            </w:r>
          </w:p>
          <w:p w14:paraId="7329FD6D" w14:textId="77777777" w:rsidR="002072F5" w:rsidRPr="00BA72B0" w:rsidRDefault="002072F5" w:rsidP="002072F5">
            <w:pPr>
              <w:pStyle w:val="TableParagraph"/>
              <w:spacing w:before="137"/>
              <w:ind w:left="107"/>
              <w:rPr>
                <w:sz w:val="20"/>
                <w:szCs w:val="18"/>
              </w:rPr>
            </w:pPr>
            <w:r w:rsidRPr="00BA72B0">
              <w:rPr>
                <w:color w:val="767070"/>
                <w:spacing w:val="16"/>
                <w:sz w:val="20"/>
                <w:szCs w:val="18"/>
              </w:rPr>
              <w:t>oficinas</w:t>
            </w:r>
            <w:r w:rsidRPr="00BA72B0">
              <w:rPr>
                <w:color w:val="767070"/>
                <w:spacing w:val="44"/>
                <w:sz w:val="20"/>
                <w:szCs w:val="18"/>
              </w:rPr>
              <w:t xml:space="preserve"> </w:t>
            </w:r>
            <w:r w:rsidRPr="00BA72B0">
              <w:rPr>
                <w:color w:val="767070"/>
                <w:spacing w:val="14"/>
                <w:sz w:val="20"/>
                <w:szCs w:val="18"/>
              </w:rPr>
              <w:t>para</w:t>
            </w:r>
            <w:r w:rsidRPr="00BA72B0">
              <w:rPr>
                <w:color w:val="767070"/>
                <w:spacing w:val="45"/>
                <w:sz w:val="20"/>
                <w:szCs w:val="18"/>
              </w:rPr>
              <w:t xml:space="preserve"> </w:t>
            </w:r>
            <w:r w:rsidRPr="00BA72B0">
              <w:rPr>
                <w:color w:val="767070"/>
                <w:sz w:val="20"/>
                <w:szCs w:val="18"/>
              </w:rPr>
              <w:t>el</w:t>
            </w:r>
            <w:r w:rsidRPr="00BA72B0">
              <w:rPr>
                <w:color w:val="767070"/>
                <w:spacing w:val="47"/>
                <w:sz w:val="20"/>
                <w:szCs w:val="18"/>
              </w:rPr>
              <w:t xml:space="preserve"> </w:t>
            </w:r>
            <w:r w:rsidRPr="00BA72B0">
              <w:rPr>
                <w:color w:val="767070"/>
                <w:spacing w:val="17"/>
                <w:sz w:val="20"/>
                <w:szCs w:val="18"/>
              </w:rPr>
              <w:t>servicio</w:t>
            </w:r>
            <w:r w:rsidRPr="00BA72B0">
              <w:rPr>
                <w:color w:val="767070"/>
                <w:spacing w:val="47"/>
                <w:sz w:val="20"/>
                <w:szCs w:val="18"/>
              </w:rPr>
              <w:t xml:space="preserve"> </w:t>
            </w:r>
            <w:r w:rsidRPr="00BA72B0">
              <w:rPr>
                <w:color w:val="767070"/>
                <w:spacing w:val="14"/>
                <w:sz w:val="20"/>
                <w:szCs w:val="18"/>
              </w:rPr>
              <w:t>exterior</w:t>
            </w:r>
          </w:p>
        </w:tc>
        <w:tc>
          <w:tcPr>
            <w:tcW w:w="4022" w:type="dxa"/>
          </w:tcPr>
          <w:p w14:paraId="2CEC21CE" w14:textId="77777777" w:rsidR="002072F5" w:rsidRPr="00BA72B0" w:rsidRDefault="002072F5" w:rsidP="002072F5">
            <w:pPr>
              <w:pStyle w:val="TableParagraph"/>
              <w:spacing w:before="138"/>
              <w:rPr>
                <w:b/>
                <w:sz w:val="20"/>
                <w:szCs w:val="18"/>
              </w:rPr>
            </w:pPr>
          </w:p>
          <w:p w14:paraId="79D9A231"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40C1DCB8" w14:textId="77777777" w:rsidTr="00BA72B0">
        <w:trPr>
          <w:trHeight w:val="670"/>
        </w:trPr>
        <w:tc>
          <w:tcPr>
            <w:tcW w:w="4277" w:type="dxa"/>
          </w:tcPr>
          <w:p w14:paraId="2A745F49" w14:textId="77777777" w:rsidR="002072F5" w:rsidRPr="00BA72B0" w:rsidRDefault="002072F5" w:rsidP="002072F5">
            <w:pPr>
              <w:pStyle w:val="TableParagraph"/>
              <w:ind w:left="107"/>
              <w:rPr>
                <w:sz w:val="20"/>
                <w:szCs w:val="18"/>
              </w:rPr>
            </w:pPr>
            <w:r w:rsidRPr="00BA72B0">
              <w:rPr>
                <w:color w:val="767070"/>
                <w:spacing w:val="16"/>
                <w:sz w:val="20"/>
                <w:szCs w:val="18"/>
              </w:rPr>
              <w:t>Excepción</w:t>
            </w:r>
            <w:r w:rsidRPr="00BA72B0">
              <w:rPr>
                <w:color w:val="767070"/>
                <w:spacing w:val="47"/>
                <w:sz w:val="20"/>
                <w:szCs w:val="18"/>
              </w:rPr>
              <w:t xml:space="preserve"> </w:t>
            </w:r>
            <w:r w:rsidRPr="00BA72B0">
              <w:rPr>
                <w:color w:val="767070"/>
                <w:sz w:val="20"/>
                <w:szCs w:val="18"/>
              </w:rPr>
              <w:t>-</w:t>
            </w:r>
            <w:r w:rsidRPr="00BA72B0">
              <w:rPr>
                <w:color w:val="767070"/>
                <w:spacing w:val="46"/>
                <w:sz w:val="20"/>
                <w:szCs w:val="18"/>
              </w:rPr>
              <w:t xml:space="preserve"> </w:t>
            </w:r>
            <w:r w:rsidRPr="00BA72B0">
              <w:rPr>
                <w:color w:val="767070"/>
                <w:spacing w:val="17"/>
                <w:sz w:val="20"/>
                <w:szCs w:val="18"/>
              </w:rPr>
              <w:t>contratación</w:t>
            </w:r>
            <w:r w:rsidRPr="00BA72B0">
              <w:rPr>
                <w:color w:val="767070"/>
                <w:spacing w:val="43"/>
                <w:sz w:val="20"/>
                <w:szCs w:val="18"/>
              </w:rPr>
              <w:t xml:space="preserve"> </w:t>
            </w:r>
            <w:r w:rsidRPr="00BA72B0">
              <w:rPr>
                <w:color w:val="767070"/>
                <w:spacing w:val="5"/>
                <w:sz w:val="20"/>
                <w:szCs w:val="18"/>
              </w:rPr>
              <w:t>de</w:t>
            </w:r>
          </w:p>
          <w:p w14:paraId="4D783B00" w14:textId="77777777" w:rsidR="002072F5" w:rsidRPr="00BA72B0" w:rsidRDefault="002072F5" w:rsidP="002072F5">
            <w:pPr>
              <w:pStyle w:val="TableParagraph"/>
              <w:spacing w:before="28"/>
              <w:ind w:left="107"/>
              <w:rPr>
                <w:sz w:val="20"/>
                <w:szCs w:val="18"/>
              </w:rPr>
            </w:pPr>
            <w:r w:rsidRPr="00BA72B0">
              <w:rPr>
                <w:color w:val="767070"/>
                <w:spacing w:val="17"/>
                <w:sz w:val="20"/>
                <w:szCs w:val="18"/>
              </w:rPr>
              <w:t xml:space="preserve">publicidad </w:t>
            </w:r>
            <w:r w:rsidRPr="00BA72B0">
              <w:rPr>
                <w:color w:val="767070"/>
                <w:sz w:val="20"/>
                <w:szCs w:val="18"/>
              </w:rPr>
              <w:t>a</w:t>
            </w:r>
            <w:r w:rsidRPr="00BA72B0">
              <w:rPr>
                <w:color w:val="767070"/>
                <w:spacing w:val="16"/>
                <w:sz w:val="20"/>
                <w:szCs w:val="18"/>
              </w:rPr>
              <w:t xml:space="preserve"> través </w:t>
            </w:r>
            <w:r w:rsidRPr="00BA72B0">
              <w:rPr>
                <w:color w:val="767070"/>
                <w:spacing w:val="10"/>
                <w:sz w:val="20"/>
                <w:szCs w:val="18"/>
              </w:rPr>
              <w:t xml:space="preserve">de </w:t>
            </w:r>
            <w:r w:rsidRPr="00BA72B0">
              <w:rPr>
                <w:color w:val="767070"/>
                <w:spacing w:val="16"/>
                <w:sz w:val="20"/>
                <w:szCs w:val="18"/>
              </w:rPr>
              <w:t xml:space="preserve">medios </w:t>
            </w:r>
            <w:r w:rsidRPr="00BA72B0">
              <w:rPr>
                <w:color w:val="767070"/>
                <w:sz w:val="20"/>
                <w:szCs w:val="18"/>
              </w:rPr>
              <w:t xml:space="preserve">de </w:t>
            </w:r>
            <w:r w:rsidRPr="00BA72B0">
              <w:rPr>
                <w:color w:val="767070"/>
                <w:spacing w:val="17"/>
                <w:sz w:val="20"/>
                <w:szCs w:val="18"/>
              </w:rPr>
              <w:t xml:space="preserve">comunicación </w:t>
            </w:r>
            <w:r w:rsidRPr="00BA72B0">
              <w:rPr>
                <w:color w:val="767070"/>
                <w:spacing w:val="16"/>
                <w:sz w:val="20"/>
                <w:szCs w:val="18"/>
              </w:rPr>
              <w:t>social</w:t>
            </w:r>
          </w:p>
        </w:tc>
        <w:tc>
          <w:tcPr>
            <w:tcW w:w="4022" w:type="dxa"/>
          </w:tcPr>
          <w:p w14:paraId="187C53C8" w14:textId="77777777" w:rsidR="002072F5" w:rsidRPr="00BA72B0" w:rsidRDefault="002072F5" w:rsidP="002072F5">
            <w:pPr>
              <w:pStyle w:val="TableParagraph"/>
              <w:spacing w:before="135"/>
              <w:rPr>
                <w:b/>
                <w:sz w:val="20"/>
                <w:szCs w:val="18"/>
              </w:rPr>
            </w:pPr>
          </w:p>
          <w:p w14:paraId="74A6DEE5"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3ACA4D1B" w14:textId="77777777" w:rsidTr="00BA72B0">
        <w:trPr>
          <w:trHeight w:val="808"/>
        </w:trPr>
        <w:tc>
          <w:tcPr>
            <w:tcW w:w="4277" w:type="dxa"/>
          </w:tcPr>
          <w:p w14:paraId="683D5D7A" w14:textId="77777777" w:rsidR="002072F5" w:rsidRPr="00BA72B0" w:rsidRDefault="002072F5" w:rsidP="002072F5">
            <w:pPr>
              <w:pStyle w:val="TableParagraph"/>
              <w:ind w:left="107"/>
              <w:rPr>
                <w:sz w:val="20"/>
                <w:szCs w:val="18"/>
              </w:rPr>
            </w:pPr>
            <w:r w:rsidRPr="00BA72B0">
              <w:rPr>
                <w:color w:val="767070"/>
                <w:spacing w:val="16"/>
                <w:sz w:val="20"/>
                <w:szCs w:val="18"/>
              </w:rPr>
              <w:t xml:space="preserve">Excepción </w:t>
            </w:r>
            <w:r w:rsidRPr="00BA72B0">
              <w:rPr>
                <w:color w:val="767070"/>
                <w:sz w:val="20"/>
                <w:szCs w:val="18"/>
              </w:rPr>
              <w:t>-</w:t>
            </w:r>
            <w:r w:rsidRPr="00BA72B0">
              <w:rPr>
                <w:color w:val="767070"/>
                <w:spacing w:val="15"/>
                <w:sz w:val="20"/>
                <w:szCs w:val="18"/>
              </w:rPr>
              <w:t xml:space="preserve"> obras </w:t>
            </w:r>
            <w:r w:rsidRPr="00BA72B0">
              <w:rPr>
                <w:color w:val="767070"/>
                <w:spacing w:val="17"/>
                <w:sz w:val="20"/>
                <w:szCs w:val="18"/>
              </w:rPr>
              <w:t xml:space="preserve">científicas, técnicas, artísticas, </w:t>
            </w:r>
            <w:r w:rsidRPr="00BA72B0">
              <w:rPr>
                <w:color w:val="767070"/>
                <w:sz w:val="20"/>
                <w:szCs w:val="18"/>
              </w:rPr>
              <w:t>o</w:t>
            </w:r>
          </w:p>
          <w:p w14:paraId="1537FAF9" w14:textId="77777777" w:rsidR="002072F5" w:rsidRPr="00BA72B0" w:rsidRDefault="002072F5" w:rsidP="002072F5">
            <w:pPr>
              <w:pStyle w:val="TableParagraph"/>
              <w:ind w:left="107"/>
              <w:rPr>
                <w:sz w:val="20"/>
                <w:szCs w:val="18"/>
              </w:rPr>
            </w:pPr>
            <w:r w:rsidRPr="00BA72B0">
              <w:rPr>
                <w:color w:val="767070"/>
                <w:spacing w:val="17"/>
                <w:sz w:val="20"/>
                <w:szCs w:val="18"/>
              </w:rPr>
              <w:t>restauración</w:t>
            </w:r>
            <w:r w:rsidRPr="00BA72B0">
              <w:rPr>
                <w:color w:val="767070"/>
                <w:spacing w:val="41"/>
                <w:sz w:val="20"/>
                <w:szCs w:val="18"/>
              </w:rPr>
              <w:t xml:space="preserve"> </w:t>
            </w:r>
            <w:r w:rsidRPr="00BA72B0">
              <w:rPr>
                <w:color w:val="767070"/>
                <w:spacing w:val="10"/>
                <w:sz w:val="20"/>
                <w:szCs w:val="18"/>
              </w:rPr>
              <w:t>de</w:t>
            </w:r>
            <w:r w:rsidRPr="00BA72B0">
              <w:rPr>
                <w:color w:val="767070"/>
                <w:spacing w:val="44"/>
                <w:sz w:val="20"/>
                <w:szCs w:val="18"/>
              </w:rPr>
              <w:t xml:space="preserve"> </w:t>
            </w:r>
            <w:r w:rsidRPr="00BA72B0">
              <w:rPr>
                <w:color w:val="767070"/>
                <w:spacing w:val="15"/>
                <w:sz w:val="20"/>
                <w:szCs w:val="18"/>
              </w:rPr>
              <w:t>monumentos</w:t>
            </w:r>
          </w:p>
          <w:p w14:paraId="1FA3DA48" w14:textId="77777777" w:rsidR="002072F5" w:rsidRPr="00BA72B0" w:rsidRDefault="002072F5" w:rsidP="002072F5">
            <w:pPr>
              <w:pStyle w:val="TableParagraph"/>
              <w:spacing w:before="138"/>
              <w:ind w:left="107"/>
              <w:rPr>
                <w:sz w:val="20"/>
                <w:szCs w:val="18"/>
              </w:rPr>
            </w:pPr>
            <w:r w:rsidRPr="00BA72B0">
              <w:rPr>
                <w:color w:val="767070"/>
                <w:spacing w:val="15"/>
                <w:sz w:val="20"/>
                <w:szCs w:val="18"/>
              </w:rPr>
              <w:t>históricos</w:t>
            </w:r>
          </w:p>
        </w:tc>
        <w:tc>
          <w:tcPr>
            <w:tcW w:w="4022" w:type="dxa"/>
          </w:tcPr>
          <w:p w14:paraId="6BF9BBFE" w14:textId="77777777" w:rsidR="002072F5" w:rsidRPr="00BA72B0" w:rsidRDefault="002072F5" w:rsidP="002072F5">
            <w:pPr>
              <w:pStyle w:val="TableParagraph"/>
              <w:spacing w:before="138"/>
              <w:rPr>
                <w:b/>
                <w:sz w:val="20"/>
                <w:szCs w:val="18"/>
              </w:rPr>
            </w:pPr>
          </w:p>
          <w:p w14:paraId="66ADF62F"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5FCFF5D2" w14:textId="77777777" w:rsidTr="00BA72B0">
        <w:trPr>
          <w:trHeight w:val="418"/>
        </w:trPr>
        <w:tc>
          <w:tcPr>
            <w:tcW w:w="4277" w:type="dxa"/>
          </w:tcPr>
          <w:p w14:paraId="7DFCCB16" w14:textId="77777777" w:rsidR="002072F5" w:rsidRPr="00BA72B0" w:rsidRDefault="002072F5" w:rsidP="002072F5">
            <w:pPr>
              <w:pStyle w:val="TableParagraph"/>
              <w:ind w:left="107"/>
              <w:rPr>
                <w:sz w:val="20"/>
                <w:szCs w:val="18"/>
              </w:rPr>
            </w:pPr>
            <w:r w:rsidRPr="00BA72B0">
              <w:rPr>
                <w:color w:val="767070"/>
                <w:spacing w:val="16"/>
                <w:sz w:val="20"/>
                <w:szCs w:val="18"/>
              </w:rPr>
              <w:t>Excepción</w:t>
            </w:r>
            <w:r w:rsidRPr="00BA72B0">
              <w:rPr>
                <w:color w:val="767070"/>
                <w:spacing w:val="45"/>
                <w:sz w:val="20"/>
                <w:szCs w:val="18"/>
              </w:rPr>
              <w:t xml:space="preserve"> </w:t>
            </w:r>
            <w:r w:rsidRPr="00BA72B0">
              <w:rPr>
                <w:color w:val="767070"/>
                <w:sz w:val="20"/>
                <w:szCs w:val="18"/>
              </w:rPr>
              <w:t>-</w:t>
            </w:r>
            <w:r w:rsidRPr="00BA72B0">
              <w:rPr>
                <w:color w:val="767070"/>
                <w:spacing w:val="43"/>
                <w:sz w:val="20"/>
                <w:szCs w:val="18"/>
              </w:rPr>
              <w:t xml:space="preserve"> </w:t>
            </w:r>
            <w:r w:rsidRPr="00BA72B0">
              <w:rPr>
                <w:color w:val="767070"/>
                <w:spacing w:val="17"/>
                <w:sz w:val="20"/>
                <w:szCs w:val="18"/>
              </w:rPr>
              <w:t>proveedor</w:t>
            </w:r>
            <w:r w:rsidRPr="00BA72B0">
              <w:rPr>
                <w:color w:val="767070"/>
                <w:spacing w:val="42"/>
                <w:sz w:val="20"/>
                <w:szCs w:val="18"/>
              </w:rPr>
              <w:t xml:space="preserve"> </w:t>
            </w:r>
            <w:r w:rsidRPr="00BA72B0">
              <w:rPr>
                <w:color w:val="767070"/>
                <w:spacing w:val="11"/>
                <w:sz w:val="20"/>
                <w:szCs w:val="18"/>
              </w:rPr>
              <w:t>único</w:t>
            </w:r>
          </w:p>
        </w:tc>
        <w:tc>
          <w:tcPr>
            <w:tcW w:w="4022" w:type="dxa"/>
          </w:tcPr>
          <w:p w14:paraId="660819BB"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r w:rsidR="002072F5" w:rsidRPr="00BA72B0" w14:paraId="2C0351BF" w14:textId="77777777" w:rsidTr="00BA72B0">
        <w:trPr>
          <w:trHeight w:val="954"/>
        </w:trPr>
        <w:tc>
          <w:tcPr>
            <w:tcW w:w="4277" w:type="dxa"/>
          </w:tcPr>
          <w:p w14:paraId="48165FCA" w14:textId="77777777" w:rsidR="002072F5" w:rsidRPr="00BA72B0" w:rsidRDefault="002072F5" w:rsidP="002072F5">
            <w:pPr>
              <w:pStyle w:val="TableParagraph"/>
              <w:ind w:left="107"/>
              <w:rPr>
                <w:sz w:val="20"/>
                <w:szCs w:val="18"/>
              </w:rPr>
            </w:pPr>
            <w:r w:rsidRPr="00BA72B0">
              <w:rPr>
                <w:color w:val="767070"/>
                <w:spacing w:val="16"/>
                <w:sz w:val="20"/>
                <w:szCs w:val="18"/>
              </w:rPr>
              <w:t>Excepción</w:t>
            </w:r>
            <w:r w:rsidRPr="00BA72B0">
              <w:rPr>
                <w:color w:val="767070"/>
                <w:spacing w:val="46"/>
                <w:sz w:val="20"/>
                <w:szCs w:val="18"/>
              </w:rPr>
              <w:t xml:space="preserve"> </w:t>
            </w:r>
            <w:r w:rsidRPr="00BA72B0">
              <w:rPr>
                <w:color w:val="767070"/>
                <w:sz w:val="20"/>
                <w:szCs w:val="18"/>
              </w:rPr>
              <w:t>-</w:t>
            </w:r>
            <w:r w:rsidRPr="00BA72B0">
              <w:rPr>
                <w:color w:val="767070"/>
                <w:spacing w:val="44"/>
                <w:sz w:val="20"/>
                <w:szCs w:val="18"/>
              </w:rPr>
              <w:t xml:space="preserve"> </w:t>
            </w:r>
            <w:r w:rsidRPr="00BA72B0">
              <w:rPr>
                <w:color w:val="767070"/>
                <w:spacing w:val="17"/>
                <w:sz w:val="20"/>
                <w:szCs w:val="18"/>
              </w:rPr>
              <w:t>rescisión</w:t>
            </w:r>
            <w:r w:rsidRPr="00BA72B0">
              <w:rPr>
                <w:color w:val="767070"/>
                <w:spacing w:val="41"/>
                <w:sz w:val="20"/>
                <w:szCs w:val="18"/>
              </w:rPr>
              <w:t xml:space="preserve"> </w:t>
            </w:r>
            <w:r w:rsidRPr="00BA72B0">
              <w:rPr>
                <w:color w:val="767070"/>
                <w:spacing w:val="5"/>
                <w:sz w:val="20"/>
                <w:szCs w:val="18"/>
              </w:rPr>
              <w:t>de</w:t>
            </w:r>
          </w:p>
          <w:p w14:paraId="1D65B4CE" w14:textId="77777777" w:rsidR="002072F5" w:rsidRPr="00BA72B0" w:rsidRDefault="002072F5" w:rsidP="002072F5">
            <w:pPr>
              <w:pStyle w:val="TableParagraph"/>
              <w:spacing w:before="140"/>
              <w:ind w:left="107"/>
              <w:rPr>
                <w:sz w:val="20"/>
                <w:szCs w:val="18"/>
              </w:rPr>
            </w:pPr>
            <w:r w:rsidRPr="00BA72B0">
              <w:rPr>
                <w:color w:val="767070"/>
                <w:spacing w:val="17"/>
                <w:sz w:val="20"/>
                <w:szCs w:val="18"/>
              </w:rPr>
              <w:t>contratos</w:t>
            </w:r>
            <w:r w:rsidRPr="00BA72B0">
              <w:rPr>
                <w:color w:val="767070"/>
                <w:spacing w:val="42"/>
                <w:sz w:val="20"/>
                <w:szCs w:val="18"/>
              </w:rPr>
              <w:t xml:space="preserve"> </w:t>
            </w:r>
            <w:r w:rsidRPr="00BA72B0">
              <w:rPr>
                <w:color w:val="767070"/>
                <w:spacing w:val="13"/>
                <w:sz w:val="20"/>
                <w:szCs w:val="18"/>
              </w:rPr>
              <w:t>cuya</w:t>
            </w:r>
            <w:r w:rsidRPr="00BA72B0">
              <w:rPr>
                <w:color w:val="767070"/>
                <w:spacing w:val="43"/>
                <w:sz w:val="20"/>
                <w:szCs w:val="18"/>
              </w:rPr>
              <w:t xml:space="preserve"> </w:t>
            </w:r>
            <w:r w:rsidRPr="00BA72B0">
              <w:rPr>
                <w:color w:val="767070"/>
                <w:spacing w:val="17"/>
                <w:sz w:val="20"/>
                <w:szCs w:val="18"/>
              </w:rPr>
              <w:t>terminación</w:t>
            </w:r>
            <w:r w:rsidRPr="00BA72B0">
              <w:rPr>
                <w:color w:val="767070"/>
                <w:spacing w:val="41"/>
                <w:sz w:val="20"/>
                <w:szCs w:val="18"/>
              </w:rPr>
              <w:t xml:space="preserve"> </w:t>
            </w:r>
            <w:r w:rsidRPr="00BA72B0">
              <w:rPr>
                <w:color w:val="767070"/>
                <w:spacing w:val="5"/>
                <w:sz w:val="20"/>
                <w:szCs w:val="18"/>
              </w:rPr>
              <w:t>no</w:t>
            </w:r>
          </w:p>
          <w:p w14:paraId="61D6164E" w14:textId="77777777" w:rsidR="002072F5" w:rsidRPr="00BA72B0" w:rsidRDefault="002072F5" w:rsidP="002072F5">
            <w:pPr>
              <w:pStyle w:val="TableParagraph"/>
              <w:spacing w:before="28"/>
              <w:ind w:left="107" w:right="233"/>
              <w:rPr>
                <w:sz w:val="20"/>
                <w:szCs w:val="18"/>
              </w:rPr>
            </w:pPr>
            <w:r w:rsidRPr="00BA72B0">
              <w:rPr>
                <w:color w:val="767070"/>
                <w:spacing w:val="16"/>
                <w:sz w:val="20"/>
                <w:szCs w:val="18"/>
              </w:rPr>
              <w:t xml:space="preserve">exceda </w:t>
            </w:r>
            <w:r w:rsidRPr="00BA72B0">
              <w:rPr>
                <w:color w:val="767070"/>
                <w:sz w:val="20"/>
                <w:szCs w:val="18"/>
              </w:rPr>
              <w:t>el</w:t>
            </w:r>
            <w:r w:rsidRPr="00BA72B0">
              <w:rPr>
                <w:color w:val="767070"/>
                <w:spacing w:val="10"/>
                <w:sz w:val="20"/>
                <w:szCs w:val="18"/>
              </w:rPr>
              <w:t xml:space="preserve"> 40 </w:t>
            </w:r>
            <w:r w:rsidRPr="00BA72B0">
              <w:rPr>
                <w:color w:val="767070"/>
                <w:sz w:val="20"/>
                <w:szCs w:val="18"/>
              </w:rPr>
              <w:t>%</w:t>
            </w:r>
            <w:r w:rsidRPr="00BA72B0">
              <w:rPr>
                <w:color w:val="767070"/>
                <w:spacing w:val="13"/>
                <w:sz w:val="20"/>
                <w:szCs w:val="18"/>
              </w:rPr>
              <w:t xml:space="preserve"> del </w:t>
            </w:r>
            <w:r w:rsidRPr="00BA72B0">
              <w:rPr>
                <w:color w:val="767070"/>
                <w:spacing w:val="14"/>
                <w:sz w:val="20"/>
                <w:szCs w:val="18"/>
              </w:rPr>
              <w:t xml:space="preserve">monto </w:t>
            </w:r>
            <w:r w:rsidRPr="00BA72B0">
              <w:rPr>
                <w:color w:val="767070"/>
                <w:spacing w:val="15"/>
                <w:sz w:val="20"/>
                <w:szCs w:val="18"/>
              </w:rPr>
              <w:t xml:space="preserve">total, </w:t>
            </w:r>
            <w:r w:rsidRPr="00BA72B0">
              <w:rPr>
                <w:color w:val="767070"/>
                <w:spacing w:val="12"/>
                <w:sz w:val="20"/>
                <w:szCs w:val="18"/>
              </w:rPr>
              <w:t xml:space="preserve">del </w:t>
            </w:r>
            <w:r w:rsidRPr="00BA72B0">
              <w:rPr>
                <w:color w:val="767070"/>
                <w:spacing w:val="16"/>
                <w:sz w:val="20"/>
                <w:szCs w:val="18"/>
              </w:rPr>
              <w:t xml:space="preserve">proyecto, </w:t>
            </w:r>
            <w:r w:rsidRPr="00BA72B0">
              <w:rPr>
                <w:color w:val="767070"/>
                <w:spacing w:val="14"/>
                <w:sz w:val="20"/>
                <w:szCs w:val="18"/>
              </w:rPr>
              <w:t xml:space="preserve">obra </w:t>
            </w:r>
            <w:r w:rsidRPr="00BA72B0">
              <w:rPr>
                <w:color w:val="767070"/>
                <w:sz w:val="20"/>
                <w:szCs w:val="18"/>
              </w:rPr>
              <w:t>o</w:t>
            </w:r>
            <w:r w:rsidRPr="00BA72B0">
              <w:rPr>
                <w:color w:val="767070"/>
                <w:spacing w:val="16"/>
                <w:sz w:val="20"/>
                <w:szCs w:val="18"/>
              </w:rPr>
              <w:t xml:space="preserve"> servicio</w:t>
            </w:r>
          </w:p>
        </w:tc>
        <w:tc>
          <w:tcPr>
            <w:tcW w:w="4022" w:type="dxa"/>
          </w:tcPr>
          <w:p w14:paraId="6D229582" w14:textId="77777777" w:rsidR="002072F5" w:rsidRPr="00BA72B0" w:rsidRDefault="002072F5" w:rsidP="002072F5">
            <w:pPr>
              <w:pStyle w:val="TableParagraph"/>
              <w:spacing w:before="138"/>
              <w:rPr>
                <w:b/>
                <w:sz w:val="20"/>
                <w:szCs w:val="18"/>
              </w:rPr>
            </w:pPr>
          </w:p>
          <w:p w14:paraId="62CEA0FF" w14:textId="77777777" w:rsidR="002072F5" w:rsidRPr="00BA72B0" w:rsidRDefault="002072F5" w:rsidP="002072F5">
            <w:pPr>
              <w:pStyle w:val="TableParagraph"/>
              <w:ind w:left="10" w:right="19"/>
              <w:jc w:val="center"/>
              <w:rPr>
                <w:sz w:val="20"/>
                <w:szCs w:val="18"/>
              </w:rPr>
            </w:pPr>
            <w:r w:rsidRPr="00BA72B0">
              <w:rPr>
                <w:color w:val="767070"/>
                <w:spacing w:val="7"/>
                <w:sz w:val="20"/>
                <w:szCs w:val="18"/>
              </w:rPr>
              <w:t>N/A</w:t>
            </w:r>
          </w:p>
        </w:tc>
      </w:tr>
    </w:tbl>
    <w:p w14:paraId="65365F46" w14:textId="77777777" w:rsidR="002072F5" w:rsidRPr="00A70DE5" w:rsidRDefault="002072F5" w:rsidP="00654164">
      <w:pPr>
        <w:rPr>
          <w:color w:val="4C4747"/>
          <w:lang w:val="es-ES"/>
        </w:rPr>
      </w:pPr>
    </w:p>
    <w:sectPr w:rsidR="002072F5" w:rsidRPr="00A70DE5" w:rsidSect="00EF6A8E">
      <w:headerReference w:type="default" r:id="rId20"/>
      <w:footerReference w:type="default" r:id="rId21"/>
      <w:pgSz w:w="12240" w:h="15840"/>
      <w:pgMar w:top="1440" w:right="2160" w:bottom="1440" w:left="2160"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317AA" w14:textId="77777777" w:rsidR="003332EF" w:rsidRDefault="003332EF" w:rsidP="00E84651">
      <w:pPr>
        <w:spacing w:after="0" w:line="240" w:lineRule="auto"/>
      </w:pPr>
      <w:r>
        <w:separator/>
      </w:r>
    </w:p>
  </w:endnote>
  <w:endnote w:type="continuationSeparator" w:id="0">
    <w:p w14:paraId="4DBF23D0" w14:textId="77777777" w:rsidR="003332EF" w:rsidRDefault="003332E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1A9E6193" w14:textId="53F74689" w:rsidR="000936C0" w:rsidRDefault="000936C0">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0936C0" w:rsidRDefault="000936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7B0E70D1" w14:textId="28073E51" w:rsidR="000936C0" w:rsidRDefault="000936C0" w:rsidP="00EF6A8E">
        <w:pPr>
          <w:pStyle w:val="Piedepgina"/>
        </w:pPr>
      </w:p>
      <w:p w14:paraId="5811AE0F" w14:textId="77777777" w:rsidR="000936C0" w:rsidRDefault="000936C0" w:rsidP="00EF6A8E">
        <w:pPr>
          <w:pStyle w:val="Piedepgina"/>
        </w:pPr>
      </w:p>
      <w:p w14:paraId="76783BEA" w14:textId="59AD2E40" w:rsidR="000936C0" w:rsidRDefault="000936C0" w:rsidP="00EF6A8E">
        <w:pPr>
          <w:pStyle w:val="Piedepgina"/>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2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0936C0" w:rsidRDefault="000936C0" w:rsidP="0021106F">
        <w:pPr>
          <w:pStyle w:val="Piedepgina"/>
          <w:jc w:val="center"/>
          <w:rPr>
            <w:color w:val="7F7F7F" w:themeColor="text1" w:themeTint="80"/>
          </w:rPr>
        </w:pPr>
      </w:p>
      <w:p w14:paraId="2B095E5E" w14:textId="64AB0201" w:rsidR="000936C0" w:rsidRDefault="000936C0"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11</w:t>
        </w:r>
        <w:r w:rsidRPr="00F74112">
          <w:rPr>
            <w:noProof/>
            <w:color w:val="7F7F7F" w:themeColor="text1" w:themeTint="80"/>
          </w:rPr>
          <w:fldChar w:fldCharType="end"/>
        </w:r>
      </w:p>
    </w:sdtContent>
  </w:sdt>
  <w:p w14:paraId="6C0DF7FA" w14:textId="77777777" w:rsidR="000936C0" w:rsidRDefault="000936C0"/>
  <w:p w14:paraId="587748D5" w14:textId="77777777" w:rsidR="000936C0" w:rsidRDefault="000936C0"/>
  <w:p w14:paraId="09326999" w14:textId="77777777" w:rsidR="000936C0" w:rsidRDefault="000936C0"/>
  <w:p w14:paraId="6A82CD6C" w14:textId="77777777" w:rsidR="000936C0" w:rsidRDefault="000936C0"/>
  <w:p w14:paraId="19484CA2" w14:textId="77777777" w:rsidR="000936C0" w:rsidRDefault="000936C0"/>
  <w:p w14:paraId="7ABBCDD2" w14:textId="77777777" w:rsidR="000936C0" w:rsidRDefault="00093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87AF2" w14:textId="77777777" w:rsidR="003332EF" w:rsidRDefault="003332EF" w:rsidP="00E84651">
      <w:pPr>
        <w:spacing w:after="0" w:line="240" w:lineRule="auto"/>
      </w:pPr>
      <w:r>
        <w:separator/>
      </w:r>
    </w:p>
  </w:footnote>
  <w:footnote w:type="continuationSeparator" w:id="0">
    <w:p w14:paraId="0076E336" w14:textId="77777777" w:rsidR="003332EF" w:rsidRDefault="003332E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77777777" w:rsidR="000936C0" w:rsidRDefault="000936C0">
    <w:pPr>
      <w:pStyle w:val="Encabezado"/>
    </w:pPr>
  </w:p>
  <w:p w14:paraId="00C13ACD" w14:textId="77777777" w:rsidR="000936C0" w:rsidRDefault="000936C0"/>
  <w:p w14:paraId="0A50BB54" w14:textId="77777777" w:rsidR="000936C0" w:rsidRDefault="000936C0"/>
  <w:p w14:paraId="53B7E45D" w14:textId="77777777" w:rsidR="000936C0" w:rsidRDefault="000936C0"/>
  <w:p w14:paraId="072B82B5" w14:textId="77777777" w:rsidR="000936C0" w:rsidRDefault="000936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2666"/>
    <w:multiLevelType w:val="multilevel"/>
    <w:tmpl w:val="53BEF732"/>
    <w:lvl w:ilvl="0">
      <w:start w:val="5"/>
      <w:numFmt w:val="decimal"/>
      <w:lvlText w:val="%1"/>
      <w:lvlJc w:val="left"/>
      <w:pPr>
        <w:ind w:left="1158" w:hanging="439"/>
      </w:pPr>
      <w:rPr>
        <w:rFonts w:hint="default"/>
        <w:lang w:val="es-ES" w:eastAsia="en-US" w:bidi="ar-SA"/>
      </w:rPr>
    </w:lvl>
    <w:lvl w:ilvl="1">
      <w:start w:val="1"/>
      <w:numFmt w:val="decimal"/>
      <w:lvlText w:val="%1.%2"/>
      <w:lvlJc w:val="left"/>
      <w:pPr>
        <w:ind w:left="1069"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3200" w:hanging="360"/>
      </w:pPr>
      <w:rPr>
        <w:rFonts w:hint="default"/>
        <w:lang w:val="es-ES" w:eastAsia="en-US" w:bidi="ar-SA"/>
      </w:rPr>
    </w:lvl>
    <w:lvl w:ilvl="4">
      <w:numFmt w:val="bullet"/>
      <w:lvlText w:val="•"/>
      <w:lvlJc w:val="left"/>
      <w:pPr>
        <w:ind w:left="4080" w:hanging="360"/>
      </w:pPr>
      <w:rPr>
        <w:rFonts w:hint="default"/>
        <w:lang w:val="es-ES" w:eastAsia="en-US" w:bidi="ar-SA"/>
      </w:rPr>
    </w:lvl>
    <w:lvl w:ilvl="5">
      <w:numFmt w:val="bullet"/>
      <w:lvlText w:val="•"/>
      <w:lvlJc w:val="left"/>
      <w:pPr>
        <w:ind w:left="4960" w:hanging="360"/>
      </w:pPr>
      <w:rPr>
        <w:rFonts w:hint="default"/>
        <w:lang w:val="es-ES" w:eastAsia="en-US" w:bidi="ar-SA"/>
      </w:rPr>
    </w:lvl>
    <w:lvl w:ilvl="6">
      <w:numFmt w:val="bullet"/>
      <w:lvlText w:val="•"/>
      <w:lvlJc w:val="left"/>
      <w:pPr>
        <w:ind w:left="5840" w:hanging="360"/>
      </w:pPr>
      <w:rPr>
        <w:rFonts w:hint="default"/>
        <w:lang w:val="es-ES" w:eastAsia="en-US" w:bidi="ar-SA"/>
      </w:rPr>
    </w:lvl>
    <w:lvl w:ilvl="7">
      <w:numFmt w:val="bullet"/>
      <w:lvlText w:val="•"/>
      <w:lvlJc w:val="left"/>
      <w:pPr>
        <w:ind w:left="6720" w:hanging="360"/>
      </w:pPr>
      <w:rPr>
        <w:rFonts w:hint="default"/>
        <w:lang w:val="es-ES" w:eastAsia="en-US" w:bidi="ar-SA"/>
      </w:rPr>
    </w:lvl>
    <w:lvl w:ilvl="8">
      <w:numFmt w:val="bullet"/>
      <w:lvlText w:val="•"/>
      <w:lvlJc w:val="left"/>
      <w:pPr>
        <w:ind w:left="7600" w:hanging="360"/>
      </w:pPr>
      <w:rPr>
        <w:rFonts w:hint="default"/>
        <w:lang w:val="es-ES" w:eastAsia="en-US" w:bidi="ar-SA"/>
      </w:rPr>
    </w:lvl>
  </w:abstractNum>
  <w:abstractNum w:abstractNumId="1" w15:restartNumberingAfterBreak="0">
    <w:nsid w:val="04A30676"/>
    <w:multiLevelType w:val="hybridMultilevel"/>
    <w:tmpl w:val="1890B0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D61AB"/>
    <w:multiLevelType w:val="hybridMultilevel"/>
    <w:tmpl w:val="68C4A2B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B010E2"/>
    <w:multiLevelType w:val="multilevel"/>
    <w:tmpl w:val="53BEF732"/>
    <w:lvl w:ilvl="0">
      <w:start w:val="5"/>
      <w:numFmt w:val="decimal"/>
      <w:lvlText w:val="%1"/>
      <w:lvlJc w:val="left"/>
      <w:pPr>
        <w:ind w:left="1158" w:hanging="439"/>
      </w:pPr>
      <w:rPr>
        <w:rFonts w:hint="default"/>
        <w:lang w:val="es-ES" w:eastAsia="en-US" w:bidi="ar-SA"/>
      </w:rPr>
    </w:lvl>
    <w:lvl w:ilvl="1">
      <w:start w:val="1"/>
      <w:numFmt w:val="decimal"/>
      <w:lvlText w:val="%1.%2"/>
      <w:lvlJc w:val="left"/>
      <w:pPr>
        <w:ind w:left="1069"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3200" w:hanging="360"/>
      </w:pPr>
      <w:rPr>
        <w:rFonts w:hint="default"/>
        <w:lang w:val="es-ES" w:eastAsia="en-US" w:bidi="ar-SA"/>
      </w:rPr>
    </w:lvl>
    <w:lvl w:ilvl="4">
      <w:numFmt w:val="bullet"/>
      <w:lvlText w:val="•"/>
      <w:lvlJc w:val="left"/>
      <w:pPr>
        <w:ind w:left="4080" w:hanging="360"/>
      </w:pPr>
      <w:rPr>
        <w:rFonts w:hint="default"/>
        <w:lang w:val="es-ES" w:eastAsia="en-US" w:bidi="ar-SA"/>
      </w:rPr>
    </w:lvl>
    <w:lvl w:ilvl="5">
      <w:numFmt w:val="bullet"/>
      <w:lvlText w:val="•"/>
      <w:lvlJc w:val="left"/>
      <w:pPr>
        <w:ind w:left="4960" w:hanging="360"/>
      </w:pPr>
      <w:rPr>
        <w:rFonts w:hint="default"/>
        <w:lang w:val="es-ES" w:eastAsia="en-US" w:bidi="ar-SA"/>
      </w:rPr>
    </w:lvl>
    <w:lvl w:ilvl="6">
      <w:numFmt w:val="bullet"/>
      <w:lvlText w:val="•"/>
      <w:lvlJc w:val="left"/>
      <w:pPr>
        <w:ind w:left="5840" w:hanging="360"/>
      </w:pPr>
      <w:rPr>
        <w:rFonts w:hint="default"/>
        <w:lang w:val="es-ES" w:eastAsia="en-US" w:bidi="ar-SA"/>
      </w:rPr>
    </w:lvl>
    <w:lvl w:ilvl="7">
      <w:numFmt w:val="bullet"/>
      <w:lvlText w:val="•"/>
      <w:lvlJc w:val="left"/>
      <w:pPr>
        <w:ind w:left="6720" w:hanging="360"/>
      </w:pPr>
      <w:rPr>
        <w:rFonts w:hint="default"/>
        <w:lang w:val="es-ES" w:eastAsia="en-US" w:bidi="ar-SA"/>
      </w:rPr>
    </w:lvl>
    <w:lvl w:ilvl="8">
      <w:numFmt w:val="bullet"/>
      <w:lvlText w:val="•"/>
      <w:lvlJc w:val="left"/>
      <w:pPr>
        <w:ind w:left="7600" w:hanging="360"/>
      </w:pPr>
      <w:rPr>
        <w:rFonts w:hint="default"/>
        <w:lang w:val="es-ES" w:eastAsia="en-US" w:bidi="ar-SA"/>
      </w:rPr>
    </w:lvl>
  </w:abstractNum>
  <w:abstractNum w:abstractNumId="4" w15:restartNumberingAfterBreak="0">
    <w:nsid w:val="10390F54"/>
    <w:multiLevelType w:val="hybridMultilevel"/>
    <w:tmpl w:val="5CDCEADA"/>
    <w:lvl w:ilvl="0" w:tplc="540A0011">
      <w:start w:val="1"/>
      <w:numFmt w:val="decimal"/>
      <w:lvlText w:val="%1)"/>
      <w:lvlJc w:val="left"/>
      <w:pPr>
        <w:ind w:left="1440" w:hanging="360"/>
      </w:p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5" w15:restartNumberingAfterBreak="0">
    <w:nsid w:val="149137DD"/>
    <w:multiLevelType w:val="hybridMultilevel"/>
    <w:tmpl w:val="315E659E"/>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 w15:restartNumberingAfterBreak="0">
    <w:nsid w:val="14B10703"/>
    <w:multiLevelType w:val="multilevel"/>
    <w:tmpl w:val="DE449156"/>
    <w:lvl w:ilvl="0">
      <w:start w:val="4"/>
      <w:numFmt w:val="decimal"/>
      <w:lvlText w:val="%1"/>
      <w:lvlJc w:val="left"/>
      <w:pPr>
        <w:ind w:left="1158" w:hanging="439"/>
      </w:pPr>
      <w:rPr>
        <w:rFonts w:hint="default"/>
        <w:lang w:val="es-ES" w:eastAsia="en-US" w:bidi="ar-SA"/>
      </w:rPr>
    </w:lvl>
    <w:lvl w:ilvl="1">
      <w:start w:val="1"/>
      <w:numFmt w:val="decimal"/>
      <w:lvlText w:val="%1.%2"/>
      <w:lvlJc w:val="left"/>
      <w:pPr>
        <w:ind w:left="1574"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o"/>
      <w:lvlJc w:val="left"/>
      <w:pPr>
        <w:ind w:left="2160" w:hanging="360"/>
      </w:pPr>
      <w:rPr>
        <w:rFonts w:ascii="Courier New" w:eastAsia="Courier New" w:hAnsi="Courier New" w:cs="Courier New" w:hint="default"/>
        <w:b w:val="0"/>
        <w:bCs w:val="0"/>
        <w:i w:val="0"/>
        <w:iCs w:val="0"/>
        <w:color w:val="767070"/>
        <w:spacing w:val="0"/>
        <w:w w:val="100"/>
        <w:sz w:val="24"/>
        <w:szCs w:val="24"/>
        <w:lang w:val="es-ES" w:eastAsia="en-US" w:bidi="ar-SA"/>
      </w:rPr>
    </w:lvl>
    <w:lvl w:ilvl="4">
      <w:numFmt w:val="bullet"/>
      <w:lvlText w:val="•"/>
      <w:lvlJc w:val="left"/>
      <w:pPr>
        <w:ind w:left="3960" w:hanging="360"/>
      </w:pPr>
      <w:rPr>
        <w:rFonts w:hint="default"/>
        <w:lang w:val="es-ES" w:eastAsia="en-US" w:bidi="ar-SA"/>
      </w:rPr>
    </w:lvl>
    <w:lvl w:ilvl="5">
      <w:numFmt w:val="bullet"/>
      <w:lvlText w:val="•"/>
      <w:lvlJc w:val="left"/>
      <w:pPr>
        <w:ind w:left="4860" w:hanging="360"/>
      </w:pPr>
      <w:rPr>
        <w:rFonts w:hint="default"/>
        <w:lang w:val="es-ES" w:eastAsia="en-US" w:bidi="ar-SA"/>
      </w:rPr>
    </w:lvl>
    <w:lvl w:ilvl="6">
      <w:numFmt w:val="bullet"/>
      <w:lvlText w:val="•"/>
      <w:lvlJc w:val="left"/>
      <w:pPr>
        <w:ind w:left="5760" w:hanging="360"/>
      </w:pPr>
      <w:rPr>
        <w:rFonts w:hint="default"/>
        <w:lang w:val="es-ES" w:eastAsia="en-US" w:bidi="ar-SA"/>
      </w:rPr>
    </w:lvl>
    <w:lvl w:ilvl="7">
      <w:numFmt w:val="bullet"/>
      <w:lvlText w:val="•"/>
      <w:lvlJc w:val="left"/>
      <w:pPr>
        <w:ind w:left="6660" w:hanging="360"/>
      </w:pPr>
      <w:rPr>
        <w:rFonts w:hint="default"/>
        <w:lang w:val="es-ES" w:eastAsia="en-US" w:bidi="ar-SA"/>
      </w:rPr>
    </w:lvl>
    <w:lvl w:ilvl="8">
      <w:numFmt w:val="bullet"/>
      <w:lvlText w:val="•"/>
      <w:lvlJc w:val="left"/>
      <w:pPr>
        <w:ind w:left="7560" w:hanging="360"/>
      </w:pPr>
      <w:rPr>
        <w:rFonts w:hint="default"/>
        <w:lang w:val="es-ES" w:eastAsia="en-US" w:bidi="ar-SA"/>
      </w:rPr>
    </w:lvl>
  </w:abstractNum>
  <w:abstractNum w:abstractNumId="7" w15:restartNumberingAfterBreak="0">
    <w:nsid w:val="17B06526"/>
    <w:multiLevelType w:val="multilevel"/>
    <w:tmpl w:val="06A2E4EE"/>
    <w:lvl w:ilvl="0">
      <w:start w:val="1"/>
      <w:numFmt w:val="bullet"/>
      <w:lvlText w:val=""/>
      <w:lvlJc w:val="left"/>
      <w:pPr>
        <w:tabs>
          <w:tab w:val="num" w:pos="1440"/>
        </w:tabs>
        <w:ind w:left="1440" w:hanging="360"/>
      </w:pPr>
      <w:rPr>
        <w:rFonts w:ascii="Wingdings" w:hAnsi="Wingdings" w:hint="default"/>
        <w:sz w:val="20"/>
      </w:rPr>
    </w:lvl>
    <w:lvl w:ilvl="1">
      <w:start w:val="1"/>
      <w:numFmt w:val="upp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8AC45E7"/>
    <w:multiLevelType w:val="hybridMultilevel"/>
    <w:tmpl w:val="D3B43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D14A1"/>
    <w:multiLevelType w:val="hybridMultilevel"/>
    <w:tmpl w:val="0D385BD6"/>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0" w15:restartNumberingAfterBreak="0">
    <w:nsid w:val="24C7180D"/>
    <w:multiLevelType w:val="multilevel"/>
    <w:tmpl w:val="3AF0771C"/>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2BD304BD"/>
    <w:multiLevelType w:val="hybridMultilevel"/>
    <w:tmpl w:val="47C47986"/>
    <w:lvl w:ilvl="0" w:tplc="AE5EFE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45BA6"/>
    <w:multiLevelType w:val="hybridMultilevel"/>
    <w:tmpl w:val="543C13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3446C"/>
    <w:multiLevelType w:val="hybridMultilevel"/>
    <w:tmpl w:val="5C56E2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B7D43"/>
    <w:multiLevelType w:val="hybridMultilevel"/>
    <w:tmpl w:val="A59607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901702"/>
    <w:multiLevelType w:val="hybridMultilevel"/>
    <w:tmpl w:val="D20806DA"/>
    <w:lvl w:ilvl="0" w:tplc="58D44F52">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908A68BE">
      <w:numFmt w:val="bullet"/>
      <w:lvlText w:val="•"/>
      <w:lvlJc w:val="left"/>
      <w:pPr>
        <w:ind w:left="2232" w:hanging="360"/>
      </w:pPr>
      <w:rPr>
        <w:rFonts w:hint="default"/>
        <w:lang w:val="es-ES" w:eastAsia="en-US" w:bidi="ar-SA"/>
      </w:rPr>
    </w:lvl>
    <w:lvl w:ilvl="2" w:tplc="97C883A0">
      <w:numFmt w:val="bullet"/>
      <w:lvlText w:val="•"/>
      <w:lvlJc w:val="left"/>
      <w:pPr>
        <w:ind w:left="3024" w:hanging="360"/>
      </w:pPr>
      <w:rPr>
        <w:rFonts w:hint="default"/>
        <w:lang w:val="es-ES" w:eastAsia="en-US" w:bidi="ar-SA"/>
      </w:rPr>
    </w:lvl>
    <w:lvl w:ilvl="3" w:tplc="374CEE24">
      <w:numFmt w:val="bullet"/>
      <w:lvlText w:val="•"/>
      <w:lvlJc w:val="left"/>
      <w:pPr>
        <w:ind w:left="3816" w:hanging="360"/>
      </w:pPr>
      <w:rPr>
        <w:rFonts w:hint="default"/>
        <w:lang w:val="es-ES" w:eastAsia="en-US" w:bidi="ar-SA"/>
      </w:rPr>
    </w:lvl>
    <w:lvl w:ilvl="4" w:tplc="6D1AEA5E">
      <w:numFmt w:val="bullet"/>
      <w:lvlText w:val="•"/>
      <w:lvlJc w:val="left"/>
      <w:pPr>
        <w:ind w:left="4608" w:hanging="360"/>
      </w:pPr>
      <w:rPr>
        <w:rFonts w:hint="default"/>
        <w:lang w:val="es-ES" w:eastAsia="en-US" w:bidi="ar-SA"/>
      </w:rPr>
    </w:lvl>
    <w:lvl w:ilvl="5" w:tplc="A1FAA47A">
      <w:numFmt w:val="bullet"/>
      <w:lvlText w:val="•"/>
      <w:lvlJc w:val="left"/>
      <w:pPr>
        <w:ind w:left="5400" w:hanging="360"/>
      </w:pPr>
      <w:rPr>
        <w:rFonts w:hint="default"/>
        <w:lang w:val="es-ES" w:eastAsia="en-US" w:bidi="ar-SA"/>
      </w:rPr>
    </w:lvl>
    <w:lvl w:ilvl="6" w:tplc="717AC7B6">
      <w:numFmt w:val="bullet"/>
      <w:lvlText w:val="•"/>
      <w:lvlJc w:val="left"/>
      <w:pPr>
        <w:ind w:left="6192" w:hanging="360"/>
      </w:pPr>
      <w:rPr>
        <w:rFonts w:hint="default"/>
        <w:lang w:val="es-ES" w:eastAsia="en-US" w:bidi="ar-SA"/>
      </w:rPr>
    </w:lvl>
    <w:lvl w:ilvl="7" w:tplc="495E1888">
      <w:numFmt w:val="bullet"/>
      <w:lvlText w:val="•"/>
      <w:lvlJc w:val="left"/>
      <w:pPr>
        <w:ind w:left="6984" w:hanging="360"/>
      </w:pPr>
      <w:rPr>
        <w:rFonts w:hint="default"/>
        <w:lang w:val="es-ES" w:eastAsia="en-US" w:bidi="ar-SA"/>
      </w:rPr>
    </w:lvl>
    <w:lvl w:ilvl="8" w:tplc="9E64008A">
      <w:numFmt w:val="bullet"/>
      <w:lvlText w:val="•"/>
      <w:lvlJc w:val="left"/>
      <w:pPr>
        <w:ind w:left="7776" w:hanging="360"/>
      </w:pPr>
      <w:rPr>
        <w:rFonts w:hint="default"/>
        <w:lang w:val="es-ES" w:eastAsia="en-US" w:bidi="ar-SA"/>
      </w:rPr>
    </w:lvl>
  </w:abstractNum>
  <w:abstractNum w:abstractNumId="16" w15:restartNumberingAfterBreak="0">
    <w:nsid w:val="315832DD"/>
    <w:multiLevelType w:val="hybridMultilevel"/>
    <w:tmpl w:val="315636C8"/>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7" w15:restartNumberingAfterBreak="0">
    <w:nsid w:val="31A4114E"/>
    <w:multiLevelType w:val="multilevel"/>
    <w:tmpl w:val="DE449156"/>
    <w:lvl w:ilvl="0">
      <w:start w:val="4"/>
      <w:numFmt w:val="decimal"/>
      <w:lvlText w:val="%1"/>
      <w:lvlJc w:val="left"/>
      <w:pPr>
        <w:ind w:left="1158" w:hanging="439"/>
      </w:pPr>
      <w:rPr>
        <w:rFonts w:hint="default"/>
        <w:lang w:val="es-ES" w:eastAsia="en-US" w:bidi="ar-SA"/>
      </w:rPr>
    </w:lvl>
    <w:lvl w:ilvl="1">
      <w:start w:val="1"/>
      <w:numFmt w:val="decimal"/>
      <w:lvlText w:val="%1.%2"/>
      <w:lvlJc w:val="left"/>
      <w:pPr>
        <w:ind w:left="1574"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o"/>
      <w:lvlJc w:val="left"/>
      <w:pPr>
        <w:ind w:left="2160" w:hanging="360"/>
      </w:pPr>
      <w:rPr>
        <w:rFonts w:ascii="Courier New" w:eastAsia="Courier New" w:hAnsi="Courier New" w:cs="Courier New" w:hint="default"/>
        <w:b w:val="0"/>
        <w:bCs w:val="0"/>
        <w:i w:val="0"/>
        <w:iCs w:val="0"/>
        <w:color w:val="767070"/>
        <w:spacing w:val="0"/>
        <w:w w:val="100"/>
        <w:sz w:val="24"/>
        <w:szCs w:val="24"/>
        <w:lang w:val="es-ES" w:eastAsia="en-US" w:bidi="ar-SA"/>
      </w:rPr>
    </w:lvl>
    <w:lvl w:ilvl="4">
      <w:numFmt w:val="bullet"/>
      <w:lvlText w:val="•"/>
      <w:lvlJc w:val="left"/>
      <w:pPr>
        <w:ind w:left="3960" w:hanging="360"/>
      </w:pPr>
      <w:rPr>
        <w:rFonts w:hint="default"/>
        <w:lang w:val="es-ES" w:eastAsia="en-US" w:bidi="ar-SA"/>
      </w:rPr>
    </w:lvl>
    <w:lvl w:ilvl="5">
      <w:numFmt w:val="bullet"/>
      <w:lvlText w:val="•"/>
      <w:lvlJc w:val="left"/>
      <w:pPr>
        <w:ind w:left="4860" w:hanging="360"/>
      </w:pPr>
      <w:rPr>
        <w:rFonts w:hint="default"/>
        <w:lang w:val="es-ES" w:eastAsia="en-US" w:bidi="ar-SA"/>
      </w:rPr>
    </w:lvl>
    <w:lvl w:ilvl="6">
      <w:numFmt w:val="bullet"/>
      <w:lvlText w:val="•"/>
      <w:lvlJc w:val="left"/>
      <w:pPr>
        <w:ind w:left="5760" w:hanging="360"/>
      </w:pPr>
      <w:rPr>
        <w:rFonts w:hint="default"/>
        <w:lang w:val="es-ES" w:eastAsia="en-US" w:bidi="ar-SA"/>
      </w:rPr>
    </w:lvl>
    <w:lvl w:ilvl="7">
      <w:numFmt w:val="bullet"/>
      <w:lvlText w:val="•"/>
      <w:lvlJc w:val="left"/>
      <w:pPr>
        <w:ind w:left="6660" w:hanging="360"/>
      </w:pPr>
      <w:rPr>
        <w:rFonts w:hint="default"/>
        <w:lang w:val="es-ES" w:eastAsia="en-US" w:bidi="ar-SA"/>
      </w:rPr>
    </w:lvl>
    <w:lvl w:ilvl="8">
      <w:numFmt w:val="bullet"/>
      <w:lvlText w:val="•"/>
      <w:lvlJc w:val="left"/>
      <w:pPr>
        <w:ind w:left="7560" w:hanging="360"/>
      </w:pPr>
      <w:rPr>
        <w:rFonts w:hint="default"/>
        <w:lang w:val="es-ES" w:eastAsia="en-US" w:bidi="ar-SA"/>
      </w:rPr>
    </w:lvl>
  </w:abstractNum>
  <w:abstractNum w:abstractNumId="18" w15:restartNumberingAfterBreak="0">
    <w:nsid w:val="35AF48E2"/>
    <w:multiLevelType w:val="hybridMultilevel"/>
    <w:tmpl w:val="9EE8B826"/>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9" w15:restartNumberingAfterBreak="0">
    <w:nsid w:val="364B0711"/>
    <w:multiLevelType w:val="hybridMultilevel"/>
    <w:tmpl w:val="92E4DD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45B40"/>
    <w:multiLevelType w:val="hybridMultilevel"/>
    <w:tmpl w:val="DB84F2EE"/>
    <w:lvl w:ilvl="0" w:tplc="7CA42CFA">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97A4915"/>
    <w:multiLevelType w:val="hybridMultilevel"/>
    <w:tmpl w:val="C69E573A"/>
    <w:lvl w:ilvl="0" w:tplc="B658CD20">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DC5A25C6">
      <w:numFmt w:val="bullet"/>
      <w:lvlText w:val="•"/>
      <w:lvlJc w:val="left"/>
      <w:pPr>
        <w:ind w:left="2232" w:hanging="360"/>
      </w:pPr>
      <w:rPr>
        <w:rFonts w:hint="default"/>
        <w:lang w:val="es-ES" w:eastAsia="en-US" w:bidi="ar-SA"/>
      </w:rPr>
    </w:lvl>
    <w:lvl w:ilvl="2" w:tplc="8F8EC578">
      <w:numFmt w:val="bullet"/>
      <w:lvlText w:val="•"/>
      <w:lvlJc w:val="left"/>
      <w:pPr>
        <w:ind w:left="3024" w:hanging="360"/>
      </w:pPr>
      <w:rPr>
        <w:rFonts w:hint="default"/>
        <w:lang w:val="es-ES" w:eastAsia="en-US" w:bidi="ar-SA"/>
      </w:rPr>
    </w:lvl>
    <w:lvl w:ilvl="3" w:tplc="2FA0592E">
      <w:numFmt w:val="bullet"/>
      <w:lvlText w:val="•"/>
      <w:lvlJc w:val="left"/>
      <w:pPr>
        <w:ind w:left="3816" w:hanging="360"/>
      </w:pPr>
      <w:rPr>
        <w:rFonts w:hint="default"/>
        <w:lang w:val="es-ES" w:eastAsia="en-US" w:bidi="ar-SA"/>
      </w:rPr>
    </w:lvl>
    <w:lvl w:ilvl="4" w:tplc="D4C8B2D6">
      <w:numFmt w:val="bullet"/>
      <w:lvlText w:val="•"/>
      <w:lvlJc w:val="left"/>
      <w:pPr>
        <w:ind w:left="4608" w:hanging="360"/>
      </w:pPr>
      <w:rPr>
        <w:rFonts w:hint="default"/>
        <w:lang w:val="es-ES" w:eastAsia="en-US" w:bidi="ar-SA"/>
      </w:rPr>
    </w:lvl>
    <w:lvl w:ilvl="5" w:tplc="62782A98">
      <w:numFmt w:val="bullet"/>
      <w:lvlText w:val="•"/>
      <w:lvlJc w:val="left"/>
      <w:pPr>
        <w:ind w:left="5400" w:hanging="360"/>
      </w:pPr>
      <w:rPr>
        <w:rFonts w:hint="default"/>
        <w:lang w:val="es-ES" w:eastAsia="en-US" w:bidi="ar-SA"/>
      </w:rPr>
    </w:lvl>
    <w:lvl w:ilvl="6" w:tplc="7B1ED558">
      <w:numFmt w:val="bullet"/>
      <w:lvlText w:val="•"/>
      <w:lvlJc w:val="left"/>
      <w:pPr>
        <w:ind w:left="6192" w:hanging="360"/>
      </w:pPr>
      <w:rPr>
        <w:rFonts w:hint="default"/>
        <w:lang w:val="es-ES" w:eastAsia="en-US" w:bidi="ar-SA"/>
      </w:rPr>
    </w:lvl>
    <w:lvl w:ilvl="7" w:tplc="2A6A6EC8">
      <w:numFmt w:val="bullet"/>
      <w:lvlText w:val="•"/>
      <w:lvlJc w:val="left"/>
      <w:pPr>
        <w:ind w:left="6984" w:hanging="360"/>
      </w:pPr>
      <w:rPr>
        <w:rFonts w:hint="default"/>
        <w:lang w:val="es-ES" w:eastAsia="en-US" w:bidi="ar-SA"/>
      </w:rPr>
    </w:lvl>
    <w:lvl w:ilvl="8" w:tplc="7D2CA88A">
      <w:numFmt w:val="bullet"/>
      <w:lvlText w:val="•"/>
      <w:lvlJc w:val="left"/>
      <w:pPr>
        <w:ind w:left="7776" w:hanging="360"/>
      </w:pPr>
      <w:rPr>
        <w:rFonts w:hint="default"/>
        <w:lang w:val="es-ES" w:eastAsia="en-US" w:bidi="ar-SA"/>
      </w:rPr>
    </w:lvl>
  </w:abstractNum>
  <w:abstractNum w:abstractNumId="22" w15:restartNumberingAfterBreak="0">
    <w:nsid w:val="3C6773E9"/>
    <w:multiLevelType w:val="hybridMultilevel"/>
    <w:tmpl w:val="FF167B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12053E"/>
    <w:multiLevelType w:val="hybridMultilevel"/>
    <w:tmpl w:val="7CF66F54"/>
    <w:lvl w:ilvl="0" w:tplc="540A000D">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B7FE0"/>
    <w:multiLevelType w:val="hybridMultilevel"/>
    <w:tmpl w:val="26525A8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15:restartNumberingAfterBreak="0">
    <w:nsid w:val="4EE62164"/>
    <w:multiLevelType w:val="hybridMultilevel"/>
    <w:tmpl w:val="43F09DCA"/>
    <w:lvl w:ilvl="0" w:tplc="73A883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BE6172"/>
    <w:multiLevelType w:val="hybridMultilevel"/>
    <w:tmpl w:val="50C619BC"/>
    <w:lvl w:ilvl="0" w:tplc="854E9A88">
      <w:start w:val="1"/>
      <w:numFmt w:val="upperLetter"/>
      <w:lvlText w:val="%1."/>
      <w:lvlJc w:val="left"/>
      <w:pPr>
        <w:ind w:left="1440" w:hanging="408"/>
      </w:pPr>
      <w:rPr>
        <w:rFonts w:ascii="Times New Roman" w:eastAsia="Times New Roman" w:hAnsi="Times New Roman" w:cs="Times New Roman" w:hint="default"/>
        <w:b/>
        <w:bCs/>
        <w:i/>
        <w:iCs/>
        <w:color w:val="767070"/>
        <w:spacing w:val="0"/>
        <w:w w:val="100"/>
        <w:sz w:val="24"/>
        <w:szCs w:val="24"/>
        <w:lang w:val="es-ES" w:eastAsia="en-US" w:bidi="ar-SA"/>
      </w:rPr>
    </w:lvl>
    <w:lvl w:ilvl="1" w:tplc="E866237E">
      <w:numFmt w:val="bullet"/>
      <w:lvlText w:val="•"/>
      <w:lvlJc w:val="left"/>
      <w:pPr>
        <w:ind w:left="2232" w:hanging="408"/>
      </w:pPr>
      <w:rPr>
        <w:rFonts w:hint="default"/>
        <w:lang w:val="es-ES" w:eastAsia="en-US" w:bidi="ar-SA"/>
      </w:rPr>
    </w:lvl>
    <w:lvl w:ilvl="2" w:tplc="F30CAA2C">
      <w:numFmt w:val="bullet"/>
      <w:lvlText w:val="•"/>
      <w:lvlJc w:val="left"/>
      <w:pPr>
        <w:ind w:left="3024" w:hanging="408"/>
      </w:pPr>
      <w:rPr>
        <w:rFonts w:hint="default"/>
        <w:lang w:val="es-ES" w:eastAsia="en-US" w:bidi="ar-SA"/>
      </w:rPr>
    </w:lvl>
    <w:lvl w:ilvl="3" w:tplc="0936D91C">
      <w:numFmt w:val="bullet"/>
      <w:lvlText w:val="•"/>
      <w:lvlJc w:val="left"/>
      <w:pPr>
        <w:ind w:left="3816" w:hanging="408"/>
      </w:pPr>
      <w:rPr>
        <w:rFonts w:hint="default"/>
        <w:lang w:val="es-ES" w:eastAsia="en-US" w:bidi="ar-SA"/>
      </w:rPr>
    </w:lvl>
    <w:lvl w:ilvl="4" w:tplc="992CAC2C">
      <w:numFmt w:val="bullet"/>
      <w:lvlText w:val="•"/>
      <w:lvlJc w:val="left"/>
      <w:pPr>
        <w:ind w:left="4608" w:hanging="408"/>
      </w:pPr>
      <w:rPr>
        <w:rFonts w:hint="default"/>
        <w:lang w:val="es-ES" w:eastAsia="en-US" w:bidi="ar-SA"/>
      </w:rPr>
    </w:lvl>
    <w:lvl w:ilvl="5" w:tplc="8A3A4176">
      <w:numFmt w:val="bullet"/>
      <w:lvlText w:val="•"/>
      <w:lvlJc w:val="left"/>
      <w:pPr>
        <w:ind w:left="5400" w:hanging="408"/>
      </w:pPr>
      <w:rPr>
        <w:rFonts w:hint="default"/>
        <w:lang w:val="es-ES" w:eastAsia="en-US" w:bidi="ar-SA"/>
      </w:rPr>
    </w:lvl>
    <w:lvl w:ilvl="6" w:tplc="BF56EA82">
      <w:numFmt w:val="bullet"/>
      <w:lvlText w:val="•"/>
      <w:lvlJc w:val="left"/>
      <w:pPr>
        <w:ind w:left="6192" w:hanging="408"/>
      </w:pPr>
      <w:rPr>
        <w:rFonts w:hint="default"/>
        <w:lang w:val="es-ES" w:eastAsia="en-US" w:bidi="ar-SA"/>
      </w:rPr>
    </w:lvl>
    <w:lvl w:ilvl="7" w:tplc="05248050">
      <w:numFmt w:val="bullet"/>
      <w:lvlText w:val="•"/>
      <w:lvlJc w:val="left"/>
      <w:pPr>
        <w:ind w:left="6984" w:hanging="408"/>
      </w:pPr>
      <w:rPr>
        <w:rFonts w:hint="default"/>
        <w:lang w:val="es-ES" w:eastAsia="en-US" w:bidi="ar-SA"/>
      </w:rPr>
    </w:lvl>
    <w:lvl w:ilvl="8" w:tplc="F91EA884">
      <w:numFmt w:val="bullet"/>
      <w:lvlText w:val="•"/>
      <w:lvlJc w:val="left"/>
      <w:pPr>
        <w:ind w:left="7776" w:hanging="408"/>
      </w:pPr>
      <w:rPr>
        <w:rFonts w:hint="default"/>
        <w:lang w:val="es-ES" w:eastAsia="en-US" w:bidi="ar-SA"/>
      </w:rPr>
    </w:lvl>
  </w:abstractNum>
  <w:abstractNum w:abstractNumId="27" w15:restartNumberingAfterBreak="0">
    <w:nsid w:val="51C82EA6"/>
    <w:multiLevelType w:val="hybridMultilevel"/>
    <w:tmpl w:val="C3E0E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51137F"/>
    <w:multiLevelType w:val="hybridMultilevel"/>
    <w:tmpl w:val="6A1C2288"/>
    <w:lvl w:ilvl="0" w:tplc="B658CD20">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C06D0B"/>
    <w:multiLevelType w:val="hybridMultilevel"/>
    <w:tmpl w:val="39DC2320"/>
    <w:lvl w:ilvl="0" w:tplc="D0169BDA">
      <w:start w:val="1"/>
      <w:numFmt w:val="decimal"/>
      <w:lvlText w:val="%1."/>
      <w:lvlJc w:val="left"/>
      <w:pPr>
        <w:ind w:left="144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1" w:tplc="7654E8E8">
      <w:numFmt w:val="bullet"/>
      <w:lvlText w:val="•"/>
      <w:lvlJc w:val="left"/>
      <w:pPr>
        <w:ind w:left="2232" w:hanging="360"/>
      </w:pPr>
      <w:rPr>
        <w:rFonts w:hint="default"/>
        <w:lang w:val="es-ES" w:eastAsia="en-US" w:bidi="ar-SA"/>
      </w:rPr>
    </w:lvl>
    <w:lvl w:ilvl="2" w:tplc="A364BB80">
      <w:numFmt w:val="bullet"/>
      <w:lvlText w:val="•"/>
      <w:lvlJc w:val="left"/>
      <w:pPr>
        <w:ind w:left="3024" w:hanging="360"/>
      </w:pPr>
      <w:rPr>
        <w:rFonts w:hint="default"/>
        <w:lang w:val="es-ES" w:eastAsia="en-US" w:bidi="ar-SA"/>
      </w:rPr>
    </w:lvl>
    <w:lvl w:ilvl="3" w:tplc="D6A64DEC">
      <w:numFmt w:val="bullet"/>
      <w:lvlText w:val="•"/>
      <w:lvlJc w:val="left"/>
      <w:pPr>
        <w:ind w:left="3816" w:hanging="360"/>
      </w:pPr>
      <w:rPr>
        <w:rFonts w:hint="default"/>
        <w:lang w:val="es-ES" w:eastAsia="en-US" w:bidi="ar-SA"/>
      </w:rPr>
    </w:lvl>
    <w:lvl w:ilvl="4" w:tplc="E5BACB90">
      <w:numFmt w:val="bullet"/>
      <w:lvlText w:val="•"/>
      <w:lvlJc w:val="left"/>
      <w:pPr>
        <w:ind w:left="4608" w:hanging="360"/>
      </w:pPr>
      <w:rPr>
        <w:rFonts w:hint="default"/>
        <w:lang w:val="es-ES" w:eastAsia="en-US" w:bidi="ar-SA"/>
      </w:rPr>
    </w:lvl>
    <w:lvl w:ilvl="5" w:tplc="D6062D72">
      <w:numFmt w:val="bullet"/>
      <w:lvlText w:val="•"/>
      <w:lvlJc w:val="left"/>
      <w:pPr>
        <w:ind w:left="5400" w:hanging="360"/>
      </w:pPr>
      <w:rPr>
        <w:rFonts w:hint="default"/>
        <w:lang w:val="es-ES" w:eastAsia="en-US" w:bidi="ar-SA"/>
      </w:rPr>
    </w:lvl>
    <w:lvl w:ilvl="6" w:tplc="FB580D22">
      <w:numFmt w:val="bullet"/>
      <w:lvlText w:val="•"/>
      <w:lvlJc w:val="left"/>
      <w:pPr>
        <w:ind w:left="6192" w:hanging="360"/>
      </w:pPr>
      <w:rPr>
        <w:rFonts w:hint="default"/>
        <w:lang w:val="es-ES" w:eastAsia="en-US" w:bidi="ar-SA"/>
      </w:rPr>
    </w:lvl>
    <w:lvl w:ilvl="7" w:tplc="16CC035E">
      <w:numFmt w:val="bullet"/>
      <w:lvlText w:val="•"/>
      <w:lvlJc w:val="left"/>
      <w:pPr>
        <w:ind w:left="6984" w:hanging="360"/>
      </w:pPr>
      <w:rPr>
        <w:rFonts w:hint="default"/>
        <w:lang w:val="es-ES" w:eastAsia="en-US" w:bidi="ar-SA"/>
      </w:rPr>
    </w:lvl>
    <w:lvl w:ilvl="8" w:tplc="A6EE84CA">
      <w:numFmt w:val="bullet"/>
      <w:lvlText w:val="•"/>
      <w:lvlJc w:val="left"/>
      <w:pPr>
        <w:ind w:left="7776" w:hanging="360"/>
      </w:pPr>
      <w:rPr>
        <w:rFonts w:hint="default"/>
        <w:lang w:val="es-ES" w:eastAsia="en-US" w:bidi="ar-SA"/>
      </w:rPr>
    </w:lvl>
  </w:abstractNum>
  <w:abstractNum w:abstractNumId="30" w15:restartNumberingAfterBreak="0">
    <w:nsid w:val="5A6223EE"/>
    <w:multiLevelType w:val="hybridMultilevel"/>
    <w:tmpl w:val="471A3AD2"/>
    <w:lvl w:ilvl="0" w:tplc="540A000D">
      <w:start w:val="1"/>
      <w:numFmt w:val="bullet"/>
      <w:lvlText w:val=""/>
      <w:lvlJc w:val="left"/>
      <w:pPr>
        <w:ind w:left="1440" w:hanging="360"/>
      </w:pPr>
      <w:rPr>
        <w:rFonts w:ascii="Wingdings" w:hAnsi="Wingdings"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31" w15:restartNumberingAfterBreak="0">
    <w:nsid w:val="60B42501"/>
    <w:multiLevelType w:val="hybridMultilevel"/>
    <w:tmpl w:val="6E820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70D5A"/>
    <w:multiLevelType w:val="multilevel"/>
    <w:tmpl w:val="DE449156"/>
    <w:lvl w:ilvl="0">
      <w:start w:val="4"/>
      <w:numFmt w:val="decimal"/>
      <w:lvlText w:val="%1"/>
      <w:lvlJc w:val="left"/>
      <w:pPr>
        <w:ind w:left="1158" w:hanging="439"/>
      </w:pPr>
      <w:rPr>
        <w:rFonts w:hint="default"/>
        <w:lang w:val="es-ES" w:eastAsia="en-US" w:bidi="ar-SA"/>
      </w:rPr>
    </w:lvl>
    <w:lvl w:ilvl="1">
      <w:start w:val="1"/>
      <w:numFmt w:val="decimal"/>
      <w:lvlText w:val="%1.%2"/>
      <w:lvlJc w:val="left"/>
      <w:pPr>
        <w:ind w:left="1574"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o"/>
      <w:lvlJc w:val="left"/>
      <w:pPr>
        <w:ind w:left="2160" w:hanging="360"/>
      </w:pPr>
      <w:rPr>
        <w:rFonts w:ascii="Courier New" w:eastAsia="Courier New" w:hAnsi="Courier New" w:cs="Courier New" w:hint="default"/>
        <w:b w:val="0"/>
        <w:bCs w:val="0"/>
        <w:i w:val="0"/>
        <w:iCs w:val="0"/>
        <w:color w:val="767070"/>
        <w:spacing w:val="0"/>
        <w:w w:val="100"/>
        <w:sz w:val="24"/>
        <w:szCs w:val="24"/>
        <w:lang w:val="es-ES" w:eastAsia="en-US" w:bidi="ar-SA"/>
      </w:rPr>
    </w:lvl>
    <w:lvl w:ilvl="4">
      <w:numFmt w:val="bullet"/>
      <w:lvlText w:val="•"/>
      <w:lvlJc w:val="left"/>
      <w:pPr>
        <w:ind w:left="3960" w:hanging="360"/>
      </w:pPr>
      <w:rPr>
        <w:rFonts w:hint="default"/>
        <w:lang w:val="es-ES" w:eastAsia="en-US" w:bidi="ar-SA"/>
      </w:rPr>
    </w:lvl>
    <w:lvl w:ilvl="5">
      <w:numFmt w:val="bullet"/>
      <w:lvlText w:val="•"/>
      <w:lvlJc w:val="left"/>
      <w:pPr>
        <w:ind w:left="4860" w:hanging="360"/>
      </w:pPr>
      <w:rPr>
        <w:rFonts w:hint="default"/>
        <w:lang w:val="es-ES" w:eastAsia="en-US" w:bidi="ar-SA"/>
      </w:rPr>
    </w:lvl>
    <w:lvl w:ilvl="6">
      <w:numFmt w:val="bullet"/>
      <w:lvlText w:val="•"/>
      <w:lvlJc w:val="left"/>
      <w:pPr>
        <w:ind w:left="5760" w:hanging="360"/>
      </w:pPr>
      <w:rPr>
        <w:rFonts w:hint="default"/>
        <w:lang w:val="es-ES" w:eastAsia="en-US" w:bidi="ar-SA"/>
      </w:rPr>
    </w:lvl>
    <w:lvl w:ilvl="7">
      <w:numFmt w:val="bullet"/>
      <w:lvlText w:val="•"/>
      <w:lvlJc w:val="left"/>
      <w:pPr>
        <w:ind w:left="6660" w:hanging="360"/>
      </w:pPr>
      <w:rPr>
        <w:rFonts w:hint="default"/>
        <w:lang w:val="es-ES" w:eastAsia="en-US" w:bidi="ar-SA"/>
      </w:rPr>
    </w:lvl>
    <w:lvl w:ilvl="8">
      <w:numFmt w:val="bullet"/>
      <w:lvlText w:val="•"/>
      <w:lvlJc w:val="left"/>
      <w:pPr>
        <w:ind w:left="7560" w:hanging="360"/>
      </w:pPr>
      <w:rPr>
        <w:rFonts w:hint="default"/>
        <w:lang w:val="es-ES" w:eastAsia="en-US" w:bidi="ar-SA"/>
      </w:rPr>
    </w:lvl>
  </w:abstractNum>
  <w:abstractNum w:abstractNumId="33" w15:restartNumberingAfterBreak="0">
    <w:nsid w:val="62011D1B"/>
    <w:multiLevelType w:val="hybridMultilevel"/>
    <w:tmpl w:val="7B5882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6E59DF"/>
    <w:multiLevelType w:val="multilevel"/>
    <w:tmpl w:val="452AC1E2"/>
    <w:lvl w:ilvl="0">
      <w:start w:val="2"/>
      <w:numFmt w:val="decimal"/>
      <w:lvlText w:val="%1"/>
      <w:lvlJc w:val="left"/>
      <w:pPr>
        <w:ind w:left="1158" w:hanging="439"/>
      </w:pPr>
      <w:rPr>
        <w:rFonts w:hint="default"/>
        <w:lang w:val="es-ES" w:eastAsia="en-US" w:bidi="ar-SA"/>
      </w:rPr>
    </w:lvl>
    <w:lvl w:ilvl="1">
      <w:start w:val="1"/>
      <w:numFmt w:val="decimal"/>
      <w:lvlText w:val="%1.%2"/>
      <w:lvlJc w:val="left"/>
      <w:pPr>
        <w:ind w:left="1158"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1737" w:hanging="297"/>
      </w:pPr>
      <w:rPr>
        <w:rFonts w:ascii="Times New Roman" w:eastAsia="Times New Roman" w:hAnsi="Times New Roman" w:cs="Times New Roman" w:hint="default"/>
        <w:b/>
        <w:bCs/>
        <w:i/>
        <w:iCs/>
        <w:color w:val="7F7F7F" w:themeColor="text1" w:themeTint="80"/>
        <w:spacing w:val="0"/>
        <w:w w:val="100"/>
        <w:sz w:val="24"/>
        <w:szCs w:val="24"/>
        <w:lang w:val="es-ES" w:eastAsia="en-US" w:bidi="ar-SA"/>
      </w:rPr>
    </w:lvl>
    <w:lvl w:ilvl="3">
      <w:numFmt w:val="bullet"/>
      <w:lvlText w:val="•"/>
      <w:lvlJc w:val="left"/>
      <w:pPr>
        <w:ind w:left="3433" w:hanging="297"/>
      </w:pPr>
      <w:rPr>
        <w:rFonts w:hint="default"/>
        <w:lang w:val="es-ES" w:eastAsia="en-US" w:bidi="ar-SA"/>
      </w:rPr>
    </w:lvl>
    <w:lvl w:ilvl="4">
      <w:numFmt w:val="bullet"/>
      <w:lvlText w:val="•"/>
      <w:lvlJc w:val="left"/>
      <w:pPr>
        <w:ind w:left="4280" w:hanging="297"/>
      </w:pPr>
      <w:rPr>
        <w:rFonts w:hint="default"/>
        <w:lang w:val="es-ES" w:eastAsia="en-US" w:bidi="ar-SA"/>
      </w:rPr>
    </w:lvl>
    <w:lvl w:ilvl="5">
      <w:numFmt w:val="bullet"/>
      <w:lvlText w:val="•"/>
      <w:lvlJc w:val="left"/>
      <w:pPr>
        <w:ind w:left="5126" w:hanging="297"/>
      </w:pPr>
      <w:rPr>
        <w:rFonts w:hint="default"/>
        <w:lang w:val="es-ES" w:eastAsia="en-US" w:bidi="ar-SA"/>
      </w:rPr>
    </w:lvl>
    <w:lvl w:ilvl="6">
      <w:numFmt w:val="bullet"/>
      <w:lvlText w:val="•"/>
      <w:lvlJc w:val="left"/>
      <w:pPr>
        <w:ind w:left="5973" w:hanging="297"/>
      </w:pPr>
      <w:rPr>
        <w:rFonts w:hint="default"/>
        <w:lang w:val="es-ES" w:eastAsia="en-US" w:bidi="ar-SA"/>
      </w:rPr>
    </w:lvl>
    <w:lvl w:ilvl="7">
      <w:numFmt w:val="bullet"/>
      <w:lvlText w:val="•"/>
      <w:lvlJc w:val="left"/>
      <w:pPr>
        <w:ind w:left="6820" w:hanging="297"/>
      </w:pPr>
      <w:rPr>
        <w:rFonts w:hint="default"/>
        <w:lang w:val="es-ES" w:eastAsia="en-US" w:bidi="ar-SA"/>
      </w:rPr>
    </w:lvl>
    <w:lvl w:ilvl="8">
      <w:numFmt w:val="bullet"/>
      <w:lvlText w:val="•"/>
      <w:lvlJc w:val="left"/>
      <w:pPr>
        <w:ind w:left="7666" w:hanging="297"/>
      </w:pPr>
      <w:rPr>
        <w:rFonts w:hint="default"/>
        <w:lang w:val="es-ES" w:eastAsia="en-US" w:bidi="ar-SA"/>
      </w:rPr>
    </w:lvl>
  </w:abstractNum>
  <w:abstractNum w:abstractNumId="35" w15:restartNumberingAfterBreak="0">
    <w:nsid w:val="63545B4B"/>
    <w:multiLevelType w:val="hybridMultilevel"/>
    <w:tmpl w:val="17C4255C"/>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6" w15:restartNumberingAfterBreak="0">
    <w:nsid w:val="66A51590"/>
    <w:multiLevelType w:val="multilevel"/>
    <w:tmpl w:val="1E365B16"/>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8E01BFA"/>
    <w:multiLevelType w:val="hybridMultilevel"/>
    <w:tmpl w:val="DB62E832"/>
    <w:lvl w:ilvl="0" w:tplc="73A883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3611C9"/>
    <w:multiLevelType w:val="hybridMultilevel"/>
    <w:tmpl w:val="1E5E67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6644B1"/>
    <w:multiLevelType w:val="hybridMultilevel"/>
    <w:tmpl w:val="F768E1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D620F59"/>
    <w:multiLevelType w:val="multilevel"/>
    <w:tmpl w:val="17406AA0"/>
    <w:lvl w:ilvl="0">
      <w:start w:val="4"/>
      <w:numFmt w:val="decimal"/>
      <w:lvlText w:val="%1."/>
      <w:lvlJc w:val="left"/>
      <w:pPr>
        <w:ind w:left="420" w:hanging="42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980" w:hanging="144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1" w15:restartNumberingAfterBreak="0">
    <w:nsid w:val="72A57DAC"/>
    <w:multiLevelType w:val="hybridMultilevel"/>
    <w:tmpl w:val="E5F0CF4A"/>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2" w15:restartNumberingAfterBreak="0">
    <w:nsid w:val="72ED37AB"/>
    <w:multiLevelType w:val="hybridMultilevel"/>
    <w:tmpl w:val="C1CADB24"/>
    <w:lvl w:ilvl="0" w:tplc="95C6595E">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C8A2983A">
      <w:numFmt w:val="bullet"/>
      <w:lvlText w:val="o"/>
      <w:lvlJc w:val="left"/>
      <w:pPr>
        <w:ind w:left="2160" w:hanging="360"/>
      </w:pPr>
      <w:rPr>
        <w:rFonts w:ascii="Courier New" w:eastAsia="Courier New" w:hAnsi="Courier New" w:cs="Courier New" w:hint="default"/>
        <w:b w:val="0"/>
        <w:bCs w:val="0"/>
        <w:i w:val="0"/>
        <w:iCs w:val="0"/>
        <w:color w:val="767070"/>
        <w:spacing w:val="0"/>
        <w:w w:val="100"/>
        <w:sz w:val="24"/>
        <w:szCs w:val="24"/>
        <w:lang w:val="es-ES" w:eastAsia="en-US" w:bidi="ar-SA"/>
      </w:rPr>
    </w:lvl>
    <w:lvl w:ilvl="2" w:tplc="513601C8">
      <w:numFmt w:val="bullet"/>
      <w:lvlText w:val="•"/>
      <w:lvlJc w:val="left"/>
      <w:pPr>
        <w:ind w:left="2960" w:hanging="360"/>
      </w:pPr>
      <w:rPr>
        <w:rFonts w:hint="default"/>
        <w:lang w:val="es-ES" w:eastAsia="en-US" w:bidi="ar-SA"/>
      </w:rPr>
    </w:lvl>
    <w:lvl w:ilvl="3" w:tplc="9670C722">
      <w:numFmt w:val="bullet"/>
      <w:lvlText w:val="•"/>
      <w:lvlJc w:val="left"/>
      <w:pPr>
        <w:ind w:left="3760" w:hanging="360"/>
      </w:pPr>
      <w:rPr>
        <w:rFonts w:hint="default"/>
        <w:lang w:val="es-ES" w:eastAsia="en-US" w:bidi="ar-SA"/>
      </w:rPr>
    </w:lvl>
    <w:lvl w:ilvl="4" w:tplc="034E3386">
      <w:numFmt w:val="bullet"/>
      <w:lvlText w:val="•"/>
      <w:lvlJc w:val="left"/>
      <w:pPr>
        <w:ind w:left="4560" w:hanging="360"/>
      </w:pPr>
      <w:rPr>
        <w:rFonts w:hint="default"/>
        <w:lang w:val="es-ES" w:eastAsia="en-US" w:bidi="ar-SA"/>
      </w:rPr>
    </w:lvl>
    <w:lvl w:ilvl="5" w:tplc="EF5C1FC4">
      <w:numFmt w:val="bullet"/>
      <w:lvlText w:val="•"/>
      <w:lvlJc w:val="left"/>
      <w:pPr>
        <w:ind w:left="5360" w:hanging="360"/>
      </w:pPr>
      <w:rPr>
        <w:rFonts w:hint="default"/>
        <w:lang w:val="es-ES" w:eastAsia="en-US" w:bidi="ar-SA"/>
      </w:rPr>
    </w:lvl>
    <w:lvl w:ilvl="6" w:tplc="02A4CB34">
      <w:numFmt w:val="bullet"/>
      <w:lvlText w:val="•"/>
      <w:lvlJc w:val="left"/>
      <w:pPr>
        <w:ind w:left="6160" w:hanging="360"/>
      </w:pPr>
      <w:rPr>
        <w:rFonts w:hint="default"/>
        <w:lang w:val="es-ES" w:eastAsia="en-US" w:bidi="ar-SA"/>
      </w:rPr>
    </w:lvl>
    <w:lvl w:ilvl="7" w:tplc="266C7BF2">
      <w:numFmt w:val="bullet"/>
      <w:lvlText w:val="•"/>
      <w:lvlJc w:val="left"/>
      <w:pPr>
        <w:ind w:left="6960" w:hanging="360"/>
      </w:pPr>
      <w:rPr>
        <w:rFonts w:hint="default"/>
        <w:lang w:val="es-ES" w:eastAsia="en-US" w:bidi="ar-SA"/>
      </w:rPr>
    </w:lvl>
    <w:lvl w:ilvl="8" w:tplc="62861814">
      <w:numFmt w:val="bullet"/>
      <w:lvlText w:val="•"/>
      <w:lvlJc w:val="left"/>
      <w:pPr>
        <w:ind w:left="7760" w:hanging="360"/>
      </w:pPr>
      <w:rPr>
        <w:rFonts w:hint="default"/>
        <w:lang w:val="es-ES" w:eastAsia="en-US" w:bidi="ar-SA"/>
      </w:rPr>
    </w:lvl>
  </w:abstractNum>
  <w:abstractNum w:abstractNumId="43" w15:restartNumberingAfterBreak="0">
    <w:nsid w:val="765B4485"/>
    <w:multiLevelType w:val="hybridMultilevel"/>
    <w:tmpl w:val="C4E6601E"/>
    <w:lvl w:ilvl="0" w:tplc="540A000D">
      <w:start w:val="1"/>
      <w:numFmt w:val="bullet"/>
      <w:lvlText w:val=""/>
      <w:lvlJc w:val="left"/>
      <w:pPr>
        <w:ind w:left="1440" w:hanging="360"/>
      </w:pPr>
      <w:rPr>
        <w:rFonts w:ascii="Wingdings" w:hAnsi="Wingdings"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44" w15:restartNumberingAfterBreak="0">
    <w:nsid w:val="79870CC9"/>
    <w:multiLevelType w:val="multilevel"/>
    <w:tmpl w:val="6C66F320"/>
    <w:lvl w:ilvl="0">
      <w:start w:val="2"/>
      <w:numFmt w:val="decimal"/>
      <w:lvlText w:val="%1"/>
      <w:lvlJc w:val="left"/>
      <w:pPr>
        <w:ind w:left="1440" w:hanging="720"/>
      </w:pPr>
      <w:rPr>
        <w:rFonts w:hint="default"/>
        <w:lang w:val="es-ES" w:eastAsia="en-US" w:bidi="ar-SA"/>
      </w:rPr>
    </w:lvl>
    <w:lvl w:ilvl="1">
      <w:start w:val="1"/>
      <w:numFmt w:val="bullet"/>
      <w:lvlText w:val=""/>
      <w:lvlJc w:val="left"/>
      <w:pPr>
        <w:ind w:left="1440" w:hanging="720"/>
      </w:pPr>
      <w:rPr>
        <w:rFonts w:ascii="Wingdings" w:hAnsi="Wingdings" w:hint="default"/>
        <w:b/>
        <w:bCs/>
        <w:i w:val="0"/>
        <w:iCs w:val="0"/>
        <w:color w:val="767070"/>
        <w:spacing w:val="0"/>
        <w:w w:val="100"/>
        <w:sz w:val="24"/>
        <w:szCs w:val="24"/>
        <w:lang w:val="es-ES" w:eastAsia="en-US" w:bidi="ar-SA"/>
      </w:rPr>
    </w:lvl>
    <w:lvl w:ilvl="2">
      <w:start w:val="1"/>
      <w:numFmt w:val="bullet"/>
      <w:lvlText w:val=""/>
      <w:lvlJc w:val="left"/>
      <w:pPr>
        <w:ind w:left="1440" w:hanging="360"/>
      </w:pPr>
      <w:rPr>
        <w:rFonts w:ascii="Wingdings" w:hAnsi="Wingdings" w:hint="default"/>
        <w:b w:val="0"/>
        <w:bCs w:val="0"/>
        <w:i w:val="0"/>
        <w:iCs w:val="0"/>
        <w:color w:val="767070"/>
        <w:spacing w:val="0"/>
        <w:w w:val="100"/>
        <w:sz w:val="24"/>
        <w:szCs w:val="24"/>
        <w:lang w:val="es-ES" w:eastAsia="en-US" w:bidi="ar-SA"/>
      </w:rPr>
    </w:lvl>
    <w:lvl w:ilvl="3">
      <w:start w:val="1"/>
      <w:numFmt w:val="bullet"/>
      <w:lvlText w:val=""/>
      <w:lvlJc w:val="left"/>
      <w:pPr>
        <w:ind w:left="1440" w:hanging="360"/>
      </w:pPr>
      <w:rPr>
        <w:rFonts w:ascii="Wingdings" w:hAnsi="Wingdings" w:hint="default"/>
        <w:b w:val="0"/>
        <w:bCs w:val="0"/>
        <w:i w:val="0"/>
        <w:iCs w:val="0"/>
        <w:color w:val="767070"/>
        <w:spacing w:val="0"/>
        <w:w w:val="100"/>
        <w:sz w:val="24"/>
        <w:szCs w:val="24"/>
        <w:lang w:val="es-ES" w:eastAsia="en-US" w:bidi="ar-SA"/>
      </w:rPr>
    </w:lvl>
    <w:lvl w:ilvl="4">
      <w:numFmt w:val="bullet"/>
      <w:lvlText w:val="•"/>
      <w:lvlJc w:val="left"/>
      <w:pPr>
        <w:ind w:left="4608" w:hanging="360"/>
      </w:pPr>
      <w:rPr>
        <w:rFonts w:hint="default"/>
        <w:lang w:val="es-ES" w:eastAsia="en-US" w:bidi="ar-SA"/>
      </w:rPr>
    </w:lvl>
    <w:lvl w:ilvl="5">
      <w:numFmt w:val="bullet"/>
      <w:lvlText w:val="•"/>
      <w:lvlJc w:val="left"/>
      <w:pPr>
        <w:ind w:left="5400" w:hanging="360"/>
      </w:pPr>
      <w:rPr>
        <w:rFonts w:hint="default"/>
        <w:lang w:val="es-ES" w:eastAsia="en-US" w:bidi="ar-SA"/>
      </w:rPr>
    </w:lvl>
    <w:lvl w:ilvl="6">
      <w:numFmt w:val="bullet"/>
      <w:lvlText w:val="•"/>
      <w:lvlJc w:val="left"/>
      <w:pPr>
        <w:ind w:left="6192" w:hanging="360"/>
      </w:pPr>
      <w:rPr>
        <w:rFonts w:hint="default"/>
        <w:lang w:val="es-ES" w:eastAsia="en-US" w:bidi="ar-SA"/>
      </w:rPr>
    </w:lvl>
    <w:lvl w:ilvl="7">
      <w:numFmt w:val="bullet"/>
      <w:lvlText w:val="•"/>
      <w:lvlJc w:val="left"/>
      <w:pPr>
        <w:ind w:left="6984" w:hanging="360"/>
      </w:pPr>
      <w:rPr>
        <w:rFonts w:hint="default"/>
        <w:lang w:val="es-ES" w:eastAsia="en-US" w:bidi="ar-SA"/>
      </w:rPr>
    </w:lvl>
    <w:lvl w:ilvl="8">
      <w:numFmt w:val="bullet"/>
      <w:lvlText w:val="•"/>
      <w:lvlJc w:val="left"/>
      <w:pPr>
        <w:ind w:left="7776" w:hanging="360"/>
      </w:pPr>
      <w:rPr>
        <w:rFonts w:hint="default"/>
        <w:lang w:val="es-ES" w:eastAsia="en-US" w:bidi="ar-SA"/>
      </w:rPr>
    </w:lvl>
  </w:abstractNum>
  <w:abstractNum w:abstractNumId="45" w15:restartNumberingAfterBreak="0">
    <w:nsid w:val="7AAE44C9"/>
    <w:multiLevelType w:val="hybridMultilevel"/>
    <w:tmpl w:val="1EAAB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EF7A3A"/>
    <w:multiLevelType w:val="hybridMultilevel"/>
    <w:tmpl w:val="B362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DD7772"/>
    <w:multiLevelType w:val="multilevel"/>
    <w:tmpl w:val="3AF0771C"/>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34"/>
  </w:num>
  <w:num w:numId="2">
    <w:abstractNumId w:val="31"/>
  </w:num>
  <w:num w:numId="3">
    <w:abstractNumId w:val="25"/>
  </w:num>
  <w:num w:numId="4">
    <w:abstractNumId w:val="24"/>
  </w:num>
  <w:num w:numId="5">
    <w:abstractNumId w:val="39"/>
  </w:num>
  <w:num w:numId="6">
    <w:abstractNumId w:val="20"/>
  </w:num>
  <w:num w:numId="7">
    <w:abstractNumId w:val="9"/>
  </w:num>
  <w:num w:numId="8">
    <w:abstractNumId w:val="5"/>
  </w:num>
  <w:num w:numId="9">
    <w:abstractNumId w:val="35"/>
  </w:num>
  <w:num w:numId="10">
    <w:abstractNumId w:val="18"/>
  </w:num>
  <w:num w:numId="11">
    <w:abstractNumId w:val="37"/>
  </w:num>
  <w:num w:numId="12">
    <w:abstractNumId w:val="12"/>
  </w:num>
  <w:num w:numId="13">
    <w:abstractNumId w:val="4"/>
  </w:num>
  <w:num w:numId="14">
    <w:abstractNumId w:val="44"/>
  </w:num>
  <w:num w:numId="15">
    <w:abstractNumId w:val="27"/>
  </w:num>
  <w:num w:numId="16">
    <w:abstractNumId w:val="8"/>
  </w:num>
  <w:num w:numId="17">
    <w:abstractNumId w:val="42"/>
  </w:num>
  <w:num w:numId="18">
    <w:abstractNumId w:val="13"/>
  </w:num>
  <w:num w:numId="19">
    <w:abstractNumId w:val="6"/>
  </w:num>
  <w:num w:numId="20">
    <w:abstractNumId w:val="40"/>
  </w:num>
  <w:num w:numId="21">
    <w:abstractNumId w:val="7"/>
  </w:num>
  <w:num w:numId="22">
    <w:abstractNumId w:val="47"/>
  </w:num>
  <w:num w:numId="23">
    <w:abstractNumId w:val="10"/>
  </w:num>
  <w:num w:numId="24">
    <w:abstractNumId w:val="45"/>
  </w:num>
  <w:num w:numId="25">
    <w:abstractNumId w:val="15"/>
  </w:num>
  <w:num w:numId="26">
    <w:abstractNumId w:val="17"/>
  </w:num>
  <w:num w:numId="27">
    <w:abstractNumId w:val="14"/>
  </w:num>
  <w:num w:numId="28">
    <w:abstractNumId w:val="22"/>
  </w:num>
  <w:num w:numId="29">
    <w:abstractNumId w:val="1"/>
  </w:num>
  <w:num w:numId="30">
    <w:abstractNumId w:val="41"/>
  </w:num>
  <w:num w:numId="31">
    <w:abstractNumId w:val="16"/>
  </w:num>
  <w:num w:numId="32">
    <w:abstractNumId w:val="32"/>
  </w:num>
  <w:num w:numId="33">
    <w:abstractNumId w:val="26"/>
  </w:num>
  <w:num w:numId="34">
    <w:abstractNumId w:val="21"/>
  </w:num>
  <w:num w:numId="35">
    <w:abstractNumId w:val="28"/>
  </w:num>
  <w:num w:numId="36">
    <w:abstractNumId w:val="2"/>
  </w:num>
  <w:num w:numId="37">
    <w:abstractNumId w:val="43"/>
  </w:num>
  <w:num w:numId="38">
    <w:abstractNumId w:val="23"/>
  </w:num>
  <w:num w:numId="39">
    <w:abstractNumId w:val="29"/>
  </w:num>
  <w:num w:numId="40">
    <w:abstractNumId w:val="38"/>
  </w:num>
  <w:num w:numId="41">
    <w:abstractNumId w:val="3"/>
  </w:num>
  <w:num w:numId="42">
    <w:abstractNumId w:val="30"/>
  </w:num>
  <w:num w:numId="43">
    <w:abstractNumId w:val="0"/>
  </w:num>
  <w:num w:numId="44">
    <w:abstractNumId w:val="19"/>
  </w:num>
  <w:num w:numId="45">
    <w:abstractNumId w:val="11"/>
  </w:num>
  <w:num w:numId="46">
    <w:abstractNumId w:val="36"/>
  </w:num>
  <w:num w:numId="47">
    <w:abstractNumId w:val="33"/>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32423"/>
    <w:rsid w:val="000553F7"/>
    <w:rsid w:val="00072CC6"/>
    <w:rsid w:val="0007427A"/>
    <w:rsid w:val="000936C0"/>
    <w:rsid w:val="000960E2"/>
    <w:rsid w:val="000C6C68"/>
    <w:rsid w:val="000F38E8"/>
    <w:rsid w:val="001066E6"/>
    <w:rsid w:val="00114F2A"/>
    <w:rsid w:val="00121D3E"/>
    <w:rsid w:val="001240D0"/>
    <w:rsid w:val="00125D46"/>
    <w:rsid w:val="00136737"/>
    <w:rsid w:val="001822C2"/>
    <w:rsid w:val="001912C2"/>
    <w:rsid w:val="001D608D"/>
    <w:rsid w:val="001E07B9"/>
    <w:rsid w:val="00200B6E"/>
    <w:rsid w:val="00206D9F"/>
    <w:rsid w:val="002072F5"/>
    <w:rsid w:val="0021106F"/>
    <w:rsid w:val="0021331F"/>
    <w:rsid w:val="002201AF"/>
    <w:rsid w:val="00233FCA"/>
    <w:rsid w:val="00243FED"/>
    <w:rsid w:val="00246D3B"/>
    <w:rsid w:val="0025779C"/>
    <w:rsid w:val="002B4451"/>
    <w:rsid w:val="003302B8"/>
    <w:rsid w:val="00330BBF"/>
    <w:rsid w:val="003332EF"/>
    <w:rsid w:val="0034224F"/>
    <w:rsid w:val="0035429F"/>
    <w:rsid w:val="00354A6E"/>
    <w:rsid w:val="00355FE2"/>
    <w:rsid w:val="00361AFD"/>
    <w:rsid w:val="00380EEE"/>
    <w:rsid w:val="003B15A3"/>
    <w:rsid w:val="003D6E9C"/>
    <w:rsid w:val="003E7C79"/>
    <w:rsid w:val="003E7EAF"/>
    <w:rsid w:val="003F539D"/>
    <w:rsid w:val="00400290"/>
    <w:rsid w:val="0040593F"/>
    <w:rsid w:val="00425CF6"/>
    <w:rsid w:val="00443BFC"/>
    <w:rsid w:val="00460CDF"/>
    <w:rsid w:val="00463A18"/>
    <w:rsid w:val="004671B7"/>
    <w:rsid w:val="004759BF"/>
    <w:rsid w:val="00482399"/>
    <w:rsid w:val="00485B71"/>
    <w:rsid w:val="004A515E"/>
    <w:rsid w:val="004B7FB2"/>
    <w:rsid w:val="004F2DD5"/>
    <w:rsid w:val="0051332F"/>
    <w:rsid w:val="005273D1"/>
    <w:rsid w:val="005310B7"/>
    <w:rsid w:val="005421D6"/>
    <w:rsid w:val="00544419"/>
    <w:rsid w:val="00545797"/>
    <w:rsid w:val="00572D53"/>
    <w:rsid w:val="005805BA"/>
    <w:rsid w:val="0058331C"/>
    <w:rsid w:val="005A44A8"/>
    <w:rsid w:val="005B1AED"/>
    <w:rsid w:val="005C548C"/>
    <w:rsid w:val="005D01D7"/>
    <w:rsid w:val="005F72E4"/>
    <w:rsid w:val="0061095C"/>
    <w:rsid w:val="006160B6"/>
    <w:rsid w:val="00631F6E"/>
    <w:rsid w:val="00644BF9"/>
    <w:rsid w:val="00654164"/>
    <w:rsid w:val="00654EFA"/>
    <w:rsid w:val="006D47EA"/>
    <w:rsid w:val="006E3F08"/>
    <w:rsid w:val="007471AC"/>
    <w:rsid w:val="00786C60"/>
    <w:rsid w:val="00795A16"/>
    <w:rsid w:val="00796C22"/>
    <w:rsid w:val="007A267B"/>
    <w:rsid w:val="007C6071"/>
    <w:rsid w:val="008274A2"/>
    <w:rsid w:val="00841CEC"/>
    <w:rsid w:val="00860389"/>
    <w:rsid w:val="0087772C"/>
    <w:rsid w:val="00881874"/>
    <w:rsid w:val="008840A0"/>
    <w:rsid w:val="0089273D"/>
    <w:rsid w:val="008C22C6"/>
    <w:rsid w:val="008D7F4E"/>
    <w:rsid w:val="008F5190"/>
    <w:rsid w:val="009000C6"/>
    <w:rsid w:val="00920A80"/>
    <w:rsid w:val="009420B7"/>
    <w:rsid w:val="009547F0"/>
    <w:rsid w:val="009558E4"/>
    <w:rsid w:val="00967739"/>
    <w:rsid w:val="0097291D"/>
    <w:rsid w:val="00974984"/>
    <w:rsid w:val="009870D7"/>
    <w:rsid w:val="009904DB"/>
    <w:rsid w:val="00995128"/>
    <w:rsid w:val="009A466A"/>
    <w:rsid w:val="009B239B"/>
    <w:rsid w:val="009B4D99"/>
    <w:rsid w:val="009C655C"/>
    <w:rsid w:val="009D14E3"/>
    <w:rsid w:val="009E49DC"/>
    <w:rsid w:val="009F3D54"/>
    <w:rsid w:val="009F6CC8"/>
    <w:rsid w:val="00A04B5B"/>
    <w:rsid w:val="00A04FF5"/>
    <w:rsid w:val="00A44089"/>
    <w:rsid w:val="00A5394C"/>
    <w:rsid w:val="00A630BC"/>
    <w:rsid w:val="00A63A00"/>
    <w:rsid w:val="00A70DE5"/>
    <w:rsid w:val="00AD6032"/>
    <w:rsid w:val="00B16EF5"/>
    <w:rsid w:val="00B45B38"/>
    <w:rsid w:val="00B56CA4"/>
    <w:rsid w:val="00BA2267"/>
    <w:rsid w:val="00BA56DF"/>
    <w:rsid w:val="00BA72B0"/>
    <w:rsid w:val="00BB7662"/>
    <w:rsid w:val="00BE2AB6"/>
    <w:rsid w:val="00BE3668"/>
    <w:rsid w:val="00C02322"/>
    <w:rsid w:val="00C10543"/>
    <w:rsid w:val="00C37700"/>
    <w:rsid w:val="00C4077F"/>
    <w:rsid w:val="00C5385B"/>
    <w:rsid w:val="00C64CEF"/>
    <w:rsid w:val="00C66F94"/>
    <w:rsid w:val="00C92BF6"/>
    <w:rsid w:val="00CC5237"/>
    <w:rsid w:val="00CD0F92"/>
    <w:rsid w:val="00CD73A3"/>
    <w:rsid w:val="00D00DDF"/>
    <w:rsid w:val="00D068A9"/>
    <w:rsid w:val="00D2018B"/>
    <w:rsid w:val="00D223FD"/>
    <w:rsid w:val="00D22567"/>
    <w:rsid w:val="00D23481"/>
    <w:rsid w:val="00D52D5E"/>
    <w:rsid w:val="00D72826"/>
    <w:rsid w:val="00D75115"/>
    <w:rsid w:val="00DA0BD4"/>
    <w:rsid w:val="00DA3488"/>
    <w:rsid w:val="00DA43F4"/>
    <w:rsid w:val="00DB12AA"/>
    <w:rsid w:val="00DC476D"/>
    <w:rsid w:val="00DF0B54"/>
    <w:rsid w:val="00E0316A"/>
    <w:rsid w:val="00E12DDE"/>
    <w:rsid w:val="00E14734"/>
    <w:rsid w:val="00E64239"/>
    <w:rsid w:val="00E739F8"/>
    <w:rsid w:val="00E80BF2"/>
    <w:rsid w:val="00E84651"/>
    <w:rsid w:val="00EF4FF4"/>
    <w:rsid w:val="00EF6A8E"/>
    <w:rsid w:val="00F0027B"/>
    <w:rsid w:val="00F177DE"/>
    <w:rsid w:val="00F21DBA"/>
    <w:rsid w:val="00F23DCD"/>
    <w:rsid w:val="00F36012"/>
    <w:rsid w:val="00F56299"/>
    <w:rsid w:val="00F74112"/>
    <w:rsid w:val="00F94808"/>
    <w:rsid w:val="00FA32FD"/>
    <w:rsid w:val="00FB7E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8274A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NormalWeb">
    <w:name w:val="Normal (Web)"/>
    <w:basedOn w:val="Normal"/>
    <w:uiPriority w:val="99"/>
    <w:semiHidden/>
    <w:unhideWhenUsed/>
    <w:rsid w:val="008274A2"/>
  </w:style>
  <w:style w:type="character" w:customStyle="1" w:styleId="Ttulo3Car">
    <w:name w:val="Título 3 Car"/>
    <w:basedOn w:val="Fuentedeprrafopredeter"/>
    <w:link w:val="Ttulo3"/>
    <w:uiPriority w:val="9"/>
    <w:rsid w:val="008274A2"/>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8274A2"/>
    <w:pPr>
      <w:ind w:left="720"/>
      <w:contextualSpacing/>
    </w:pPr>
  </w:style>
  <w:style w:type="table" w:styleId="Tablaconcuadrcula">
    <w:name w:val="Table Grid"/>
    <w:basedOn w:val="Tablanormal"/>
    <w:uiPriority w:val="39"/>
    <w:rsid w:val="00206D9F"/>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C5237"/>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C5237"/>
    <w:pPr>
      <w:widowControl w:val="0"/>
      <w:autoSpaceDE w:val="0"/>
      <w:autoSpaceDN w:val="0"/>
      <w:spacing w:after="0" w:line="240" w:lineRule="auto"/>
    </w:pPr>
    <w:rPr>
      <w:rFonts w:eastAsia="Times New Roman"/>
      <w:color w:val="auto"/>
      <w:spacing w:val="0"/>
      <w:sz w:val="22"/>
      <w:szCs w:val="22"/>
      <w:lang w:val="es-ES"/>
    </w:rPr>
  </w:style>
  <w:style w:type="paragraph" w:styleId="Textoindependiente">
    <w:name w:val="Body Text"/>
    <w:basedOn w:val="Normal"/>
    <w:link w:val="TextoindependienteCar"/>
    <w:uiPriority w:val="1"/>
    <w:qFormat/>
    <w:rsid w:val="00CC5237"/>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CC5237"/>
    <w:rPr>
      <w:rFonts w:eastAsia="Times New Roman"/>
      <w:color w:val="auto"/>
      <w:spacing w:val="0"/>
      <w:lang w:val="es-ES"/>
    </w:rPr>
  </w:style>
  <w:style w:type="paragraph" w:styleId="Textonotapie">
    <w:name w:val="footnote text"/>
    <w:basedOn w:val="Normal"/>
    <w:link w:val="TextonotapieCar"/>
    <w:uiPriority w:val="99"/>
    <w:unhideWhenUsed/>
    <w:rsid w:val="000553F7"/>
    <w:pPr>
      <w:spacing w:after="0" w:line="240" w:lineRule="auto"/>
      <w:jc w:val="both"/>
    </w:pPr>
    <w:rPr>
      <w:rFonts w:ascii="Calibri" w:eastAsiaTheme="minorEastAsia" w:hAnsi="Calibri" w:cstheme="minorBidi"/>
      <w:color w:val="auto"/>
      <w:spacing w:val="0"/>
      <w:sz w:val="20"/>
      <w:szCs w:val="20"/>
      <w:lang w:val="es-ES" w:eastAsia="ja-JP" w:bidi="es-ES"/>
      <w14:ligatures w14:val="standardContextual"/>
    </w:rPr>
  </w:style>
  <w:style w:type="character" w:customStyle="1" w:styleId="TextonotapieCar">
    <w:name w:val="Texto nota pie Car"/>
    <w:basedOn w:val="Fuentedeprrafopredeter"/>
    <w:link w:val="Textonotapie"/>
    <w:uiPriority w:val="99"/>
    <w:rsid w:val="000553F7"/>
    <w:rPr>
      <w:rFonts w:ascii="Calibri" w:eastAsiaTheme="minorEastAsia" w:hAnsi="Calibri" w:cstheme="minorBidi"/>
      <w:color w:val="auto"/>
      <w:spacing w:val="0"/>
      <w:sz w:val="20"/>
      <w:szCs w:val="20"/>
      <w:lang w:val="es-ES" w:eastAsia="ja-JP" w:bidi="es-ES"/>
      <w14:ligatures w14:val="standardContextual"/>
    </w:rPr>
  </w:style>
  <w:style w:type="character" w:styleId="Refdenotaalpie">
    <w:name w:val="footnote reference"/>
    <w:basedOn w:val="Fuentedeprrafopredeter"/>
    <w:uiPriority w:val="99"/>
    <w:semiHidden/>
    <w:unhideWhenUsed/>
    <w:rsid w:val="000553F7"/>
    <w:rPr>
      <w:vertAlign w:val="superscript"/>
    </w:rPr>
  </w:style>
  <w:style w:type="character" w:styleId="Mencinsinresolver">
    <w:name w:val="Unresolved Mention"/>
    <w:basedOn w:val="Fuentedeprrafopredeter"/>
    <w:uiPriority w:val="99"/>
    <w:semiHidden/>
    <w:unhideWhenUsed/>
    <w:rsid w:val="00E64239"/>
    <w:rPr>
      <w:color w:val="605E5C"/>
      <w:shd w:val="clear" w:color="auto" w:fill="E1DFDD"/>
    </w:rPr>
  </w:style>
  <w:style w:type="paragraph" w:styleId="TDC2">
    <w:name w:val="toc 2"/>
    <w:basedOn w:val="Normal"/>
    <w:next w:val="Normal"/>
    <w:autoRedefine/>
    <w:uiPriority w:val="39"/>
    <w:unhideWhenUsed/>
    <w:rsid w:val="00EF6A8E"/>
    <w:pPr>
      <w:spacing w:after="100"/>
      <w:ind w:left="240"/>
    </w:pPr>
  </w:style>
  <w:style w:type="paragraph" w:styleId="TDC3">
    <w:name w:val="toc 3"/>
    <w:basedOn w:val="Normal"/>
    <w:next w:val="Normal"/>
    <w:autoRedefine/>
    <w:uiPriority w:val="39"/>
    <w:unhideWhenUsed/>
    <w:rsid w:val="00EF6A8E"/>
    <w:pPr>
      <w:spacing w:after="100"/>
      <w:ind w:left="480"/>
    </w:pPr>
  </w:style>
  <w:style w:type="table" w:customStyle="1" w:styleId="TableGrid">
    <w:name w:val="TableGrid"/>
    <w:rsid w:val="001912C2"/>
    <w:pPr>
      <w:spacing w:after="0" w:line="240" w:lineRule="auto"/>
    </w:pPr>
    <w:rPr>
      <w:rFonts w:asciiTheme="minorHAnsi" w:eastAsiaTheme="minorEastAsia" w:hAnsiTheme="minorHAnsi" w:cstheme="minorBidi"/>
      <w:color w:val="auto"/>
      <w:spacing w:val="0"/>
      <w:sz w:val="22"/>
      <w:szCs w:val="22"/>
      <w:lang w:val="es-MX" w:eastAsia="es-MX"/>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E031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81400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50064254">
      <w:bodyDiv w:val="1"/>
      <w:marLeft w:val="0"/>
      <w:marRight w:val="0"/>
      <w:marTop w:val="0"/>
      <w:marBottom w:val="0"/>
      <w:divBdr>
        <w:top w:val="none" w:sz="0" w:space="0" w:color="auto"/>
        <w:left w:val="none" w:sz="0" w:space="0" w:color="auto"/>
        <w:bottom w:val="none" w:sz="0" w:space="0" w:color="auto"/>
        <w:right w:val="none" w:sz="0" w:space="0" w:color="auto"/>
      </w:divBdr>
    </w:div>
    <w:div w:id="1855341301">
      <w:bodyDiv w:val="1"/>
      <w:marLeft w:val="0"/>
      <w:marRight w:val="0"/>
      <w:marTop w:val="0"/>
      <w:marBottom w:val="0"/>
      <w:divBdr>
        <w:top w:val="none" w:sz="0" w:space="0" w:color="auto"/>
        <w:left w:val="none" w:sz="0" w:space="0" w:color="auto"/>
        <w:bottom w:val="none" w:sz="0" w:space="0" w:color="auto"/>
        <w:right w:val="none" w:sz="0" w:space="0" w:color="auto"/>
      </w:divBdr>
    </w:div>
    <w:div w:id="191470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usuarioseguro@sis.gob.d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usuarioseguro@sis.gob.do"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3F626-3BED-48D6-91F0-AF2C20F7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18713</Words>
  <Characters>106670</Characters>
  <Application>Microsoft Office Word</Application>
  <DocSecurity>0</DocSecurity>
  <Lines>888</Lines>
  <Paragraphs>250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Estefany Pujols</cp:lastModifiedBy>
  <cp:revision>2</cp:revision>
  <cp:lastPrinted>2021-11-04T17:14:00Z</cp:lastPrinted>
  <dcterms:created xsi:type="dcterms:W3CDTF">2025-12-22T18:24:00Z</dcterms:created>
  <dcterms:modified xsi:type="dcterms:W3CDTF">2025-12-22T18:24:00Z</dcterms:modified>
</cp:coreProperties>
</file>