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C95441A" w:rsidR="008D7F4E" w:rsidRPr="00074F31" w:rsidRDefault="00DF0B54" w:rsidP="008D7F4E">
      <w:pPr>
        <w:rPr>
          <w:lang w:val="es-DO"/>
        </w:rPr>
      </w:pPr>
      <w:bookmarkStart w:id="0" w:name="_Hlk216254290"/>
      <w:bookmarkEnd w:id="0"/>
      <w:r w:rsidRPr="00074F31">
        <w:rPr>
          <w:noProof/>
          <w:lang w:val="es-DO" w:eastAsia="es-DO"/>
        </w:rPr>
        <w:drawing>
          <wp:anchor distT="0" distB="0" distL="114300" distR="114300" simplePos="0" relativeHeight="251654144" behindDoc="0" locked="0" layoutInCell="1" allowOverlap="1" wp14:anchorId="3F0A51DA" wp14:editId="4A0C7E1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F2744E" w:rsidRPr="00074F31">
        <w:rPr>
          <w:lang w:val="es-DO"/>
        </w:rPr>
        <w:t xml:space="preserve"> </w:t>
      </w:r>
    </w:p>
    <w:p w14:paraId="24A9A258" w14:textId="3DC24FC8" w:rsidR="008D7F4E" w:rsidRPr="00074F31" w:rsidRDefault="008D7F4E" w:rsidP="008D7F4E">
      <w:pPr>
        <w:rPr>
          <w:lang w:val="es-DO"/>
        </w:rPr>
      </w:pPr>
    </w:p>
    <w:p w14:paraId="1AC5E2C3" w14:textId="77777777" w:rsidR="008D7F4E" w:rsidRPr="00074F31" w:rsidRDefault="008D7F4E" w:rsidP="008D7F4E">
      <w:pPr>
        <w:rPr>
          <w:lang w:val="es-DO"/>
        </w:rPr>
      </w:pPr>
    </w:p>
    <w:p w14:paraId="34990FAF" w14:textId="52B5DA41" w:rsidR="008D7F4E" w:rsidRPr="00074F31" w:rsidRDefault="008D7F4E" w:rsidP="008D7F4E">
      <w:pPr>
        <w:rPr>
          <w:lang w:val="es-DO"/>
        </w:rPr>
      </w:pPr>
      <w:bookmarkStart w:id="1" w:name="_Hlk86404256"/>
      <w:bookmarkEnd w:id="1"/>
    </w:p>
    <w:p w14:paraId="6EFB72EE" w14:textId="272B2AD6" w:rsidR="008D7F4E" w:rsidRPr="00074F31" w:rsidRDefault="008D7F4E" w:rsidP="008D7F4E">
      <w:pPr>
        <w:rPr>
          <w:lang w:val="es-DO"/>
        </w:rPr>
      </w:pPr>
    </w:p>
    <w:p w14:paraId="3F7503CE" w14:textId="172B5CFE" w:rsidR="008D7F4E" w:rsidRPr="00074F31" w:rsidRDefault="008D7F4E" w:rsidP="008D7F4E">
      <w:pPr>
        <w:rPr>
          <w:lang w:val="es-DO"/>
        </w:rPr>
      </w:pPr>
    </w:p>
    <w:p w14:paraId="071FCCAE" w14:textId="759B330B" w:rsidR="008D7F4E" w:rsidRPr="00074F31" w:rsidRDefault="00A63A00" w:rsidP="008D7F4E">
      <w:pPr>
        <w:rPr>
          <w:lang w:val="es-DO"/>
        </w:rPr>
      </w:pPr>
      <w:r w:rsidRPr="00074F3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074F31" w:rsidRDefault="008D7F4E" w:rsidP="008D7F4E">
      <w:pPr>
        <w:rPr>
          <w:lang w:val="es-DO"/>
        </w:rPr>
      </w:pPr>
    </w:p>
    <w:p w14:paraId="0233C915" w14:textId="77777777" w:rsidR="008D7F4E" w:rsidRPr="00074F31" w:rsidRDefault="008D7F4E" w:rsidP="008D7F4E">
      <w:pPr>
        <w:rPr>
          <w:lang w:val="es-DO"/>
        </w:rPr>
      </w:pPr>
    </w:p>
    <w:p w14:paraId="274DCED8" w14:textId="2521D0D9" w:rsidR="004F2DD5" w:rsidRPr="00074F31" w:rsidRDefault="00C92BF6" w:rsidP="004F2DD5">
      <w:pPr>
        <w:rPr>
          <w:lang w:val="es-ES"/>
        </w:rPr>
      </w:pPr>
      <w:r w:rsidRPr="00074F3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sidRPr="00074F31">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074F3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074F31">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r w:rsidR="004F2DD5" w:rsidRPr="00074F31">
        <w:rPr>
          <w:lang w:val="es-ES"/>
        </w:rPr>
        <w:tab/>
      </w:r>
    </w:p>
    <w:p w14:paraId="6F050B88" w14:textId="301F961C" w:rsidR="004F2DD5" w:rsidRPr="00074F31" w:rsidRDefault="00544419" w:rsidP="004F2DD5">
      <w:pPr>
        <w:rPr>
          <w:lang w:val="es-ES"/>
        </w:rPr>
      </w:pPr>
      <w:r w:rsidRPr="00074F31">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23DDA8F6" w:rsidR="008D7F4E" w:rsidRPr="00074F31" w:rsidRDefault="0097291D" w:rsidP="008D7F4E">
      <w:pPr>
        <w:rPr>
          <w:lang w:val="es-DO"/>
        </w:rPr>
      </w:pPr>
      <w:r w:rsidRPr="00074F31">
        <w:rPr>
          <w:noProof/>
          <w:lang w:val="es-DO" w:eastAsia="es-DO"/>
        </w:rPr>
        <mc:AlternateContent>
          <mc:Choice Requires="wps">
            <w:drawing>
              <wp:anchor distT="45720" distB="45720" distL="114300" distR="114300" simplePos="0" relativeHeight="251715584" behindDoc="1" locked="0" layoutInCell="1" allowOverlap="1" wp14:anchorId="4641AD3E" wp14:editId="516AA32B">
                <wp:simplePos x="0" y="0"/>
                <wp:positionH relativeFrom="column">
                  <wp:posOffset>3571875</wp:posOffset>
                </wp:positionH>
                <wp:positionV relativeFrom="paragraph">
                  <wp:posOffset>5715</wp:posOffset>
                </wp:positionV>
                <wp:extent cx="2409825" cy="80010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00100"/>
                        </a:xfrm>
                        <a:prstGeom prst="rect">
                          <a:avLst/>
                        </a:prstGeom>
                        <a:solidFill>
                          <a:srgbClr val="FFFFFF"/>
                        </a:solidFill>
                        <a:ln w="9525">
                          <a:noFill/>
                          <a:miter lim="800000"/>
                          <a:headEnd/>
                          <a:tailEnd/>
                        </a:ln>
                      </wps:spPr>
                      <wps:txbx>
                        <w:txbxContent>
                          <w:p w14:paraId="4B681A58" w14:textId="75EFAAAF" w:rsidR="0097291D" w:rsidRPr="00032423" w:rsidRDefault="006B5802" w:rsidP="0097291D">
                            <w:pPr>
                              <w:jc w:val="center"/>
                              <w:rPr>
                                <w:color w:val="D8B888"/>
                                <w:lang w:val="es-DO"/>
                              </w:rPr>
                            </w:pPr>
                            <w:r>
                              <w:rPr>
                                <w:b/>
                                <w:bCs/>
                                <w:noProof/>
                              </w:rPr>
                              <w:drawing>
                                <wp:inline distT="0" distB="0" distL="0" distR="0" wp14:anchorId="0674055F" wp14:editId="03B8CDE5">
                                  <wp:extent cx="1619250" cy="762000"/>
                                  <wp:effectExtent l="0" t="0" r="0" b="0"/>
                                  <wp:docPr id="10600502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6137" cy="7981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25pt;margin-top:.45pt;width:189.75pt;height:63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" stroked="f">
                <v:textbox>
                  <w:txbxContent>
                    <w:p w14:paraId="4B681A58" w14:textId="75EFAAAF" w:rsidR="0097291D" w:rsidRPr="00032423" w:rsidRDefault="006B5802" w:rsidP="0097291D">
                      <w:pPr>
                        <w:jc w:val="center"/>
                        <w:rPr>
                          <w:color w:val="D8B888"/>
                          <w:lang w:val="es-DO"/>
                        </w:rPr>
                      </w:pPr>
                      <w:r>
                        <w:rPr>
                          <w:b/>
                          <w:bCs/>
                          <w:noProof/>
                        </w:rPr>
                        <w:drawing>
                          <wp:inline distT="0" distB="0" distL="0" distR="0" wp14:anchorId="0674055F" wp14:editId="03B8CDE5">
                            <wp:extent cx="1619250" cy="762000"/>
                            <wp:effectExtent l="0" t="0" r="0" b="0"/>
                            <wp:docPr id="10600502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6137" cy="798182"/>
                                    </a:xfrm>
                                    <a:prstGeom prst="rect">
                                      <a:avLst/>
                                    </a:prstGeom>
                                  </pic:spPr>
                                </pic:pic>
                              </a:graphicData>
                            </a:graphic>
                          </wp:inline>
                        </w:drawing>
                      </w:r>
                    </w:p>
                  </w:txbxContent>
                </v:textbox>
              </v:shape>
            </w:pict>
          </mc:Fallback>
        </mc:AlternateContent>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r w:rsidR="008D7F4E" w:rsidRPr="00074F31">
        <w:rPr>
          <w:lang w:val="es-DO"/>
        </w:rPr>
        <w:tab/>
      </w:r>
    </w:p>
    <w:p w14:paraId="38D9CF2E" w14:textId="7585FBF3" w:rsidR="008D7F4E" w:rsidRPr="00074F31" w:rsidRDefault="008D7F4E" w:rsidP="008D7F4E">
      <w:pPr>
        <w:rPr>
          <w:lang w:val="es-DO"/>
        </w:rPr>
      </w:pPr>
    </w:p>
    <w:p w14:paraId="16EDE6EA" w14:textId="51136D97" w:rsidR="008D7F4E" w:rsidRPr="00074F31" w:rsidRDefault="008D7F4E" w:rsidP="008D7F4E">
      <w:pPr>
        <w:rPr>
          <w:b/>
          <w:bCs/>
          <w:lang w:val="es-DO"/>
        </w:rPr>
      </w:pPr>
    </w:p>
    <w:p w14:paraId="3FC05242" w14:textId="77777777" w:rsidR="008D7F4E" w:rsidRPr="00074F31" w:rsidRDefault="008D7F4E" w:rsidP="008D7F4E">
      <w:pPr>
        <w:rPr>
          <w:lang w:val="es-DO"/>
        </w:rPr>
      </w:pPr>
    </w:p>
    <w:p w14:paraId="52109915" w14:textId="77777777" w:rsidR="008D7F4E" w:rsidRPr="00074F31" w:rsidRDefault="008D7F4E" w:rsidP="008D7F4E">
      <w:pPr>
        <w:rPr>
          <w:lang w:val="es-DO"/>
        </w:rPr>
      </w:pPr>
    </w:p>
    <w:p w14:paraId="61CD95E4" w14:textId="75608CA4" w:rsidR="008D7F4E" w:rsidRPr="00074F31" w:rsidRDefault="008D7F4E" w:rsidP="008D7F4E">
      <w:pPr>
        <w:rPr>
          <w:lang w:val="es-DO"/>
        </w:rPr>
      </w:pPr>
    </w:p>
    <w:p w14:paraId="26FC2ECF" w14:textId="1304E68D" w:rsidR="008D7F4E" w:rsidRPr="00074F31" w:rsidRDefault="008D7F4E" w:rsidP="008D7F4E">
      <w:pPr>
        <w:rPr>
          <w:lang w:val="es-DO"/>
        </w:rPr>
      </w:pPr>
    </w:p>
    <w:p w14:paraId="339C9304" w14:textId="532ECEA5" w:rsidR="008D7F4E" w:rsidRPr="00074F31" w:rsidRDefault="008D7F4E" w:rsidP="008D7F4E">
      <w:pPr>
        <w:rPr>
          <w:lang w:val="es-DO"/>
        </w:rPr>
      </w:pPr>
    </w:p>
    <w:p w14:paraId="45BA7FA9" w14:textId="77777777" w:rsidR="0087772C" w:rsidRPr="00074F31" w:rsidRDefault="0087772C" w:rsidP="008D7F4E">
      <w:pPr>
        <w:rPr>
          <w:lang w:val="es-DO"/>
        </w:rPr>
      </w:pPr>
    </w:p>
    <w:p w14:paraId="18C0D5CD" w14:textId="6B0129B8" w:rsidR="008D7F4E" w:rsidRPr="00074F31" w:rsidRDefault="008D7F4E" w:rsidP="008D7F4E">
      <w:pPr>
        <w:rPr>
          <w:lang w:val="es-DO"/>
        </w:rPr>
      </w:pPr>
    </w:p>
    <w:p w14:paraId="38D6C8AE" w14:textId="626E8B34" w:rsidR="008D7F4E" w:rsidRPr="00074F31" w:rsidRDefault="008D7F4E" w:rsidP="008D7F4E">
      <w:pPr>
        <w:rPr>
          <w:lang w:val="es-DO"/>
        </w:rPr>
      </w:pPr>
    </w:p>
    <w:p w14:paraId="22DD7F53" w14:textId="11B7CA22" w:rsidR="008D7F4E" w:rsidRPr="00074F31" w:rsidRDefault="008D7F4E" w:rsidP="008D7F4E">
      <w:pPr>
        <w:rPr>
          <w:lang w:val="es-DO"/>
        </w:rPr>
      </w:pPr>
    </w:p>
    <w:p w14:paraId="266A4AE7" w14:textId="5784A2EE" w:rsidR="008D7F4E" w:rsidRPr="00074F31" w:rsidRDefault="008D7F4E" w:rsidP="008D7F4E">
      <w:pPr>
        <w:rPr>
          <w:lang w:val="es-DO"/>
        </w:rPr>
      </w:pPr>
    </w:p>
    <w:p w14:paraId="56C838CA" w14:textId="59180D27" w:rsidR="008D7F4E" w:rsidRPr="00074F31" w:rsidRDefault="008D7F4E" w:rsidP="008D7F4E">
      <w:pPr>
        <w:rPr>
          <w:lang w:val="es-DO"/>
        </w:rPr>
      </w:pPr>
    </w:p>
    <w:p w14:paraId="5A37720D" w14:textId="305BC668" w:rsidR="008D7F4E" w:rsidRPr="00074F31" w:rsidRDefault="008D7F4E" w:rsidP="008D7F4E">
      <w:pPr>
        <w:rPr>
          <w:lang w:val="es-DO"/>
        </w:rPr>
      </w:pPr>
    </w:p>
    <w:p w14:paraId="1C1F404E" w14:textId="6EBA6B68" w:rsidR="008D7F4E" w:rsidRPr="00074F31" w:rsidRDefault="00654164" w:rsidP="008D7F4E">
      <w:pPr>
        <w:rPr>
          <w:lang w:val="es-DO"/>
        </w:rPr>
      </w:pPr>
      <w:r w:rsidRPr="00074F3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074F31" w:rsidRDefault="00C64CEF" w:rsidP="008D7F4E">
      <w:pPr>
        <w:rPr>
          <w:b/>
          <w:bCs/>
          <w:lang w:val="es-DO"/>
        </w:rPr>
      </w:pPr>
      <w:r w:rsidRPr="00074F3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074F31" w:rsidRDefault="008D7F4E" w:rsidP="008D7F4E">
      <w:pPr>
        <w:rPr>
          <w:lang w:val="es-DO"/>
        </w:rPr>
      </w:pPr>
    </w:p>
    <w:p w14:paraId="2ADA86D9" w14:textId="7BFC7FAB" w:rsidR="008D7F4E" w:rsidRPr="00074F31" w:rsidRDefault="008D7F4E" w:rsidP="008D7F4E">
      <w:pPr>
        <w:rPr>
          <w:b/>
          <w:bCs/>
          <w:lang w:val="es-DO"/>
        </w:rPr>
      </w:pPr>
    </w:p>
    <w:p w14:paraId="163CEF29" w14:textId="2E82E86B" w:rsidR="00E739F8" w:rsidRPr="00074F31" w:rsidRDefault="001E07B9" w:rsidP="008D7F4E">
      <w:pPr>
        <w:rPr>
          <w:b/>
          <w:bCs/>
          <w:lang w:val="es-DO"/>
        </w:rPr>
      </w:pPr>
      <w:r w:rsidRPr="00074F31">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074F31" w:rsidRDefault="001E07B9" w:rsidP="008D7F4E">
      <w:pPr>
        <w:rPr>
          <w:b/>
          <w:bCs/>
          <w:lang w:val="es-DO"/>
        </w:rPr>
      </w:pPr>
      <w:r w:rsidRPr="00074F3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074F31" w:rsidRDefault="008D7F4E" w:rsidP="008D7F4E">
      <w:pPr>
        <w:tabs>
          <w:tab w:val="left" w:pos="5229"/>
        </w:tabs>
        <w:rPr>
          <w:lang w:val="es-DO"/>
        </w:rPr>
      </w:pPr>
      <w:r w:rsidRPr="00074F31">
        <w:rPr>
          <w:lang w:val="es-DO"/>
        </w:rPr>
        <w:tab/>
      </w:r>
      <w:r w:rsidRPr="00074F31">
        <w:rPr>
          <w:lang w:val="es-DO"/>
        </w:rPr>
        <w:tab/>
      </w:r>
      <w:r w:rsidRPr="00074F31">
        <w:rPr>
          <w:lang w:val="es-DO"/>
        </w:rPr>
        <w:tab/>
      </w:r>
    </w:p>
    <w:p w14:paraId="2A6A7BEB" w14:textId="35E3FF32" w:rsidR="008D7F4E" w:rsidRPr="00074F31" w:rsidRDefault="008D7F4E" w:rsidP="008D7F4E">
      <w:pPr>
        <w:tabs>
          <w:tab w:val="left" w:pos="5229"/>
        </w:tabs>
        <w:rPr>
          <w:lang w:val="es-DO"/>
        </w:rPr>
      </w:pPr>
    </w:p>
    <w:p w14:paraId="5220AA7B" w14:textId="7F7316F4" w:rsidR="008D7F4E" w:rsidRPr="00074F31" w:rsidRDefault="008D7F4E" w:rsidP="008D7F4E">
      <w:pPr>
        <w:tabs>
          <w:tab w:val="left" w:pos="5229"/>
        </w:tabs>
        <w:rPr>
          <w:lang w:val="es-DO"/>
        </w:rPr>
      </w:pPr>
    </w:p>
    <w:p w14:paraId="04CE79E8" w14:textId="77777777" w:rsidR="00B45B38" w:rsidRPr="00074F31" w:rsidRDefault="00B45B38" w:rsidP="008D7F4E">
      <w:pPr>
        <w:tabs>
          <w:tab w:val="left" w:pos="5229"/>
        </w:tabs>
        <w:rPr>
          <w:lang w:val="es-DO"/>
        </w:rPr>
      </w:pPr>
    </w:p>
    <w:p w14:paraId="59F2CBAA" w14:textId="77777777" w:rsidR="00B45B38" w:rsidRPr="00074F31" w:rsidRDefault="00B45B38" w:rsidP="00B45B38">
      <w:pPr>
        <w:tabs>
          <w:tab w:val="left" w:pos="5229"/>
        </w:tabs>
        <w:jc w:val="center"/>
        <w:rPr>
          <w:lang w:val="es-DO"/>
        </w:rPr>
      </w:pPr>
    </w:p>
    <w:p w14:paraId="6B439D31" w14:textId="1820C81F" w:rsidR="00B45B38" w:rsidRPr="00074F31" w:rsidRDefault="00544419" w:rsidP="008D7F4E">
      <w:pPr>
        <w:tabs>
          <w:tab w:val="left" w:pos="5229"/>
        </w:tabs>
        <w:rPr>
          <w:lang w:val="es-DO"/>
        </w:rPr>
      </w:pPr>
      <w:r w:rsidRPr="00074F31">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074F31" w:rsidRDefault="008D7F4E" w:rsidP="008D7F4E">
      <w:pPr>
        <w:tabs>
          <w:tab w:val="left" w:pos="5229"/>
        </w:tabs>
        <w:rPr>
          <w:lang w:val="es-DO"/>
        </w:rPr>
      </w:pPr>
    </w:p>
    <w:p w14:paraId="09F960FC" w14:textId="101BD005" w:rsidR="008D7F4E" w:rsidRPr="00074F31" w:rsidRDefault="00544419" w:rsidP="008D7F4E">
      <w:pPr>
        <w:tabs>
          <w:tab w:val="left" w:pos="5229"/>
        </w:tabs>
        <w:rPr>
          <w:lang w:val="es-DO"/>
        </w:rPr>
      </w:pPr>
      <w:r w:rsidRPr="00074F31">
        <w:rPr>
          <w:noProof/>
          <w:lang w:val="es-DO" w:eastAsia="es-DO"/>
        </w:rPr>
        <mc:AlternateContent>
          <mc:Choice Requires="wps">
            <w:drawing>
              <wp:anchor distT="45720" distB="45720" distL="114300" distR="114300" simplePos="0" relativeHeight="251717632" behindDoc="1" locked="0" layoutInCell="1" allowOverlap="1" wp14:anchorId="4409BEE1" wp14:editId="5A3D178E">
                <wp:simplePos x="0" y="0"/>
                <wp:positionH relativeFrom="column">
                  <wp:posOffset>3743325</wp:posOffset>
                </wp:positionH>
                <wp:positionV relativeFrom="paragraph">
                  <wp:posOffset>13335</wp:posOffset>
                </wp:positionV>
                <wp:extent cx="2409825" cy="82867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28675"/>
                        </a:xfrm>
                        <a:prstGeom prst="rect">
                          <a:avLst/>
                        </a:prstGeom>
                        <a:solidFill>
                          <a:srgbClr val="FFFFFF"/>
                        </a:solidFill>
                        <a:ln w="9525">
                          <a:noFill/>
                          <a:miter lim="800000"/>
                          <a:headEnd/>
                          <a:tailEnd/>
                        </a:ln>
                      </wps:spPr>
                      <wps:txbx>
                        <w:txbxContent>
                          <w:p w14:paraId="089EA28E" w14:textId="3B38B25C" w:rsidR="0097291D" w:rsidRPr="00032423" w:rsidRDefault="006B5802" w:rsidP="0097291D">
                            <w:pPr>
                              <w:jc w:val="center"/>
                              <w:rPr>
                                <w:color w:val="D8B888"/>
                                <w:lang w:val="es-DO"/>
                              </w:rPr>
                            </w:pPr>
                            <w:r>
                              <w:rPr>
                                <w:b/>
                                <w:bCs/>
                                <w:noProof/>
                              </w:rPr>
                              <w:drawing>
                                <wp:inline distT="0" distB="0" distL="0" distR="0" wp14:anchorId="091F3896" wp14:editId="7BC55556">
                                  <wp:extent cx="1685925" cy="791562"/>
                                  <wp:effectExtent l="0" t="0" r="0" b="8890"/>
                                  <wp:docPr id="157366742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2530" cy="82283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4.75pt;margin-top:1.05pt;width:189.75pt;height:65.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" stroked="f">
                <v:textbox>
                  <w:txbxContent>
                    <w:p w14:paraId="089EA28E" w14:textId="3B38B25C" w:rsidR="0097291D" w:rsidRPr="00032423" w:rsidRDefault="006B5802" w:rsidP="0097291D">
                      <w:pPr>
                        <w:jc w:val="center"/>
                        <w:rPr>
                          <w:color w:val="D8B888"/>
                          <w:lang w:val="es-DO"/>
                        </w:rPr>
                      </w:pPr>
                      <w:r>
                        <w:rPr>
                          <w:b/>
                          <w:bCs/>
                          <w:noProof/>
                        </w:rPr>
                        <w:drawing>
                          <wp:inline distT="0" distB="0" distL="0" distR="0" wp14:anchorId="091F3896" wp14:editId="7BC55556">
                            <wp:extent cx="1685925" cy="791562"/>
                            <wp:effectExtent l="0" t="0" r="0" b="8890"/>
                            <wp:docPr id="157366742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2530" cy="822834"/>
                                    </a:xfrm>
                                    <a:prstGeom prst="rect">
                                      <a:avLst/>
                                    </a:prstGeom>
                                  </pic:spPr>
                                </pic:pic>
                              </a:graphicData>
                            </a:graphic>
                          </wp:inline>
                        </w:drawing>
                      </w:r>
                    </w:p>
                  </w:txbxContent>
                </v:textbox>
              </v:shape>
            </w:pict>
          </mc:Fallback>
        </mc:AlternateContent>
      </w:r>
    </w:p>
    <w:p w14:paraId="70955679" w14:textId="1D2ADAE2" w:rsidR="00E80BF2" w:rsidRPr="00074F31" w:rsidRDefault="00E80BF2" w:rsidP="0034224F">
      <w:pPr>
        <w:tabs>
          <w:tab w:val="left" w:pos="5913"/>
        </w:tabs>
        <w:rPr>
          <w:lang w:val="es-DO"/>
        </w:rPr>
      </w:pPr>
    </w:p>
    <w:p w14:paraId="64AE30BF" w14:textId="515A7E4D" w:rsidR="00E80BF2" w:rsidRPr="00074F31" w:rsidRDefault="00E80BF2">
      <w:pPr>
        <w:rPr>
          <w:sz w:val="22"/>
          <w:szCs w:val="22"/>
          <w:lang w:val="es-DO"/>
        </w:rPr>
      </w:pPr>
    </w:p>
    <w:p w14:paraId="31E2FE32" w14:textId="2317FF3C" w:rsidR="00545797" w:rsidRPr="00310D52" w:rsidRDefault="00545797" w:rsidP="00545797">
      <w:pPr>
        <w:jc w:val="center"/>
        <w:rPr>
          <w:rFonts w:eastAsiaTheme="majorEastAsia"/>
          <w:b/>
          <w:sz w:val="28"/>
          <w:szCs w:val="32"/>
          <w:lang w:val="es-DO"/>
        </w:rPr>
      </w:pPr>
      <w:r w:rsidRPr="00310D52">
        <w:rPr>
          <w:rFonts w:eastAsiaTheme="majorEastAsia"/>
          <w:b/>
          <w:sz w:val="28"/>
          <w:szCs w:val="32"/>
          <w:lang w:val="es-DO"/>
        </w:rPr>
        <w:t>TABLA DE CONTENIDOS</w:t>
      </w:r>
    </w:p>
    <w:p w14:paraId="6C3E8713" w14:textId="043AA35F" w:rsidR="00545797" w:rsidRPr="00310D52" w:rsidRDefault="00545797" w:rsidP="00545797">
      <w:pPr>
        <w:rPr>
          <w:lang w:val="es-DO"/>
        </w:rPr>
      </w:pPr>
      <w:r w:rsidRPr="00310D52">
        <w:rPr>
          <w:noProof/>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310D52" w:rsidRDefault="00654164" w:rsidP="00545797">
      <w:pPr>
        <w:jc w:val="center"/>
        <w:rPr>
          <w:lang w:val="es-DO"/>
        </w:rPr>
      </w:pPr>
      <w:r w:rsidRPr="00310D52">
        <w:rPr>
          <w:lang w:val="es-DO"/>
        </w:rPr>
        <w:t xml:space="preserve">Memoria </w:t>
      </w:r>
      <w:r w:rsidR="004A515E" w:rsidRPr="00310D52">
        <w:rPr>
          <w:lang w:val="es-DO"/>
        </w:rPr>
        <w:t>I</w:t>
      </w:r>
      <w:r w:rsidRPr="00310D52">
        <w:rPr>
          <w:lang w:val="es-DO"/>
        </w:rPr>
        <w:t>nstitucional</w:t>
      </w:r>
      <w:r w:rsidR="00545797" w:rsidRPr="00310D52">
        <w:rPr>
          <w:lang w:val="es-DO"/>
        </w:rPr>
        <w:t xml:space="preserve"> </w:t>
      </w:r>
      <w:r w:rsidR="007471AC" w:rsidRPr="00310D52">
        <w:rPr>
          <w:lang w:val="es-DO"/>
        </w:rPr>
        <w:t>202</w:t>
      </w:r>
      <w:r w:rsidR="0051332F" w:rsidRPr="00310D52">
        <w:rPr>
          <w:lang w:val="es-DO"/>
        </w:rPr>
        <w:t>5</w:t>
      </w:r>
    </w:p>
    <w:p w14:paraId="2539C61E" w14:textId="77777777" w:rsidR="00545797" w:rsidRPr="00310D52" w:rsidRDefault="00545797" w:rsidP="00545797">
      <w:pPr>
        <w:rPr>
          <w:lang w:val="es-DO"/>
        </w:rPr>
      </w:pPr>
    </w:p>
    <w:p w14:paraId="34723B93" w14:textId="77777777" w:rsidR="00545797" w:rsidRPr="00310D52"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310D52" w:rsidRDefault="00A630BC">
          <w:pPr>
            <w:pStyle w:val="TtuloTDC"/>
            <w:rPr>
              <w:rFonts w:ascii="Times New Roman" w:hAnsi="Times New Roman" w:cs="Times New Roman"/>
              <w:color w:val="767171"/>
            </w:rPr>
          </w:pPr>
        </w:p>
        <w:p w14:paraId="56637057" w14:textId="3A1D219D" w:rsidR="00D0435C" w:rsidRDefault="00A630BC">
          <w:pPr>
            <w:pStyle w:val="TDC1"/>
            <w:tabs>
              <w:tab w:val="left" w:pos="480"/>
              <w:tab w:val="right" w:leader="dot" w:pos="9350"/>
            </w:tabs>
            <w:rPr>
              <w:rFonts w:asciiTheme="minorHAnsi" w:eastAsiaTheme="minorEastAsia" w:hAnsiTheme="minorHAnsi" w:cstheme="minorBidi"/>
              <w:noProof/>
              <w:color w:val="auto"/>
              <w:spacing w:val="0"/>
              <w:kern w:val="2"/>
              <w14:ligatures w14:val="standardContextual"/>
            </w:rPr>
          </w:pPr>
          <w:r w:rsidRPr="00310D52">
            <w:fldChar w:fldCharType="begin"/>
          </w:r>
          <w:r w:rsidRPr="00310D52">
            <w:instrText xml:space="preserve"> TOC \o "1-3" \h \z \u </w:instrText>
          </w:r>
          <w:r w:rsidRPr="00310D52">
            <w:fldChar w:fldCharType="separate"/>
          </w:r>
          <w:hyperlink w:anchor="_Toc217050873" w:history="1">
            <w:r w:rsidR="00D0435C" w:rsidRPr="003E0B6B">
              <w:rPr>
                <w:rStyle w:val="Hipervnculo"/>
                <w:noProof/>
                <w:lang w:val="es-DO"/>
              </w:rPr>
              <w:t>I.</w:t>
            </w:r>
            <w:r w:rsidR="00D0435C">
              <w:rPr>
                <w:rFonts w:asciiTheme="minorHAnsi" w:eastAsiaTheme="minorEastAsia" w:hAnsiTheme="minorHAnsi" w:cstheme="minorBidi"/>
                <w:noProof/>
                <w:color w:val="auto"/>
                <w:spacing w:val="0"/>
                <w:kern w:val="2"/>
                <w14:ligatures w14:val="standardContextual"/>
              </w:rPr>
              <w:tab/>
            </w:r>
            <w:r w:rsidR="00D0435C" w:rsidRPr="003E0B6B">
              <w:rPr>
                <w:rStyle w:val="Hipervnculo"/>
                <w:noProof/>
                <w:lang w:val="es-DO"/>
              </w:rPr>
              <w:t>RESUMEN EJECUTIVO</w:t>
            </w:r>
            <w:r w:rsidR="00D0435C">
              <w:rPr>
                <w:noProof/>
                <w:webHidden/>
              </w:rPr>
              <w:tab/>
            </w:r>
            <w:r w:rsidR="00D0435C">
              <w:rPr>
                <w:noProof/>
                <w:webHidden/>
              </w:rPr>
              <w:fldChar w:fldCharType="begin"/>
            </w:r>
            <w:r w:rsidR="00D0435C">
              <w:rPr>
                <w:noProof/>
                <w:webHidden/>
              </w:rPr>
              <w:instrText xml:space="preserve"> PAGEREF _Toc217050873 \h </w:instrText>
            </w:r>
            <w:r w:rsidR="00D0435C">
              <w:rPr>
                <w:noProof/>
                <w:webHidden/>
              </w:rPr>
            </w:r>
            <w:r w:rsidR="00D0435C">
              <w:rPr>
                <w:noProof/>
                <w:webHidden/>
              </w:rPr>
              <w:fldChar w:fldCharType="separate"/>
            </w:r>
            <w:r w:rsidR="00D0435C">
              <w:rPr>
                <w:noProof/>
                <w:webHidden/>
              </w:rPr>
              <w:t>1</w:t>
            </w:r>
            <w:r w:rsidR="00D0435C">
              <w:rPr>
                <w:noProof/>
                <w:webHidden/>
              </w:rPr>
              <w:fldChar w:fldCharType="end"/>
            </w:r>
          </w:hyperlink>
        </w:p>
        <w:p w14:paraId="3FD99F6F" w14:textId="1EF82B04"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4" w:history="1">
            <w:r w:rsidRPr="003E0B6B">
              <w:rPr>
                <w:rStyle w:val="Hipervnculo"/>
                <w:noProof/>
                <w:lang w:val="es-DO"/>
              </w:rPr>
              <w:t>II.</w:t>
            </w:r>
            <w:r>
              <w:rPr>
                <w:rFonts w:asciiTheme="minorHAnsi" w:eastAsiaTheme="minorEastAsia" w:hAnsiTheme="minorHAnsi" w:cstheme="minorBidi"/>
                <w:noProof/>
                <w:color w:val="auto"/>
                <w:spacing w:val="0"/>
                <w:kern w:val="2"/>
                <w14:ligatures w14:val="standardContextual"/>
              </w:rPr>
              <w:tab/>
            </w:r>
            <w:r w:rsidRPr="003E0B6B">
              <w:rPr>
                <w:rStyle w:val="Hipervnculo"/>
                <w:noProof/>
                <w:lang w:val="es-DO"/>
              </w:rPr>
              <w:t>INFORMACIÓN INSTITUCIONAL</w:t>
            </w:r>
            <w:r>
              <w:rPr>
                <w:noProof/>
                <w:webHidden/>
              </w:rPr>
              <w:tab/>
            </w:r>
            <w:r>
              <w:rPr>
                <w:noProof/>
                <w:webHidden/>
              </w:rPr>
              <w:fldChar w:fldCharType="begin"/>
            </w:r>
            <w:r>
              <w:rPr>
                <w:noProof/>
                <w:webHidden/>
              </w:rPr>
              <w:instrText xml:space="preserve"> PAGEREF _Toc217050874 \h </w:instrText>
            </w:r>
            <w:r>
              <w:rPr>
                <w:noProof/>
                <w:webHidden/>
              </w:rPr>
            </w:r>
            <w:r>
              <w:rPr>
                <w:noProof/>
                <w:webHidden/>
              </w:rPr>
              <w:fldChar w:fldCharType="separate"/>
            </w:r>
            <w:r>
              <w:rPr>
                <w:noProof/>
                <w:webHidden/>
              </w:rPr>
              <w:t>8</w:t>
            </w:r>
            <w:r>
              <w:rPr>
                <w:noProof/>
                <w:webHidden/>
              </w:rPr>
              <w:fldChar w:fldCharType="end"/>
            </w:r>
          </w:hyperlink>
        </w:p>
        <w:p w14:paraId="1AC63965" w14:textId="06A3929A"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5" w:history="1">
            <w:r w:rsidRPr="003E0B6B">
              <w:rPr>
                <w:rStyle w:val="Hipervnculo"/>
                <w:rFonts w:eastAsiaTheme="majorEastAsia"/>
                <w:b/>
                <w:noProof/>
                <w:lang w:val="es-DO"/>
              </w:rPr>
              <w:t>2.1</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Marco Filosófico Institucional</w:t>
            </w:r>
            <w:r>
              <w:rPr>
                <w:noProof/>
                <w:webHidden/>
              </w:rPr>
              <w:tab/>
            </w:r>
            <w:r>
              <w:rPr>
                <w:noProof/>
                <w:webHidden/>
              </w:rPr>
              <w:fldChar w:fldCharType="begin"/>
            </w:r>
            <w:r>
              <w:rPr>
                <w:noProof/>
                <w:webHidden/>
              </w:rPr>
              <w:instrText xml:space="preserve"> PAGEREF _Toc217050875 \h </w:instrText>
            </w:r>
            <w:r>
              <w:rPr>
                <w:noProof/>
                <w:webHidden/>
              </w:rPr>
            </w:r>
            <w:r>
              <w:rPr>
                <w:noProof/>
                <w:webHidden/>
              </w:rPr>
              <w:fldChar w:fldCharType="separate"/>
            </w:r>
            <w:r>
              <w:rPr>
                <w:noProof/>
                <w:webHidden/>
              </w:rPr>
              <w:t>8</w:t>
            </w:r>
            <w:r>
              <w:rPr>
                <w:noProof/>
                <w:webHidden/>
              </w:rPr>
              <w:fldChar w:fldCharType="end"/>
            </w:r>
          </w:hyperlink>
        </w:p>
        <w:p w14:paraId="4194A9E3" w14:textId="2D4874A2"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6" w:history="1">
            <w:r w:rsidRPr="003E0B6B">
              <w:rPr>
                <w:rStyle w:val="Hipervnculo"/>
                <w:rFonts w:eastAsiaTheme="majorEastAsia"/>
                <w:b/>
                <w:noProof/>
                <w:lang w:val="es-DO"/>
              </w:rPr>
              <w:t>2.2</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Base Legal</w:t>
            </w:r>
            <w:r>
              <w:rPr>
                <w:noProof/>
                <w:webHidden/>
              </w:rPr>
              <w:tab/>
            </w:r>
            <w:r>
              <w:rPr>
                <w:noProof/>
                <w:webHidden/>
              </w:rPr>
              <w:fldChar w:fldCharType="begin"/>
            </w:r>
            <w:r>
              <w:rPr>
                <w:noProof/>
                <w:webHidden/>
              </w:rPr>
              <w:instrText xml:space="preserve"> PAGEREF _Toc217050876 \h </w:instrText>
            </w:r>
            <w:r>
              <w:rPr>
                <w:noProof/>
                <w:webHidden/>
              </w:rPr>
            </w:r>
            <w:r>
              <w:rPr>
                <w:noProof/>
                <w:webHidden/>
              </w:rPr>
              <w:fldChar w:fldCharType="separate"/>
            </w:r>
            <w:r>
              <w:rPr>
                <w:noProof/>
                <w:webHidden/>
              </w:rPr>
              <w:t>10</w:t>
            </w:r>
            <w:r>
              <w:rPr>
                <w:noProof/>
                <w:webHidden/>
              </w:rPr>
              <w:fldChar w:fldCharType="end"/>
            </w:r>
          </w:hyperlink>
        </w:p>
        <w:p w14:paraId="7F464D44" w14:textId="0F78682B"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7" w:history="1">
            <w:r w:rsidRPr="003E0B6B">
              <w:rPr>
                <w:rStyle w:val="Hipervnculo"/>
                <w:rFonts w:eastAsiaTheme="majorEastAsia"/>
                <w:b/>
                <w:noProof/>
                <w:lang w:val="es-DO"/>
              </w:rPr>
              <w:t>2.3</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Estructura organizativa</w:t>
            </w:r>
            <w:r>
              <w:rPr>
                <w:noProof/>
                <w:webHidden/>
              </w:rPr>
              <w:tab/>
            </w:r>
            <w:r>
              <w:rPr>
                <w:noProof/>
                <w:webHidden/>
              </w:rPr>
              <w:fldChar w:fldCharType="begin"/>
            </w:r>
            <w:r>
              <w:rPr>
                <w:noProof/>
                <w:webHidden/>
              </w:rPr>
              <w:instrText xml:space="preserve"> PAGEREF _Toc217050877 \h </w:instrText>
            </w:r>
            <w:r>
              <w:rPr>
                <w:noProof/>
                <w:webHidden/>
              </w:rPr>
            </w:r>
            <w:r>
              <w:rPr>
                <w:noProof/>
                <w:webHidden/>
              </w:rPr>
              <w:fldChar w:fldCharType="separate"/>
            </w:r>
            <w:r>
              <w:rPr>
                <w:noProof/>
                <w:webHidden/>
              </w:rPr>
              <w:t>11</w:t>
            </w:r>
            <w:r>
              <w:rPr>
                <w:noProof/>
                <w:webHidden/>
              </w:rPr>
              <w:fldChar w:fldCharType="end"/>
            </w:r>
          </w:hyperlink>
        </w:p>
        <w:p w14:paraId="470F27CF" w14:textId="6D2A8EDA"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8" w:history="1">
            <w:r w:rsidRPr="003E0B6B">
              <w:rPr>
                <w:rStyle w:val="Hipervnculo"/>
                <w:rFonts w:eastAsiaTheme="majorEastAsia"/>
                <w:b/>
                <w:noProof/>
                <w:lang w:val="es-DO"/>
              </w:rPr>
              <w:t>2.4</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Planificación estratégica institucional</w:t>
            </w:r>
            <w:r>
              <w:rPr>
                <w:noProof/>
                <w:webHidden/>
              </w:rPr>
              <w:tab/>
            </w:r>
            <w:r>
              <w:rPr>
                <w:noProof/>
                <w:webHidden/>
              </w:rPr>
              <w:fldChar w:fldCharType="begin"/>
            </w:r>
            <w:r>
              <w:rPr>
                <w:noProof/>
                <w:webHidden/>
              </w:rPr>
              <w:instrText xml:space="preserve"> PAGEREF _Toc217050878 \h </w:instrText>
            </w:r>
            <w:r>
              <w:rPr>
                <w:noProof/>
                <w:webHidden/>
              </w:rPr>
            </w:r>
            <w:r>
              <w:rPr>
                <w:noProof/>
                <w:webHidden/>
              </w:rPr>
              <w:fldChar w:fldCharType="separate"/>
            </w:r>
            <w:r>
              <w:rPr>
                <w:noProof/>
                <w:webHidden/>
              </w:rPr>
              <w:t>13</w:t>
            </w:r>
            <w:r>
              <w:rPr>
                <w:noProof/>
                <w:webHidden/>
              </w:rPr>
              <w:fldChar w:fldCharType="end"/>
            </w:r>
          </w:hyperlink>
        </w:p>
        <w:p w14:paraId="2B76FEA7" w14:textId="53498F57"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79" w:history="1">
            <w:r w:rsidRPr="003E0B6B">
              <w:rPr>
                <w:rStyle w:val="Hipervnculo"/>
                <w:noProof/>
                <w:lang w:val="es-DO"/>
              </w:rPr>
              <w:t>III.</w:t>
            </w:r>
            <w:r>
              <w:rPr>
                <w:rFonts w:asciiTheme="minorHAnsi" w:eastAsiaTheme="minorEastAsia" w:hAnsiTheme="minorHAnsi" w:cstheme="minorBidi"/>
                <w:noProof/>
                <w:color w:val="auto"/>
                <w:spacing w:val="0"/>
                <w:kern w:val="2"/>
                <w14:ligatures w14:val="standardContextual"/>
              </w:rPr>
              <w:tab/>
            </w:r>
            <w:r w:rsidRPr="003E0B6B">
              <w:rPr>
                <w:rStyle w:val="Hipervnculo"/>
                <w:noProof/>
                <w:lang w:val="es-DO"/>
              </w:rPr>
              <w:t>RESULTADOS MISIONALES</w:t>
            </w:r>
            <w:r>
              <w:rPr>
                <w:noProof/>
                <w:webHidden/>
              </w:rPr>
              <w:tab/>
            </w:r>
            <w:r>
              <w:rPr>
                <w:noProof/>
                <w:webHidden/>
              </w:rPr>
              <w:fldChar w:fldCharType="begin"/>
            </w:r>
            <w:r>
              <w:rPr>
                <w:noProof/>
                <w:webHidden/>
              </w:rPr>
              <w:instrText xml:space="preserve"> PAGEREF _Toc217050879 \h </w:instrText>
            </w:r>
            <w:r>
              <w:rPr>
                <w:noProof/>
                <w:webHidden/>
              </w:rPr>
            </w:r>
            <w:r>
              <w:rPr>
                <w:noProof/>
                <w:webHidden/>
              </w:rPr>
              <w:fldChar w:fldCharType="separate"/>
            </w:r>
            <w:r>
              <w:rPr>
                <w:noProof/>
                <w:webHidden/>
              </w:rPr>
              <w:t>15</w:t>
            </w:r>
            <w:r>
              <w:rPr>
                <w:noProof/>
                <w:webHidden/>
              </w:rPr>
              <w:fldChar w:fldCharType="end"/>
            </w:r>
          </w:hyperlink>
        </w:p>
        <w:p w14:paraId="0F1406F7" w14:textId="2DF09795"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0" w:history="1">
            <w:r w:rsidRPr="003E0B6B">
              <w:rPr>
                <w:rStyle w:val="Hipervnculo"/>
                <w:rFonts w:eastAsiaTheme="majorEastAsia"/>
                <w:b/>
                <w:noProof/>
                <w:lang w:val="es-DO"/>
              </w:rPr>
              <w:t>3.1</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Reducción Tiempos de Respuesta</w:t>
            </w:r>
            <w:r>
              <w:rPr>
                <w:noProof/>
                <w:webHidden/>
              </w:rPr>
              <w:tab/>
            </w:r>
            <w:r>
              <w:rPr>
                <w:noProof/>
                <w:webHidden/>
              </w:rPr>
              <w:fldChar w:fldCharType="begin"/>
            </w:r>
            <w:r>
              <w:rPr>
                <w:noProof/>
                <w:webHidden/>
              </w:rPr>
              <w:instrText xml:space="preserve"> PAGEREF _Toc217050880 \h </w:instrText>
            </w:r>
            <w:r>
              <w:rPr>
                <w:noProof/>
                <w:webHidden/>
              </w:rPr>
            </w:r>
            <w:r>
              <w:rPr>
                <w:noProof/>
                <w:webHidden/>
              </w:rPr>
              <w:fldChar w:fldCharType="separate"/>
            </w:r>
            <w:r>
              <w:rPr>
                <w:noProof/>
                <w:webHidden/>
              </w:rPr>
              <w:t>15</w:t>
            </w:r>
            <w:r>
              <w:rPr>
                <w:noProof/>
                <w:webHidden/>
              </w:rPr>
              <w:fldChar w:fldCharType="end"/>
            </w:r>
          </w:hyperlink>
        </w:p>
        <w:p w14:paraId="0E5BF159" w14:textId="064BAED6"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1" w:history="1">
            <w:r w:rsidRPr="003E0B6B">
              <w:rPr>
                <w:rStyle w:val="Hipervnculo"/>
                <w:rFonts w:eastAsiaTheme="majorEastAsia"/>
                <w:b/>
                <w:noProof/>
                <w:lang w:val="es-DO"/>
              </w:rPr>
              <w:t>3.2</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Atenciones Prehospitalarias</w:t>
            </w:r>
            <w:r>
              <w:rPr>
                <w:noProof/>
                <w:webHidden/>
              </w:rPr>
              <w:tab/>
            </w:r>
            <w:r>
              <w:rPr>
                <w:noProof/>
                <w:webHidden/>
              </w:rPr>
              <w:fldChar w:fldCharType="begin"/>
            </w:r>
            <w:r>
              <w:rPr>
                <w:noProof/>
                <w:webHidden/>
              </w:rPr>
              <w:instrText xml:space="preserve"> PAGEREF _Toc217050881 \h </w:instrText>
            </w:r>
            <w:r>
              <w:rPr>
                <w:noProof/>
                <w:webHidden/>
              </w:rPr>
            </w:r>
            <w:r>
              <w:rPr>
                <w:noProof/>
                <w:webHidden/>
              </w:rPr>
              <w:fldChar w:fldCharType="separate"/>
            </w:r>
            <w:r>
              <w:rPr>
                <w:noProof/>
                <w:webHidden/>
              </w:rPr>
              <w:t>15</w:t>
            </w:r>
            <w:r>
              <w:rPr>
                <w:noProof/>
                <w:webHidden/>
              </w:rPr>
              <w:fldChar w:fldCharType="end"/>
            </w:r>
          </w:hyperlink>
        </w:p>
        <w:p w14:paraId="78469EF9" w14:textId="4116EBEB"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2" w:history="1">
            <w:r w:rsidRPr="003E0B6B">
              <w:rPr>
                <w:rStyle w:val="Hipervnculo"/>
                <w:rFonts w:eastAsiaTheme="majorEastAsia"/>
                <w:b/>
                <w:noProof/>
                <w:lang w:val="es-DO"/>
              </w:rPr>
              <w:t>3.3</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Atenciones Interhospitalarias</w:t>
            </w:r>
            <w:r>
              <w:rPr>
                <w:noProof/>
                <w:webHidden/>
              </w:rPr>
              <w:tab/>
            </w:r>
            <w:r>
              <w:rPr>
                <w:noProof/>
                <w:webHidden/>
              </w:rPr>
              <w:fldChar w:fldCharType="begin"/>
            </w:r>
            <w:r>
              <w:rPr>
                <w:noProof/>
                <w:webHidden/>
              </w:rPr>
              <w:instrText xml:space="preserve"> PAGEREF _Toc217050882 \h </w:instrText>
            </w:r>
            <w:r>
              <w:rPr>
                <w:noProof/>
                <w:webHidden/>
              </w:rPr>
            </w:r>
            <w:r>
              <w:rPr>
                <w:noProof/>
                <w:webHidden/>
              </w:rPr>
              <w:fldChar w:fldCharType="separate"/>
            </w:r>
            <w:r>
              <w:rPr>
                <w:noProof/>
                <w:webHidden/>
              </w:rPr>
              <w:t>17</w:t>
            </w:r>
            <w:r>
              <w:rPr>
                <w:noProof/>
                <w:webHidden/>
              </w:rPr>
              <w:fldChar w:fldCharType="end"/>
            </w:r>
          </w:hyperlink>
        </w:p>
        <w:p w14:paraId="484DA6C6" w14:textId="7711E5E5"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3" w:history="1">
            <w:r w:rsidRPr="003E0B6B">
              <w:rPr>
                <w:rStyle w:val="Hipervnculo"/>
                <w:rFonts w:eastAsiaTheme="majorEastAsia"/>
                <w:b/>
                <w:noProof/>
                <w:lang w:val="es-DO"/>
              </w:rPr>
              <w:t>3.4</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Aumento de la Capacidad de Respuesta</w:t>
            </w:r>
            <w:r>
              <w:rPr>
                <w:noProof/>
                <w:webHidden/>
              </w:rPr>
              <w:tab/>
            </w:r>
            <w:r>
              <w:rPr>
                <w:noProof/>
                <w:webHidden/>
              </w:rPr>
              <w:fldChar w:fldCharType="begin"/>
            </w:r>
            <w:r>
              <w:rPr>
                <w:noProof/>
                <w:webHidden/>
              </w:rPr>
              <w:instrText xml:space="preserve"> PAGEREF _Toc217050883 \h </w:instrText>
            </w:r>
            <w:r>
              <w:rPr>
                <w:noProof/>
                <w:webHidden/>
              </w:rPr>
            </w:r>
            <w:r>
              <w:rPr>
                <w:noProof/>
                <w:webHidden/>
              </w:rPr>
              <w:fldChar w:fldCharType="separate"/>
            </w:r>
            <w:r>
              <w:rPr>
                <w:noProof/>
                <w:webHidden/>
              </w:rPr>
              <w:t>18</w:t>
            </w:r>
            <w:r>
              <w:rPr>
                <w:noProof/>
                <w:webHidden/>
              </w:rPr>
              <w:fldChar w:fldCharType="end"/>
            </w:r>
          </w:hyperlink>
        </w:p>
        <w:p w14:paraId="6603DE8E" w14:textId="0DAA02E0"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4" w:history="1">
            <w:r w:rsidRPr="003E0B6B">
              <w:rPr>
                <w:rStyle w:val="Hipervnculo"/>
                <w:rFonts w:eastAsiaTheme="majorEastAsia"/>
                <w:b/>
                <w:noProof/>
                <w:lang w:val="es-DO"/>
              </w:rPr>
              <w:t>3.5</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Expansión de la cobertura territorial.</w:t>
            </w:r>
            <w:r>
              <w:rPr>
                <w:noProof/>
                <w:webHidden/>
              </w:rPr>
              <w:tab/>
            </w:r>
            <w:r>
              <w:rPr>
                <w:noProof/>
                <w:webHidden/>
              </w:rPr>
              <w:fldChar w:fldCharType="begin"/>
            </w:r>
            <w:r>
              <w:rPr>
                <w:noProof/>
                <w:webHidden/>
              </w:rPr>
              <w:instrText xml:space="preserve"> PAGEREF _Toc217050884 \h </w:instrText>
            </w:r>
            <w:r>
              <w:rPr>
                <w:noProof/>
                <w:webHidden/>
              </w:rPr>
            </w:r>
            <w:r>
              <w:rPr>
                <w:noProof/>
                <w:webHidden/>
              </w:rPr>
              <w:fldChar w:fldCharType="separate"/>
            </w:r>
            <w:r>
              <w:rPr>
                <w:noProof/>
                <w:webHidden/>
              </w:rPr>
              <w:t>21</w:t>
            </w:r>
            <w:r>
              <w:rPr>
                <w:noProof/>
                <w:webHidden/>
              </w:rPr>
              <w:fldChar w:fldCharType="end"/>
            </w:r>
          </w:hyperlink>
        </w:p>
        <w:p w14:paraId="3D7DEB9E" w14:textId="15DB996E"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5" w:history="1">
            <w:r w:rsidRPr="003E0B6B">
              <w:rPr>
                <w:rStyle w:val="Hipervnculo"/>
                <w:rFonts w:eastAsiaTheme="majorEastAsia"/>
                <w:b/>
                <w:noProof/>
                <w:lang w:val="es-DO"/>
              </w:rPr>
              <w:t>3.6</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Gestión del Riesgo y Respuesta ante Desastres</w:t>
            </w:r>
            <w:r>
              <w:rPr>
                <w:noProof/>
                <w:webHidden/>
              </w:rPr>
              <w:tab/>
            </w:r>
            <w:r>
              <w:rPr>
                <w:noProof/>
                <w:webHidden/>
              </w:rPr>
              <w:fldChar w:fldCharType="begin"/>
            </w:r>
            <w:r>
              <w:rPr>
                <w:noProof/>
                <w:webHidden/>
              </w:rPr>
              <w:instrText xml:space="preserve"> PAGEREF _Toc217050885 \h </w:instrText>
            </w:r>
            <w:r>
              <w:rPr>
                <w:noProof/>
                <w:webHidden/>
              </w:rPr>
            </w:r>
            <w:r>
              <w:rPr>
                <w:noProof/>
                <w:webHidden/>
              </w:rPr>
              <w:fldChar w:fldCharType="separate"/>
            </w:r>
            <w:r>
              <w:rPr>
                <w:noProof/>
                <w:webHidden/>
              </w:rPr>
              <w:t>21</w:t>
            </w:r>
            <w:r>
              <w:rPr>
                <w:noProof/>
                <w:webHidden/>
              </w:rPr>
              <w:fldChar w:fldCharType="end"/>
            </w:r>
          </w:hyperlink>
        </w:p>
        <w:p w14:paraId="22C4D3CF" w14:textId="3AE964A9"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6" w:history="1">
            <w:r w:rsidRPr="003E0B6B">
              <w:rPr>
                <w:rStyle w:val="Hipervnculo"/>
                <w:rFonts w:eastAsiaTheme="majorEastAsia"/>
                <w:b/>
                <w:noProof/>
                <w:lang w:val="es-DO"/>
              </w:rPr>
              <w:t>3.7</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Entrenamientos Técnicos</w:t>
            </w:r>
            <w:r>
              <w:rPr>
                <w:noProof/>
                <w:webHidden/>
              </w:rPr>
              <w:tab/>
            </w:r>
            <w:r>
              <w:rPr>
                <w:noProof/>
                <w:webHidden/>
              </w:rPr>
              <w:fldChar w:fldCharType="begin"/>
            </w:r>
            <w:r>
              <w:rPr>
                <w:noProof/>
                <w:webHidden/>
              </w:rPr>
              <w:instrText xml:space="preserve"> PAGEREF _Toc217050886 \h </w:instrText>
            </w:r>
            <w:r>
              <w:rPr>
                <w:noProof/>
                <w:webHidden/>
              </w:rPr>
            </w:r>
            <w:r>
              <w:rPr>
                <w:noProof/>
                <w:webHidden/>
              </w:rPr>
              <w:fldChar w:fldCharType="separate"/>
            </w:r>
            <w:r>
              <w:rPr>
                <w:noProof/>
                <w:webHidden/>
              </w:rPr>
              <w:t>22</w:t>
            </w:r>
            <w:r>
              <w:rPr>
                <w:noProof/>
                <w:webHidden/>
              </w:rPr>
              <w:fldChar w:fldCharType="end"/>
            </w:r>
          </w:hyperlink>
        </w:p>
        <w:p w14:paraId="73FE63A5" w14:textId="4E5110FF"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7" w:history="1">
            <w:r w:rsidRPr="003E0B6B">
              <w:rPr>
                <w:rStyle w:val="Hipervnculo"/>
                <w:rFonts w:eastAsiaTheme="majorEastAsia"/>
                <w:b/>
                <w:noProof/>
                <w:lang w:val="es-DO"/>
              </w:rPr>
              <w:t>3.8</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Coordinación y Enlace con la Red Pública de Salud</w:t>
            </w:r>
            <w:r>
              <w:rPr>
                <w:noProof/>
                <w:webHidden/>
              </w:rPr>
              <w:tab/>
            </w:r>
            <w:r>
              <w:rPr>
                <w:noProof/>
                <w:webHidden/>
              </w:rPr>
              <w:fldChar w:fldCharType="begin"/>
            </w:r>
            <w:r>
              <w:rPr>
                <w:noProof/>
                <w:webHidden/>
              </w:rPr>
              <w:instrText xml:space="preserve"> PAGEREF _Toc217050887 \h </w:instrText>
            </w:r>
            <w:r>
              <w:rPr>
                <w:noProof/>
                <w:webHidden/>
              </w:rPr>
            </w:r>
            <w:r>
              <w:rPr>
                <w:noProof/>
                <w:webHidden/>
              </w:rPr>
              <w:fldChar w:fldCharType="separate"/>
            </w:r>
            <w:r>
              <w:rPr>
                <w:noProof/>
                <w:webHidden/>
              </w:rPr>
              <w:t>24</w:t>
            </w:r>
            <w:r>
              <w:rPr>
                <w:noProof/>
                <w:webHidden/>
              </w:rPr>
              <w:fldChar w:fldCharType="end"/>
            </w:r>
          </w:hyperlink>
        </w:p>
        <w:p w14:paraId="01419AAB" w14:textId="560EAAAD"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8" w:history="1">
            <w:r w:rsidRPr="003E0B6B">
              <w:rPr>
                <w:rStyle w:val="Hipervnculo"/>
                <w:noProof/>
                <w:lang w:val="es-DO"/>
              </w:rPr>
              <w:t>IV.</w:t>
            </w:r>
            <w:r>
              <w:rPr>
                <w:rFonts w:asciiTheme="minorHAnsi" w:eastAsiaTheme="minorEastAsia" w:hAnsiTheme="minorHAnsi" w:cstheme="minorBidi"/>
                <w:noProof/>
                <w:color w:val="auto"/>
                <w:spacing w:val="0"/>
                <w:kern w:val="2"/>
                <w14:ligatures w14:val="standardContextual"/>
              </w:rPr>
              <w:tab/>
            </w:r>
            <w:r w:rsidRPr="003E0B6B">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_Toc217050888 \h </w:instrText>
            </w:r>
            <w:r>
              <w:rPr>
                <w:noProof/>
                <w:webHidden/>
              </w:rPr>
            </w:r>
            <w:r>
              <w:rPr>
                <w:noProof/>
                <w:webHidden/>
              </w:rPr>
              <w:fldChar w:fldCharType="separate"/>
            </w:r>
            <w:r>
              <w:rPr>
                <w:noProof/>
                <w:webHidden/>
              </w:rPr>
              <w:t>26</w:t>
            </w:r>
            <w:r>
              <w:rPr>
                <w:noProof/>
                <w:webHidden/>
              </w:rPr>
              <w:fldChar w:fldCharType="end"/>
            </w:r>
          </w:hyperlink>
        </w:p>
        <w:p w14:paraId="4CD750FC" w14:textId="73C383D3"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89" w:history="1">
            <w:r w:rsidRPr="003E0B6B">
              <w:rPr>
                <w:rStyle w:val="Hipervnculo"/>
                <w:rFonts w:eastAsiaTheme="majorEastAsia"/>
                <w:b/>
                <w:noProof/>
                <w:lang w:val="es-DO"/>
              </w:rPr>
              <w:t>4.1</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Área Administrativa y Financiera</w:t>
            </w:r>
            <w:r>
              <w:rPr>
                <w:noProof/>
                <w:webHidden/>
              </w:rPr>
              <w:tab/>
            </w:r>
            <w:r>
              <w:rPr>
                <w:noProof/>
                <w:webHidden/>
              </w:rPr>
              <w:fldChar w:fldCharType="begin"/>
            </w:r>
            <w:r>
              <w:rPr>
                <w:noProof/>
                <w:webHidden/>
              </w:rPr>
              <w:instrText xml:space="preserve"> PAGEREF _Toc217050889 \h </w:instrText>
            </w:r>
            <w:r>
              <w:rPr>
                <w:noProof/>
                <w:webHidden/>
              </w:rPr>
            </w:r>
            <w:r>
              <w:rPr>
                <w:noProof/>
                <w:webHidden/>
              </w:rPr>
              <w:fldChar w:fldCharType="separate"/>
            </w:r>
            <w:r>
              <w:rPr>
                <w:noProof/>
                <w:webHidden/>
              </w:rPr>
              <w:t>26</w:t>
            </w:r>
            <w:r>
              <w:rPr>
                <w:noProof/>
                <w:webHidden/>
              </w:rPr>
              <w:fldChar w:fldCharType="end"/>
            </w:r>
          </w:hyperlink>
        </w:p>
        <w:p w14:paraId="7B4ABC98" w14:textId="100AA72C"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0" w:history="1">
            <w:r w:rsidRPr="003E0B6B">
              <w:rPr>
                <w:rStyle w:val="Hipervnculo"/>
                <w:rFonts w:eastAsiaTheme="majorEastAsia"/>
                <w:b/>
                <w:noProof/>
                <w:lang w:val="es-DO"/>
              </w:rPr>
              <w:t>4.2</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de los Recursos Humanos</w:t>
            </w:r>
            <w:r>
              <w:rPr>
                <w:noProof/>
                <w:webHidden/>
              </w:rPr>
              <w:tab/>
            </w:r>
            <w:r>
              <w:rPr>
                <w:noProof/>
                <w:webHidden/>
              </w:rPr>
              <w:fldChar w:fldCharType="begin"/>
            </w:r>
            <w:r>
              <w:rPr>
                <w:noProof/>
                <w:webHidden/>
              </w:rPr>
              <w:instrText xml:space="preserve"> PAGEREF _Toc217050890 \h </w:instrText>
            </w:r>
            <w:r>
              <w:rPr>
                <w:noProof/>
                <w:webHidden/>
              </w:rPr>
            </w:r>
            <w:r>
              <w:rPr>
                <w:noProof/>
                <w:webHidden/>
              </w:rPr>
              <w:fldChar w:fldCharType="separate"/>
            </w:r>
            <w:r>
              <w:rPr>
                <w:noProof/>
                <w:webHidden/>
              </w:rPr>
              <w:t>31</w:t>
            </w:r>
            <w:r>
              <w:rPr>
                <w:noProof/>
                <w:webHidden/>
              </w:rPr>
              <w:fldChar w:fldCharType="end"/>
            </w:r>
          </w:hyperlink>
        </w:p>
        <w:p w14:paraId="7D3211D8" w14:textId="5E57EE1D"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1" w:history="1">
            <w:r w:rsidRPr="003E0B6B">
              <w:rPr>
                <w:rStyle w:val="Hipervnculo"/>
                <w:rFonts w:eastAsiaTheme="majorEastAsia"/>
                <w:b/>
                <w:noProof/>
                <w:lang w:val="es-DO"/>
              </w:rPr>
              <w:t>4.3</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de los Procesos Jurídicos</w:t>
            </w:r>
            <w:r>
              <w:rPr>
                <w:noProof/>
                <w:webHidden/>
              </w:rPr>
              <w:tab/>
            </w:r>
            <w:r>
              <w:rPr>
                <w:noProof/>
                <w:webHidden/>
              </w:rPr>
              <w:fldChar w:fldCharType="begin"/>
            </w:r>
            <w:r>
              <w:rPr>
                <w:noProof/>
                <w:webHidden/>
              </w:rPr>
              <w:instrText xml:space="preserve"> PAGEREF _Toc217050891 \h </w:instrText>
            </w:r>
            <w:r>
              <w:rPr>
                <w:noProof/>
                <w:webHidden/>
              </w:rPr>
            </w:r>
            <w:r>
              <w:rPr>
                <w:noProof/>
                <w:webHidden/>
              </w:rPr>
              <w:fldChar w:fldCharType="separate"/>
            </w:r>
            <w:r>
              <w:rPr>
                <w:noProof/>
                <w:webHidden/>
              </w:rPr>
              <w:t>33</w:t>
            </w:r>
            <w:r>
              <w:rPr>
                <w:noProof/>
                <w:webHidden/>
              </w:rPr>
              <w:fldChar w:fldCharType="end"/>
            </w:r>
          </w:hyperlink>
        </w:p>
        <w:p w14:paraId="04E38AC7" w14:textId="0F8305A9"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2" w:history="1">
            <w:r w:rsidRPr="003E0B6B">
              <w:rPr>
                <w:rStyle w:val="Hipervnculo"/>
                <w:rFonts w:eastAsiaTheme="majorEastAsia"/>
                <w:b/>
                <w:noProof/>
                <w:lang w:val="es-DO"/>
              </w:rPr>
              <w:t>4.4</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de la Tecnología</w:t>
            </w:r>
            <w:r>
              <w:rPr>
                <w:noProof/>
                <w:webHidden/>
              </w:rPr>
              <w:tab/>
            </w:r>
            <w:r>
              <w:rPr>
                <w:noProof/>
                <w:webHidden/>
              </w:rPr>
              <w:fldChar w:fldCharType="begin"/>
            </w:r>
            <w:r>
              <w:rPr>
                <w:noProof/>
                <w:webHidden/>
              </w:rPr>
              <w:instrText xml:space="preserve"> PAGEREF _Toc217050892 \h </w:instrText>
            </w:r>
            <w:r>
              <w:rPr>
                <w:noProof/>
                <w:webHidden/>
              </w:rPr>
            </w:r>
            <w:r>
              <w:rPr>
                <w:noProof/>
                <w:webHidden/>
              </w:rPr>
              <w:fldChar w:fldCharType="separate"/>
            </w:r>
            <w:r>
              <w:rPr>
                <w:noProof/>
                <w:webHidden/>
              </w:rPr>
              <w:t>34</w:t>
            </w:r>
            <w:r>
              <w:rPr>
                <w:noProof/>
                <w:webHidden/>
              </w:rPr>
              <w:fldChar w:fldCharType="end"/>
            </w:r>
          </w:hyperlink>
        </w:p>
        <w:p w14:paraId="284F98C9" w14:textId="404FD93C"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3" w:history="1">
            <w:r w:rsidRPr="003E0B6B">
              <w:rPr>
                <w:rStyle w:val="Hipervnculo"/>
                <w:rFonts w:eastAsiaTheme="majorEastAsia"/>
                <w:b/>
                <w:noProof/>
                <w:lang w:val="es-DO"/>
              </w:rPr>
              <w:t>4.5</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del Sistema de Planificación y Desarrollo Institucional.</w:t>
            </w:r>
            <w:r>
              <w:rPr>
                <w:noProof/>
                <w:webHidden/>
              </w:rPr>
              <w:tab/>
            </w:r>
            <w:r>
              <w:rPr>
                <w:noProof/>
                <w:webHidden/>
              </w:rPr>
              <w:fldChar w:fldCharType="begin"/>
            </w:r>
            <w:r>
              <w:rPr>
                <w:noProof/>
                <w:webHidden/>
              </w:rPr>
              <w:instrText xml:space="preserve"> PAGEREF _Toc217050893 \h </w:instrText>
            </w:r>
            <w:r>
              <w:rPr>
                <w:noProof/>
                <w:webHidden/>
              </w:rPr>
            </w:r>
            <w:r>
              <w:rPr>
                <w:noProof/>
                <w:webHidden/>
              </w:rPr>
              <w:fldChar w:fldCharType="separate"/>
            </w:r>
            <w:r>
              <w:rPr>
                <w:noProof/>
                <w:webHidden/>
              </w:rPr>
              <w:t>36</w:t>
            </w:r>
            <w:r>
              <w:rPr>
                <w:noProof/>
                <w:webHidden/>
              </w:rPr>
              <w:fldChar w:fldCharType="end"/>
            </w:r>
          </w:hyperlink>
        </w:p>
        <w:p w14:paraId="10A51C1B" w14:textId="0A7CE887"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4" w:history="1">
            <w:r w:rsidRPr="003E0B6B">
              <w:rPr>
                <w:rStyle w:val="Hipervnculo"/>
                <w:rFonts w:eastAsiaTheme="majorEastAsia"/>
                <w:b/>
                <w:noProof/>
                <w:lang w:val="es-DO"/>
              </w:rPr>
              <w:t>a)</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Resultados de las Normas Básicas de Control Interno (NOBACI)</w:t>
            </w:r>
            <w:r>
              <w:rPr>
                <w:noProof/>
                <w:webHidden/>
              </w:rPr>
              <w:tab/>
            </w:r>
            <w:r>
              <w:rPr>
                <w:noProof/>
                <w:webHidden/>
              </w:rPr>
              <w:fldChar w:fldCharType="begin"/>
            </w:r>
            <w:r>
              <w:rPr>
                <w:noProof/>
                <w:webHidden/>
              </w:rPr>
              <w:instrText xml:space="preserve"> PAGEREF _Toc217050894 \h </w:instrText>
            </w:r>
            <w:r>
              <w:rPr>
                <w:noProof/>
                <w:webHidden/>
              </w:rPr>
            </w:r>
            <w:r>
              <w:rPr>
                <w:noProof/>
                <w:webHidden/>
              </w:rPr>
              <w:fldChar w:fldCharType="separate"/>
            </w:r>
            <w:r>
              <w:rPr>
                <w:noProof/>
                <w:webHidden/>
              </w:rPr>
              <w:t>37</w:t>
            </w:r>
            <w:r>
              <w:rPr>
                <w:noProof/>
                <w:webHidden/>
              </w:rPr>
              <w:fldChar w:fldCharType="end"/>
            </w:r>
          </w:hyperlink>
        </w:p>
        <w:p w14:paraId="2933FD6B" w14:textId="633E6F93"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5" w:history="1">
            <w:r w:rsidRPr="003E0B6B">
              <w:rPr>
                <w:rStyle w:val="Hipervnculo"/>
                <w:rFonts w:eastAsiaTheme="majorEastAsia"/>
                <w:b/>
                <w:noProof/>
                <w:lang w:val="es-DO"/>
              </w:rPr>
              <w:t>b)</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Resultados de los Sistemas de Calidad</w:t>
            </w:r>
            <w:r>
              <w:rPr>
                <w:noProof/>
                <w:webHidden/>
              </w:rPr>
              <w:tab/>
            </w:r>
            <w:r>
              <w:rPr>
                <w:noProof/>
                <w:webHidden/>
              </w:rPr>
              <w:fldChar w:fldCharType="begin"/>
            </w:r>
            <w:r>
              <w:rPr>
                <w:noProof/>
                <w:webHidden/>
              </w:rPr>
              <w:instrText xml:space="preserve"> PAGEREF _Toc217050895 \h </w:instrText>
            </w:r>
            <w:r>
              <w:rPr>
                <w:noProof/>
                <w:webHidden/>
              </w:rPr>
            </w:r>
            <w:r>
              <w:rPr>
                <w:noProof/>
                <w:webHidden/>
              </w:rPr>
              <w:fldChar w:fldCharType="separate"/>
            </w:r>
            <w:r>
              <w:rPr>
                <w:noProof/>
                <w:webHidden/>
              </w:rPr>
              <w:t>38</w:t>
            </w:r>
            <w:r>
              <w:rPr>
                <w:noProof/>
                <w:webHidden/>
              </w:rPr>
              <w:fldChar w:fldCharType="end"/>
            </w:r>
          </w:hyperlink>
        </w:p>
        <w:p w14:paraId="4A8DC1E5" w14:textId="7C95585C" w:rsidR="00D0435C" w:rsidRDefault="00D0435C">
          <w:pPr>
            <w:pStyle w:val="TDC1"/>
            <w:tabs>
              <w:tab w:val="left" w:pos="480"/>
              <w:tab w:val="right" w:leader="dot" w:pos="9350"/>
            </w:tabs>
            <w:rPr>
              <w:rFonts w:asciiTheme="minorHAnsi" w:eastAsiaTheme="minorEastAsia" w:hAnsiTheme="minorHAnsi" w:cstheme="minorBidi"/>
              <w:noProof/>
              <w:color w:val="auto"/>
              <w:spacing w:val="0"/>
              <w:kern w:val="2"/>
              <w14:ligatures w14:val="standardContextual"/>
            </w:rPr>
          </w:pPr>
          <w:hyperlink w:anchor="_Toc217050896" w:history="1">
            <w:r w:rsidRPr="003E0B6B">
              <w:rPr>
                <w:rStyle w:val="Hipervnculo"/>
                <w:rFonts w:eastAsiaTheme="majorEastAsia"/>
                <w:b/>
                <w:noProof/>
                <w:lang w:val="es-DO"/>
              </w:rPr>
              <w:t>c)</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Acciones para el Fortalecimiento Institucional</w:t>
            </w:r>
            <w:r>
              <w:rPr>
                <w:noProof/>
                <w:webHidden/>
              </w:rPr>
              <w:tab/>
            </w:r>
            <w:r>
              <w:rPr>
                <w:noProof/>
                <w:webHidden/>
              </w:rPr>
              <w:fldChar w:fldCharType="begin"/>
            </w:r>
            <w:r>
              <w:rPr>
                <w:noProof/>
                <w:webHidden/>
              </w:rPr>
              <w:instrText xml:space="preserve"> PAGEREF _Toc217050896 \h </w:instrText>
            </w:r>
            <w:r>
              <w:rPr>
                <w:noProof/>
                <w:webHidden/>
              </w:rPr>
            </w:r>
            <w:r>
              <w:rPr>
                <w:noProof/>
                <w:webHidden/>
              </w:rPr>
              <w:fldChar w:fldCharType="separate"/>
            </w:r>
            <w:r>
              <w:rPr>
                <w:noProof/>
                <w:webHidden/>
              </w:rPr>
              <w:t>40</w:t>
            </w:r>
            <w:r>
              <w:rPr>
                <w:noProof/>
                <w:webHidden/>
              </w:rPr>
              <w:fldChar w:fldCharType="end"/>
            </w:r>
          </w:hyperlink>
        </w:p>
        <w:p w14:paraId="3B5447BB" w14:textId="2865EF15"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7" w:history="1">
            <w:r w:rsidRPr="003E0B6B">
              <w:rPr>
                <w:rStyle w:val="Hipervnculo"/>
                <w:rFonts w:eastAsiaTheme="majorEastAsia"/>
                <w:b/>
                <w:noProof/>
                <w:lang w:val="es-DO"/>
              </w:rPr>
              <w:t>d)</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Avances en la Implementación de las Políticas Transversales</w:t>
            </w:r>
            <w:r>
              <w:rPr>
                <w:noProof/>
                <w:webHidden/>
              </w:rPr>
              <w:tab/>
            </w:r>
            <w:r>
              <w:rPr>
                <w:noProof/>
                <w:webHidden/>
              </w:rPr>
              <w:fldChar w:fldCharType="begin"/>
            </w:r>
            <w:r>
              <w:rPr>
                <w:noProof/>
                <w:webHidden/>
              </w:rPr>
              <w:instrText xml:space="preserve"> PAGEREF _Toc217050897 \h </w:instrText>
            </w:r>
            <w:r>
              <w:rPr>
                <w:noProof/>
                <w:webHidden/>
              </w:rPr>
            </w:r>
            <w:r>
              <w:rPr>
                <w:noProof/>
                <w:webHidden/>
              </w:rPr>
              <w:fldChar w:fldCharType="separate"/>
            </w:r>
            <w:r>
              <w:rPr>
                <w:noProof/>
                <w:webHidden/>
              </w:rPr>
              <w:t>41</w:t>
            </w:r>
            <w:r>
              <w:rPr>
                <w:noProof/>
                <w:webHidden/>
              </w:rPr>
              <w:fldChar w:fldCharType="end"/>
            </w:r>
          </w:hyperlink>
        </w:p>
        <w:p w14:paraId="2B50AD19" w14:textId="166463E3" w:rsidR="00D0435C" w:rsidRDefault="00D0435C">
          <w:pPr>
            <w:pStyle w:val="TDC1"/>
            <w:tabs>
              <w:tab w:val="left" w:pos="480"/>
              <w:tab w:val="right" w:leader="dot" w:pos="9350"/>
            </w:tabs>
            <w:rPr>
              <w:rFonts w:asciiTheme="minorHAnsi" w:eastAsiaTheme="minorEastAsia" w:hAnsiTheme="minorHAnsi" w:cstheme="minorBidi"/>
              <w:noProof/>
              <w:color w:val="auto"/>
              <w:spacing w:val="0"/>
              <w:kern w:val="2"/>
              <w14:ligatures w14:val="standardContextual"/>
            </w:rPr>
          </w:pPr>
          <w:hyperlink w:anchor="_Toc217050898" w:history="1">
            <w:r w:rsidRPr="003E0B6B">
              <w:rPr>
                <w:rStyle w:val="Hipervnculo"/>
                <w:rFonts w:eastAsiaTheme="majorEastAsia"/>
                <w:b/>
                <w:noProof/>
                <w:lang w:val="es-DO"/>
              </w:rPr>
              <w:t>e)</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Resultados o Avances en la Implementación de la Evaluación de Desempeño Institucional (EDI).</w:t>
            </w:r>
            <w:r>
              <w:rPr>
                <w:noProof/>
                <w:webHidden/>
              </w:rPr>
              <w:tab/>
            </w:r>
            <w:r>
              <w:rPr>
                <w:noProof/>
                <w:webHidden/>
              </w:rPr>
              <w:fldChar w:fldCharType="begin"/>
            </w:r>
            <w:r>
              <w:rPr>
                <w:noProof/>
                <w:webHidden/>
              </w:rPr>
              <w:instrText xml:space="preserve"> PAGEREF _Toc217050898 \h </w:instrText>
            </w:r>
            <w:r>
              <w:rPr>
                <w:noProof/>
                <w:webHidden/>
              </w:rPr>
            </w:r>
            <w:r>
              <w:rPr>
                <w:noProof/>
                <w:webHidden/>
              </w:rPr>
              <w:fldChar w:fldCharType="separate"/>
            </w:r>
            <w:r>
              <w:rPr>
                <w:noProof/>
                <w:webHidden/>
              </w:rPr>
              <w:t>41</w:t>
            </w:r>
            <w:r>
              <w:rPr>
                <w:noProof/>
                <w:webHidden/>
              </w:rPr>
              <w:fldChar w:fldCharType="end"/>
            </w:r>
          </w:hyperlink>
        </w:p>
        <w:p w14:paraId="510D5B97" w14:textId="798401FC"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899" w:history="1">
            <w:r w:rsidRPr="003E0B6B">
              <w:rPr>
                <w:rStyle w:val="Hipervnculo"/>
                <w:rFonts w:eastAsiaTheme="majorEastAsia"/>
                <w:b/>
                <w:noProof/>
                <w:lang w:val="es-DO"/>
              </w:rPr>
              <w:t>4.6</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Desempeño del Área de Comunicaciones</w:t>
            </w:r>
            <w:r>
              <w:rPr>
                <w:noProof/>
                <w:webHidden/>
              </w:rPr>
              <w:tab/>
            </w:r>
            <w:r>
              <w:rPr>
                <w:noProof/>
                <w:webHidden/>
              </w:rPr>
              <w:fldChar w:fldCharType="begin"/>
            </w:r>
            <w:r>
              <w:rPr>
                <w:noProof/>
                <w:webHidden/>
              </w:rPr>
              <w:instrText xml:space="preserve"> PAGEREF _Toc217050899 \h </w:instrText>
            </w:r>
            <w:r>
              <w:rPr>
                <w:noProof/>
                <w:webHidden/>
              </w:rPr>
            </w:r>
            <w:r>
              <w:rPr>
                <w:noProof/>
                <w:webHidden/>
              </w:rPr>
              <w:fldChar w:fldCharType="separate"/>
            </w:r>
            <w:r>
              <w:rPr>
                <w:noProof/>
                <w:webHidden/>
              </w:rPr>
              <w:t>42</w:t>
            </w:r>
            <w:r>
              <w:rPr>
                <w:noProof/>
                <w:webHidden/>
              </w:rPr>
              <w:fldChar w:fldCharType="end"/>
            </w:r>
          </w:hyperlink>
        </w:p>
        <w:p w14:paraId="087FA2F3" w14:textId="23ABC387"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0" w:history="1">
            <w:r w:rsidRPr="003E0B6B">
              <w:rPr>
                <w:rStyle w:val="Hipervnculo"/>
                <w:rFonts w:eastAsiaTheme="majorEastAsia"/>
                <w:b/>
                <w:noProof/>
                <w:lang w:val="es-DO"/>
              </w:rPr>
              <w:t>4.7</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Monitoreo y Vigilancia</w:t>
            </w:r>
            <w:r>
              <w:rPr>
                <w:noProof/>
                <w:webHidden/>
              </w:rPr>
              <w:tab/>
            </w:r>
            <w:r>
              <w:rPr>
                <w:noProof/>
                <w:webHidden/>
              </w:rPr>
              <w:fldChar w:fldCharType="begin"/>
            </w:r>
            <w:r>
              <w:rPr>
                <w:noProof/>
                <w:webHidden/>
              </w:rPr>
              <w:instrText xml:space="preserve"> PAGEREF _Toc217050900 \h </w:instrText>
            </w:r>
            <w:r>
              <w:rPr>
                <w:noProof/>
                <w:webHidden/>
              </w:rPr>
            </w:r>
            <w:r>
              <w:rPr>
                <w:noProof/>
                <w:webHidden/>
              </w:rPr>
              <w:fldChar w:fldCharType="separate"/>
            </w:r>
            <w:r>
              <w:rPr>
                <w:noProof/>
                <w:webHidden/>
              </w:rPr>
              <w:t>44</w:t>
            </w:r>
            <w:r>
              <w:rPr>
                <w:noProof/>
                <w:webHidden/>
              </w:rPr>
              <w:fldChar w:fldCharType="end"/>
            </w:r>
          </w:hyperlink>
        </w:p>
        <w:p w14:paraId="239AF7C1" w14:textId="2B464290"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1" w:history="1">
            <w:r w:rsidRPr="003E0B6B">
              <w:rPr>
                <w:rStyle w:val="Hipervnculo"/>
                <w:rFonts w:eastAsiaTheme="majorEastAsia"/>
                <w:b/>
                <w:noProof/>
                <w:lang w:val="es-DO"/>
              </w:rPr>
              <w:t>4.8</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Seguridad y Vigilancia Institucional</w:t>
            </w:r>
            <w:r>
              <w:rPr>
                <w:noProof/>
                <w:webHidden/>
              </w:rPr>
              <w:tab/>
            </w:r>
            <w:r>
              <w:rPr>
                <w:noProof/>
                <w:webHidden/>
              </w:rPr>
              <w:fldChar w:fldCharType="begin"/>
            </w:r>
            <w:r>
              <w:rPr>
                <w:noProof/>
                <w:webHidden/>
              </w:rPr>
              <w:instrText xml:space="preserve"> PAGEREF _Toc217050901 \h </w:instrText>
            </w:r>
            <w:r>
              <w:rPr>
                <w:noProof/>
                <w:webHidden/>
              </w:rPr>
            </w:r>
            <w:r>
              <w:rPr>
                <w:noProof/>
                <w:webHidden/>
              </w:rPr>
              <w:fldChar w:fldCharType="separate"/>
            </w:r>
            <w:r>
              <w:rPr>
                <w:noProof/>
                <w:webHidden/>
              </w:rPr>
              <w:t>47</w:t>
            </w:r>
            <w:r>
              <w:rPr>
                <w:noProof/>
                <w:webHidden/>
              </w:rPr>
              <w:fldChar w:fldCharType="end"/>
            </w:r>
          </w:hyperlink>
        </w:p>
        <w:p w14:paraId="0B1F78CA" w14:textId="267C77FE"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2" w:history="1">
            <w:r w:rsidRPr="003E0B6B">
              <w:rPr>
                <w:rStyle w:val="Hipervnculo"/>
                <w:noProof/>
                <w:lang w:val="es-DO"/>
              </w:rPr>
              <w:t>V.</w:t>
            </w:r>
            <w:r>
              <w:rPr>
                <w:rFonts w:asciiTheme="minorHAnsi" w:eastAsiaTheme="minorEastAsia" w:hAnsiTheme="minorHAnsi" w:cstheme="minorBidi"/>
                <w:noProof/>
                <w:color w:val="auto"/>
                <w:spacing w:val="0"/>
                <w:kern w:val="2"/>
                <w14:ligatures w14:val="standardContextual"/>
              </w:rPr>
              <w:tab/>
            </w:r>
            <w:r w:rsidRPr="003E0B6B">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_Toc217050902 \h </w:instrText>
            </w:r>
            <w:r>
              <w:rPr>
                <w:noProof/>
                <w:webHidden/>
              </w:rPr>
            </w:r>
            <w:r>
              <w:rPr>
                <w:noProof/>
                <w:webHidden/>
              </w:rPr>
              <w:fldChar w:fldCharType="separate"/>
            </w:r>
            <w:r>
              <w:rPr>
                <w:noProof/>
                <w:webHidden/>
              </w:rPr>
              <w:t>48</w:t>
            </w:r>
            <w:r>
              <w:rPr>
                <w:noProof/>
                <w:webHidden/>
              </w:rPr>
              <w:fldChar w:fldCharType="end"/>
            </w:r>
          </w:hyperlink>
        </w:p>
        <w:p w14:paraId="51699069" w14:textId="6E06508B"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3" w:history="1">
            <w:r w:rsidRPr="003E0B6B">
              <w:rPr>
                <w:rStyle w:val="Hipervnculo"/>
                <w:rFonts w:eastAsiaTheme="majorEastAsia"/>
                <w:b/>
                <w:noProof/>
                <w:lang w:val="es-DO"/>
              </w:rPr>
              <w:t>5.1</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Nivel de Satisfacción con el Servicio</w:t>
            </w:r>
            <w:r>
              <w:rPr>
                <w:noProof/>
                <w:webHidden/>
              </w:rPr>
              <w:tab/>
            </w:r>
            <w:r>
              <w:rPr>
                <w:noProof/>
                <w:webHidden/>
              </w:rPr>
              <w:fldChar w:fldCharType="begin"/>
            </w:r>
            <w:r>
              <w:rPr>
                <w:noProof/>
                <w:webHidden/>
              </w:rPr>
              <w:instrText xml:space="preserve"> PAGEREF _Toc217050903 \h </w:instrText>
            </w:r>
            <w:r>
              <w:rPr>
                <w:noProof/>
                <w:webHidden/>
              </w:rPr>
            </w:r>
            <w:r>
              <w:rPr>
                <w:noProof/>
                <w:webHidden/>
              </w:rPr>
              <w:fldChar w:fldCharType="separate"/>
            </w:r>
            <w:r>
              <w:rPr>
                <w:noProof/>
                <w:webHidden/>
              </w:rPr>
              <w:t>48</w:t>
            </w:r>
            <w:r>
              <w:rPr>
                <w:noProof/>
                <w:webHidden/>
              </w:rPr>
              <w:fldChar w:fldCharType="end"/>
            </w:r>
          </w:hyperlink>
        </w:p>
        <w:p w14:paraId="59D5DA5E" w14:textId="3647EBB6"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4" w:history="1">
            <w:r w:rsidRPr="003E0B6B">
              <w:rPr>
                <w:rStyle w:val="Hipervnculo"/>
                <w:rFonts w:eastAsiaTheme="majorEastAsia"/>
                <w:b/>
                <w:noProof/>
                <w:lang w:val="es-DO"/>
              </w:rPr>
              <w:t>5.2</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Nivel de Cumplimiento a Acceso de Información</w:t>
            </w:r>
            <w:r>
              <w:rPr>
                <w:noProof/>
                <w:webHidden/>
              </w:rPr>
              <w:tab/>
            </w:r>
            <w:r>
              <w:rPr>
                <w:noProof/>
                <w:webHidden/>
              </w:rPr>
              <w:fldChar w:fldCharType="begin"/>
            </w:r>
            <w:r>
              <w:rPr>
                <w:noProof/>
                <w:webHidden/>
              </w:rPr>
              <w:instrText xml:space="preserve"> PAGEREF _Toc217050904 \h </w:instrText>
            </w:r>
            <w:r>
              <w:rPr>
                <w:noProof/>
                <w:webHidden/>
              </w:rPr>
            </w:r>
            <w:r>
              <w:rPr>
                <w:noProof/>
                <w:webHidden/>
              </w:rPr>
              <w:fldChar w:fldCharType="separate"/>
            </w:r>
            <w:r>
              <w:rPr>
                <w:noProof/>
                <w:webHidden/>
              </w:rPr>
              <w:t>50</w:t>
            </w:r>
            <w:r>
              <w:rPr>
                <w:noProof/>
                <w:webHidden/>
              </w:rPr>
              <w:fldChar w:fldCharType="end"/>
            </w:r>
          </w:hyperlink>
        </w:p>
        <w:p w14:paraId="7C273A43" w14:textId="7810944A"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5" w:history="1">
            <w:r w:rsidRPr="003E0B6B">
              <w:rPr>
                <w:rStyle w:val="Hipervnculo"/>
                <w:rFonts w:eastAsiaTheme="majorEastAsia"/>
                <w:b/>
                <w:noProof/>
                <w:lang w:val="es-DO"/>
              </w:rPr>
              <w:t>5.3</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Resultados sistema de quejas, reclamos y sugerencias (QRS)</w:t>
            </w:r>
            <w:r>
              <w:rPr>
                <w:noProof/>
                <w:webHidden/>
              </w:rPr>
              <w:tab/>
            </w:r>
            <w:r>
              <w:rPr>
                <w:noProof/>
                <w:webHidden/>
              </w:rPr>
              <w:fldChar w:fldCharType="begin"/>
            </w:r>
            <w:r>
              <w:rPr>
                <w:noProof/>
                <w:webHidden/>
              </w:rPr>
              <w:instrText xml:space="preserve"> PAGEREF _Toc217050905 \h </w:instrText>
            </w:r>
            <w:r>
              <w:rPr>
                <w:noProof/>
                <w:webHidden/>
              </w:rPr>
            </w:r>
            <w:r>
              <w:rPr>
                <w:noProof/>
                <w:webHidden/>
              </w:rPr>
              <w:fldChar w:fldCharType="separate"/>
            </w:r>
            <w:r>
              <w:rPr>
                <w:noProof/>
                <w:webHidden/>
              </w:rPr>
              <w:t>51</w:t>
            </w:r>
            <w:r>
              <w:rPr>
                <w:noProof/>
                <w:webHidden/>
              </w:rPr>
              <w:fldChar w:fldCharType="end"/>
            </w:r>
          </w:hyperlink>
        </w:p>
        <w:p w14:paraId="07F30EAF" w14:textId="73E1C25D" w:rsidR="00D0435C" w:rsidRDefault="00D0435C">
          <w:pPr>
            <w:pStyle w:val="TDC1"/>
            <w:tabs>
              <w:tab w:val="left" w:pos="720"/>
              <w:tab w:val="right" w:leader="dot" w:pos="9350"/>
            </w:tabs>
            <w:rPr>
              <w:rFonts w:asciiTheme="minorHAnsi" w:eastAsiaTheme="minorEastAsia" w:hAnsiTheme="minorHAnsi" w:cstheme="minorBidi"/>
              <w:noProof/>
              <w:color w:val="auto"/>
              <w:spacing w:val="0"/>
              <w:kern w:val="2"/>
              <w14:ligatures w14:val="standardContextual"/>
            </w:rPr>
          </w:pPr>
          <w:hyperlink w:anchor="_Toc217050906" w:history="1">
            <w:r w:rsidRPr="003E0B6B">
              <w:rPr>
                <w:rStyle w:val="Hipervnculo"/>
                <w:rFonts w:eastAsiaTheme="majorEastAsia"/>
                <w:b/>
                <w:noProof/>
                <w:lang w:val="es-DO"/>
              </w:rPr>
              <w:t>5.4</w:t>
            </w:r>
            <w:r>
              <w:rPr>
                <w:rFonts w:asciiTheme="minorHAnsi" w:eastAsiaTheme="minorEastAsia" w:hAnsiTheme="minorHAnsi" w:cstheme="minorBidi"/>
                <w:noProof/>
                <w:color w:val="auto"/>
                <w:spacing w:val="0"/>
                <w:kern w:val="2"/>
                <w14:ligatures w14:val="standardContextual"/>
              </w:rPr>
              <w:tab/>
            </w:r>
            <w:r w:rsidRPr="003E0B6B">
              <w:rPr>
                <w:rStyle w:val="Hipervnculo"/>
                <w:rFonts w:eastAsiaTheme="majorEastAsia"/>
                <w:b/>
                <w:noProof/>
                <w:lang w:val="es-DO"/>
              </w:rPr>
              <w:t>Resultados mediciones del portal de transparencia</w:t>
            </w:r>
            <w:r>
              <w:rPr>
                <w:noProof/>
                <w:webHidden/>
              </w:rPr>
              <w:tab/>
            </w:r>
            <w:r>
              <w:rPr>
                <w:noProof/>
                <w:webHidden/>
              </w:rPr>
              <w:fldChar w:fldCharType="begin"/>
            </w:r>
            <w:r>
              <w:rPr>
                <w:noProof/>
                <w:webHidden/>
              </w:rPr>
              <w:instrText xml:space="preserve"> PAGEREF _Toc217050906 \h </w:instrText>
            </w:r>
            <w:r>
              <w:rPr>
                <w:noProof/>
                <w:webHidden/>
              </w:rPr>
            </w:r>
            <w:r>
              <w:rPr>
                <w:noProof/>
                <w:webHidden/>
              </w:rPr>
              <w:fldChar w:fldCharType="separate"/>
            </w:r>
            <w:r>
              <w:rPr>
                <w:noProof/>
                <w:webHidden/>
              </w:rPr>
              <w:t>51</w:t>
            </w:r>
            <w:r>
              <w:rPr>
                <w:noProof/>
                <w:webHidden/>
              </w:rPr>
              <w:fldChar w:fldCharType="end"/>
            </w:r>
          </w:hyperlink>
        </w:p>
        <w:p w14:paraId="12870A3F" w14:textId="5A49FCB9" w:rsidR="00D0435C" w:rsidRDefault="00D0435C">
          <w:pPr>
            <w:pStyle w:val="TDC1"/>
            <w:tabs>
              <w:tab w:val="right" w:leader="dot" w:pos="9350"/>
            </w:tabs>
            <w:rPr>
              <w:rFonts w:asciiTheme="minorHAnsi" w:eastAsiaTheme="minorEastAsia" w:hAnsiTheme="minorHAnsi" w:cstheme="minorBidi"/>
              <w:noProof/>
              <w:color w:val="auto"/>
              <w:spacing w:val="0"/>
              <w:kern w:val="2"/>
              <w14:ligatures w14:val="standardContextual"/>
            </w:rPr>
          </w:pPr>
          <w:hyperlink w:anchor="_Toc217050907" w:history="1">
            <w:r w:rsidRPr="003E0B6B">
              <w:rPr>
                <w:rStyle w:val="Hipervnculo"/>
                <w:noProof/>
                <w:lang w:val="es-DO"/>
              </w:rPr>
              <w:t>PROYECCIONES AL PRÓXIMO AÑO</w:t>
            </w:r>
            <w:r>
              <w:rPr>
                <w:noProof/>
                <w:webHidden/>
              </w:rPr>
              <w:tab/>
            </w:r>
            <w:r>
              <w:rPr>
                <w:noProof/>
                <w:webHidden/>
              </w:rPr>
              <w:fldChar w:fldCharType="begin"/>
            </w:r>
            <w:r>
              <w:rPr>
                <w:noProof/>
                <w:webHidden/>
              </w:rPr>
              <w:instrText xml:space="preserve"> PAGEREF _Toc217050907 \h </w:instrText>
            </w:r>
            <w:r>
              <w:rPr>
                <w:noProof/>
                <w:webHidden/>
              </w:rPr>
            </w:r>
            <w:r>
              <w:rPr>
                <w:noProof/>
                <w:webHidden/>
              </w:rPr>
              <w:fldChar w:fldCharType="separate"/>
            </w:r>
            <w:r>
              <w:rPr>
                <w:noProof/>
                <w:webHidden/>
              </w:rPr>
              <w:t>53</w:t>
            </w:r>
            <w:r>
              <w:rPr>
                <w:noProof/>
                <w:webHidden/>
              </w:rPr>
              <w:fldChar w:fldCharType="end"/>
            </w:r>
          </w:hyperlink>
        </w:p>
        <w:p w14:paraId="61A0CEFA" w14:textId="05E07F9D" w:rsidR="00D0435C" w:rsidRDefault="00D0435C">
          <w:pPr>
            <w:pStyle w:val="TDC1"/>
            <w:tabs>
              <w:tab w:val="right" w:leader="dot" w:pos="9350"/>
            </w:tabs>
            <w:rPr>
              <w:rFonts w:asciiTheme="minorHAnsi" w:eastAsiaTheme="minorEastAsia" w:hAnsiTheme="minorHAnsi" w:cstheme="minorBidi"/>
              <w:noProof/>
              <w:color w:val="auto"/>
              <w:spacing w:val="0"/>
              <w:kern w:val="2"/>
              <w14:ligatures w14:val="standardContextual"/>
            </w:rPr>
          </w:pPr>
          <w:hyperlink w:anchor="_Toc217050908" w:history="1">
            <w:r w:rsidRPr="003E0B6B">
              <w:rPr>
                <w:rStyle w:val="Hipervnculo"/>
                <w:noProof/>
                <w:lang w:val="es-DO"/>
              </w:rPr>
              <w:t>ANEXOS</w:t>
            </w:r>
            <w:r>
              <w:rPr>
                <w:noProof/>
                <w:webHidden/>
              </w:rPr>
              <w:tab/>
            </w:r>
            <w:r>
              <w:rPr>
                <w:noProof/>
                <w:webHidden/>
              </w:rPr>
              <w:fldChar w:fldCharType="begin"/>
            </w:r>
            <w:r>
              <w:rPr>
                <w:noProof/>
                <w:webHidden/>
              </w:rPr>
              <w:instrText xml:space="preserve"> PAGEREF _Toc217050908 \h </w:instrText>
            </w:r>
            <w:r>
              <w:rPr>
                <w:noProof/>
                <w:webHidden/>
              </w:rPr>
            </w:r>
            <w:r>
              <w:rPr>
                <w:noProof/>
                <w:webHidden/>
              </w:rPr>
              <w:fldChar w:fldCharType="separate"/>
            </w:r>
            <w:r>
              <w:rPr>
                <w:noProof/>
                <w:webHidden/>
              </w:rPr>
              <w:t>55</w:t>
            </w:r>
            <w:r>
              <w:rPr>
                <w:noProof/>
                <w:webHidden/>
              </w:rPr>
              <w:fldChar w:fldCharType="end"/>
            </w:r>
          </w:hyperlink>
        </w:p>
        <w:p w14:paraId="48DD30ED" w14:textId="71314095" w:rsidR="00A630BC" w:rsidRPr="00310D52" w:rsidRDefault="00A630BC">
          <w:r w:rsidRPr="00310D52">
            <w:rPr>
              <w:b/>
              <w:bCs/>
              <w:noProof/>
            </w:rPr>
            <w:fldChar w:fldCharType="end"/>
          </w:r>
        </w:p>
      </w:sdtContent>
    </w:sdt>
    <w:p w14:paraId="4394B0A8" w14:textId="77777777" w:rsidR="001240D0" w:rsidRPr="00310D52" w:rsidRDefault="001240D0" w:rsidP="00B45B38">
      <w:pPr>
        <w:ind w:left="567"/>
        <w:rPr>
          <w:b/>
          <w:bCs/>
          <w:noProof/>
          <w:lang w:val="es-DO"/>
        </w:rPr>
      </w:pPr>
    </w:p>
    <w:p w14:paraId="4242FE2D" w14:textId="77777777" w:rsidR="001240D0" w:rsidRPr="00310D52" w:rsidRDefault="001240D0" w:rsidP="00B45B38">
      <w:pPr>
        <w:ind w:left="567"/>
        <w:rPr>
          <w:b/>
          <w:bCs/>
          <w:noProof/>
          <w:lang w:val="es-DO"/>
        </w:rPr>
      </w:pPr>
    </w:p>
    <w:p w14:paraId="573DD07B" w14:textId="77777777" w:rsidR="001240D0" w:rsidRPr="00310D52" w:rsidRDefault="001240D0" w:rsidP="00B45B38">
      <w:pPr>
        <w:ind w:left="567"/>
        <w:rPr>
          <w:b/>
          <w:bCs/>
          <w:noProof/>
          <w:lang w:val="es-DO"/>
        </w:rPr>
      </w:pPr>
    </w:p>
    <w:p w14:paraId="6CEA36FA" w14:textId="77777777" w:rsidR="001240D0" w:rsidRPr="00310D52" w:rsidRDefault="001240D0" w:rsidP="00B45B38">
      <w:pPr>
        <w:ind w:left="567"/>
        <w:rPr>
          <w:b/>
          <w:bCs/>
          <w:noProof/>
          <w:lang w:val="es-DO"/>
        </w:rPr>
      </w:pPr>
    </w:p>
    <w:p w14:paraId="310BE1B9" w14:textId="77777777" w:rsidR="001240D0" w:rsidRPr="00310D52" w:rsidRDefault="001240D0" w:rsidP="00B45B38">
      <w:pPr>
        <w:ind w:left="567"/>
        <w:rPr>
          <w:b/>
          <w:bCs/>
          <w:noProof/>
          <w:lang w:val="es-DO"/>
        </w:rPr>
      </w:pPr>
    </w:p>
    <w:p w14:paraId="4D9BE3A9" w14:textId="77777777" w:rsidR="00920A80" w:rsidRPr="00310D52" w:rsidRDefault="00920A80" w:rsidP="00B45B38">
      <w:pPr>
        <w:ind w:left="567"/>
        <w:rPr>
          <w:b/>
          <w:bCs/>
          <w:noProof/>
          <w:lang w:val="es-DO"/>
        </w:rPr>
      </w:pPr>
    </w:p>
    <w:p w14:paraId="06171E0A" w14:textId="77777777" w:rsidR="00920A80" w:rsidRPr="00310D52" w:rsidRDefault="00920A80" w:rsidP="00B45B38">
      <w:pPr>
        <w:ind w:left="567"/>
        <w:rPr>
          <w:b/>
          <w:bCs/>
          <w:noProof/>
          <w:lang w:val="es-DO"/>
        </w:rPr>
      </w:pPr>
    </w:p>
    <w:p w14:paraId="48D5794A" w14:textId="77777777" w:rsidR="00920A80" w:rsidRPr="00310D52" w:rsidRDefault="00920A80" w:rsidP="00B45B38">
      <w:pPr>
        <w:ind w:left="567"/>
        <w:rPr>
          <w:b/>
          <w:bCs/>
          <w:noProof/>
          <w:lang w:val="es-DO"/>
        </w:rPr>
      </w:pPr>
    </w:p>
    <w:p w14:paraId="10240AA0" w14:textId="77777777" w:rsidR="00920A80" w:rsidRPr="00310D52" w:rsidRDefault="00920A80" w:rsidP="00B45B38">
      <w:pPr>
        <w:ind w:left="567"/>
        <w:rPr>
          <w:b/>
          <w:bCs/>
          <w:noProof/>
          <w:lang w:val="es-DO"/>
        </w:rPr>
      </w:pPr>
    </w:p>
    <w:p w14:paraId="282B891A" w14:textId="77777777" w:rsidR="00920A80" w:rsidRPr="00310D52" w:rsidRDefault="00920A80" w:rsidP="00B45B38">
      <w:pPr>
        <w:ind w:left="567"/>
        <w:rPr>
          <w:b/>
          <w:bCs/>
          <w:noProof/>
          <w:lang w:val="es-DO"/>
        </w:rPr>
      </w:pPr>
    </w:p>
    <w:p w14:paraId="3C867BEC" w14:textId="77777777" w:rsidR="00920A80" w:rsidRPr="00310D52" w:rsidRDefault="00920A80" w:rsidP="00B45B38">
      <w:pPr>
        <w:ind w:left="567"/>
        <w:rPr>
          <w:b/>
          <w:bCs/>
          <w:noProof/>
          <w:lang w:val="es-DO"/>
        </w:rPr>
      </w:pPr>
    </w:p>
    <w:p w14:paraId="34FD40AF" w14:textId="7F25FC58" w:rsidR="00920A80" w:rsidRPr="00310D52" w:rsidRDefault="00920A80" w:rsidP="00B45B38">
      <w:pPr>
        <w:ind w:left="567"/>
        <w:rPr>
          <w:i/>
          <w:iCs/>
          <w:noProof/>
          <w:sz w:val="20"/>
          <w:szCs w:val="20"/>
          <w:lang w:val="es-DO"/>
        </w:rPr>
      </w:pPr>
    </w:p>
    <w:p w14:paraId="13F38C54" w14:textId="77777777" w:rsidR="00920A80" w:rsidRPr="00310D52" w:rsidRDefault="00920A80" w:rsidP="00B45B38">
      <w:pPr>
        <w:ind w:left="567"/>
        <w:rPr>
          <w:b/>
          <w:bCs/>
          <w:noProof/>
          <w:lang w:val="es-DO"/>
        </w:rPr>
      </w:pPr>
    </w:p>
    <w:p w14:paraId="220C50B1" w14:textId="77777777" w:rsidR="001240D0" w:rsidRPr="00310D52" w:rsidRDefault="001240D0" w:rsidP="00B45B38">
      <w:pPr>
        <w:ind w:left="567"/>
        <w:rPr>
          <w:b/>
          <w:bCs/>
          <w:noProof/>
          <w:lang w:val="es-DO"/>
        </w:rPr>
      </w:pPr>
    </w:p>
    <w:p w14:paraId="03DAF95B" w14:textId="77777777" w:rsidR="001240D0" w:rsidRPr="00310D52" w:rsidRDefault="001240D0">
      <w:pPr>
        <w:rPr>
          <w:lang w:val="es-DO"/>
        </w:rPr>
      </w:pPr>
    </w:p>
    <w:p w14:paraId="1DBDA006" w14:textId="4D806799" w:rsidR="00074F31" w:rsidRPr="00310D52" w:rsidRDefault="00074F31">
      <w:pPr>
        <w:rPr>
          <w:lang w:val="es-DO"/>
        </w:rPr>
        <w:sectPr w:rsidR="00074F31" w:rsidRPr="00310D52" w:rsidSect="009904DB">
          <w:footerReference w:type="first" r:id="rId12"/>
          <w:pgSz w:w="12240" w:h="15840"/>
          <w:pgMar w:top="1440" w:right="1440" w:bottom="1440" w:left="1440" w:header="720" w:footer="720" w:gutter="0"/>
          <w:cols w:space="720"/>
          <w:docGrid w:linePitch="360"/>
        </w:sectPr>
      </w:pPr>
    </w:p>
    <w:p w14:paraId="649D29AD" w14:textId="5849EA87" w:rsidR="001240D0" w:rsidRPr="00310D52" w:rsidRDefault="001240D0" w:rsidP="00434602">
      <w:pPr>
        <w:pStyle w:val="Ttulo1"/>
        <w:numPr>
          <w:ilvl w:val="0"/>
          <w:numId w:val="1"/>
        </w:numPr>
        <w:rPr>
          <w:rFonts w:cs="Times New Roman"/>
          <w:color w:val="767171"/>
          <w:lang w:val="es-DO"/>
        </w:rPr>
      </w:pPr>
      <w:bookmarkStart w:id="2" w:name="_Toc217050873"/>
      <w:bookmarkStart w:id="3" w:name="_Hlk86403204"/>
      <w:r w:rsidRPr="00310D52">
        <w:rPr>
          <w:rFonts w:cs="Times New Roman"/>
          <w:color w:val="767171"/>
          <w:lang w:val="es-DO"/>
        </w:rPr>
        <w:lastRenderedPageBreak/>
        <w:t>RESUMEN EJECUTIVO</w:t>
      </w:r>
      <w:bookmarkEnd w:id="2"/>
    </w:p>
    <w:p w14:paraId="7C54AF21" w14:textId="26B7214D" w:rsidR="001240D0" w:rsidRPr="00310D52" w:rsidRDefault="00125D46" w:rsidP="00434602">
      <w:pPr>
        <w:spacing w:line="360" w:lineRule="auto"/>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25AFDD0F" w:rsidR="001240D0" w:rsidRPr="00310D52" w:rsidRDefault="00654164" w:rsidP="00434602">
      <w:pPr>
        <w:spacing w:line="360" w:lineRule="auto"/>
        <w:jc w:val="center"/>
        <w:rPr>
          <w:rFonts w:eastAsia="Calibri"/>
          <w:szCs w:val="36"/>
          <w:lang w:val="es-DO"/>
        </w:rPr>
      </w:pPr>
      <w:r w:rsidRPr="00310D52">
        <w:rPr>
          <w:rFonts w:eastAsia="Calibri"/>
          <w:szCs w:val="36"/>
          <w:lang w:val="es-DO"/>
        </w:rPr>
        <w:t xml:space="preserve">Memoria </w:t>
      </w:r>
      <w:r w:rsidR="004A515E" w:rsidRPr="00310D52">
        <w:rPr>
          <w:rFonts w:eastAsia="Calibri"/>
          <w:szCs w:val="36"/>
          <w:lang w:val="es-DO"/>
        </w:rPr>
        <w:t>Institu</w:t>
      </w:r>
      <w:r w:rsidR="009A466A" w:rsidRPr="00310D52">
        <w:rPr>
          <w:rFonts w:eastAsia="Calibri"/>
          <w:szCs w:val="36"/>
          <w:lang w:val="es-DO"/>
        </w:rPr>
        <w:t>c</w:t>
      </w:r>
      <w:r w:rsidR="004A515E" w:rsidRPr="00310D52">
        <w:rPr>
          <w:rFonts w:eastAsia="Calibri"/>
          <w:szCs w:val="36"/>
          <w:lang w:val="es-DO"/>
        </w:rPr>
        <w:t>ional</w:t>
      </w:r>
      <w:r w:rsidR="001240D0" w:rsidRPr="00310D52">
        <w:rPr>
          <w:rFonts w:eastAsia="Calibri"/>
          <w:szCs w:val="36"/>
          <w:lang w:val="es-DO"/>
        </w:rPr>
        <w:t xml:space="preserve"> </w:t>
      </w:r>
      <w:r w:rsidR="007471AC" w:rsidRPr="00310D52">
        <w:rPr>
          <w:rFonts w:eastAsia="Calibri"/>
          <w:szCs w:val="36"/>
          <w:lang w:val="es-DO"/>
        </w:rPr>
        <w:t>202</w:t>
      </w:r>
      <w:r w:rsidR="0051332F" w:rsidRPr="00310D52">
        <w:rPr>
          <w:rFonts w:eastAsia="Calibri"/>
          <w:szCs w:val="36"/>
          <w:lang w:val="es-DO"/>
        </w:rPr>
        <w:t>5</w:t>
      </w:r>
    </w:p>
    <w:p w14:paraId="7CD26AB3" w14:textId="77777777" w:rsidR="00043D73" w:rsidRPr="00310D52" w:rsidRDefault="00043D73" w:rsidP="00434602">
      <w:pPr>
        <w:spacing w:line="360" w:lineRule="auto"/>
        <w:jc w:val="center"/>
        <w:rPr>
          <w:rFonts w:eastAsia="Calibri"/>
          <w:szCs w:val="36"/>
          <w:lang w:val="es-DO"/>
        </w:rPr>
      </w:pPr>
    </w:p>
    <w:p w14:paraId="43132367" w14:textId="788A1619" w:rsidR="009E6945" w:rsidRPr="00310D52" w:rsidRDefault="00043D73" w:rsidP="00434602">
      <w:pPr>
        <w:spacing w:line="360" w:lineRule="auto"/>
        <w:jc w:val="both"/>
        <w:rPr>
          <w:rFonts w:eastAsia="Calibri"/>
          <w:noProof/>
          <w:lang w:val="es-DO"/>
        </w:rPr>
      </w:pPr>
      <w:r w:rsidRPr="00310D52">
        <w:rPr>
          <w:rFonts w:eastAsia="Calibri"/>
          <w:noProof/>
          <w:lang w:val="es-DO"/>
        </w:rPr>
        <w:t>La</w:t>
      </w:r>
      <w:r w:rsidR="00225C91" w:rsidRPr="00310D52">
        <w:rPr>
          <w:rFonts w:eastAsia="Calibri"/>
          <w:noProof/>
          <w:lang w:val="es-DO"/>
        </w:rPr>
        <w:t xml:space="preserve"> </w:t>
      </w:r>
      <w:r w:rsidRPr="00310D52">
        <w:rPr>
          <w:rFonts w:eastAsia="Calibri"/>
          <w:noProof/>
          <w:lang w:val="es-DO"/>
        </w:rPr>
        <w:t>Dirección</w:t>
      </w:r>
      <w:r w:rsidR="00225C91" w:rsidRPr="00310D52">
        <w:rPr>
          <w:rFonts w:eastAsia="Calibri"/>
          <w:noProof/>
          <w:lang w:val="es-DO"/>
        </w:rPr>
        <w:t xml:space="preserve"> </w:t>
      </w:r>
      <w:r w:rsidRPr="00310D52">
        <w:rPr>
          <w:rFonts w:eastAsia="Calibri"/>
          <w:noProof/>
          <w:lang w:val="es-DO"/>
        </w:rPr>
        <w:t>de</w:t>
      </w:r>
      <w:r w:rsidR="00225C91" w:rsidRPr="00310D52">
        <w:rPr>
          <w:rFonts w:eastAsia="Calibri"/>
          <w:noProof/>
          <w:lang w:val="es-DO"/>
        </w:rPr>
        <w:t xml:space="preserve"> </w:t>
      </w:r>
      <w:r w:rsidRPr="00310D52">
        <w:rPr>
          <w:rFonts w:eastAsia="Calibri"/>
          <w:noProof/>
          <w:lang w:val="es-DO"/>
        </w:rPr>
        <w:t>Servicios</w:t>
      </w:r>
      <w:r w:rsidR="00225C91" w:rsidRPr="00310D52">
        <w:rPr>
          <w:rFonts w:eastAsia="Calibri"/>
          <w:noProof/>
          <w:lang w:val="es-DO"/>
        </w:rPr>
        <w:t xml:space="preserve"> </w:t>
      </w:r>
      <w:r w:rsidRPr="00310D52">
        <w:rPr>
          <w:rFonts w:eastAsia="Calibri"/>
          <w:noProof/>
          <w:lang w:val="es-DO"/>
        </w:rPr>
        <w:t>de</w:t>
      </w:r>
      <w:r w:rsidR="00225C91" w:rsidRPr="00310D52">
        <w:rPr>
          <w:rFonts w:eastAsia="Calibri"/>
          <w:noProof/>
          <w:lang w:val="es-DO"/>
        </w:rPr>
        <w:t xml:space="preserve"> </w:t>
      </w:r>
      <w:r w:rsidRPr="00310D52">
        <w:rPr>
          <w:rFonts w:eastAsia="Calibri"/>
          <w:noProof/>
          <w:lang w:val="es-DO"/>
        </w:rPr>
        <w:t>Atención</w:t>
      </w:r>
      <w:r w:rsidR="00225C91" w:rsidRPr="00310D52">
        <w:rPr>
          <w:rFonts w:eastAsia="Calibri"/>
          <w:noProof/>
          <w:lang w:val="es-DO"/>
        </w:rPr>
        <w:t xml:space="preserve"> </w:t>
      </w:r>
      <w:r w:rsidRPr="00310D52">
        <w:rPr>
          <w:rFonts w:eastAsia="Calibri"/>
          <w:noProof/>
          <w:lang w:val="es-DO"/>
        </w:rPr>
        <w:t>a</w:t>
      </w:r>
      <w:r w:rsidR="00225C91" w:rsidRPr="00310D52">
        <w:rPr>
          <w:rFonts w:eastAsia="Calibri"/>
          <w:noProof/>
          <w:lang w:val="es-DO"/>
        </w:rPr>
        <w:t xml:space="preserve"> </w:t>
      </w:r>
      <w:r w:rsidRPr="00310D52">
        <w:rPr>
          <w:rFonts w:eastAsia="Calibri"/>
          <w:noProof/>
          <w:lang w:val="es-DO"/>
        </w:rPr>
        <w:t>Emergencias</w:t>
      </w:r>
      <w:r w:rsidR="00225C91" w:rsidRPr="00310D52">
        <w:rPr>
          <w:rFonts w:eastAsia="Calibri"/>
          <w:noProof/>
          <w:lang w:val="es-DO"/>
        </w:rPr>
        <w:t xml:space="preserve"> </w:t>
      </w:r>
      <w:r w:rsidRPr="00310D52">
        <w:rPr>
          <w:rFonts w:eastAsia="Calibri"/>
          <w:noProof/>
          <w:lang w:val="es-DO"/>
        </w:rPr>
        <w:t>Extrahospitalaria</w:t>
      </w:r>
      <w:r w:rsidR="00225C91" w:rsidRPr="00310D52">
        <w:rPr>
          <w:rFonts w:eastAsia="Calibri"/>
          <w:noProof/>
          <w:lang w:val="es-DO"/>
        </w:rPr>
        <w:t xml:space="preserve"> (</w:t>
      </w:r>
      <w:r w:rsidRPr="00310D52">
        <w:rPr>
          <w:rFonts w:eastAsia="Calibri"/>
          <w:noProof/>
          <w:lang w:val="es-DO"/>
        </w:rPr>
        <w:t>DAEH</w:t>
      </w:r>
      <w:r w:rsidR="00225C91" w:rsidRPr="00310D52">
        <w:rPr>
          <w:rFonts w:eastAsia="Calibri"/>
          <w:noProof/>
          <w:lang w:val="es-DO"/>
        </w:rPr>
        <w:t>)</w:t>
      </w:r>
      <w:r w:rsidRPr="00310D52">
        <w:rPr>
          <w:rFonts w:eastAsia="Calibri"/>
          <w:noProof/>
          <w:lang w:val="es-DO"/>
        </w:rPr>
        <w:t xml:space="preserve">, como institución de servicios de atención directa a las personas para el  ámbito extrahospitalario </w:t>
      </w:r>
      <w:r w:rsidR="00B92191" w:rsidRPr="00310D52">
        <w:rPr>
          <w:rFonts w:eastAsia="Calibri"/>
          <w:noProof/>
          <w:lang w:val="es-DO"/>
        </w:rPr>
        <w:t>h</w:t>
      </w:r>
      <w:r w:rsidRPr="00310D52">
        <w:rPr>
          <w:rFonts w:eastAsia="Calibri"/>
          <w:noProof/>
          <w:lang w:val="es-DO"/>
        </w:rPr>
        <w:t>a trabajado</w:t>
      </w:r>
      <w:r w:rsidR="00FF0887" w:rsidRPr="00310D52">
        <w:rPr>
          <w:rFonts w:eastAsia="Calibri"/>
          <w:noProof/>
          <w:lang w:val="es-DO"/>
        </w:rPr>
        <w:t xml:space="preserve"> </w:t>
      </w:r>
      <w:r w:rsidRPr="00310D52">
        <w:rPr>
          <w:rFonts w:eastAsia="Calibri"/>
          <w:noProof/>
          <w:lang w:val="es-DO"/>
        </w:rPr>
        <w:t>en cumplimiento a los lineamientos establecidos, las políticas públicas,</w:t>
      </w:r>
      <w:r w:rsidR="00225C91" w:rsidRPr="00310D52">
        <w:rPr>
          <w:rFonts w:eastAsia="Calibri"/>
          <w:noProof/>
          <w:lang w:val="es-DO"/>
        </w:rPr>
        <w:t xml:space="preserve"> planificación estratégica e institucional </w:t>
      </w:r>
      <w:r w:rsidRPr="00310D52">
        <w:rPr>
          <w:rFonts w:eastAsia="Calibri"/>
          <w:noProof/>
          <w:lang w:val="es-DO"/>
        </w:rPr>
        <w:t xml:space="preserve">y su </w:t>
      </w:r>
      <w:r w:rsidR="00225C91" w:rsidRPr="00310D52">
        <w:rPr>
          <w:rFonts w:eastAsia="Calibri"/>
          <w:noProof/>
          <w:lang w:val="es-DO"/>
        </w:rPr>
        <w:t xml:space="preserve">plan operativo anual </w:t>
      </w:r>
      <w:r w:rsidRPr="00310D52">
        <w:rPr>
          <w:rFonts w:eastAsia="Calibri"/>
          <w:noProof/>
          <w:lang w:val="es-DO"/>
        </w:rPr>
        <w:t>del año 2025,</w:t>
      </w:r>
      <w:r w:rsidR="00B92191" w:rsidRPr="00310D52">
        <w:rPr>
          <w:rFonts w:eastAsia="Calibri"/>
          <w:noProof/>
          <w:lang w:val="es-DO"/>
        </w:rPr>
        <w:t xml:space="preserve"> </w:t>
      </w:r>
      <w:r w:rsidRPr="00310D52">
        <w:rPr>
          <w:rFonts w:eastAsia="Calibri"/>
          <w:noProof/>
          <w:lang w:val="es-DO"/>
        </w:rPr>
        <w:t>comprometida  con la eficiencia administrativa, la transparencia y brindar un mejor servicio, teniendo como meta la satisfacción de los ciudadanos y un traslado oportuno y de calidad. Presentamos los resultados de las actividades, logros y desafíos que condujeron el accionar de la institución durante el 2025.</w:t>
      </w:r>
    </w:p>
    <w:p w14:paraId="491FEFCB" w14:textId="60DEB37A" w:rsidR="00E952A5" w:rsidRPr="00310D52" w:rsidRDefault="00271134" w:rsidP="00434602">
      <w:pPr>
        <w:spacing w:line="360" w:lineRule="auto"/>
        <w:jc w:val="both"/>
        <w:rPr>
          <w:rFonts w:eastAsia="Calibri"/>
          <w:noProof/>
          <w:lang w:val="es-DO"/>
        </w:rPr>
      </w:pPr>
      <w:r w:rsidRPr="00310D52">
        <w:rPr>
          <w:rFonts w:eastAsia="Calibri"/>
          <w:noProof/>
          <w:lang w:val="es-DO"/>
        </w:rPr>
        <w:t>Se logró impactar directamente a la población, generando mas confianza en el servicio,</w:t>
      </w:r>
      <w:r w:rsidR="008358E8" w:rsidRPr="00310D52">
        <w:rPr>
          <w:rFonts w:eastAsia="Calibri"/>
          <w:noProof/>
          <w:lang w:val="es-DO"/>
        </w:rPr>
        <w:t xml:space="preserve"> </w:t>
      </w:r>
      <w:r w:rsidRPr="00310D52">
        <w:rPr>
          <w:rFonts w:eastAsia="Calibri"/>
          <w:noProof/>
          <w:lang w:val="es-DO"/>
        </w:rPr>
        <w:t xml:space="preserve">con la reducción significativa e importante de </w:t>
      </w:r>
      <w:r w:rsidR="0066103B" w:rsidRPr="00310D52">
        <w:rPr>
          <w:rFonts w:eastAsia="Calibri"/>
          <w:noProof/>
          <w:lang w:val="es-DO"/>
        </w:rPr>
        <w:t>3</w:t>
      </w:r>
      <w:r w:rsidRPr="00310D52">
        <w:rPr>
          <w:rFonts w:eastAsia="Calibri"/>
          <w:noProof/>
          <w:lang w:val="es-DO"/>
        </w:rPr>
        <w:t xml:space="preserve"> minutos </w:t>
      </w:r>
      <w:r w:rsidR="0066103B" w:rsidRPr="00310D52">
        <w:rPr>
          <w:rFonts w:eastAsia="Calibri"/>
          <w:noProof/>
          <w:lang w:val="es-DO"/>
        </w:rPr>
        <w:t>29</w:t>
      </w:r>
      <w:r w:rsidRPr="00310D52">
        <w:rPr>
          <w:rFonts w:eastAsia="Calibri"/>
          <w:noProof/>
          <w:lang w:val="es-DO"/>
        </w:rPr>
        <w:t xml:space="preserve"> segundos en el tiempo de respuesta (despacho-llegada) en relación al mes de </w:t>
      </w:r>
      <w:r w:rsidR="0066103B" w:rsidRPr="00310D52">
        <w:rPr>
          <w:rFonts w:eastAsia="Calibri"/>
          <w:noProof/>
          <w:lang w:val="es-DO"/>
        </w:rPr>
        <w:t>diciembre</w:t>
      </w:r>
      <w:r w:rsidRPr="00310D52">
        <w:rPr>
          <w:rFonts w:eastAsia="Calibri"/>
          <w:noProof/>
          <w:lang w:val="es-DO"/>
        </w:rPr>
        <w:t xml:space="preserve"> del </w:t>
      </w:r>
      <w:r w:rsidR="0066103B" w:rsidRPr="00310D52">
        <w:rPr>
          <w:rFonts w:eastAsia="Calibri"/>
          <w:noProof/>
          <w:lang w:val="es-DO"/>
        </w:rPr>
        <w:t>202</w:t>
      </w:r>
      <w:r w:rsidR="00341A6A" w:rsidRPr="00310D52">
        <w:rPr>
          <w:rFonts w:eastAsia="Calibri"/>
          <w:noProof/>
          <w:lang w:val="es-DO"/>
        </w:rPr>
        <w:t>4</w:t>
      </w:r>
      <w:r w:rsidRPr="00310D52">
        <w:rPr>
          <w:rFonts w:eastAsia="Calibri"/>
          <w:noProof/>
          <w:lang w:val="es-DO"/>
        </w:rPr>
        <w:t xml:space="preserve"> promedio ponderado</w:t>
      </w:r>
      <w:r w:rsidR="00341A6A" w:rsidRPr="00310D52">
        <w:rPr>
          <w:rFonts w:eastAsia="Calibri"/>
          <w:noProof/>
          <w:lang w:val="es-DO"/>
        </w:rPr>
        <w:t xml:space="preserve"> con tendencia a la baja</w:t>
      </w:r>
      <w:r w:rsidRPr="00310D52">
        <w:rPr>
          <w:rFonts w:eastAsia="Calibri"/>
          <w:noProof/>
          <w:lang w:val="es-DO"/>
        </w:rPr>
        <w:t>, marcando esto un gran precedente en la población a recibir el servicio de traslado oportuno. Esto impactando tambien en el aumento de la satisfacción del usuario a 90%</w:t>
      </w:r>
      <w:r w:rsidR="00225C91" w:rsidRPr="00310D52">
        <w:rPr>
          <w:rFonts w:eastAsia="Calibri"/>
          <w:noProof/>
          <w:lang w:val="es-DO"/>
        </w:rPr>
        <w:t xml:space="preserve"> en el </w:t>
      </w:r>
      <w:r w:rsidRPr="00310D52">
        <w:rPr>
          <w:rFonts w:eastAsia="Calibri"/>
          <w:noProof/>
          <w:lang w:val="es-DO"/>
        </w:rPr>
        <w:t>promedio en velocidad de respuesta, conocimiento y trato de la respuesta. Aumento de la cobertura de los servicios de atención</w:t>
      </w:r>
      <w:r w:rsidR="008B458A" w:rsidRPr="00310D52">
        <w:rPr>
          <w:rFonts w:eastAsia="Calibri"/>
          <w:noProof/>
          <w:lang w:val="es-DO"/>
        </w:rPr>
        <w:t xml:space="preserve"> </w:t>
      </w:r>
      <w:r w:rsidRPr="00310D52">
        <w:rPr>
          <w:rFonts w:eastAsia="Calibri"/>
          <w:noProof/>
          <w:lang w:val="es-DO"/>
        </w:rPr>
        <w:t>abarcando ya el 93% de la población dominicana. A través de la  red de atención prehospitalaria se mantuvo un nivel sostenido de activación y respuesta, registrando un total de  547,936 asistencias medicas  prehospitalarias a las personas que activaron el sistema 911, de las cuales 306,286 correspondieron a traslados hacia centros</w:t>
      </w:r>
      <w:r w:rsidR="008B458A" w:rsidRPr="00310D52">
        <w:rPr>
          <w:rFonts w:eastAsia="Calibri"/>
          <w:noProof/>
          <w:lang w:val="es-DO"/>
        </w:rPr>
        <w:t xml:space="preserve"> </w:t>
      </w:r>
      <w:r w:rsidRPr="00310D52">
        <w:rPr>
          <w:rFonts w:eastAsia="Calibri"/>
          <w:noProof/>
          <w:lang w:val="es-DO"/>
        </w:rPr>
        <w:t>de salud, representando el 56% del total de casos. Esto logrado con una</w:t>
      </w:r>
      <w:r w:rsidR="00FF0887" w:rsidRPr="00310D52">
        <w:rPr>
          <w:rFonts w:eastAsia="Calibri"/>
          <w:noProof/>
          <w:lang w:val="es-DO"/>
        </w:rPr>
        <w:t xml:space="preserve"> </w:t>
      </w:r>
      <w:r w:rsidRPr="00310D52">
        <w:rPr>
          <w:rFonts w:eastAsia="Calibri"/>
          <w:noProof/>
          <w:lang w:val="es-DO"/>
        </w:rPr>
        <w:lastRenderedPageBreak/>
        <w:t>ejecución</w:t>
      </w:r>
      <w:r w:rsidR="00FF0887" w:rsidRPr="00310D52">
        <w:rPr>
          <w:rFonts w:eastAsia="Calibri"/>
          <w:noProof/>
          <w:lang w:val="es-DO"/>
        </w:rPr>
        <w:t xml:space="preserve"> </w:t>
      </w:r>
      <w:r w:rsidRPr="00310D52">
        <w:rPr>
          <w:rFonts w:eastAsia="Calibri"/>
          <w:noProof/>
          <w:lang w:val="es-DO"/>
        </w:rPr>
        <w:t xml:space="preserve">presupuestaria ascendente </w:t>
      </w:r>
      <w:r w:rsidR="00225C91" w:rsidRPr="00310D52">
        <w:rPr>
          <w:rFonts w:eastAsia="Calibri"/>
          <w:noProof/>
          <w:lang w:val="es-DO"/>
        </w:rPr>
        <w:t xml:space="preserve">a </w:t>
      </w:r>
      <w:r w:rsidRPr="00310D52">
        <w:rPr>
          <w:rFonts w:eastAsia="Calibri"/>
          <w:noProof/>
          <w:lang w:val="es-DO"/>
        </w:rPr>
        <w:t>RD$</w:t>
      </w:r>
      <w:r w:rsidR="00225C91" w:rsidRPr="00310D52">
        <w:rPr>
          <w:rFonts w:eastAsia="Calibri"/>
          <w:noProof/>
          <w:lang w:val="es-DO"/>
        </w:rPr>
        <w:t xml:space="preserve">1,348,771,761.72. </w:t>
      </w:r>
      <w:r w:rsidRPr="00310D52">
        <w:rPr>
          <w:rFonts w:eastAsia="Calibri"/>
          <w:noProof/>
          <w:lang w:val="es-DO"/>
        </w:rPr>
        <w:t>Este servicio benefició a una población estimada de 10,263,940</w:t>
      </w:r>
      <w:r w:rsidR="00225C91" w:rsidRPr="00310D52">
        <w:rPr>
          <w:rFonts w:eastAsia="Calibri"/>
          <w:noProof/>
          <w:lang w:val="es-DO"/>
        </w:rPr>
        <w:t xml:space="preserve"> </w:t>
      </w:r>
      <w:r w:rsidRPr="00310D52">
        <w:rPr>
          <w:rFonts w:eastAsia="Calibri"/>
          <w:noProof/>
          <w:lang w:val="es-DO"/>
        </w:rPr>
        <w:t>habitantes, correspondiente a las provincias donde opera el 9-1-1.</w:t>
      </w:r>
    </w:p>
    <w:p w14:paraId="6343214B" w14:textId="5117CB9B" w:rsidR="006C7155" w:rsidRPr="00310D52" w:rsidRDefault="00043D73" w:rsidP="00434602">
      <w:pPr>
        <w:spacing w:line="360" w:lineRule="auto"/>
        <w:jc w:val="both"/>
        <w:rPr>
          <w:rFonts w:eastAsia="Calibri"/>
          <w:noProof/>
          <w:lang w:val="es-DO"/>
        </w:rPr>
      </w:pPr>
      <w:r w:rsidRPr="00310D52">
        <w:rPr>
          <w:rFonts w:eastAsia="Calibri"/>
          <w:noProof/>
          <w:lang w:val="es-DO"/>
        </w:rPr>
        <w:t>Los traslados interhospitalarios constituyeron un componente esencial para garantizar la continuidad del cuidado del paciente, alcanzando más de 65,286 traslados de pacientes desde centros de menor capacidad hacia establecimientos de mayor complejidad o para la realización de estudios diagnósticos especializados. Esta labor se desarrolló</w:t>
      </w:r>
      <w:r w:rsidR="008B458A" w:rsidRPr="00310D52">
        <w:rPr>
          <w:rFonts w:eastAsia="Calibri"/>
          <w:noProof/>
          <w:lang w:val="es-DO"/>
        </w:rPr>
        <w:t xml:space="preserve"> </w:t>
      </w:r>
      <w:r w:rsidRPr="00310D52">
        <w:rPr>
          <w:rFonts w:eastAsia="Calibri"/>
          <w:noProof/>
          <w:lang w:val="es-DO"/>
        </w:rPr>
        <w:t>con</w:t>
      </w:r>
      <w:r w:rsidR="008B458A" w:rsidRPr="00310D52">
        <w:rPr>
          <w:rFonts w:eastAsia="Calibri"/>
          <w:noProof/>
          <w:lang w:val="es-DO"/>
        </w:rPr>
        <w:t xml:space="preserve"> </w:t>
      </w:r>
      <w:r w:rsidRPr="00310D52">
        <w:rPr>
          <w:rFonts w:eastAsia="Calibri"/>
          <w:noProof/>
          <w:lang w:val="es-DO"/>
        </w:rPr>
        <w:t>una</w:t>
      </w:r>
      <w:r w:rsidR="008B458A" w:rsidRPr="00310D52">
        <w:rPr>
          <w:rFonts w:eastAsia="Calibri"/>
          <w:noProof/>
          <w:lang w:val="es-DO"/>
        </w:rPr>
        <w:t xml:space="preserve"> </w:t>
      </w:r>
      <w:r w:rsidRPr="00310D52">
        <w:rPr>
          <w:rFonts w:eastAsia="Calibri"/>
          <w:noProof/>
          <w:lang w:val="es-DO"/>
        </w:rPr>
        <w:t>ejecución</w:t>
      </w:r>
      <w:r w:rsidR="008B458A" w:rsidRPr="00310D52">
        <w:rPr>
          <w:rFonts w:eastAsia="Calibri"/>
          <w:noProof/>
          <w:lang w:val="es-DO"/>
        </w:rPr>
        <w:t xml:space="preserve"> </w:t>
      </w:r>
      <w:r w:rsidRPr="00310D52">
        <w:rPr>
          <w:rFonts w:eastAsia="Calibri"/>
          <w:noProof/>
          <w:lang w:val="es-DO"/>
        </w:rPr>
        <w:t>presupuestaria</w:t>
      </w:r>
      <w:r w:rsidR="008B458A" w:rsidRPr="00310D52">
        <w:rPr>
          <w:rFonts w:eastAsia="Calibri"/>
          <w:noProof/>
          <w:lang w:val="es-DO"/>
        </w:rPr>
        <w:t xml:space="preserve"> </w:t>
      </w:r>
      <w:r w:rsidRPr="00310D52">
        <w:rPr>
          <w:rFonts w:eastAsia="Calibri"/>
          <w:noProof/>
          <w:lang w:val="es-DO"/>
        </w:rPr>
        <w:t>de</w:t>
      </w:r>
      <w:r w:rsidR="008B458A" w:rsidRPr="00310D52">
        <w:rPr>
          <w:rFonts w:eastAsia="Calibri"/>
          <w:noProof/>
          <w:lang w:val="es-DO"/>
        </w:rPr>
        <w:t xml:space="preserve"> </w:t>
      </w:r>
      <w:r w:rsidRPr="00310D52">
        <w:rPr>
          <w:rFonts w:eastAsia="Calibri"/>
          <w:noProof/>
          <w:lang w:val="es-DO"/>
        </w:rPr>
        <w:t>RD$</w:t>
      </w:r>
      <w:r w:rsidR="008B458A" w:rsidRPr="00310D52">
        <w:rPr>
          <w:lang w:val="es-ES"/>
        </w:rPr>
        <w:t xml:space="preserve"> </w:t>
      </w:r>
      <w:r w:rsidR="008B458A" w:rsidRPr="00310D52">
        <w:rPr>
          <w:rFonts w:eastAsia="Calibri"/>
          <w:noProof/>
          <w:lang w:val="es-DO"/>
        </w:rPr>
        <w:t xml:space="preserve">RD$575,898,274.73, </w:t>
      </w:r>
      <w:r w:rsidRPr="00310D52">
        <w:rPr>
          <w:rFonts w:eastAsia="Calibri"/>
          <w:noProof/>
          <w:lang w:val="es-DO"/>
        </w:rPr>
        <w:t>beneficiando</w:t>
      </w:r>
      <w:r w:rsidR="008B458A" w:rsidRPr="00310D52">
        <w:rPr>
          <w:rFonts w:eastAsia="Calibri"/>
          <w:noProof/>
          <w:lang w:val="es-DO"/>
        </w:rPr>
        <w:t xml:space="preserve"> </w:t>
      </w:r>
      <w:r w:rsidRPr="00310D52">
        <w:rPr>
          <w:rFonts w:eastAsia="Calibri"/>
          <w:noProof/>
          <w:lang w:val="es-DO"/>
        </w:rPr>
        <w:t>a</w:t>
      </w:r>
      <w:r w:rsidR="008B458A" w:rsidRPr="00310D52">
        <w:rPr>
          <w:rFonts w:eastAsia="Calibri"/>
          <w:noProof/>
          <w:lang w:val="es-DO"/>
        </w:rPr>
        <w:t xml:space="preserve"> </w:t>
      </w:r>
      <w:r w:rsidRPr="00310D52">
        <w:rPr>
          <w:rFonts w:eastAsia="Calibri"/>
          <w:noProof/>
          <w:lang w:val="es-DO"/>
        </w:rPr>
        <w:t>una población estimada de 10,760,028 habitantes en las 32 provincias del país,</w:t>
      </w:r>
      <w:r w:rsidR="008B458A" w:rsidRPr="00310D52">
        <w:rPr>
          <w:rFonts w:eastAsia="Calibri"/>
          <w:noProof/>
          <w:lang w:val="es-DO"/>
        </w:rPr>
        <w:t xml:space="preserve"> </w:t>
      </w:r>
      <w:r w:rsidRPr="00310D52">
        <w:rPr>
          <w:rFonts w:eastAsia="Calibri"/>
          <w:noProof/>
          <w:lang w:val="es-DO"/>
        </w:rPr>
        <w:t>asegurando acceso oportuno y equitativo a servicios de mayor nivel resolutivo. La DAEH ha brindado cobertura a la llegada de 43 cruceros en Cabo</w:t>
      </w:r>
      <w:r w:rsidR="008B458A" w:rsidRPr="00310D52">
        <w:rPr>
          <w:rFonts w:eastAsia="Calibri"/>
          <w:noProof/>
          <w:lang w:val="es-DO"/>
        </w:rPr>
        <w:t xml:space="preserve"> </w:t>
      </w:r>
      <w:r w:rsidRPr="00310D52">
        <w:rPr>
          <w:rFonts w:eastAsia="Calibri"/>
          <w:noProof/>
          <w:lang w:val="es-DO"/>
        </w:rPr>
        <w:t xml:space="preserve">Rojo, Pedernales, durante el período enero–diciembre de 2025. Estos cruceros transportaron un total de 168,970 turistas, de los cuales 76 recibieron asistencia </w:t>
      </w:r>
      <w:r w:rsidR="005B472D" w:rsidRPr="00310D52">
        <w:rPr>
          <w:rFonts w:eastAsia="Calibri"/>
          <w:noProof/>
          <w:lang w:val="es-DO"/>
        </w:rPr>
        <w:t>de emergencias</w:t>
      </w:r>
      <w:r w:rsidRPr="00310D52">
        <w:rPr>
          <w:rFonts w:eastAsia="Calibri"/>
          <w:noProof/>
          <w:lang w:val="es-DO"/>
        </w:rPr>
        <w:t xml:space="preserve"> oportuna.</w:t>
      </w:r>
    </w:p>
    <w:p w14:paraId="2DB5ED78" w14:textId="0EC652A5" w:rsidR="00043D73" w:rsidRPr="00310D52" w:rsidRDefault="00043D73" w:rsidP="00434602">
      <w:pPr>
        <w:spacing w:line="360" w:lineRule="auto"/>
        <w:jc w:val="both"/>
        <w:rPr>
          <w:rFonts w:eastAsia="Calibri"/>
          <w:noProof/>
          <w:lang w:val="es-DO"/>
        </w:rPr>
      </w:pPr>
      <w:r w:rsidRPr="00310D52">
        <w:rPr>
          <w:rFonts w:eastAsia="Calibri"/>
          <w:noProof/>
          <w:lang w:val="es-DO"/>
        </w:rPr>
        <w:t>Ampliaci</w:t>
      </w:r>
      <w:r w:rsidR="00225C91" w:rsidRPr="00310D52">
        <w:rPr>
          <w:rFonts w:eastAsia="Calibri"/>
          <w:noProof/>
          <w:lang w:val="es-DO"/>
        </w:rPr>
        <w:t>ó</w:t>
      </w:r>
      <w:r w:rsidRPr="00310D52">
        <w:rPr>
          <w:rFonts w:eastAsia="Calibri"/>
          <w:noProof/>
          <w:lang w:val="es-DO"/>
        </w:rPr>
        <w:t xml:space="preserve">n de la capacidad de  respuesta operativa con la </w:t>
      </w:r>
      <w:r w:rsidR="008B458A" w:rsidRPr="00310D52">
        <w:rPr>
          <w:rFonts w:eastAsia="Calibri"/>
          <w:noProof/>
          <w:lang w:val="es-DO"/>
        </w:rPr>
        <w:t xml:space="preserve">integración </w:t>
      </w:r>
      <w:r w:rsidRPr="00310D52">
        <w:rPr>
          <w:rFonts w:eastAsia="Calibri"/>
          <w:noProof/>
          <w:lang w:val="es-DO"/>
        </w:rPr>
        <w:t xml:space="preserve">de 235 nuevas ambulancias a la flotilla nacional durante el 2025, tanto en áreas urbanas como rurales, por lo que sumamos 830 ambulancias y 122 </w:t>
      </w:r>
      <w:r w:rsidR="008B458A" w:rsidRPr="00310D52">
        <w:rPr>
          <w:rFonts w:eastAsia="Calibri"/>
          <w:noProof/>
          <w:lang w:val="es-DO"/>
        </w:rPr>
        <w:t xml:space="preserve">unidades </w:t>
      </w:r>
      <w:r w:rsidRPr="00310D52">
        <w:rPr>
          <w:rFonts w:eastAsia="Calibri"/>
          <w:noProof/>
          <w:lang w:val="es-DO"/>
        </w:rPr>
        <w:t>de respuesta inmediata (URI)</w:t>
      </w:r>
      <w:r w:rsidR="008B458A" w:rsidRPr="00310D52">
        <w:rPr>
          <w:rFonts w:eastAsia="Calibri"/>
          <w:noProof/>
          <w:lang w:val="es-DO"/>
        </w:rPr>
        <w:t xml:space="preserve"> </w:t>
      </w:r>
      <w:r w:rsidRPr="00310D52">
        <w:rPr>
          <w:rFonts w:eastAsia="Calibri"/>
          <w:noProof/>
          <w:lang w:val="es-DO"/>
        </w:rPr>
        <w:t>a nivel nacional. Reducci</w:t>
      </w:r>
      <w:r w:rsidR="00B92191" w:rsidRPr="00310D52">
        <w:rPr>
          <w:rFonts w:eastAsia="Calibri"/>
          <w:noProof/>
          <w:lang w:val="es-DO"/>
        </w:rPr>
        <w:t>ó</w:t>
      </w:r>
      <w:r w:rsidRPr="00310D52">
        <w:rPr>
          <w:rFonts w:eastAsia="Calibri"/>
          <w:noProof/>
          <w:lang w:val="es-DO"/>
        </w:rPr>
        <w:t xml:space="preserve">n de la  brechas operativas, con el aumento de cobertura de las preposiciones disponibles a un 92.3% a nivel nacional. Mejora en la disponibilidad de unidades durante turnos de alta demanda. La distribución operativa de estas unidades permitió habilitar nuevas preposiciones prehospitalarias en Santo Domingo (1), San Cristóbal (2), Peravia (1), Duarte (1) y Barahona (1). Asimismo, en el componente interhospitalario se incorporaron unidades en Santo Domingo (2), La Vega (1), Monseñor Nouel (1), Sánchez Ramírez (2), San Pedro de Macorís (5), Hato Mayor (2), Monte Plata (2), La Romana (2), Puerto Plata (2), Espaillat (1), </w:t>
      </w:r>
      <w:r w:rsidRPr="00310D52">
        <w:rPr>
          <w:rFonts w:eastAsia="Calibri"/>
          <w:noProof/>
          <w:lang w:val="es-DO"/>
        </w:rPr>
        <w:lastRenderedPageBreak/>
        <w:t>Duarte (1), Pedernales (1), Santiago Rodríguez (3) y San Cristóbal (1), reforzando de manera estratégica la red de traslados sanitarios</w:t>
      </w:r>
    </w:p>
    <w:p w14:paraId="5678D612" w14:textId="2E9C25E9" w:rsidR="0018699B" w:rsidRPr="00310D52" w:rsidRDefault="0018699B" w:rsidP="00434602">
      <w:pPr>
        <w:spacing w:line="360" w:lineRule="auto"/>
        <w:jc w:val="both"/>
        <w:rPr>
          <w:rFonts w:eastAsia="Calibri"/>
          <w:noProof/>
          <w:lang w:val="es-DO"/>
        </w:rPr>
      </w:pPr>
      <w:r w:rsidRPr="00310D52">
        <w:rPr>
          <w:rFonts w:eastAsia="Calibri"/>
          <w:noProof/>
          <w:lang w:val="es-DO"/>
        </w:rPr>
        <w:t>Expansión de la cobertura territorial.</w:t>
      </w:r>
      <w:r w:rsidR="00B855FE" w:rsidRPr="00310D52">
        <w:rPr>
          <w:rFonts w:eastAsia="Calibri"/>
          <w:noProof/>
          <w:lang w:val="es-DO"/>
        </w:rPr>
        <w:t xml:space="preserve"> </w:t>
      </w:r>
      <w:r w:rsidRPr="00310D52">
        <w:rPr>
          <w:rFonts w:eastAsia="Calibri"/>
          <w:noProof/>
          <w:lang w:val="es-DO"/>
        </w:rPr>
        <w:t>En el marco de la expansión del Sistema Nacional de Atención a Emergencias y Seguridad 9</w:t>
      </w:r>
      <w:r w:rsidR="008358E8" w:rsidRPr="00310D52">
        <w:rPr>
          <w:rFonts w:eastAsia="Calibri"/>
          <w:noProof/>
          <w:lang w:val="es-DO"/>
        </w:rPr>
        <w:t>-</w:t>
      </w:r>
      <w:r w:rsidRPr="00310D52">
        <w:rPr>
          <w:rFonts w:eastAsia="Calibri"/>
          <w:noProof/>
          <w:lang w:val="es-DO"/>
        </w:rPr>
        <w:t>1</w:t>
      </w:r>
      <w:r w:rsidR="008358E8" w:rsidRPr="00310D52">
        <w:rPr>
          <w:rFonts w:eastAsia="Calibri"/>
          <w:noProof/>
          <w:lang w:val="es-DO"/>
        </w:rPr>
        <w:t>-</w:t>
      </w:r>
      <w:r w:rsidRPr="00310D52">
        <w:rPr>
          <w:rFonts w:eastAsia="Calibri"/>
          <w:noProof/>
          <w:lang w:val="es-DO"/>
        </w:rPr>
        <w:t>1, la DAEH puso en funcionamiento</w:t>
      </w:r>
      <w:r w:rsidR="008B458A" w:rsidRPr="00310D52">
        <w:rPr>
          <w:rFonts w:eastAsia="Calibri"/>
          <w:noProof/>
          <w:lang w:val="es-DO"/>
        </w:rPr>
        <w:t xml:space="preserve"> </w:t>
      </w:r>
      <w:r w:rsidRPr="00310D52">
        <w:rPr>
          <w:rFonts w:eastAsia="Calibri"/>
          <w:noProof/>
          <w:lang w:val="es-DO"/>
        </w:rPr>
        <w:t>la nueva</w:t>
      </w:r>
      <w:r w:rsidR="008B458A" w:rsidRPr="00310D52">
        <w:rPr>
          <w:rFonts w:eastAsia="Calibri"/>
          <w:noProof/>
          <w:lang w:val="es-DO"/>
        </w:rPr>
        <w:t xml:space="preserve"> </w:t>
      </w:r>
      <w:r w:rsidRPr="00310D52">
        <w:rPr>
          <w:rFonts w:eastAsia="Calibri"/>
          <w:noProof/>
          <w:lang w:val="es-DO"/>
        </w:rPr>
        <w:t>base operativa</w:t>
      </w:r>
      <w:r w:rsidR="008B458A" w:rsidRPr="00310D52">
        <w:rPr>
          <w:rFonts w:eastAsia="Calibri"/>
          <w:noProof/>
          <w:lang w:val="es-DO"/>
        </w:rPr>
        <w:t xml:space="preserve"> </w:t>
      </w:r>
      <w:r w:rsidRPr="00310D52">
        <w:rPr>
          <w:rFonts w:eastAsia="Calibri"/>
          <w:noProof/>
          <w:lang w:val="es-DO"/>
        </w:rPr>
        <w:t>en la provincia de Pedernales, desde donde se coordinan las labores</w:t>
      </w:r>
      <w:r w:rsidR="008B458A" w:rsidRPr="00310D52">
        <w:rPr>
          <w:rFonts w:eastAsia="Calibri"/>
          <w:noProof/>
          <w:lang w:val="es-DO"/>
        </w:rPr>
        <w:t xml:space="preserve"> </w:t>
      </w:r>
      <w:r w:rsidRPr="00310D52">
        <w:rPr>
          <w:rFonts w:eastAsia="Calibri"/>
          <w:noProof/>
          <w:lang w:val="es-DO"/>
        </w:rPr>
        <w:t>administrativas, logísticas y de respuesta ante emergencias. Como parte de esta ampliación, se integraron 13</w:t>
      </w:r>
      <w:r w:rsidR="008B458A" w:rsidRPr="00310D52">
        <w:rPr>
          <w:rFonts w:eastAsia="Calibri"/>
          <w:noProof/>
          <w:lang w:val="es-DO"/>
        </w:rPr>
        <w:t xml:space="preserve"> </w:t>
      </w:r>
      <w:r w:rsidRPr="00310D52">
        <w:rPr>
          <w:rFonts w:eastAsia="Calibri"/>
          <w:noProof/>
          <w:lang w:val="es-DO"/>
        </w:rPr>
        <w:t xml:space="preserve">ambulancias totalmente equipadas, distribuidas en puntos estratégicos, incluido el corredor turístico de </w:t>
      </w:r>
      <w:r w:rsidR="008B458A" w:rsidRPr="00310D52">
        <w:rPr>
          <w:rFonts w:eastAsia="Calibri"/>
          <w:noProof/>
          <w:lang w:val="es-DO"/>
        </w:rPr>
        <w:t>cabo rojo</w:t>
      </w:r>
      <w:r w:rsidRPr="00310D52">
        <w:rPr>
          <w:rFonts w:eastAsia="Calibri"/>
          <w:noProof/>
          <w:lang w:val="es-DO"/>
        </w:rPr>
        <w:t>, con el propósito de</w:t>
      </w:r>
      <w:r w:rsidR="008B458A" w:rsidRPr="00310D52">
        <w:rPr>
          <w:rFonts w:eastAsia="Calibri"/>
          <w:noProof/>
          <w:lang w:val="es-DO"/>
        </w:rPr>
        <w:t xml:space="preserve"> </w:t>
      </w:r>
      <w:r w:rsidRPr="00310D52">
        <w:rPr>
          <w:rFonts w:eastAsia="Calibri"/>
          <w:noProof/>
          <w:lang w:val="es-DO"/>
        </w:rPr>
        <w:t>garantizar atención prehospitalaria oportuna y permanente.</w:t>
      </w:r>
    </w:p>
    <w:p w14:paraId="4A3B167E" w14:textId="13699C55" w:rsidR="00043D73" w:rsidRPr="00310D52" w:rsidRDefault="00043D73" w:rsidP="00434602">
      <w:pPr>
        <w:spacing w:line="360" w:lineRule="auto"/>
        <w:jc w:val="both"/>
        <w:rPr>
          <w:rFonts w:eastAsia="Calibri"/>
          <w:noProof/>
          <w:lang w:val="es-DO"/>
        </w:rPr>
      </w:pPr>
      <w:r w:rsidRPr="00310D52">
        <w:rPr>
          <w:rFonts w:eastAsia="Calibri"/>
          <w:noProof/>
          <w:lang w:val="es-DO"/>
        </w:rPr>
        <w:t xml:space="preserve">Para </w:t>
      </w:r>
      <w:r w:rsidR="008B458A" w:rsidRPr="00310D52">
        <w:rPr>
          <w:rFonts w:eastAsia="Calibri"/>
          <w:noProof/>
          <w:lang w:val="es-DO"/>
        </w:rPr>
        <w:t xml:space="preserve">calidad </w:t>
      </w:r>
      <w:r w:rsidRPr="00310D52">
        <w:rPr>
          <w:rFonts w:eastAsia="Calibri"/>
          <w:noProof/>
          <w:lang w:val="es-DO"/>
        </w:rPr>
        <w:t xml:space="preserve">y </w:t>
      </w:r>
      <w:r w:rsidR="008B458A" w:rsidRPr="00310D52">
        <w:rPr>
          <w:rFonts w:eastAsia="Calibri"/>
          <w:noProof/>
          <w:lang w:val="es-DO"/>
        </w:rPr>
        <w:t xml:space="preserve">seguridad </w:t>
      </w:r>
      <w:r w:rsidRPr="00310D52">
        <w:rPr>
          <w:rFonts w:eastAsia="Calibri"/>
          <w:noProof/>
          <w:lang w:val="es-DO"/>
        </w:rPr>
        <w:t xml:space="preserve">del </w:t>
      </w:r>
      <w:r w:rsidR="008B458A" w:rsidRPr="00310D52">
        <w:rPr>
          <w:rFonts w:eastAsia="Calibri"/>
          <w:noProof/>
          <w:lang w:val="es-DO"/>
        </w:rPr>
        <w:t xml:space="preserve">paciente </w:t>
      </w:r>
      <w:r w:rsidRPr="00310D52">
        <w:rPr>
          <w:rFonts w:eastAsia="Calibri"/>
          <w:noProof/>
          <w:lang w:val="es-DO"/>
        </w:rPr>
        <w:t>fueron desarrolladas acciones orientadas a la prevención, preparación y respuesta ante emergencias con talleres especializados en primeros auxilios, emergencias de origen natural y evacuación dirigidos a las brigadas de respuesta de la DAEH y los CRUE a nivel nacional, junto con capacitaciones teórico-prácticas en combate contra incendios y manejo de eventos naturales y antrópicos. Como parte del apoyo directo a la ciudadanía, se instalaron carpas médicas en actividades masivas en</w:t>
      </w:r>
      <w:r w:rsidR="008B458A" w:rsidRPr="00310D52">
        <w:rPr>
          <w:rFonts w:eastAsia="Calibri"/>
          <w:noProof/>
          <w:lang w:val="es-DO"/>
        </w:rPr>
        <w:t>:</w:t>
      </w:r>
      <w:r w:rsidRPr="00310D52">
        <w:rPr>
          <w:rFonts w:eastAsia="Calibri"/>
          <w:noProof/>
          <w:lang w:val="es-DO"/>
        </w:rPr>
        <w:t xml:space="preserve"> Santo Domingo, Santiago y Bonao, donde se brindó asistencia a 127 personas que demandaron atenci</w:t>
      </w:r>
      <w:r w:rsidR="00B92191" w:rsidRPr="00310D52">
        <w:rPr>
          <w:rFonts w:eastAsia="Calibri"/>
          <w:noProof/>
          <w:lang w:val="es-DO"/>
        </w:rPr>
        <w:t>ó</w:t>
      </w:r>
      <w:r w:rsidRPr="00310D52">
        <w:rPr>
          <w:rFonts w:eastAsia="Calibri"/>
          <w:noProof/>
          <w:lang w:val="es-DO"/>
        </w:rPr>
        <w:t xml:space="preserve">n. En desarrollo de las  capacidades técnicas tuvo un impacto nacional, logrando capacitar a 16,301 personas entre colaboradores asistenciales y población general, mediante el “Programa Cuidando Vidas”. Además, se ejecutaron entrenamientos masivos durante la Feria Internacional del Libro, atraves de nuestro  programa “Mano Solo Mano” logrando impactar a 3,124 personas, reforzando conocimientos en reanimación cardiopulmonar. Estas iniciativas evidencian un compromiso sostenido con el desarrollo técnico, la estandarización de </w:t>
      </w:r>
      <w:r w:rsidRPr="00310D52">
        <w:rPr>
          <w:rFonts w:eastAsia="Calibri"/>
          <w:noProof/>
          <w:lang w:val="es-DO"/>
        </w:rPr>
        <w:lastRenderedPageBreak/>
        <w:t>competencias y la mejora continua de la capacidad operativa institucional.</w:t>
      </w:r>
    </w:p>
    <w:p w14:paraId="71D82863" w14:textId="17ABC77E" w:rsidR="00103C33" w:rsidRPr="00310D52" w:rsidRDefault="001441F3" w:rsidP="00434602">
      <w:pPr>
        <w:spacing w:line="360" w:lineRule="auto"/>
        <w:jc w:val="both"/>
        <w:rPr>
          <w:rFonts w:eastAsia="Calibri"/>
          <w:noProof/>
          <w:lang w:val="es-DO"/>
        </w:rPr>
      </w:pPr>
      <w:r w:rsidRPr="00310D52">
        <w:rPr>
          <w:rFonts w:eastAsia="Calibri"/>
          <w:noProof/>
          <w:lang w:val="es-DO"/>
        </w:rPr>
        <w:t>Se consolid</w:t>
      </w:r>
      <w:r w:rsidR="001A60AA" w:rsidRPr="00310D52">
        <w:rPr>
          <w:rFonts w:eastAsia="Calibri"/>
          <w:noProof/>
          <w:lang w:val="es-DO"/>
        </w:rPr>
        <w:t>ó</w:t>
      </w:r>
      <w:r w:rsidRPr="00310D52">
        <w:rPr>
          <w:rFonts w:eastAsia="Calibri"/>
          <w:noProof/>
          <w:lang w:val="es-DO"/>
        </w:rPr>
        <w:t xml:space="preserve"> un proceso de coordinaci</w:t>
      </w:r>
      <w:r w:rsidR="004126E1" w:rsidRPr="00310D52">
        <w:rPr>
          <w:rFonts w:eastAsia="Calibri"/>
          <w:noProof/>
          <w:lang w:val="es-DO"/>
        </w:rPr>
        <w:t>ó</w:t>
      </w:r>
      <w:r w:rsidRPr="00310D52">
        <w:rPr>
          <w:rFonts w:eastAsia="Calibri"/>
          <w:noProof/>
          <w:lang w:val="es-DO"/>
        </w:rPr>
        <w:t>n y  enlace interinstitucional con la red de servicios de salud, mediante la creación de mesas de coordinación con acciones clave para fortalecer la articulación operativa entre la atención extrahospitalaria, los centros de salud y las instituciones aliadas, que permitieron avanzar en la revisión y actualización de lineamientos asistenciales, logrando la liberación de más de 5,200 ambulancias retenidas durante el año  en centros de salud, a trav</w:t>
      </w:r>
      <w:r w:rsidR="008B458A" w:rsidRPr="00310D52">
        <w:rPr>
          <w:rFonts w:eastAsia="Calibri"/>
          <w:noProof/>
          <w:lang w:val="es-DO"/>
        </w:rPr>
        <w:t>é</w:t>
      </w:r>
      <w:r w:rsidRPr="00310D52">
        <w:rPr>
          <w:rFonts w:eastAsia="Calibri"/>
          <w:noProof/>
          <w:lang w:val="es-DO"/>
        </w:rPr>
        <w:t>s del monitoreo permanente del  sistema de alertas autom</w:t>
      </w:r>
      <w:r w:rsidR="008B458A" w:rsidRPr="00310D52">
        <w:rPr>
          <w:rFonts w:eastAsia="Calibri"/>
          <w:noProof/>
          <w:lang w:val="es-DO"/>
        </w:rPr>
        <w:t>á</w:t>
      </w:r>
      <w:r w:rsidRPr="00310D52">
        <w:rPr>
          <w:rFonts w:eastAsia="Calibri"/>
          <w:noProof/>
          <w:lang w:val="es-DO"/>
        </w:rPr>
        <w:t>ticas propio implementado que informa a áreas operativas</w:t>
      </w:r>
      <w:r w:rsidR="00D0435C">
        <w:rPr>
          <w:rFonts w:eastAsia="Calibri"/>
          <w:noProof/>
          <w:lang w:val="es-DO"/>
        </w:rPr>
        <w:t xml:space="preserve"> </w:t>
      </w:r>
      <w:r w:rsidRPr="00310D52">
        <w:rPr>
          <w:rFonts w:eastAsia="Calibri"/>
          <w:noProof/>
          <w:lang w:val="es-DO"/>
        </w:rPr>
        <w:t>sobre</w:t>
      </w:r>
      <w:r w:rsidR="00D0435C">
        <w:rPr>
          <w:rFonts w:eastAsia="Calibri"/>
          <w:noProof/>
          <w:lang w:val="es-DO"/>
        </w:rPr>
        <w:t xml:space="preserve"> </w:t>
      </w:r>
      <w:r w:rsidRPr="00310D52">
        <w:rPr>
          <w:rFonts w:eastAsia="Calibri"/>
          <w:noProof/>
          <w:lang w:val="es-DO"/>
        </w:rPr>
        <w:t>ambulancias</w:t>
      </w:r>
      <w:r w:rsidR="00D0435C">
        <w:rPr>
          <w:rFonts w:eastAsia="Calibri"/>
          <w:noProof/>
          <w:lang w:val="es-DO"/>
        </w:rPr>
        <w:t xml:space="preserve"> </w:t>
      </w:r>
      <w:r w:rsidRPr="00310D52">
        <w:rPr>
          <w:rFonts w:eastAsia="Calibri"/>
          <w:noProof/>
          <w:lang w:val="es-DO"/>
        </w:rPr>
        <w:t>retenidas en</w:t>
      </w:r>
      <w:r w:rsidR="00D0435C">
        <w:rPr>
          <w:rFonts w:eastAsia="Calibri"/>
          <w:noProof/>
          <w:lang w:val="es-DO"/>
        </w:rPr>
        <w:t xml:space="preserve"> </w:t>
      </w:r>
      <w:r w:rsidRPr="00310D52">
        <w:rPr>
          <w:rFonts w:eastAsia="Calibri"/>
          <w:noProof/>
          <w:lang w:val="es-DO"/>
        </w:rPr>
        <w:t>hospitales</w:t>
      </w:r>
      <w:r w:rsidR="00D0435C">
        <w:rPr>
          <w:rFonts w:eastAsia="Calibri"/>
          <w:noProof/>
          <w:lang w:val="es-DO"/>
        </w:rPr>
        <w:t xml:space="preserve"> </w:t>
      </w:r>
      <w:r w:rsidRPr="00310D52">
        <w:rPr>
          <w:rFonts w:eastAsia="Calibri"/>
          <w:noProof/>
          <w:lang w:val="es-DO"/>
        </w:rPr>
        <w:t>reduciendo</w:t>
      </w:r>
      <w:r w:rsidR="00D0435C">
        <w:rPr>
          <w:rFonts w:eastAsia="Calibri"/>
          <w:noProof/>
          <w:lang w:val="es-DO"/>
        </w:rPr>
        <w:t xml:space="preserve"> </w:t>
      </w:r>
      <w:r w:rsidRPr="00310D52">
        <w:rPr>
          <w:rFonts w:eastAsia="Calibri"/>
          <w:noProof/>
          <w:lang w:val="es-DO"/>
        </w:rPr>
        <w:t>significativamente el tiempo de permanencia innecesario de las unidades en la emergencia del centro de salud antes de ser ubicado el paciente en una cama. Adicionalmente, se brindó acompañamiento en situaciones críticas como la atención psicosocial tras el siniestro del Jet Set, dando apoyo a 25 familias.</w:t>
      </w:r>
    </w:p>
    <w:p w14:paraId="469E73C1" w14:textId="52C22FBB" w:rsidR="00434602" w:rsidRPr="00310D52" w:rsidRDefault="008B458A" w:rsidP="00434602">
      <w:pPr>
        <w:spacing w:line="360" w:lineRule="auto"/>
        <w:jc w:val="both"/>
        <w:rPr>
          <w:rFonts w:eastAsia="Calibri"/>
          <w:noProof/>
          <w:lang w:val="es-DO"/>
        </w:rPr>
      </w:pPr>
      <w:r w:rsidRPr="00310D52">
        <w:rPr>
          <w:rFonts w:eastAsia="Calibri"/>
          <w:noProof/>
          <w:lang w:val="es-DO"/>
        </w:rPr>
        <w:t xml:space="preserve">El desarrollo tecnológico </w:t>
      </w:r>
      <w:r w:rsidR="001441F3" w:rsidRPr="00310D52">
        <w:rPr>
          <w:rFonts w:eastAsia="Calibri"/>
          <w:noProof/>
          <w:lang w:val="es-DO"/>
        </w:rPr>
        <w:t xml:space="preserve">e </w:t>
      </w:r>
      <w:r w:rsidRPr="00310D52">
        <w:rPr>
          <w:rFonts w:eastAsia="Calibri"/>
          <w:noProof/>
          <w:lang w:val="es-DO"/>
        </w:rPr>
        <w:t xml:space="preserve">innovación operativa </w:t>
      </w:r>
      <w:r w:rsidR="001441F3" w:rsidRPr="00310D52">
        <w:rPr>
          <w:rFonts w:eastAsia="Calibri"/>
          <w:noProof/>
          <w:lang w:val="es-DO"/>
        </w:rPr>
        <w:t xml:space="preserve">ha sido un elemento clave que ha permitido optimizar los procesos con plataformas digitales que sustituyeron los métodos manuales para el registro y monitoreo de las preposiciones. Se desarrollaron aplicaciones propias para el  registro automático de movimientos operativos: </w:t>
      </w:r>
      <w:r w:rsidRPr="00310D52">
        <w:rPr>
          <w:rFonts w:eastAsia="Calibri"/>
          <w:noProof/>
          <w:lang w:val="es-DO"/>
        </w:rPr>
        <w:t xml:space="preserve">plataforma </w:t>
      </w:r>
      <w:r w:rsidR="001441F3" w:rsidRPr="00310D52">
        <w:rPr>
          <w:rFonts w:eastAsia="Calibri"/>
          <w:noProof/>
          <w:lang w:val="es-DO"/>
        </w:rPr>
        <w:t>de análisis estadístico y plataforma de control de entrada/salida de unidades, generando por primera vez indicadores precisos dentro de los que est</w:t>
      </w:r>
      <w:r w:rsidR="00225C91" w:rsidRPr="00310D52">
        <w:rPr>
          <w:rFonts w:eastAsia="Calibri"/>
          <w:noProof/>
          <w:lang w:val="es-DO"/>
        </w:rPr>
        <w:t>á</w:t>
      </w:r>
      <w:r w:rsidR="001441F3" w:rsidRPr="00310D52">
        <w:rPr>
          <w:rFonts w:eastAsia="Calibri"/>
          <w:noProof/>
          <w:lang w:val="es-DO"/>
        </w:rPr>
        <w:t xml:space="preserve"> la  reducci</w:t>
      </w:r>
      <w:r w:rsidR="00B92191" w:rsidRPr="00310D52">
        <w:rPr>
          <w:rFonts w:eastAsia="Calibri"/>
          <w:noProof/>
          <w:lang w:val="es-DO"/>
        </w:rPr>
        <w:t>ó</w:t>
      </w:r>
      <w:r w:rsidR="001441F3" w:rsidRPr="00310D52">
        <w:rPr>
          <w:rFonts w:eastAsia="Calibri"/>
          <w:noProof/>
          <w:lang w:val="es-DO"/>
        </w:rPr>
        <w:t>n de no cobertura nacional a menos de un 10%.</w:t>
      </w:r>
    </w:p>
    <w:p w14:paraId="50900397" w14:textId="69E975C1" w:rsidR="00CD5BDF" w:rsidRPr="00310D52" w:rsidRDefault="001441F3" w:rsidP="00434602">
      <w:pPr>
        <w:spacing w:line="360" w:lineRule="auto"/>
        <w:jc w:val="both"/>
        <w:rPr>
          <w:rFonts w:eastAsia="Calibri"/>
          <w:noProof/>
          <w:lang w:val="es-DO"/>
        </w:rPr>
      </w:pPr>
      <w:r w:rsidRPr="00310D52">
        <w:rPr>
          <w:rFonts w:eastAsia="Calibri"/>
          <w:noProof/>
          <w:lang w:val="es-DO"/>
        </w:rPr>
        <w:t xml:space="preserve">En materia de </w:t>
      </w:r>
      <w:r w:rsidR="008B458A" w:rsidRPr="00310D52">
        <w:rPr>
          <w:rFonts w:eastAsia="Calibri"/>
          <w:noProof/>
          <w:lang w:val="es-DO"/>
        </w:rPr>
        <w:t>gesti</w:t>
      </w:r>
      <w:r w:rsidR="004E07DA" w:rsidRPr="00310D52">
        <w:rPr>
          <w:rFonts w:eastAsia="Calibri"/>
          <w:noProof/>
          <w:lang w:val="es-DO"/>
        </w:rPr>
        <w:t>ó</w:t>
      </w:r>
      <w:r w:rsidR="008B458A" w:rsidRPr="00310D52">
        <w:rPr>
          <w:rFonts w:eastAsia="Calibri"/>
          <w:noProof/>
          <w:lang w:val="es-DO"/>
        </w:rPr>
        <w:t xml:space="preserve">n </w:t>
      </w:r>
      <w:r w:rsidRPr="00310D52">
        <w:rPr>
          <w:rFonts w:eastAsia="Calibri"/>
          <w:noProof/>
          <w:lang w:val="es-DO"/>
        </w:rPr>
        <w:t xml:space="preserve">del </w:t>
      </w:r>
      <w:r w:rsidR="008B458A" w:rsidRPr="00310D52">
        <w:rPr>
          <w:rFonts w:eastAsia="Calibri"/>
          <w:noProof/>
          <w:lang w:val="es-DO"/>
        </w:rPr>
        <w:t>talento humano</w:t>
      </w:r>
      <w:r w:rsidRPr="00310D52">
        <w:rPr>
          <w:rFonts w:eastAsia="Calibri"/>
          <w:noProof/>
          <w:lang w:val="es-DO"/>
        </w:rPr>
        <w:t>,</w:t>
      </w:r>
      <w:r w:rsidR="00870AD0" w:rsidRPr="00310D52">
        <w:rPr>
          <w:rFonts w:eastAsia="Calibri"/>
          <w:noProof/>
          <w:lang w:val="es-DO"/>
        </w:rPr>
        <w:t xml:space="preserve"> </w:t>
      </w:r>
      <w:r w:rsidRPr="00310D52">
        <w:rPr>
          <w:rFonts w:eastAsia="Calibri"/>
          <w:noProof/>
          <w:lang w:val="es-DO"/>
        </w:rPr>
        <w:t xml:space="preserve">seleccionaron y contrataron 2,308 colaboradores asistenciales y 422 personal administrativo,  para un total de 8,450 colaboradores a la fecha, necesarios para la </w:t>
      </w:r>
      <w:r w:rsidRPr="00310D52">
        <w:rPr>
          <w:rFonts w:eastAsia="Calibri"/>
          <w:noProof/>
          <w:lang w:val="es-DO"/>
        </w:rPr>
        <w:lastRenderedPageBreak/>
        <w:t>operatividad de las ambulancias. Se ejecutó un amplio programa de fortalecimiento de competencias 1,531 horas de capacitación, dirigidas a mejorar las capacidades técnicas, operativas y administrativas del personal de distintas áreas asistenciales y administrativas.</w:t>
      </w:r>
    </w:p>
    <w:p w14:paraId="3B9A0229" w14:textId="6F00C96E" w:rsidR="00C46E6A" w:rsidRPr="00310D52" w:rsidRDefault="001441F3" w:rsidP="00434602">
      <w:pPr>
        <w:spacing w:line="360" w:lineRule="auto"/>
        <w:jc w:val="both"/>
        <w:rPr>
          <w:rFonts w:eastAsia="Calibri"/>
          <w:noProof/>
          <w:lang w:val="es-DO"/>
        </w:rPr>
      </w:pPr>
      <w:r w:rsidRPr="00310D52">
        <w:rPr>
          <w:rFonts w:eastAsia="Calibri"/>
          <w:noProof/>
          <w:lang w:val="es-DO"/>
        </w:rPr>
        <w:t>Gestion legal Eficiente, se implementaron acciones que contribuyen al fortalecimiento de los procesos internos de nuestra institución. Entre los principales se incluyen: 248 finiquitos legales, que garantizan el cierre formal y oportuno de los procesos correspondientes, Revision de 35 contratos de compras y contrataciones y 22 pliegos de condiciones. Se emitieron 296 certificaciones de asistencia a usuarios atendidos por nuestras unidades prehospitalarias. Se gestionaron 30 procesos litigiosos, con 17 casos resueltos y 13 en curso, manteniendo el seguimiento oportuno ante los tribunales y velando por la defensa institucional. Se formalizaron dos acuerdos interinstitucionales orientados a fortalecer la gestión jurídica y operativa de la DAEH: 1) Consejo Estatal del Azúcar (CEA), mediante el cual se asignó un terreno para su uso como centro de acopio y taller institucional, 2) IDOPRIL, destinado a fortalecer la protección social de los colaboradores ante riesgos laborales, garantizando beneficios oportunos y una gestión más eficiente y transparente.</w:t>
      </w:r>
    </w:p>
    <w:p w14:paraId="456D7A55" w14:textId="42759775" w:rsidR="00CA20FF" w:rsidRPr="00310D52" w:rsidRDefault="001441F3" w:rsidP="00434602">
      <w:pPr>
        <w:spacing w:line="360" w:lineRule="auto"/>
        <w:jc w:val="both"/>
        <w:rPr>
          <w:rFonts w:eastAsia="Calibri"/>
          <w:noProof/>
          <w:lang w:val="es-DO"/>
        </w:rPr>
      </w:pPr>
      <w:r w:rsidRPr="00310D52">
        <w:rPr>
          <w:rFonts w:eastAsia="Calibri"/>
          <w:noProof/>
          <w:lang w:val="es-DO"/>
        </w:rPr>
        <w:t xml:space="preserve">En el ambito de las comunicaciones se desarrolló un conjunto de acciones estratégicas orientadas a posicionar la labor de la entidad y consolidar una imagen pública basada en servicio, eficiencia y rápida respuesta ante emergencias. En el ámbito digital, la institución experimentó un crecimiento notable en todas sus plataformas. Se difundieron 199 publicaciones estáticas y 39 videos y reels, alcanzando más de 337,300 visualizaciones en Facebook y 2,000,200 en Instagram. Estas acciones generaron un incremento de 573 nuevos </w:t>
      </w:r>
      <w:r w:rsidRPr="00310D52">
        <w:rPr>
          <w:rFonts w:eastAsia="Calibri"/>
          <w:noProof/>
          <w:lang w:val="es-DO"/>
        </w:rPr>
        <w:lastRenderedPageBreak/>
        <w:t xml:space="preserve">seguidores en Facebook, 5,600 en Instagram y 60 en X (Twitter), además de 46,900 interacciones con el contenido y la atención de 313 mensajes directos.  </w:t>
      </w:r>
    </w:p>
    <w:bookmarkEnd w:id="3"/>
    <w:p w14:paraId="728B0D97" w14:textId="78130F4A" w:rsidR="006854D2" w:rsidRPr="00310D52" w:rsidRDefault="00F54C80" w:rsidP="00434602">
      <w:pPr>
        <w:spacing w:line="360" w:lineRule="auto"/>
        <w:jc w:val="both"/>
        <w:rPr>
          <w:rFonts w:eastAsia="Calibri"/>
          <w:noProof/>
          <w:lang w:val="es-DO"/>
        </w:rPr>
      </w:pPr>
      <w:r w:rsidRPr="00310D52">
        <w:rPr>
          <w:rFonts w:eastAsia="Calibri"/>
          <w:noProof/>
          <w:lang w:val="es-DO"/>
        </w:rPr>
        <w:t xml:space="preserve">Se impulsaron las acciones enfocadas al  crecimiento institucional y liderazgo de la formulacion y seguimiento de planes, programas y proyectos clave para el desarrollo institucional, además de gestionar los sistemas de calidad y fomentar la cooperación internacional, obteniendo los siguientes resultados:  Plan Estratégico Institucional 2025-2028, construido a partir del análisis de riesgos, las necesidades operativas y las prioridades institucionales. Monitoreo del Plan Operativo Anual con un porcentaje promedio de eficiencia y eficacia de un </w:t>
      </w:r>
      <w:r w:rsidR="001F160D" w:rsidRPr="00310D52">
        <w:rPr>
          <w:rFonts w:eastAsia="Calibri"/>
          <w:noProof/>
          <w:lang w:val="es-DO"/>
        </w:rPr>
        <w:t>96</w:t>
      </w:r>
      <w:r w:rsidRPr="00310D52">
        <w:rPr>
          <w:rFonts w:eastAsia="Calibri"/>
          <w:noProof/>
          <w:lang w:val="es-DO"/>
        </w:rPr>
        <w:t>%. Actualización de cuatro (4) planes de respuesta a emergencias por temporadas: Operativo La Altagracia, Operativo Semana Santa, Temporada Ciclónica 2025 y Operativo Navidad-Año Nuevo 2025-26, con el objetivo de garantizar la protección de la vida de la población mediante medidas preventivas. Mejoras en  la calidad de los servicios prestados, mediante la estandarización de 29 documentos normativos, incluyendo formularios, fichas</w:t>
      </w:r>
      <w:r w:rsidR="00D0435C">
        <w:rPr>
          <w:rFonts w:eastAsia="Calibri"/>
          <w:noProof/>
          <w:lang w:val="es-DO"/>
        </w:rPr>
        <w:t>,</w:t>
      </w:r>
      <w:r w:rsidRPr="00310D52">
        <w:rPr>
          <w:rFonts w:eastAsia="Calibri"/>
          <w:noProof/>
          <w:lang w:val="es-DO"/>
        </w:rPr>
        <w:t xml:space="preserve"> instructiv</w:t>
      </w:r>
      <w:r w:rsidR="00D0435C">
        <w:rPr>
          <w:rFonts w:eastAsia="Calibri"/>
          <w:noProof/>
          <w:lang w:val="es-DO"/>
        </w:rPr>
        <w:t>o</w:t>
      </w:r>
      <w:r w:rsidRPr="00310D52">
        <w:rPr>
          <w:rFonts w:eastAsia="Calibri"/>
          <w:noProof/>
          <w:lang w:val="es-DO"/>
        </w:rPr>
        <w:t>s, procedimientos, manuales, políticas y planes, cumpliendo con un total de 171 documentos del Sistema de Gestión de Calidad. Implementación de las Normas Básicas de Control Interno (NOBACI), obteniendo un 86.52% promedio. En medici</w:t>
      </w:r>
      <w:r w:rsidR="00993F0B" w:rsidRPr="00310D52">
        <w:rPr>
          <w:rFonts w:eastAsia="Calibri"/>
          <w:noProof/>
          <w:lang w:val="es-DO"/>
        </w:rPr>
        <w:t>ó</w:t>
      </w:r>
      <w:r w:rsidRPr="00310D52">
        <w:rPr>
          <w:rFonts w:eastAsia="Calibri"/>
          <w:noProof/>
          <w:lang w:val="es-DO"/>
        </w:rPr>
        <w:t xml:space="preserve">n al Indice de control Interno (ICI), la institución alcanzó un promedio general de cumplimiento del 92%, reflejando un desempeño robusto y alineado con los estándares de control interno, eficiencia y rendición de cuentas del Estado. La </w:t>
      </w:r>
      <w:r w:rsidR="00D0435C" w:rsidRPr="00310D52">
        <w:rPr>
          <w:rFonts w:eastAsia="Calibri"/>
          <w:noProof/>
          <w:lang w:val="es-DO"/>
        </w:rPr>
        <w:t xml:space="preserve">satisfacción global </w:t>
      </w:r>
      <w:r w:rsidRPr="00310D52">
        <w:rPr>
          <w:rFonts w:eastAsia="Calibri"/>
          <w:noProof/>
          <w:lang w:val="es-DO"/>
        </w:rPr>
        <w:t>con los servicios ha aumentado durante este año llegando a un 90%. Cumplimiento del 100% de las solicitudes de información recibidas</w:t>
      </w:r>
      <w:r w:rsidR="00D0435C">
        <w:rPr>
          <w:rFonts w:eastAsia="Calibri"/>
          <w:noProof/>
          <w:lang w:val="es-DO"/>
        </w:rPr>
        <w:t xml:space="preserve"> </w:t>
      </w:r>
      <w:r w:rsidRPr="00310D52">
        <w:rPr>
          <w:rFonts w:eastAsia="Calibri"/>
          <w:noProof/>
          <w:lang w:val="es-DO"/>
        </w:rPr>
        <w:t xml:space="preserve">(QRS), garantizando que todas fueran respondidas dentro de los plazos establecidos por la Ley Núm. 200-04, por lo que las mediciones del </w:t>
      </w:r>
      <w:r w:rsidRPr="00310D52">
        <w:rPr>
          <w:rFonts w:eastAsia="Calibri"/>
          <w:noProof/>
          <w:lang w:val="es-DO"/>
        </w:rPr>
        <w:lastRenderedPageBreak/>
        <w:t>portal de transparencia reflejaron un promedio general de</w:t>
      </w:r>
      <w:r w:rsidR="00D0435C">
        <w:rPr>
          <w:rFonts w:eastAsia="Calibri"/>
          <w:noProof/>
          <w:lang w:val="es-DO"/>
        </w:rPr>
        <w:t xml:space="preserve"> </w:t>
      </w:r>
      <w:r w:rsidRPr="00310D52">
        <w:rPr>
          <w:rFonts w:eastAsia="Calibri"/>
          <w:noProof/>
          <w:lang w:val="es-DO"/>
        </w:rPr>
        <w:t>cumplimiento de 98.49%, con calificaciones mensuales que se</w:t>
      </w:r>
      <w:r w:rsidR="00D0435C">
        <w:rPr>
          <w:rFonts w:eastAsia="Calibri"/>
          <w:noProof/>
          <w:lang w:val="es-DO"/>
        </w:rPr>
        <w:t xml:space="preserve"> </w:t>
      </w:r>
      <w:r w:rsidRPr="00310D52">
        <w:rPr>
          <w:rFonts w:eastAsia="Calibri"/>
          <w:noProof/>
          <w:lang w:val="es-DO"/>
        </w:rPr>
        <w:t>mantuvieron consistentemente por encima del 95%. El Indice de</w:t>
      </w:r>
      <w:r w:rsidR="00D0435C">
        <w:rPr>
          <w:rFonts w:eastAsia="Calibri"/>
          <w:noProof/>
          <w:lang w:val="es-DO"/>
        </w:rPr>
        <w:t xml:space="preserve"> </w:t>
      </w:r>
      <w:r w:rsidRPr="00310D52">
        <w:rPr>
          <w:rFonts w:eastAsia="Calibri"/>
          <w:noProof/>
          <w:lang w:val="es-DO"/>
        </w:rPr>
        <w:t>Gestion Presupuestaria cerramos con 94% promedio, indicando el</w:t>
      </w:r>
      <w:r w:rsidR="00D0435C">
        <w:rPr>
          <w:rFonts w:eastAsia="Calibri"/>
          <w:noProof/>
          <w:lang w:val="es-DO"/>
        </w:rPr>
        <w:t xml:space="preserve"> </w:t>
      </w:r>
      <w:r w:rsidRPr="00310D52">
        <w:rPr>
          <w:rFonts w:eastAsia="Calibri"/>
          <w:noProof/>
          <w:lang w:val="es-DO"/>
        </w:rPr>
        <w:t>grado la instituci</w:t>
      </w:r>
      <w:r w:rsidR="00993F0B" w:rsidRPr="00310D52">
        <w:rPr>
          <w:rFonts w:eastAsia="Calibri"/>
          <w:noProof/>
          <w:lang w:val="es-DO"/>
        </w:rPr>
        <w:t>ó</w:t>
      </w:r>
      <w:r w:rsidRPr="00310D52">
        <w:rPr>
          <w:rFonts w:eastAsia="Calibri"/>
          <w:noProof/>
          <w:lang w:val="es-DO"/>
        </w:rPr>
        <w:t>n cumple con la mejora de los procesos de gestion</w:t>
      </w:r>
      <w:r w:rsidR="00D0435C">
        <w:rPr>
          <w:rFonts w:eastAsia="Calibri"/>
          <w:noProof/>
          <w:lang w:val="es-DO"/>
        </w:rPr>
        <w:t xml:space="preserve"> </w:t>
      </w:r>
      <w:r w:rsidRPr="00310D52">
        <w:rPr>
          <w:rFonts w:eastAsia="Calibri"/>
          <w:noProof/>
          <w:lang w:val="es-DO"/>
        </w:rPr>
        <w:t>eficaz , eficiente y transparente en la  vinculacion del Presupuesto y</w:t>
      </w:r>
      <w:r w:rsidR="00D0435C">
        <w:rPr>
          <w:rFonts w:eastAsia="Calibri"/>
          <w:noProof/>
          <w:lang w:val="es-DO"/>
        </w:rPr>
        <w:t xml:space="preserve"> </w:t>
      </w:r>
      <w:r w:rsidRPr="00310D52">
        <w:rPr>
          <w:rFonts w:eastAsia="Calibri"/>
          <w:noProof/>
          <w:lang w:val="es-DO"/>
        </w:rPr>
        <w:t>la Planificacion (metas fisicas y financieras).</w:t>
      </w:r>
    </w:p>
    <w:p w14:paraId="32F36EB4" w14:textId="021F0B83" w:rsidR="00654164" w:rsidRPr="00310D52" w:rsidRDefault="00F54C80" w:rsidP="00434602">
      <w:pPr>
        <w:spacing w:line="360" w:lineRule="auto"/>
        <w:jc w:val="both"/>
        <w:rPr>
          <w:rFonts w:eastAsia="Calibri"/>
          <w:noProof/>
          <w:lang w:val="es-DO"/>
        </w:rPr>
      </w:pPr>
      <w:r w:rsidRPr="00310D52">
        <w:rPr>
          <w:rFonts w:eastAsia="Calibri"/>
          <w:noProof/>
          <w:lang w:val="es-DO"/>
        </w:rPr>
        <w:t xml:space="preserve">Las iniciativas desarrolladas durante el año dieron resultados visibles en la gestion  como  el programa “Sin Aviso”, “5 Minutos con el Director”, “Director por 1 Día” y “Base Digna”, además de las visitas de inspección a las bases operativas. Este enfoque ha permitido mantener informada a la ciudadanía y a los colaboradores, fortaleciendo la conexión con la población y destacando el trabajo operativo que realiza la institución a nivel nacional. Asimismo, se ha logrado un impacto significativo en la orientación ciudadana durante los traslados de emergencia, especialmente a través de la campaña “Cede el Paso”, que promueve la colaboración de los conductores para facilitar el desplazamiento de las ambulancias y mejorar así los tiempos de respuesta.  </w:t>
      </w:r>
      <w:r w:rsidR="00544419" w:rsidRPr="00310D52">
        <w:rPr>
          <w:rFonts w:eastAsia="Calibri"/>
          <w:noProof/>
          <w:lang w:val="es-DO"/>
        </w:rPr>
        <w:br w:type="page"/>
      </w:r>
    </w:p>
    <w:p w14:paraId="6384D0D4" w14:textId="1390EC52" w:rsidR="00654164" w:rsidRPr="00310D52" w:rsidRDefault="00654164" w:rsidP="00434602">
      <w:pPr>
        <w:pStyle w:val="Ttulo1"/>
        <w:numPr>
          <w:ilvl w:val="0"/>
          <w:numId w:val="1"/>
        </w:numPr>
        <w:rPr>
          <w:rFonts w:cs="Times New Roman"/>
          <w:color w:val="767171"/>
          <w:lang w:val="es-DO"/>
        </w:rPr>
      </w:pPr>
      <w:bookmarkStart w:id="4" w:name="_Toc217050874"/>
      <w:r w:rsidRPr="00310D52">
        <w:rPr>
          <w:rFonts w:cs="Times New Roman"/>
          <w:color w:val="767171"/>
          <w:lang w:val="es-DO"/>
        </w:rPr>
        <w:lastRenderedPageBreak/>
        <w:t>INFORMACIÓN INSTITUCIONAL</w:t>
      </w:r>
      <w:bookmarkEnd w:id="4"/>
    </w:p>
    <w:p w14:paraId="794C2FD3" w14:textId="73C7B9AC" w:rsidR="00654164" w:rsidRPr="00310D52" w:rsidRDefault="00654164" w:rsidP="00434602">
      <w:pPr>
        <w:spacing w:line="360" w:lineRule="auto"/>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1E01DD21" w:rsidR="00BA2267" w:rsidRPr="00310D52" w:rsidRDefault="00654164" w:rsidP="00434602">
      <w:pPr>
        <w:spacing w:line="360" w:lineRule="auto"/>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64F7F69F" w14:textId="77777777" w:rsidR="00AB7AA1" w:rsidRPr="00310D52" w:rsidRDefault="00AB7AA1" w:rsidP="00434602">
      <w:pPr>
        <w:spacing w:line="360" w:lineRule="auto"/>
        <w:jc w:val="center"/>
        <w:rPr>
          <w:rFonts w:eastAsia="Calibri"/>
          <w:szCs w:val="36"/>
          <w:lang w:val="es-DO"/>
        </w:rPr>
      </w:pPr>
    </w:p>
    <w:p w14:paraId="4ED8E85F" w14:textId="7F6F22C7" w:rsidR="00BA2267" w:rsidRPr="00310D52" w:rsidRDefault="00AB7AA1" w:rsidP="00434602">
      <w:pPr>
        <w:spacing w:line="360" w:lineRule="auto"/>
        <w:jc w:val="both"/>
        <w:rPr>
          <w:rFonts w:eastAsia="Calibri"/>
          <w:noProof/>
          <w:lang w:val="es-DO"/>
        </w:rPr>
      </w:pPr>
      <w:r w:rsidRPr="00310D52">
        <w:rPr>
          <w:rFonts w:eastAsia="Calibri"/>
          <w:noProof/>
          <w:lang w:val="es-DO"/>
        </w:rPr>
        <w:t>Nuestro propósito general es asegurar la aplicación y evaluación de mecanismos de coordinación e integración técnica para la prestación de servicios y programas de salud ofrecidos a la población, así como la gestión de los Centros Reguladores de Urgencias y Emergencias CRUE en materia de traslado sanitario y gestión del riesgo para la preparación y respuesta a las emergencias, garantizando calidad y atención humanizada.</w:t>
      </w:r>
    </w:p>
    <w:p w14:paraId="71AAF379" w14:textId="671675D5" w:rsidR="00AB7AA1" w:rsidRPr="00F06D9C" w:rsidRDefault="00AB7AA1" w:rsidP="00434602">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5" w:name="_Toc184936503"/>
      <w:bookmarkStart w:id="6" w:name="_Toc217050875"/>
      <w:r w:rsidRPr="00F06D9C">
        <w:rPr>
          <w:rFonts w:eastAsiaTheme="majorEastAsia"/>
          <w:b/>
          <w:spacing w:val="0"/>
          <w:szCs w:val="28"/>
          <w:lang w:val="es-DO"/>
        </w:rPr>
        <w:t>Marco Filosófico Institucional</w:t>
      </w:r>
      <w:bookmarkEnd w:id="5"/>
      <w:bookmarkEnd w:id="6"/>
    </w:p>
    <w:p w14:paraId="594588E6" w14:textId="77777777" w:rsidR="00AB7AA1" w:rsidRPr="00310D52" w:rsidRDefault="00AB7AA1" w:rsidP="00434602">
      <w:pPr>
        <w:pStyle w:val="Prrafodelista"/>
        <w:numPr>
          <w:ilvl w:val="0"/>
          <w:numId w:val="4"/>
        </w:numPr>
        <w:spacing w:line="360" w:lineRule="auto"/>
        <w:ind w:left="450"/>
        <w:jc w:val="both"/>
        <w:rPr>
          <w:rFonts w:eastAsia="Calibri"/>
          <w:b/>
          <w:bCs/>
          <w:noProof/>
          <w:lang w:val="es-DO"/>
        </w:rPr>
      </w:pPr>
      <w:r w:rsidRPr="00310D52">
        <w:rPr>
          <w:rFonts w:eastAsia="Calibri"/>
          <w:b/>
          <w:bCs/>
          <w:noProof/>
          <w:lang w:val="es-DO"/>
        </w:rPr>
        <w:t>Misión</w:t>
      </w:r>
    </w:p>
    <w:p w14:paraId="72577221" w14:textId="24BBF227" w:rsidR="00BA2267" w:rsidRPr="00310D52" w:rsidRDefault="00AB7AA1" w:rsidP="00434602">
      <w:pPr>
        <w:pStyle w:val="Prrafodelista"/>
        <w:spacing w:line="360" w:lineRule="auto"/>
        <w:ind w:left="450"/>
        <w:jc w:val="both"/>
        <w:rPr>
          <w:rFonts w:eastAsia="Calibri"/>
          <w:b/>
          <w:bCs/>
          <w:noProof/>
          <w:lang w:val="es-DO"/>
        </w:rPr>
      </w:pPr>
      <w:r w:rsidRPr="00310D52">
        <w:rPr>
          <w:rFonts w:eastAsia="Calibri"/>
          <w:noProof/>
          <w:lang w:val="es-DO"/>
        </w:rPr>
        <w:t>Proveer asistencia sanitaria urgente especializada, a través de la regulación y control de las atenciones de emergencias extrahospitalarias y la gestión del riesgo, garantizando la respuesta oportuna a los usuarios de manera integral, profesional y humanizada en beneficio de todos los usuarios en el territorio nacional.</w:t>
      </w:r>
    </w:p>
    <w:p w14:paraId="0670F2A7" w14:textId="77777777" w:rsidR="00AB7AA1" w:rsidRPr="00310D52" w:rsidRDefault="00AB7AA1" w:rsidP="00434602">
      <w:pPr>
        <w:pStyle w:val="Prrafodelista"/>
        <w:numPr>
          <w:ilvl w:val="0"/>
          <w:numId w:val="4"/>
        </w:numPr>
        <w:spacing w:line="360" w:lineRule="auto"/>
        <w:ind w:left="450"/>
        <w:jc w:val="both"/>
        <w:rPr>
          <w:rFonts w:eastAsia="Calibri"/>
          <w:b/>
          <w:bCs/>
          <w:noProof/>
          <w:lang w:val="es-DO"/>
        </w:rPr>
      </w:pPr>
      <w:r w:rsidRPr="00310D52">
        <w:rPr>
          <w:rFonts w:eastAsia="Calibri"/>
          <w:b/>
          <w:bCs/>
          <w:noProof/>
          <w:lang w:val="es-DO"/>
        </w:rPr>
        <w:t>Visión</w:t>
      </w:r>
    </w:p>
    <w:p w14:paraId="1F66F552" w14:textId="28F78DA3" w:rsidR="00AB7AA1" w:rsidRPr="00310D52" w:rsidRDefault="00AB7AA1" w:rsidP="00434602">
      <w:pPr>
        <w:pStyle w:val="Prrafodelista"/>
        <w:spacing w:line="360" w:lineRule="auto"/>
        <w:ind w:left="450"/>
        <w:jc w:val="both"/>
        <w:rPr>
          <w:rFonts w:eastAsia="Calibri"/>
          <w:b/>
          <w:bCs/>
          <w:noProof/>
          <w:lang w:val="es-DO"/>
        </w:rPr>
      </w:pPr>
      <w:r w:rsidRPr="00310D52">
        <w:rPr>
          <w:rFonts w:eastAsia="Calibri"/>
          <w:noProof/>
          <w:lang w:val="es-DO"/>
        </w:rPr>
        <w:t>Ser un servicio de excelencia y modelo de la referencia a través de la respuesta de atención extrahospitalaria segura y profesional, reconocida por nuestros usuario</w:t>
      </w:r>
      <w:r w:rsidR="00B92191" w:rsidRPr="00310D52">
        <w:rPr>
          <w:rFonts w:eastAsia="Calibri"/>
          <w:noProof/>
          <w:lang w:val="es-DO"/>
        </w:rPr>
        <w:t>s</w:t>
      </w:r>
      <w:r w:rsidRPr="00310D52">
        <w:rPr>
          <w:rFonts w:eastAsia="Calibri"/>
          <w:noProof/>
          <w:lang w:val="es-DO"/>
        </w:rPr>
        <w:t xml:space="preserve"> como líderes, por prestar un servicio de calidad y traslado oportuno a los pacientes en todo el territorio nacional.</w:t>
      </w:r>
    </w:p>
    <w:p w14:paraId="35A35732" w14:textId="2EC6E5B4" w:rsidR="00AB7AA1" w:rsidRPr="00310D52" w:rsidRDefault="00AB7AA1" w:rsidP="00434602">
      <w:pPr>
        <w:pStyle w:val="Prrafodelista"/>
        <w:numPr>
          <w:ilvl w:val="0"/>
          <w:numId w:val="4"/>
        </w:numPr>
        <w:spacing w:line="360" w:lineRule="auto"/>
        <w:ind w:left="450"/>
        <w:jc w:val="both"/>
        <w:rPr>
          <w:rFonts w:eastAsia="Calibri"/>
          <w:b/>
          <w:bCs/>
          <w:noProof/>
          <w:lang w:val="es-DO"/>
        </w:rPr>
      </w:pPr>
      <w:r w:rsidRPr="00310D52">
        <w:rPr>
          <w:rFonts w:eastAsia="Calibri"/>
          <w:b/>
          <w:bCs/>
          <w:noProof/>
          <w:lang w:val="es-DO"/>
        </w:rPr>
        <w:t>Valores</w:t>
      </w:r>
    </w:p>
    <w:p w14:paraId="1F167AA3" w14:textId="77777777"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Calidad:</w:t>
      </w:r>
      <w:r w:rsidRPr="00310D52">
        <w:rPr>
          <w:rFonts w:eastAsia="Calibri"/>
          <w:noProof/>
          <w:lang w:val="es-DO"/>
        </w:rPr>
        <w:t xml:space="preserve"> Garantizar el fiel cumplimiento de los lineamientos basados en los estándares y protocolos establecidos en base al marco legal y normativo.</w:t>
      </w:r>
    </w:p>
    <w:p w14:paraId="4B8C97F1" w14:textId="77777777" w:rsidR="00AB7AA1" w:rsidRPr="00310D52" w:rsidRDefault="00AB7AA1" w:rsidP="00434602">
      <w:pPr>
        <w:pStyle w:val="Prrafodelista"/>
        <w:spacing w:line="360" w:lineRule="auto"/>
        <w:ind w:left="450"/>
        <w:jc w:val="both"/>
        <w:rPr>
          <w:rFonts w:eastAsia="Calibri"/>
          <w:noProof/>
          <w:lang w:val="es-DO"/>
        </w:rPr>
      </w:pPr>
    </w:p>
    <w:p w14:paraId="3C6B7CF5" w14:textId="77777777"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Ética:</w:t>
      </w:r>
      <w:r w:rsidRPr="00310D52">
        <w:rPr>
          <w:rFonts w:eastAsia="Calibri"/>
          <w:noProof/>
          <w:lang w:val="es-DO"/>
        </w:rPr>
        <w:t xml:space="preserve"> Garantizar el respeto a las leyes, normativas institucionales, deberes y derechos de los usuarios y del personal de salud, así como velar por la integridad, confidencialidad y pudor de los usuarios.</w:t>
      </w:r>
    </w:p>
    <w:p w14:paraId="0913797C" w14:textId="77777777" w:rsidR="00AB7AA1" w:rsidRPr="00310D52" w:rsidRDefault="00AB7AA1" w:rsidP="00434602">
      <w:pPr>
        <w:pStyle w:val="Prrafodelista"/>
        <w:spacing w:line="360" w:lineRule="auto"/>
        <w:ind w:left="450"/>
        <w:jc w:val="both"/>
        <w:rPr>
          <w:rFonts w:eastAsia="Calibri"/>
          <w:noProof/>
          <w:lang w:val="es-DO"/>
        </w:rPr>
      </w:pPr>
    </w:p>
    <w:p w14:paraId="02A59042" w14:textId="77777777"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Compromiso:</w:t>
      </w:r>
      <w:r w:rsidRPr="00310D52">
        <w:rPr>
          <w:rFonts w:eastAsia="Calibri"/>
          <w:noProof/>
          <w:lang w:val="es-DO"/>
        </w:rPr>
        <w:t xml:space="preserve"> Mantener el constante desarrollo de las capacidades humanas, profesionales y logísticas como organismo regulador y rector, dando el mayor esfuerzo en el logro de los objetivos, con un alto estándar de calidad que satisfaga y supere las expectativas de los usuarios.</w:t>
      </w:r>
    </w:p>
    <w:p w14:paraId="5FBC2725" w14:textId="77777777" w:rsidR="00AB7AA1" w:rsidRPr="00310D52" w:rsidRDefault="00AB7AA1" w:rsidP="00434602">
      <w:pPr>
        <w:pStyle w:val="Prrafodelista"/>
        <w:spacing w:line="360" w:lineRule="auto"/>
        <w:ind w:left="450"/>
        <w:jc w:val="both"/>
        <w:rPr>
          <w:rFonts w:eastAsia="Calibri"/>
          <w:noProof/>
          <w:lang w:val="es-DO"/>
        </w:rPr>
      </w:pPr>
    </w:p>
    <w:p w14:paraId="249BF1DF" w14:textId="77777777"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Responsabilidad:</w:t>
      </w:r>
      <w:r w:rsidRPr="00310D52">
        <w:rPr>
          <w:rFonts w:eastAsia="Calibri"/>
          <w:noProof/>
          <w:lang w:val="es-DO"/>
        </w:rPr>
        <w:t xml:space="preserve"> Funcionarios realizan su función con compromiso y profesionalismo, respondiendo oportunamente por sus actos y tareas.</w:t>
      </w:r>
    </w:p>
    <w:p w14:paraId="5C9F79E8" w14:textId="77777777" w:rsidR="00AB7AA1" w:rsidRPr="00310D52" w:rsidRDefault="00AB7AA1" w:rsidP="00434602">
      <w:pPr>
        <w:pStyle w:val="Prrafodelista"/>
        <w:spacing w:line="360" w:lineRule="auto"/>
        <w:ind w:left="450"/>
        <w:jc w:val="both"/>
        <w:rPr>
          <w:rFonts w:eastAsia="Calibri"/>
          <w:noProof/>
          <w:lang w:val="es-DO"/>
        </w:rPr>
      </w:pPr>
    </w:p>
    <w:p w14:paraId="0D9AACD8" w14:textId="77777777"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Humanización:</w:t>
      </w:r>
      <w:r w:rsidRPr="00310D52">
        <w:rPr>
          <w:rFonts w:eastAsia="Calibri"/>
          <w:noProof/>
          <w:lang w:val="es-DO"/>
        </w:rPr>
        <w:t xml:space="preserve"> Garantizar como órgano rector la atención equitativa y de calidad velando por el respeto a la integridad y dignidad de los usuarios, a través de la concienciación y sensibilización de los colaboradores sin discriminación de procedencia, nivel social, religión de los usuarios.</w:t>
      </w:r>
    </w:p>
    <w:p w14:paraId="4C5F3B46" w14:textId="77777777" w:rsidR="00AB7AA1" w:rsidRPr="00310D52" w:rsidRDefault="00AB7AA1" w:rsidP="00434602">
      <w:pPr>
        <w:pStyle w:val="Prrafodelista"/>
        <w:spacing w:line="360" w:lineRule="auto"/>
        <w:ind w:left="450"/>
        <w:jc w:val="both"/>
        <w:rPr>
          <w:rFonts w:eastAsia="Calibri"/>
          <w:noProof/>
          <w:lang w:val="es-DO"/>
        </w:rPr>
      </w:pPr>
    </w:p>
    <w:p w14:paraId="01E580C3" w14:textId="1DDFEA30"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Integridad:</w:t>
      </w:r>
      <w:r w:rsidRPr="00310D52">
        <w:rPr>
          <w:rFonts w:eastAsia="Calibri"/>
          <w:noProof/>
          <w:lang w:val="es-DO"/>
        </w:rPr>
        <w:t xml:space="preserve"> Implica mantener la rectitud y la honestidad de manera permanente, independiente de las presiones que puedan recibirse, </w:t>
      </w:r>
      <w:r w:rsidR="00B92191" w:rsidRPr="00310D52">
        <w:rPr>
          <w:rFonts w:eastAsia="Calibri"/>
          <w:noProof/>
          <w:lang w:val="es-DO"/>
        </w:rPr>
        <w:t>l</w:t>
      </w:r>
      <w:r w:rsidRPr="00310D52">
        <w:rPr>
          <w:rFonts w:eastAsia="Calibri"/>
          <w:noProof/>
          <w:lang w:val="es-DO"/>
        </w:rPr>
        <w:t>a conducta y el actuar son coherentes con las normas éticas de la institución.</w:t>
      </w:r>
    </w:p>
    <w:p w14:paraId="34FB094A" w14:textId="77777777" w:rsidR="00AB7AA1" w:rsidRPr="00310D52" w:rsidRDefault="00AB7AA1" w:rsidP="00434602">
      <w:pPr>
        <w:pStyle w:val="Prrafodelista"/>
        <w:spacing w:line="360" w:lineRule="auto"/>
        <w:ind w:left="450"/>
        <w:jc w:val="both"/>
        <w:rPr>
          <w:rFonts w:eastAsia="Calibri"/>
          <w:noProof/>
          <w:lang w:val="es-DO"/>
        </w:rPr>
      </w:pPr>
    </w:p>
    <w:p w14:paraId="221F1DF5" w14:textId="7C1A2E40" w:rsidR="00AB7AA1" w:rsidRPr="00310D52" w:rsidRDefault="00AB7AA1" w:rsidP="00434602">
      <w:pPr>
        <w:pStyle w:val="Prrafodelista"/>
        <w:spacing w:line="360" w:lineRule="auto"/>
        <w:ind w:left="450"/>
        <w:jc w:val="both"/>
        <w:rPr>
          <w:rFonts w:eastAsia="Calibri"/>
          <w:noProof/>
          <w:lang w:val="es-DO"/>
        </w:rPr>
      </w:pPr>
      <w:r w:rsidRPr="00310D52">
        <w:rPr>
          <w:rFonts w:eastAsia="Calibri"/>
          <w:b/>
          <w:bCs/>
          <w:noProof/>
          <w:lang w:val="es-DO"/>
        </w:rPr>
        <w:t>Trabajo en equipo:</w:t>
      </w:r>
      <w:r w:rsidRPr="00310D52">
        <w:rPr>
          <w:rFonts w:eastAsia="Calibri"/>
          <w:noProof/>
          <w:lang w:val="es-DO"/>
        </w:rPr>
        <w:t xml:space="preserve"> Integrar los esfuerzos humanos a fin de crear la sinergia necesaria para dar las mejores atenciones a la</w:t>
      </w:r>
      <w:r w:rsidR="00851FA4" w:rsidRPr="00310D52">
        <w:rPr>
          <w:rFonts w:eastAsia="Calibri"/>
          <w:noProof/>
          <w:lang w:val="es-DO"/>
        </w:rPr>
        <w:t xml:space="preserve"> </w:t>
      </w:r>
      <w:r w:rsidRPr="00310D52">
        <w:rPr>
          <w:rFonts w:eastAsia="Calibri"/>
          <w:noProof/>
          <w:lang w:val="es-DO"/>
        </w:rPr>
        <w:t>población como parte de un mismo organismo.</w:t>
      </w:r>
    </w:p>
    <w:p w14:paraId="0D668D41" w14:textId="41CCEF12" w:rsidR="00654164" w:rsidRPr="00F06D9C" w:rsidRDefault="00D4456C" w:rsidP="00434602">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7" w:name="_Toc217050876"/>
      <w:r w:rsidRPr="00F06D9C">
        <w:rPr>
          <w:rFonts w:eastAsiaTheme="majorEastAsia"/>
          <w:b/>
          <w:spacing w:val="0"/>
          <w:szCs w:val="28"/>
          <w:lang w:val="es-DO"/>
        </w:rPr>
        <w:lastRenderedPageBreak/>
        <w:t>Base Legal</w:t>
      </w:r>
      <w:bookmarkEnd w:id="7"/>
    </w:p>
    <w:p w14:paraId="245837FF" w14:textId="5D5B4FA6" w:rsidR="00D4456C" w:rsidRPr="00310D52" w:rsidRDefault="00B92191" w:rsidP="00434602">
      <w:pPr>
        <w:pStyle w:val="Prrafodelista"/>
        <w:numPr>
          <w:ilvl w:val="0"/>
          <w:numId w:val="5"/>
        </w:numPr>
        <w:spacing w:line="360" w:lineRule="auto"/>
        <w:jc w:val="both"/>
        <w:rPr>
          <w:rFonts w:eastAsia="Calibri"/>
          <w:noProof/>
          <w:lang w:val="es-DO"/>
        </w:rPr>
      </w:pPr>
      <w:r w:rsidRPr="00310D52">
        <w:rPr>
          <w:rFonts w:eastAsia="Calibri"/>
          <w:noProof/>
          <w:lang w:val="es-DO"/>
        </w:rPr>
        <w:t>Constitución de la República Dominicana (2015)</w:t>
      </w:r>
    </w:p>
    <w:p w14:paraId="67690388" w14:textId="730B7970"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Ley No. 184-17 del Sistema Nacional de Atención a Emergencias y Seguridad 9-1-1 (Que deroga la Ley 140-13).</w:t>
      </w:r>
    </w:p>
    <w:p w14:paraId="42B966B3" w14:textId="723BBA44"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Ley 42-01 General de Salud.</w:t>
      </w:r>
    </w:p>
    <w:p w14:paraId="5DA5C940" w14:textId="6F415AA6"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Decreto 489-22 Dirección de Servicios de Atención a Emergencias Médicas Extrahospitalarias.</w:t>
      </w:r>
    </w:p>
    <w:p w14:paraId="3C268F7E" w14:textId="5523EB26"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Decreto 290-22, designa al mayor general abogado ® Juan Manuel Mendez Garcia ERD Director de Emergencias Médicas.</w:t>
      </w:r>
    </w:p>
    <w:p w14:paraId="2E5B9630" w14:textId="63CC3265"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Decreto 200-16 Crea la Comision para la Integracion de la Red Unica de Servicios Publicos de Salud 12 de Agosto 2016.</w:t>
      </w:r>
    </w:p>
    <w:p w14:paraId="0A9D78DF" w14:textId="23DE297B"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Decreto 74-10 Cambia Denominaci</w:t>
      </w:r>
      <w:r w:rsidR="004126E1" w:rsidRPr="00310D52">
        <w:rPr>
          <w:rFonts w:eastAsia="Calibri"/>
          <w:noProof/>
          <w:lang w:val="es-DO"/>
        </w:rPr>
        <w:t>ó</w:t>
      </w:r>
      <w:r w:rsidRPr="00310D52">
        <w:rPr>
          <w:rFonts w:eastAsia="Calibri"/>
          <w:noProof/>
          <w:lang w:val="es-DO"/>
        </w:rPr>
        <w:t>n SESPAS a Ministerio 12 de Febrero 2010.</w:t>
      </w:r>
    </w:p>
    <w:p w14:paraId="5632B6C9" w14:textId="07926B71" w:rsidR="00D4456C"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Resolución Núm. 00025 de 2015- Art 5: Reconvierte la Dirección Nacional de Emergencias y Desastres y la divide dos direcciones:  La Dirección de Gestión de Riesgos y Atención de Desastres, que forma parte del Viceministerio de Salud y La Dirección General de Emergencias Médicas como unidad desconcentrada del MSP y cuya finalidad principal será gestionar el Sistema de Emergencias Médicas del 9</w:t>
      </w:r>
      <w:r w:rsidR="008358E8" w:rsidRPr="00310D52">
        <w:rPr>
          <w:rFonts w:eastAsia="Calibri"/>
          <w:noProof/>
          <w:lang w:val="es-DO"/>
        </w:rPr>
        <w:t>-</w:t>
      </w:r>
      <w:r w:rsidRPr="00310D52">
        <w:rPr>
          <w:rFonts w:eastAsia="Calibri"/>
          <w:noProof/>
          <w:lang w:val="es-DO"/>
        </w:rPr>
        <w:t>1</w:t>
      </w:r>
      <w:r w:rsidR="008358E8" w:rsidRPr="00310D52">
        <w:rPr>
          <w:rFonts w:eastAsia="Calibri"/>
          <w:noProof/>
          <w:lang w:val="es-DO"/>
        </w:rPr>
        <w:t>-</w:t>
      </w:r>
      <w:r w:rsidRPr="00310D52">
        <w:rPr>
          <w:rFonts w:eastAsia="Calibri"/>
          <w:noProof/>
          <w:lang w:val="es-DO"/>
        </w:rPr>
        <w:t>1 y los CRUE.</w:t>
      </w:r>
    </w:p>
    <w:p w14:paraId="4AEE5010" w14:textId="417648F1" w:rsidR="00AB7AA1" w:rsidRPr="00310D52" w:rsidRDefault="00D4456C" w:rsidP="00434602">
      <w:pPr>
        <w:pStyle w:val="Prrafodelista"/>
        <w:numPr>
          <w:ilvl w:val="0"/>
          <w:numId w:val="5"/>
        </w:numPr>
        <w:spacing w:line="360" w:lineRule="auto"/>
        <w:jc w:val="both"/>
        <w:rPr>
          <w:rFonts w:eastAsia="Calibri"/>
          <w:noProof/>
          <w:lang w:val="es-DO"/>
        </w:rPr>
      </w:pPr>
      <w:r w:rsidRPr="00310D52">
        <w:rPr>
          <w:rFonts w:eastAsia="Calibri"/>
          <w:noProof/>
          <w:lang w:val="es-DO"/>
        </w:rPr>
        <w:t>Reglamento T</w:t>
      </w:r>
      <w:r w:rsidR="00B92191" w:rsidRPr="00310D52">
        <w:rPr>
          <w:rFonts w:eastAsia="Calibri"/>
          <w:noProof/>
          <w:lang w:val="es-DO"/>
        </w:rPr>
        <w:t>é</w:t>
      </w:r>
      <w:r w:rsidRPr="00310D52">
        <w:rPr>
          <w:rFonts w:eastAsia="Calibri"/>
          <w:noProof/>
          <w:lang w:val="es-DO"/>
        </w:rPr>
        <w:t>cnico para la habilitaci</w:t>
      </w:r>
      <w:r w:rsidR="00B92191" w:rsidRPr="00310D52">
        <w:rPr>
          <w:rFonts w:eastAsia="Calibri"/>
          <w:noProof/>
          <w:lang w:val="es-DO"/>
        </w:rPr>
        <w:t>ó</w:t>
      </w:r>
      <w:r w:rsidRPr="00310D52">
        <w:rPr>
          <w:rFonts w:eastAsia="Calibri"/>
          <w:noProof/>
          <w:lang w:val="es-DO"/>
        </w:rPr>
        <w:t>n de Servicios de Ambulancia Terrestre</w:t>
      </w:r>
      <w:r w:rsidR="00851FA4" w:rsidRPr="00310D52">
        <w:rPr>
          <w:rFonts w:eastAsia="Calibri"/>
          <w:noProof/>
          <w:lang w:val="es-DO"/>
        </w:rPr>
        <w:t>.</w:t>
      </w:r>
    </w:p>
    <w:p w14:paraId="625CAF9D" w14:textId="77777777" w:rsidR="00851FA4" w:rsidRPr="00310D52" w:rsidRDefault="00851FA4" w:rsidP="00434602">
      <w:pPr>
        <w:spacing w:line="360" w:lineRule="auto"/>
        <w:jc w:val="both"/>
        <w:rPr>
          <w:rFonts w:eastAsiaTheme="majorEastAsia"/>
          <w:b/>
          <w:spacing w:val="0"/>
          <w:sz w:val="28"/>
          <w:szCs w:val="32"/>
          <w:lang w:val="es-DO"/>
        </w:rPr>
      </w:pPr>
    </w:p>
    <w:p w14:paraId="1A7A7D90" w14:textId="77777777" w:rsidR="00851FA4" w:rsidRPr="00310D52" w:rsidRDefault="00851FA4" w:rsidP="00434602">
      <w:pPr>
        <w:spacing w:line="360" w:lineRule="auto"/>
        <w:jc w:val="both"/>
        <w:rPr>
          <w:rFonts w:eastAsiaTheme="majorEastAsia"/>
          <w:b/>
          <w:spacing w:val="0"/>
          <w:sz w:val="28"/>
          <w:szCs w:val="32"/>
          <w:lang w:val="es-DO"/>
        </w:rPr>
      </w:pPr>
    </w:p>
    <w:p w14:paraId="08D1C4BB" w14:textId="77777777" w:rsidR="00851FA4" w:rsidRPr="00310D52" w:rsidRDefault="00851FA4" w:rsidP="00434602">
      <w:pPr>
        <w:spacing w:line="360" w:lineRule="auto"/>
        <w:jc w:val="both"/>
        <w:rPr>
          <w:rFonts w:eastAsiaTheme="majorEastAsia"/>
          <w:b/>
          <w:spacing w:val="0"/>
          <w:sz w:val="28"/>
          <w:szCs w:val="32"/>
          <w:lang w:val="es-DO"/>
        </w:rPr>
      </w:pPr>
    </w:p>
    <w:p w14:paraId="0B152333" w14:textId="77777777" w:rsidR="00851FA4" w:rsidRPr="00310D52" w:rsidRDefault="00851FA4" w:rsidP="00434602">
      <w:pPr>
        <w:spacing w:line="360" w:lineRule="auto"/>
        <w:jc w:val="both"/>
        <w:rPr>
          <w:rFonts w:eastAsiaTheme="majorEastAsia"/>
          <w:b/>
          <w:spacing w:val="0"/>
          <w:sz w:val="28"/>
          <w:szCs w:val="32"/>
          <w:lang w:val="es-DO"/>
        </w:rPr>
      </w:pPr>
    </w:p>
    <w:p w14:paraId="42F80F71" w14:textId="70DDBD9E" w:rsidR="00D4456C" w:rsidRPr="00F06D9C" w:rsidRDefault="00851FA4" w:rsidP="00434602">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8" w:name="_Toc217050877"/>
      <w:r w:rsidRPr="00F06D9C">
        <w:rPr>
          <w:rFonts w:eastAsiaTheme="majorEastAsia"/>
          <w:b/>
          <w:noProof/>
          <w:spacing w:val="0"/>
          <w:szCs w:val="28"/>
          <w:lang w:val="es-DO"/>
        </w:rPr>
        <w:lastRenderedPageBreak/>
        <w:drawing>
          <wp:anchor distT="0" distB="0" distL="114300" distR="114300" simplePos="0" relativeHeight="251738112" behindDoc="1" locked="0" layoutInCell="1" allowOverlap="1" wp14:anchorId="3A79376F" wp14:editId="798AE888">
            <wp:simplePos x="0" y="0"/>
            <wp:positionH relativeFrom="margin">
              <wp:posOffset>-495300</wp:posOffset>
            </wp:positionH>
            <wp:positionV relativeFrom="page">
              <wp:posOffset>1238250</wp:posOffset>
            </wp:positionV>
            <wp:extent cx="6667500" cy="5121275"/>
            <wp:effectExtent l="0" t="0" r="0" b="3175"/>
            <wp:wrapTight wrapText="bothSides">
              <wp:wrapPolygon edited="0">
                <wp:start x="0" y="0"/>
                <wp:lineTo x="0" y="21533"/>
                <wp:lineTo x="21538" y="21533"/>
                <wp:lineTo x="21538" y="0"/>
                <wp:lineTo x="0" y="0"/>
              </wp:wrapPolygon>
            </wp:wrapTight>
            <wp:docPr id="1368218415" name="Imagen 14"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18415" name="Imagen 14" descr="Captura de pantalla de un celular&#10;&#10;Descripción generada automáticamente"/>
                    <pic:cNvPicPr/>
                  </pic:nvPicPr>
                  <pic:blipFill rotWithShape="1">
                    <a:blip r:embed="rId13">
                      <a:extLst>
                        <a:ext uri="{28A0092B-C50C-407E-A947-70E740481C1C}">
                          <a14:useLocalDpi xmlns:a14="http://schemas.microsoft.com/office/drawing/2010/main" val="0"/>
                        </a:ext>
                      </a:extLst>
                    </a:blip>
                    <a:srcRect l="4406" t="3613" r="4671" b="2725"/>
                    <a:stretch>
                      <a:fillRect/>
                    </a:stretch>
                  </pic:blipFill>
                  <pic:spPr bwMode="auto">
                    <a:xfrm>
                      <a:off x="0" y="0"/>
                      <a:ext cx="6667500" cy="512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6D9C">
        <w:rPr>
          <w:rFonts w:eastAsiaTheme="majorEastAsia"/>
          <w:b/>
          <w:spacing w:val="0"/>
          <w:szCs w:val="28"/>
          <w:lang w:val="es-DO"/>
        </w:rPr>
        <w:t>Estructura organizativa</w:t>
      </w:r>
      <w:bookmarkEnd w:id="8"/>
    </w:p>
    <w:p w14:paraId="689D64CC" w14:textId="6E2A892F" w:rsidR="00851FA4" w:rsidRPr="00310D52" w:rsidRDefault="00851FA4" w:rsidP="00434602">
      <w:pPr>
        <w:spacing w:line="360" w:lineRule="auto"/>
        <w:jc w:val="both"/>
        <w:rPr>
          <w:rFonts w:eastAsia="Calibri"/>
          <w:noProof/>
          <w:lang w:val="es-DO"/>
        </w:rPr>
      </w:pPr>
    </w:p>
    <w:p w14:paraId="366CD924" w14:textId="77777777" w:rsidR="00851FA4" w:rsidRPr="00310D52" w:rsidRDefault="00851FA4" w:rsidP="00434602">
      <w:pPr>
        <w:spacing w:line="360" w:lineRule="auto"/>
        <w:jc w:val="both"/>
        <w:rPr>
          <w:rFonts w:eastAsia="Calibri"/>
          <w:b/>
          <w:bCs/>
          <w:noProof/>
          <w:lang w:val="es-DO"/>
        </w:rPr>
      </w:pPr>
      <w:r w:rsidRPr="00310D52">
        <w:rPr>
          <w:rFonts w:eastAsia="Calibri"/>
          <w:b/>
          <w:bCs/>
          <w:noProof/>
          <w:lang w:val="es-DO"/>
        </w:rPr>
        <w:t>Principales Funcionarios</w:t>
      </w:r>
    </w:p>
    <w:p w14:paraId="1A1BA6C6" w14:textId="3BAFD2E2"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Juan Manuel Méndez García,</w:t>
      </w:r>
      <w:r w:rsidRPr="00310D52">
        <w:rPr>
          <w:rFonts w:eastAsia="Calibri"/>
          <w:noProof/>
          <w:lang w:val="es-DO"/>
        </w:rPr>
        <w:t xml:space="preserve"> Director.</w:t>
      </w:r>
    </w:p>
    <w:p w14:paraId="3655DFCD" w14:textId="02D5866C" w:rsidR="00AD127A"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Ruddy De Gracia Pérez</w:t>
      </w:r>
      <w:r w:rsidRPr="00310D52">
        <w:rPr>
          <w:rFonts w:eastAsia="Calibri"/>
          <w:noProof/>
          <w:lang w:val="es-DO"/>
        </w:rPr>
        <w:t>, Encargado del Departamento de Getión Extra</w:t>
      </w:r>
      <w:r w:rsidR="00B92191" w:rsidRPr="00310D52">
        <w:rPr>
          <w:rFonts w:eastAsia="Calibri"/>
          <w:noProof/>
          <w:lang w:val="es-DO"/>
        </w:rPr>
        <w:t>h</w:t>
      </w:r>
      <w:r w:rsidRPr="00310D52">
        <w:rPr>
          <w:rFonts w:eastAsia="Calibri"/>
          <w:noProof/>
          <w:lang w:val="es-DO"/>
        </w:rPr>
        <w:t>ospitalaria.</w:t>
      </w:r>
    </w:p>
    <w:p w14:paraId="5973985E" w14:textId="0E4F9561" w:rsidR="00AD127A"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Luisanna Mercedes</w:t>
      </w:r>
      <w:r w:rsidRPr="00310D52">
        <w:rPr>
          <w:rFonts w:eastAsia="Calibri"/>
          <w:noProof/>
          <w:lang w:val="es-DO"/>
        </w:rPr>
        <w:t>, Encargada del Departamento de Gestión de Riesgos, y Preparación y Respuesta ante Desastres.</w:t>
      </w:r>
    </w:p>
    <w:p w14:paraId="0C08E744" w14:textId="77777777" w:rsidR="00380E47" w:rsidRPr="00310D52" w:rsidRDefault="00380E47"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Rafael Vila</w:t>
      </w:r>
      <w:r w:rsidRPr="00310D52">
        <w:rPr>
          <w:rFonts w:eastAsia="Calibri"/>
          <w:noProof/>
          <w:lang w:val="es-DO"/>
        </w:rPr>
        <w:t>, Encargado del Departamento de Seguridad.</w:t>
      </w:r>
    </w:p>
    <w:p w14:paraId="31D9C502" w14:textId="1E226B94"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lastRenderedPageBreak/>
        <w:t>José Aljeriz Jerez</w:t>
      </w:r>
      <w:r w:rsidRPr="00310D52">
        <w:rPr>
          <w:rFonts w:eastAsia="Calibri"/>
          <w:noProof/>
          <w:lang w:val="es-DO"/>
        </w:rPr>
        <w:t>, Encargado del Departamento de Coordinación y Enlace con la Red Pública de Salud.</w:t>
      </w:r>
    </w:p>
    <w:p w14:paraId="3A858E81" w14:textId="2985CF3B"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Eris Antonio Feliz</w:t>
      </w:r>
      <w:r w:rsidRPr="00310D52">
        <w:rPr>
          <w:rFonts w:eastAsia="Calibri"/>
          <w:noProof/>
          <w:lang w:val="es-DO"/>
        </w:rPr>
        <w:t>, Encargado del Departamento Administrativo Financiero.</w:t>
      </w:r>
    </w:p>
    <w:p w14:paraId="39BE31D1" w14:textId="70200AEC"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Tomas García</w:t>
      </w:r>
      <w:r w:rsidR="00851FA4" w:rsidRPr="00310D52">
        <w:rPr>
          <w:rFonts w:eastAsia="Calibri"/>
          <w:noProof/>
          <w:lang w:val="es-DO"/>
        </w:rPr>
        <w:t>, Encargado del Departamento de Tecnologías de la Información y Comunicación.</w:t>
      </w:r>
    </w:p>
    <w:p w14:paraId="5089E80E" w14:textId="5099DCAB"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Bertha Patricia Lahoz Banks</w:t>
      </w:r>
      <w:r w:rsidRPr="00310D52">
        <w:rPr>
          <w:rFonts w:eastAsia="Calibri"/>
          <w:noProof/>
          <w:lang w:val="es-DO"/>
        </w:rPr>
        <w:t>, Encargada del Departamento de Planificación y Desarrollo.</w:t>
      </w:r>
    </w:p>
    <w:p w14:paraId="559845B7" w14:textId="65999CA8"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Alina Guzmán Huma</w:t>
      </w:r>
      <w:r w:rsidR="00851FA4" w:rsidRPr="00310D52">
        <w:rPr>
          <w:rFonts w:eastAsia="Calibri"/>
          <w:noProof/>
          <w:lang w:val="es-DO"/>
        </w:rPr>
        <w:t>, Encargada del Departamento de Recursos Humanos.</w:t>
      </w:r>
    </w:p>
    <w:p w14:paraId="4DB75525" w14:textId="4E92ABCD"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Adolfo Pérez Pérez</w:t>
      </w:r>
      <w:r w:rsidRPr="00310D52">
        <w:rPr>
          <w:rFonts w:eastAsia="Calibri"/>
          <w:noProof/>
          <w:lang w:val="es-DO"/>
        </w:rPr>
        <w:t>, Encargado del Departamento Jurídico.</w:t>
      </w:r>
    </w:p>
    <w:p w14:paraId="0D4A5A37" w14:textId="0033D969"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Rosa Elena Laurencio</w:t>
      </w:r>
      <w:r w:rsidRPr="00310D52">
        <w:rPr>
          <w:rFonts w:eastAsia="Calibri"/>
          <w:noProof/>
          <w:lang w:val="es-DO"/>
        </w:rPr>
        <w:t>, Encargada de la División de Fiscalización.</w:t>
      </w:r>
    </w:p>
    <w:p w14:paraId="7873A76D" w14:textId="0D6BC255" w:rsidR="00851FA4" w:rsidRPr="00310D52" w:rsidRDefault="00851FA4"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Diomel Alexis García</w:t>
      </w:r>
      <w:r w:rsidR="00AD127A" w:rsidRPr="00310D52">
        <w:rPr>
          <w:rFonts w:eastAsia="Calibri"/>
          <w:noProof/>
          <w:lang w:val="es-DO"/>
        </w:rPr>
        <w:t>,</w:t>
      </w:r>
      <w:r w:rsidRPr="00310D52">
        <w:rPr>
          <w:rFonts w:eastAsia="Calibri"/>
          <w:noProof/>
          <w:lang w:val="es-DO"/>
        </w:rPr>
        <w:t xml:space="preserve"> Encargado de la División de Calidad en la Gestión.</w:t>
      </w:r>
    </w:p>
    <w:p w14:paraId="07EAEA53" w14:textId="578AD599"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Victoriano Constanza Alcántara</w:t>
      </w:r>
      <w:r w:rsidRPr="00310D52">
        <w:rPr>
          <w:rFonts w:eastAsia="Calibri"/>
          <w:noProof/>
          <w:lang w:val="es-DO"/>
        </w:rPr>
        <w:t xml:space="preserve">, </w:t>
      </w:r>
      <w:r w:rsidR="00851FA4" w:rsidRPr="00310D52">
        <w:rPr>
          <w:rFonts w:eastAsia="Calibri"/>
          <w:noProof/>
          <w:lang w:val="es-DO"/>
        </w:rPr>
        <w:t>Encargado de la División de Transportación y Mantenimiento.</w:t>
      </w:r>
    </w:p>
    <w:p w14:paraId="5A2C3104" w14:textId="12B3155E"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Wanda Calderón</w:t>
      </w:r>
      <w:r w:rsidR="00851FA4" w:rsidRPr="00310D52">
        <w:rPr>
          <w:rFonts w:eastAsia="Calibri"/>
          <w:noProof/>
          <w:lang w:val="es-DO"/>
        </w:rPr>
        <w:t>, Encargada de la División de Compras y Contrataciones.</w:t>
      </w:r>
    </w:p>
    <w:p w14:paraId="6C614F80" w14:textId="220E36A3"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Antolín Paniagua</w:t>
      </w:r>
      <w:r w:rsidR="00851FA4" w:rsidRPr="00310D52">
        <w:rPr>
          <w:rFonts w:eastAsia="Calibri"/>
          <w:b/>
          <w:bCs/>
          <w:noProof/>
          <w:lang w:val="es-DO"/>
        </w:rPr>
        <w:t>,</w:t>
      </w:r>
      <w:r w:rsidR="00851FA4" w:rsidRPr="00310D52">
        <w:rPr>
          <w:rFonts w:eastAsia="Calibri"/>
          <w:noProof/>
          <w:lang w:val="es-DO"/>
        </w:rPr>
        <w:t xml:space="preserve"> Encargado de la División Financiera.</w:t>
      </w:r>
    </w:p>
    <w:p w14:paraId="6C33D4AA" w14:textId="7F64BBB0"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Christopher Ortiz</w:t>
      </w:r>
      <w:r w:rsidR="00851FA4" w:rsidRPr="00310D52">
        <w:rPr>
          <w:rFonts w:eastAsia="Calibri"/>
          <w:noProof/>
          <w:lang w:val="es-DO"/>
        </w:rPr>
        <w:t>, Encargado de la División de Almacén y Suministro.</w:t>
      </w:r>
    </w:p>
    <w:p w14:paraId="1B725EA5" w14:textId="2404127F"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Antonio Jiménez</w:t>
      </w:r>
      <w:r w:rsidR="00851FA4" w:rsidRPr="00310D52">
        <w:rPr>
          <w:rFonts w:eastAsia="Calibri"/>
          <w:noProof/>
          <w:lang w:val="es-DO"/>
        </w:rPr>
        <w:t>, Encargado de la División de Operaciones.</w:t>
      </w:r>
    </w:p>
    <w:p w14:paraId="0DA58E2D" w14:textId="33E3FE68"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Fernando Manuel Feliz</w:t>
      </w:r>
      <w:r w:rsidR="00851FA4" w:rsidRPr="00310D52">
        <w:rPr>
          <w:rFonts w:eastAsia="Calibri"/>
          <w:noProof/>
          <w:lang w:val="es-DO"/>
        </w:rPr>
        <w:t>, Encargado de la División de Logística.</w:t>
      </w:r>
    </w:p>
    <w:p w14:paraId="234C0A99" w14:textId="3AE941F6"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Edwin Garay</w:t>
      </w:r>
      <w:r w:rsidR="00851FA4" w:rsidRPr="00310D52">
        <w:rPr>
          <w:rFonts w:eastAsia="Calibri"/>
          <w:noProof/>
          <w:lang w:val="es-DO"/>
        </w:rPr>
        <w:t>, Encargad</w:t>
      </w:r>
      <w:r w:rsidRPr="00310D52">
        <w:rPr>
          <w:rFonts w:eastAsia="Calibri"/>
          <w:noProof/>
          <w:lang w:val="es-DO"/>
        </w:rPr>
        <w:t>o</w:t>
      </w:r>
      <w:r w:rsidR="00851FA4" w:rsidRPr="00310D52">
        <w:rPr>
          <w:rFonts w:eastAsia="Calibri"/>
          <w:noProof/>
          <w:lang w:val="es-DO"/>
        </w:rPr>
        <w:t xml:space="preserve"> de la División de Gestión a Urgencias y Emergencias.</w:t>
      </w:r>
    </w:p>
    <w:p w14:paraId="373F568A" w14:textId="3980ECEE"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Daryelin Cepín</w:t>
      </w:r>
      <w:r w:rsidR="00851FA4" w:rsidRPr="00310D52">
        <w:rPr>
          <w:rFonts w:eastAsia="Calibri"/>
          <w:b/>
          <w:bCs/>
          <w:noProof/>
          <w:lang w:val="es-DO"/>
        </w:rPr>
        <w:t>,</w:t>
      </w:r>
      <w:r w:rsidR="00851FA4" w:rsidRPr="00310D52">
        <w:rPr>
          <w:rFonts w:eastAsia="Calibri"/>
          <w:noProof/>
          <w:lang w:val="es-DO"/>
        </w:rPr>
        <w:t xml:space="preserve"> Encargada de la Sección de Control de Bienes.</w:t>
      </w:r>
    </w:p>
    <w:p w14:paraId="13E7C680" w14:textId="21945CDD" w:rsidR="00851FA4"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Gicela Almonte</w:t>
      </w:r>
      <w:r w:rsidR="00851FA4" w:rsidRPr="00310D52">
        <w:rPr>
          <w:rFonts w:eastAsia="Calibri"/>
          <w:noProof/>
          <w:lang w:val="es-DO"/>
        </w:rPr>
        <w:t>, Encargad</w:t>
      </w:r>
      <w:r w:rsidRPr="00310D52">
        <w:rPr>
          <w:rFonts w:eastAsia="Calibri"/>
          <w:noProof/>
          <w:lang w:val="es-DO"/>
        </w:rPr>
        <w:t>a</w:t>
      </w:r>
      <w:r w:rsidR="00851FA4" w:rsidRPr="00310D52">
        <w:rPr>
          <w:rFonts w:eastAsia="Calibri"/>
          <w:noProof/>
          <w:lang w:val="es-DO"/>
        </w:rPr>
        <w:t xml:space="preserve"> de la Sección de Servicios Generales.</w:t>
      </w:r>
    </w:p>
    <w:p w14:paraId="3BCB9085" w14:textId="3C3FBC1A" w:rsidR="00D4456C" w:rsidRPr="00310D52" w:rsidRDefault="00AD127A" w:rsidP="00434602">
      <w:pPr>
        <w:pStyle w:val="Prrafodelista"/>
        <w:numPr>
          <w:ilvl w:val="0"/>
          <w:numId w:val="6"/>
        </w:numPr>
        <w:spacing w:line="360" w:lineRule="auto"/>
        <w:ind w:left="450"/>
        <w:jc w:val="both"/>
        <w:rPr>
          <w:rFonts w:eastAsia="Calibri"/>
          <w:noProof/>
          <w:lang w:val="es-DO"/>
        </w:rPr>
      </w:pPr>
      <w:r w:rsidRPr="00310D52">
        <w:rPr>
          <w:rFonts w:eastAsia="Calibri"/>
          <w:b/>
          <w:bCs/>
          <w:noProof/>
          <w:lang w:val="es-DO"/>
        </w:rPr>
        <w:t>Jatna González</w:t>
      </w:r>
      <w:r w:rsidR="00851FA4" w:rsidRPr="00310D52">
        <w:rPr>
          <w:rFonts w:eastAsia="Calibri"/>
          <w:b/>
          <w:bCs/>
          <w:noProof/>
          <w:lang w:val="es-DO"/>
        </w:rPr>
        <w:t>,</w:t>
      </w:r>
      <w:r w:rsidR="00851FA4" w:rsidRPr="00310D52">
        <w:rPr>
          <w:rFonts w:eastAsia="Calibri"/>
          <w:noProof/>
          <w:lang w:val="es-DO"/>
        </w:rPr>
        <w:t xml:space="preserve"> Encargada de la Sección de Correspondencia.</w:t>
      </w:r>
    </w:p>
    <w:p w14:paraId="22B3DDFF" w14:textId="66560076" w:rsidR="00CA4CED" w:rsidRPr="00F06D9C" w:rsidRDefault="00380E47" w:rsidP="00434602">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9" w:name="_Toc217050878"/>
      <w:r w:rsidRPr="00F06D9C">
        <w:rPr>
          <w:rFonts w:eastAsiaTheme="majorEastAsia"/>
          <w:b/>
          <w:spacing w:val="0"/>
          <w:szCs w:val="28"/>
          <w:lang w:val="es-DO"/>
        </w:rPr>
        <w:lastRenderedPageBreak/>
        <w:t>Planificación estratégica institucional</w:t>
      </w:r>
      <w:bookmarkEnd w:id="9"/>
    </w:p>
    <w:p w14:paraId="505EF213" w14:textId="5E98B064" w:rsidR="00BD0DA6" w:rsidRPr="00310D52" w:rsidRDefault="00BD0DA6" w:rsidP="00434602">
      <w:pPr>
        <w:spacing w:line="360" w:lineRule="auto"/>
        <w:jc w:val="both"/>
        <w:rPr>
          <w:rFonts w:eastAsia="Calibri"/>
          <w:noProof/>
          <w:lang w:val="es-DO"/>
        </w:rPr>
      </w:pPr>
      <w:r w:rsidRPr="00310D52">
        <w:rPr>
          <w:rFonts w:eastAsia="Calibri"/>
          <w:noProof/>
          <w:lang w:val="es-DO"/>
        </w:rPr>
        <w:t>La Dirección de Servicios de Atención a Emergencias Extrahospitalarias (DAEH) cuenta con un Plan Estratégico Institucional (PEI 2025-2028), elaborado conforme a los lineamientos del Sistema Nacional de Planificación, la Estrategia Nacional de Desarrollo 2030, el Plan Nacional Plurianual del Sector Público y las directrices del Ministerio de Economía, Planificación y Desarrollo (MEPyD).</w:t>
      </w:r>
    </w:p>
    <w:p w14:paraId="4AA240DF" w14:textId="6579A20F" w:rsidR="00380E47" w:rsidRPr="00310D52" w:rsidRDefault="00BD0DA6" w:rsidP="00434602">
      <w:pPr>
        <w:spacing w:line="360" w:lineRule="auto"/>
        <w:jc w:val="both"/>
        <w:rPr>
          <w:rFonts w:eastAsia="Calibri"/>
          <w:noProof/>
          <w:lang w:val="es-DO"/>
        </w:rPr>
      </w:pPr>
      <w:r w:rsidRPr="00310D52">
        <w:rPr>
          <w:rFonts w:eastAsia="Calibri"/>
          <w:noProof/>
          <w:lang w:val="es-DO"/>
        </w:rPr>
        <w:t>El PEI constituye el instrumento rector que orienta las acciones institucionales durante el período 2025-2028, definiendo la ruta estratégica para fortalecer la atención prehospitalaria, garantizar la continuidad operativa del servicio, optimizar los recursos y mejorar la calidad de la respuesta a las emergencias en todo el territorio nacional.</w:t>
      </w:r>
    </w:p>
    <w:p w14:paraId="655E9C5B" w14:textId="77777777" w:rsidR="00D942C2" w:rsidRPr="00310D52" w:rsidRDefault="00D942C2" w:rsidP="00434602">
      <w:pPr>
        <w:spacing w:line="360" w:lineRule="auto"/>
        <w:jc w:val="both"/>
        <w:rPr>
          <w:rFonts w:eastAsia="Calibri"/>
          <w:noProof/>
          <w:lang w:val="es-DO"/>
        </w:rPr>
      </w:pPr>
      <w:r w:rsidRPr="00310D52">
        <w:rPr>
          <w:rFonts w:eastAsia="Calibri"/>
          <w:noProof/>
          <w:lang w:val="es-DO"/>
        </w:rPr>
        <w:t>El direccionamiento estratégico se organiza en ejes y objetivos generales orientados al logro de resultados institucionales, entre los que destacan:</w:t>
      </w:r>
    </w:p>
    <w:p w14:paraId="5493D4C3" w14:textId="5502BECD" w:rsidR="00BD0DA6" w:rsidRPr="00310D52" w:rsidRDefault="00BD0DA6" w:rsidP="00434602">
      <w:pPr>
        <w:spacing w:line="360" w:lineRule="auto"/>
        <w:jc w:val="both"/>
        <w:rPr>
          <w:rFonts w:eastAsia="Calibri"/>
          <w:noProof/>
          <w:lang w:val="es-DO"/>
        </w:rPr>
      </w:pPr>
      <w:r w:rsidRPr="00310D52">
        <w:rPr>
          <w:rFonts w:eastAsia="Calibri"/>
          <w:b/>
          <w:bCs/>
          <w:noProof/>
          <w:lang w:val="es-DO"/>
        </w:rPr>
        <w:t>Eje 1:</w:t>
      </w:r>
      <w:r w:rsidRPr="00310D52">
        <w:rPr>
          <w:rFonts w:eastAsia="Calibri"/>
          <w:noProof/>
          <w:lang w:val="es-DO"/>
        </w:rPr>
        <w:t xml:space="preserve"> </w:t>
      </w:r>
      <w:r w:rsidRPr="00310D52">
        <w:rPr>
          <w:rFonts w:eastAsia="Calibri"/>
          <w:b/>
          <w:bCs/>
          <w:noProof/>
          <w:lang w:val="es-DO"/>
        </w:rPr>
        <w:t>Provisión y calidad de los servicios</w:t>
      </w:r>
    </w:p>
    <w:p w14:paraId="6E3F23AC" w14:textId="75A8A8C9" w:rsidR="00BD0DA6" w:rsidRPr="00310D52" w:rsidRDefault="00BD0DA6" w:rsidP="00434602">
      <w:pPr>
        <w:spacing w:line="360" w:lineRule="auto"/>
        <w:jc w:val="both"/>
        <w:rPr>
          <w:rFonts w:eastAsia="Calibri"/>
          <w:noProof/>
          <w:lang w:val="es-DO"/>
        </w:rPr>
      </w:pPr>
      <w:r w:rsidRPr="00310D52">
        <w:rPr>
          <w:rFonts w:eastAsia="Calibri"/>
          <w:b/>
          <w:bCs/>
          <w:noProof/>
          <w:lang w:val="es-DO"/>
        </w:rPr>
        <w:t xml:space="preserve">Objetivo General 1: </w:t>
      </w:r>
      <w:r w:rsidRPr="00310D52">
        <w:rPr>
          <w:rFonts w:eastAsia="Calibri"/>
          <w:noProof/>
          <w:lang w:val="es-DO"/>
        </w:rPr>
        <w:t>Proveer la atención a emergencias y urgencias de salud a nivel extrahospitalario, de acuerdo con su prioridad de atención, en el menor tiempo posible, cumpliendo con las normas y protocolos establecidos, asegurando contar con vehículos y equipos de transporte adecuados para llevar al paciente al hospital de manera segura y rápida.</w:t>
      </w:r>
    </w:p>
    <w:p w14:paraId="3C6A8034" w14:textId="5553A927" w:rsidR="00BD0DA6" w:rsidRPr="00310D52" w:rsidRDefault="00BD0DA6" w:rsidP="00434602">
      <w:pPr>
        <w:spacing w:line="360" w:lineRule="auto"/>
        <w:jc w:val="both"/>
        <w:rPr>
          <w:rFonts w:eastAsia="Calibri"/>
          <w:noProof/>
          <w:lang w:val="es-DO"/>
        </w:rPr>
      </w:pPr>
      <w:r w:rsidRPr="00310D52">
        <w:rPr>
          <w:rFonts w:eastAsia="Calibri"/>
          <w:b/>
          <w:bCs/>
          <w:noProof/>
          <w:lang w:val="es-DO"/>
        </w:rPr>
        <w:t>Eje 2:</w:t>
      </w:r>
      <w:r w:rsidRPr="00310D52">
        <w:rPr>
          <w:rFonts w:eastAsia="Calibri"/>
          <w:noProof/>
          <w:lang w:val="es-DO"/>
        </w:rPr>
        <w:t xml:space="preserve"> </w:t>
      </w:r>
      <w:r w:rsidRPr="00310D52">
        <w:rPr>
          <w:rFonts w:eastAsia="Calibri"/>
          <w:b/>
          <w:bCs/>
          <w:noProof/>
          <w:lang w:val="es-DO"/>
        </w:rPr>
        <w:t>Regulación y control del sistema de emergencias</w:t>
      </w:r>
    </w:p>
    <w:p w14:paraId="1E9C7E25" w14:textId="2B440058" w:rsidR="00BD0DA6" w:rsidRPr="00310D52" w:rsidRDefault="00BD0DA6" w:rsidP="00434602">
      <w:pPr>
        <w:spacing w:line="360" w:lineRule="auto"/>
        <w:jc w:val="both"/>
        <w:rPr>
          <w:rFonts w:eastAsia="Calibri"/>
          <w:noProof/>
          <w:lang w:val="es-DO"/>
        </w:rPr>
      </w:pPr>
      <w:r w:rsidRPr="00310D52">
        <w:rPr>
          <w:rFonts w:eastAsia="Calibri"/>
          <w:b/>
          <w:bCs/>
          <w:noProof/>
          <w:lang w:val="es-DO"/>
        </w:rPr>
        <w:t xml:space="preserve">Objetivo General 2: </w:t>
      </w:r>
      <w:r w:rsidRPr="00310D52">
        <w:rPr>
          <w:rFonts w:eastAsia="Calibri"/>
          <w:noProof/>
          <w:lang w:val="es-DO"/>
        </w:rPr>
        <w:t xml:space="preserve">Mejorar el acceso y la oportunidad a los servicios de urgencias de la población en general, en forma ordenada y racional, a través de la coordinación con el sistema de referencia y contra referencia </w:t>
      </w:r>
      <w:r w:rsidRPr="00310D52">
        <w:rPr>
          <w:rFonts w:eastAsia="Calibri"/>
          <w:noProof/>
          <w:lang w:val="es-DO"/>
        </w:rPr>
        <w:lastRenderedPageBreak/>
        <w:t>atendido por un equipo capacitado de paramédicos o técnicos en emergencias médicas que estén disponibles las 24 horas del día, los 7 días de la semana.</w:t>
      </w:r>
    </w:p>
    <w:p w14:paraId="7D669B5A" w14:textId="66D30D48" w:rsidR="00BD0DA6" w:rsidRPr="00310D52" w:rsidRDefault="00BD0DA6" w:rsidP="00434602">
      <w:pPr>
        <w:spacing w:line="360" w:lineRule="auto"/>
        <w:jc w:val="both"/>
        <w:rPr>
          <w:rFonts w:eastAsia="Calibri"/>
          <w:b/>
          <w:bCs/>
          <w:noProof/>
          <w:lang w:val="es-DO"/>
        </w:rPr>
      </w:pPr>
      <w:r w:rsidRPr="00310D52">
        <w:rPr>
          <w:rFonts w:eastAsia="Calibri"/>
          <w:b/>
          <w:bCs/>
          <w:noProof/>
          <w:lang w:val="es-DO"/>
        </w:rPr>
        <w:t>Eje 3: Coordinación y promoción para lograr resultados en salud</w:t>
      </w:r>
    </w:p>
    <w:p w14:paraId="7726B603" w14:textId="20DC0F45" w:rsidR="00BD0DA6" w:rsidRPr="00310D52" w:rsidRDefault="00BD0DA6" w:rsidP="00434602">
      <w:pPr>
        <w:spacing w:line="360" w:lineRule="auto"/>
        <w:jc w:val="both"/>
        <w:rPr>
          <w:rFonts w:eastAsia="Calibri"/>
          <w:b/>
          <w:bCs/>
          <w:noProof/>
          <w:lang w:val="es-DO"/>
        </w:rPr>
      </w:pPr>
      <w:r w:rsidRPr="00310D52">
        <w:rPr>
          <w:rFonts w:eastAsia="Calibri"/>
          <w:b/>
          <w:bCs/>
          <w:noProof/>
          <w:lang w:val="es-DO"/>
        </w:rPr>
        <w:t xml:space="preserve">Objetivo General 3: </w:t>
      </w:r>
      <w:r w:rsidRPr="00310D52">
        <w:rPr>
          <w:rFonts w:eastAsia="Calibri"/>
          <w:noProof/>
          <w:lang w:val="es-DO"/>
        </w:rPr>
        <w:t>Coordinar la referencia y contra referencia con los centros de salud, para la atención de la población afectada por situaciones de emergencias o desastres, estableciendo una comunicación y coordinación efectiva con otros servicios de emergencia institucionales y otros profesionales de la salud, para garantizar una respuesta oportuna, integral y eficiente en situaciones de emergencia.</w:t>
      </w:r>
    </w:p>
    <w:p w14:paraId="5073B212" w14:textId="0E634CD4" w:rsidR="008B09FC" w:rsidRPr="00310D52" w:rsidRDefault="00BD0DA6" w:rsidP="00434602">
      <w:pPr>
        <w:spacing w:line="360" w:lineRule="auto"/>
        <w:jc w:val="both"/>
        <w:rPr>
          <w:rFonts w:eastAsia="Calibri"/>
          <w:b/>
          <w:bCs/>
          <w:noProof/>
          <w:lang w:val="es-DO"/>
        </w:rPr>
      </w:pPr>
      <w:r w:rsidRPr="00310D52">
        <w:rPr>
          <w:rFonts w:eastAsia="Calibri"/>
          <w:b/>
          <w:bCs/>
          <w:noProof/>
          <w:lang w:val="es-DO"/>
        </w:rPr>
        <w:t>Eje 4: Fortalecimiento y capacidad de gestión institucional</w:t>
      </w:r>
    </w:p>
    <w:p w14:paraId="3684F13E" w14:textId="4E96AB7D" w:rsidR="00BD0DA6" w:rsidRPr="00310D52" w:rsidRDefault="00BD0DA6" w:rsidP="00434602">
      <w:pPr>
        <w:spacing w:line="360" w:lineRule="auto"/>
        <w:jc w:val="both"/>
        <w:rPr>
          <w:rFonts w:eastAsia="Calibri"/>
          <w:noProof/>
          <w:lang w:val="es-DO"/>
        </w:rPr>
      </w:pPr>
      <w:r w:rsidRPr="00310D52">
        <w:rPr>
          <w:rFonts w:eastAsia="Calibri"/>
          <w:b/>
          <w:bCs/>
          <w:noProof/>
          <w:lang w:val="es-DO"/>
        </w:rPr>
        <w:t xml:space="preserve">Objetivo General 4: </w:t>
      </w:r>
      <w:r w:rsidRPr="00310D52">
        <w:rPr>
          <w:rFonts w:eastAsia="Calibri"/>
          <w:noProof/>
          <w:lang w:val="es-DO"/>
        </w:rPr>
        <w:t xml:space="preserve">Avanzar hacia la eficiencia </w:t>
      </w:r>
      <w:r w:rsidR="005F0554" w:rsidRPr="00310D52">
        <w:rPr>
          <w:rFonts w:eastAsia="Calibri"/>
          <w:noProof/>
          <w:lang w:val="es-DO"/>
        </w:rPr>
        <w:t>y</w:t>
      </w:r>
      <w:r w:rsidRPr="00310D52">
        <w:rPr>
          <w:rFonts w:eastAsia="Calibri"/>
          <w:noProof/>
          <w:lang w:val="es-DO"/>
        </w:rPr>
        <w:t xml:space="preserve"> </w:t>
      </w:r>
      <w:r w:rsidR="005F0554" w:rsidRPr="00310D52">
        <w:rPr>
          <w:rFonts w:eastAsia="Calibri"/>
          <w:noProof/>
          <w:lang w:val="es-DO"/>
        </w:rPr>
        <w:t xml:space="preserve">eficacia </w:t>
      </w:r>
      <w:r w:rsidRPr="00310D52">
        <w:rPr>
          <w:rFonts w:eastAsia="Calibri"/>
          <w:noProof/>
          <w:lang w:val="es-DO"/>
        </w:rPr>
        <w:t xml:space="preserve">a nivel organizacional a través del desarrollo de la gestión y optimización de los procesos en cada unidad administrativa y técnica con el establecimiento de proyectos destinados a la modernización de la capacidad institucional existente, uso de los recursos </w:t>
      </w:r>
      <w:r w:rsidR="005F0554" w:rsidRPr="00310D52">
        <w:rPr>
          <w:rFonts w:eastAsia="Calibri"/>
          <w:noProof/>
          <w:lang w:val="es-DO"/>
        </w:rPr>
        <w:t>físicos</w:t>
      </w:r>
      <w:r w:rsidRPr="00310D52">
        <w:rPr>
          <w:rFonts w:eastAsia="Calibri"/>
          <w:noProof/>
          <w:lang w:val="es-DO"/>
        </w:rPr>
        <w:t xml:space="preserve">, tecnológicos, </w:t>
      </w:r>
      <w:r w:rsidR="005F0554" w:rsidRPr="00310D52">
        <w:rPr>
          <w:rFonts w:eastAsia="Calibri"/>
          <w:noProof/>
          <w:lang w:val="es-DO"/>
        </w:rPr>
        <w:t xml:space="preserve">financieros </w:t>
      </w:r>
      <w:r w:rsidRPr="00310D52">
        <w:rPr>
          <w:rFonts w:eastAsia="Calibri"/>
          <w:noProof/>
          <w:lang w:val="es-DO"/>
        </w:rPr>
        <w:t>y la mejora continua de las capacidades del talento humano implementándose el conjunto de intervenciones para la gestión del cambio.</w:t>
      </w:r>
    </w:p>
    <w:p w14:paraId="0B58C175" w14:textId="77777777" w:rsidR="00D942C2" w:rsidRPr="00310D52" w:rsidRDefault="00D942C2" w:rsidP="00434602">
      <w:pPr>
        <w:spacing w:line="360" w:lineRule="auto"/>
        <w:jc w:val="both"/>
        <w:rPr>
          <w:rFonts w:eastAsia="Calibri"/>
          <w:noProof/>
          <w:lang w:val="es-DO"/>
        </w:rPr>
      </w:pPr>
    </w:p>
    <w:p w14:paraId="62A329C1" w14:textId="77777777" w:rsidR="00D942C2" w:rsidRPr="00310D52" w:rsidRDefault="00D942C2" w:rsidP="00434602">
      <w:pPr>
        <w:spacing w:line="360" w:lineRule="auto"/>
        <w:jc w:val="both"/>
        <w:rPr>
          <w:rFonts w:eastAsia="Calibri"/>
          <w:b/>
          <w:bCs/>
          <w:noProof/>
          <w:lang w:val="es-DO"/>
        </w:rPr>
      </w:pPr>
    </w:p>
    <w:p w14:paraId="3A1789C8" w14:textId="77777777" w:rsidR="00D942C2" w:rsidRPr="00310D52" w:rsidRDefault="00D942C2" w:rsidP="00434602">
      <w:pPr>
        <w:spacing w:line="360" w:lineRule="auto"/>
        <w:jc w:val="both"/>
        <w:rPr>
          <w:rFonts w:eastAsia="Calibri"/>
          <w:b/>
          <w:bCs/>
          <w:noProof/>
          <w:lang w:val="es-DO"/>
        </w:rPr>
      </w:pPr>
    </w:p>
    <w:p w14:paraId="09C725CF" w14:textId="77777777" w:rsidR="00D942C2" w:rsidRPr="00310D52" w:rsidRDefault="00D942C2" w:rsidP="00434602">
      <w:pPr>
        <w:spacing w:line="360" w:lineRule="auto"/>
        <w:jc w:val="both"/>
        <w:rPr>
          <w:rFonts w:eastAsia="Calibri"/>
          <w:b/>
          <w:bCs/>
          <w:noProof/>
          <w:lang w:val="es-DO"/>
        </w:rPr>
      </w:pPr>
    </w:p>
    <w:p w14:paraId="53025CD6" w14:textId="77777777" w:rsidR="00D942C2" w:rsidRPr="00310D52" w:rsidRDefault="00D942C2" w:rsidP="00434602">
      <w:pPr>
        <w:spacing w:line="360" w:lineRule="auto"/>
        <w:jc w:val="both"/>
        <w:rPr>
          <w:rFonts w:eastAsia="Calibri"/>
          <w:b/>
          <w:bCs/>
          <w:noProof/>
          <w:lang w:val="es-DO"/>
        </w:rPr>
      </w:pPr>
    </w:p>
    <w:p w14:paraId="20BA078B" w14:textId="77777777" w:rsidR="00D942C2" w:rsidRPr="00310D52" w:rsidRDefault="00D942C2" w:rsidP="00BD0DA6">
      <w:pPr>
        <w:spacing w:line="360" w:lineRule="auto"/>
        <w:jc w:val="both"/>
        <w:rPr>
          <w:rFonts w:eastAsia="Calibri"/>
          <w:b/>
          <w:bCs/>
          <w:noProof/>
          <w:lang w:val="es-DO"/>
        </w:rPr>
      </w:pPr>
    </w:p>
    <w:p w14:paraId="5E396B73" w14:textId="77777777" w:rsidR="00654164" w:rsidRPr="00310D52" w:rsidRDefault="00654164" w:rsidP="00434602">
      <w:pPr>
        <w:pStyle w:val="Ttulo1"/>
        <w:numPr>
          <w:ilvl w:val="0"/>
          <w:numId w:val="1"/>
        </w:numPr>
        <w:rPr>
          <w:rFonts w:cs="Times New Roman"/>
          <w:color w:val="767171"/>
          <w:lang w:val="es-DO"/>
        </w:rPr>
      </w:pPr>
      <w:bookmarkStart w:id="10" w:name="_Toc217050879"/>
      <w:r w:rsidRPr="00310D52">
        <w:rPr>
          <w:rFonts w:cs="Times New Roman"/>
          <w:color w:val="767171"/>
          <w:lang w:val="es-DO"/>
        </w:rPr>
        <w:lastRenderedPageBreak/>
        <w:t>RESULTADOS MISIONALES</w:t>
      </w:r>
      <w:bookmarkEnd w:id="10"/>
    </w:p>
    <w:p w14:paraId="5BDBF66A" w14:textId="77777777" w:rsidR="00654164" w:rsidRPr="00310D52" w:rsidRDefault="00654164" w:rsidP="00434602">
      <w:pPr>
        <w:spacing w:line="360" w:lineRule="auto"/>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02ACB35B" w14:textId="27F73012" w:rsidR="002C2566" w:rsidRPr="00310D52" w:rsidRDefault="00654164" w:rsidP="00434602">
      <w:pPr>
        <w:spacing w:line="360" w:lineRule="auto"/>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4D880386" w14:textId="77777777" w:rsidR="00341A6A" w:rsidRPr="00F06D9C" w:rsidRDefault="00341A6A" w:rsidP="00341A6A">
      <w:pPr>
        <w:keepNext/>
        <w:keepLines/>
        <w:numPr>
          <w:ilvl w:val="1"/>
          <w:numId w:val="10"/>
        </w:numPr>
        <w:spacing w:before="240" w:after="0" w:line="360" w:lineRule="auto"/>
        <w:jc w:val="both"/>
        <w:outlineLvl w:val="0"/>
        <w:rPr>
          <w:rFonts w:eastAsiaTheme="majorEastAsia"/>
          <w:b/>
          <w:spacing w:val="0"/>
          <w:szCs w:val="28"/>
          <w:lang w:val="es-DO"/>
        </w:rPr>
      </w:pPr>
      <w:bookmarkStart w:id="11" w:name="_Toc217050880"/>
      <w:r w:rsidRPr="00F06D9C">
        <w:rPr>
          <w:rFonts w:eastAsiaTheme="majorEastAsia"/>
          <w:b/>
          <w:spacing w:val="0"/>
          <w:szCs w:val="28"/>
          <w:lang w:val="es-DO"/>
        </w:rPr>
        <w:t>Reducción Tiempos de Respuesta</w:t>
      </w:r>
      <w:bookmarkEnd w:id="11"/>
    </w:p>
    <w:p w14:paraId="0F0B39D9" w14:textId="1C861EF9" w:rsidR="00D0435C" w:rsidRPr="00D0435C" w:rsidRDefault="00D0435C" w:rsidP="00D0435C">
      <w:pPr>
        <w:spacing w:line="360" w:lineRule="auto"/>
        <w:ind w:left="90"/>
        <w:jc w:val="both"/>
        <w:rPr>
          <w:rFonts w:eastAsia="Calibri"/>
          <w:noProof/>
          <w:lang w:val="es-DO"/>
        </w:rPr>
      </w:pPr>
      <w:r w:rsidRPr="00D0435C">
        <w:rPr>
          <w:rFonts w:eastAsia="Calibri"/>
          <w:noProof/>
          <w:lang w:val="es-DO"/>
        </w:rPr>
        <w:t>Se logró impactar directamente a la población, generando mayor confianza en el servicio, mediante una reducción de 3 minutos y 29 segundos en el tiempo promedio de respuesta (despacho–llegada), al comparar el mes de diciembre de 2025 con el mes de diciembre de 2024, evidenciando una tendencia a la baja y una mejora en la oportunidad de la atención y en la eficiencia operativa del servicio.</w:t>
      </w:r>
    </w:p>
    <w:p w14:paraId="75FC08F6" w14:textId="3CB6E5BE" w:rsidR="00341A6A" w:rsidRPr="00310D52" w:rsidRDefault="00D0435C" w:rsidP="00D0435C">
      <w:pPr>
        <w:spacing w:line="360" w:lineRule="auto"/>
        <w:ind w:left="90"/>
        <w:jc w:val="both"/>
        <w:rPr>
          <w:rFonts w:eastAsia="Calibri"/>
          <w:noProof/>
          <w:lang w:val="es-DO"/>
        </w:rPr>
      </w:pPr>
      <w:r w:rsidRPr="00D0435C">
        <w:rPr>
          <w:rFonts w:eastAsia="Calibri"/>
          <w:noProof/>
          <w:lang w:val="es-DO"/>
        </w:rPr>
        <w:t>Tal como se muestra en el gráfico siguiente, se presentan los tiempos de respuesta registrados semana por semana durante el período analizado.</w:t>
      </w:r>
    </w:p>
    <w:p w14:paraId="4D0ED82D" w14:textId="01B546A8" w:rsidR="00341A6A" w:rsidRPr="00D0435C" w:rsidRDefault="00341A6A" w:rsidP="00D0435C">
      <w:pPr>
        <w:spacing w:line="360" w:lineRule="auto"/>
        <w:ind w:left="90"/>
        <w:jc w:val="both"/>
        <w:rPr>
          <w:rFonts w:eastAsia="Calibri"/>
          <w:i/>
          <w:iCs/>
          <w:noProof/>
          <w:sz w:val="18"/>
          <w:szCs w:val="18"/>
          <w:lang w:val="es-DO"/>
        </w:rPr>
      </w:pPr>
      <w:r w:rsidRPr="00310D52">
        <w:rPr>
          <w:noProof/>
        </w:rPr>
        <w:drawing>
          <wp:inline distT="0" distB="0" distL="0" distR="0" wp14:anchorId="10AA1A46" wp14:editId="71FE9D9D">
            <wp:extent cx="4972050" cy="2381250"/>
            <wp:effectExtent l="0" t="0" r="0" b="0"/>
            <wp:docPr id="1362451995" name="Gráfico 1">
              <a:extLst xmlns:a="http://schemas.openxmlformats.org/drawingml/2006/main">
                <a:ext uri="{FF2B5EF4-FFF2-40B4-BE49-F238E27FC236}">
                  <a16:creationId xmlns:a16="http://schemas.microsoft.com/office/drawing/2014/main" id="{908E7CEE-23EA-3C79-31AE-DD9DBE1AE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0435C" w:rsidRPr="00D0435C">
        <w:rPr>
          <w:rFonts w:eastAsia="Calibri"/>
          <w:i/>
          <w:iCs/>
          <w:noProof/>
          <w:sz w:val="18"/>
          <w:szCs w:val="18"/>
          <w:lang w:val="es-DO"/>
        </w:rPr>
        <w:t xml:space="preserve"> </w:t>
      </w:r>
      <w:r w:rsidR="00D0435C" w:rsidRPr="00310D52">
        <w:rPr>
          <w:rFonts w:eastAsia="Calibri"/>
          <w:i/>
          <w:iCs/>
          <w:noProof/>
          <w:sz w:val="18"/>
          <w:szCs w:val="18"/>
          <w:lang w:val="es-DO"/>
        </w:rPr>
        <w:t>Fuente: Área de Control y Evaluación Prehospitalaria</w:t>
      </w:r>
    </w:p>
    <w:p w14:paraId="4CAEB170" w14:textId="423A2E4B" w:rsidR="00D21195" w:rsidRPr="00F06D9C" w:rsidRDefault="002B5F66" w:rsidP="00434602">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12" w:name="_Toc217050881"/>
      <w:r w:rsidRPr="00F06D9C">
        <w:rPr>
          <w:rFonts w:eastAsiaTheme="majorEastAsia"/>
          <w:b/>
          <w:spacing w:val="0"/>
          <w:szCs w:val="28"/>
          <w:lang w:val="es-DO"/>
        </w:rPr>
        <w:t>Atenciones Prehospitalarias</w:t>
      </w:r>
      <w:bookmarkEnd w:id="12"/>
      <w:r w:rsidRPr="00F06D9C">
        <w:rPr>
          <w:rFonts w:eastAsiaTheme="majorEastAsia"/>
          <w:b/>
          <w:spacing w:val="0"/>
          <w:szCs w:val="28"/>
          <w:lang w:val="es-DO"/>
        </w:rPr>
        <w:t xml:space="preserve"> </w:t>
      </w:r>
    </w:p>
    <w:p w14:paraId="30AF1285" w14:textId="2FE1801F" w:rsidR="00D21195" w:rsidRPr="00310D52" w:rsidRDefault="00D21195" w:rsidP="00434602">
      <w:pPr>
        <w:spacing w:line="360" w:lineRule="auto"/>
        <w:jc w:val="both"/>
        <w:rPr>
          <w:rFonts w:eastAsia="Calibri"/>
          <w:noProof/>
          <w:lang w:val="es-DO"/>
        </w:rPr>
      </w:pPr>
      <w:r w:rsidRPr="00310D52">
        <w:rPr>
          <w:rFonts w:eastAsia="Calibri"/>
          <w:noProof/>
          <w:lang w:val="es-DO"/>
        </w:rPr>
        <w:t xml:space="preserve">Durante el año 2025, </w:t>
      </w:r>
      <w:bookmarkStart w:id="13" w:name="_Hlk216268775"/>
      <w:r w:rsidRPr="00310D52">
        <w:rPr>
          <w:rFonts w:eastAsia="Calibri"/>
          <w:noProof/>
          <w:lang w:val="es-DO"/>
        </w:rPr>
        <w:t>la red de atención prehospitalaria mantuvo un</w:t>
      </w:r>
      <w:r w:rsidR="00FB03B0" w:rsidRPr="00310D52">
        <w:rPr>
          <w:rFonts w:eastAsia="Calibri"/>
          <w:noProof/>
          <w:lang w:val="es-DO"/>
        </w:rPr>
        <w:t xml:space="preserve"> </w:t>
      </w:r>
      <w:r w:rsidRPr="00310D52">
        <w:rPr>
          <w:rFonts w:eastAsia="Calibri"/>
          <w:noProof/>
          <w:lang w:val="es-DO"/>
        </w:rPr>
        <w:t>nivel sostenido de activación y respuesta, brindando asistencia a</w:t>
      </w:r>
      <w:r w:rsidR="00FB03B0" w:rsidRPr="00310D52">
        <w:rPr>
          <w:rFonts w:eastAsia="Calibri"/>
          <w:noProof/>
          <w:lang w:val="es-DO"/>
        </w:rPr>
        <w:t xml:space="preserve"> </w:t>
      </w:r>
      <w:r w:rsidRPr="00310D52">
        <w:rPr>
          <w:rFonts w:eastAsia="Calibri"/>
          <w:noProof/>
          <w:lang w:val="es-DO"/>
        </w:rPr>
        <w:t>usuarios en todo el territorio nacional. En total, se registraron</w:t>
      </w:r>
      <w:r w:rsidR="00FB03B0" w:rsidRPr="00310D52">
        <w:rPr>
          <w:rFonts w:eastAsia="Calibri"/>
          <w:noProof/>
          <w:lang w:val="es-DO"/>
        </w:rPr>
        <w:t xml:space="preserve"> </w:t>
      </w:r>
      <w:r w:rsidRPr="00310D52">
        <w:rPr>
          <w:rFonts w:eastAsia="Calibri"/>
          <w:noProof/>
          <w:lang w:val="es-DO"/>
        </w:rPr>
        <w:t>547,936 asistencias, de las cuales 306,286 correspondieron a</w:t>
      </w:r>
      <w:r w:rsidR="00225C91" w:rsidRPr="00310D52">
        <w:rPr>
          <w:rFonts w:eastAsia="Calibri"/>
          <w:noProof/>
          <w:lang w:val="es-DO"/>
        </w:rPr>
        <w:t xml:space="preserve"> </w:t>
      </w:r>
      <w:r w:rsidRPr="00310D52">
        <w:rPr>
          <w:rFonts w:eastAsia="Calibri"/>
          <w:noProof/>
          <w:lang w:val="es-DO"/>
        </w:rPr>
        <w:t xml:space="preserve">traslados hacia </w:t>
      </w:r>
      <w:r w:rsidRPr="00310D52">
        <w:rPr>
          <w:rFonts w:eastAsia="Calibri"/>
          <w:noProof/>
          <w:lang w:val="es-DO"/>
        </w:rPr>
        <w:lastRenderedPageBreak/>
        <w:t>centros de salud, representando el 56 % del total de</w:t>
      </w:r>
      <w:r w:rsidR="00FB03B0" w:rsidRPr="00310D52">
        <w:rPr>
          <w:rFonts w:eastAsia="Calibri"/>
          <w:noProof/>
          <w:lang w:val="es-DO"/>
        </w:rPr>
        <w:t xml:space="preserve"> </w:t>
      </w:r>
      <w:r w:rsidRPr="00310D52">
        <w:rPr>
          <w:rFonts w:eastAsia="Calibri"/>
          <w:noProof/>
          <w:lang w:val="es-DO"/>
        </w:rPr>
        <w:t>casos. La Región Ozama (Gran Santo Domingo) concentró el mayor</w:t>
      </w:r>
      <w:r w:rsidR="00FB03B0" w:rsidRPr="00310D52">
        <w:rPr>
          <w:rFonts w:eastAsia="Calibri"/>
          <w:noProof/>
          <w:lang w:val="es-DO"/>
        </w:rPr>
        <w:t xml:space="preserve"> </w:t>
      </w:r>
      <w:r w:rsidRPr="00310D52">
        <w:rPr>
          <w:rFonts w:eastAsia="Calibri"/>
          <w:noProof/>
          <w:lang w:val="es-DO"/>
        </w:rPr>
        <w:t>volumen de atención, acumulando el 39 % de todas las asistencias</w:t>
      </w:r>
      <w:r w:rsidR="00FB03B0" w:rsidRPr="00310D52">
        <w:rPr>
          <w:rFonts w:eastAsia="Calibri"/>
          <w:noProof/>
          <w:lang w:val="es-DO"/>
        </w:rPr>
        <w:t>.</w:t>
      </w:r>
    </w:p>
    <w:bookmarkEnd w:id="13"/>
    <w:p w14:paraId="689F9D02" w14:textId="78FD052B" w:rsidR="0066103B" w:rsidRPr="00310D52" w:rsidRDefault="00D21195" w:rsidP="00225C91">
      <w:pPr>
        <w:spacing w:line="360" w:lineRule="auto"/>
        <w:jc w:val="both"/>
        <w:rPr>
          <w:rFonts w:eastAsia="Calibri"/>
          <w:noProof/>
          <w:lang w:val="es-DO"/>
        </w:rPr>
      </w:pPr>
      <w:r w:rsidRPr="00310D52">
        <w:rPr>
          <w:rFonts w:eastAsia="Calibri"/>
          <w:noProof/>
          <w:lang w:val="es-DO"/>
        </w:rPr>
        <w:t>La atención prehospitalaria continuó consolidándose como el primer eslabón de la cadena de supervivencia, impulsada por el</w:t>
      </w:r>
      <w:r w:rsidR="00FB03B0" w:rsidRPr="00310D52">
        <w:rPr>
          <w:rFonts w:eastAsia="Calibri"/>
          <w:noProof/>
          <w:lang w:val="es-DO"/>
        </w:rPr>
        <w:t xml:space="preserve"> </w:t>
      </w:r>
      <w:r w:rsidRPr="00310D52">
        <w:rPr>
          <w:rFonts w:eastAsia="Calibri"/>
          <w:noProof/>
          <w:lang w:val="es-DO"/>
        </w:rPr>
        <w:t xml:space="preserve">fortalecimiento del sistema y la expansión de la flota vehicular, </w:t>
      </w:r>
      <w:bookmarkStart w:id="14" w:name="_Hlk216268919"/>
      <w:r w:rsidRPr="00310D52">
        <w:rPr>
          <w:rFonts w:eastAsia="Calibri"/>
          <w:noProof/>
          <w:lang w:val="es-DO"/>
        </w:rPr>
        <w:t>con</w:t>
      </w:r>
      <w:r w:rsidR="00FB03B0" w:rsidRPr="00310D52">
        <w:rPr>
          <w:rFonts w:eastAsia="Calibri"/>
          <w:noProof/>
          <w:lang w:val="es-DO"/>
        </w:rPr>
        <w:t xml:space="preserve"> </w:t>
      </w:r>
      <w:r w:rsidRPr="00310D52">
        <w:rPr>
          <w:rFonts w:eastAsia="Calibri"/>
          <w:noProof/>
          <w:lang w:val="es-DO"/>
        </w:rPr>
        <w:t>una ejecución presupuestaria ascendente a RD$</w:t>
      </w:r>
      <w:r w:rsidR="00434602" w:rsidRPr="00310D52">
        <w:rPr>
          <w:rFonts w:eastAsia="Calibri"/>
          <w:noProof/>
          <w:lang w:val="es-DO"/>
        </w:rPr>
        <w:t>1,348,771,761.72.</w:t>
      </w:r>
      <w:r w:rsidR="00FB03B0" w:rsidRPr="00310D52">
        <w:rPr>
          <w:rFonts w:eastAsia="Calibri"/>
          <w:noProof/>
          <w:lang w:val="es-DO"/>
        </w:rPr>
        <w:t xml:space="preserve"> </w:t>
      </w:r>
      <w:r w:rsidRPr="00310D52">
        <w:rPr>
          <w:rFonts w:eastAsia="Calibri"/>
          <w:noProof/>
          <w:lang w:val="es-DO"/>
        </w:rPr>
        <w:t>Este servicio benefició a una población estimada de 10,263,940</w:t>
      </w:r>
      <w:r w:rsidR="00FB03B0" w:rsidRPr="00310D52">
        <w:rPr>
          <w:rFonts w:eastAsia="Calibri"/>
          <w:noProof/>
          <w:lang w:val="es-DO"/>
        </w:rPr>
        <w:t xml:space="preserve"> </w:t>
      </w:r>
      <w:r w:rsidRPr="00310D52">
        <w:rPr>
          <w:rFonts w:eastAsia="Calibri"/>
          <w:noProof/>
          <w:lang w:val="es-DO"/>
        </w:rPr>
        <w:t>habitantes, correspondiente a las provincias donde opera el 9-1-</w:t>
      </w:r>
      <w:r w:rsidR="00993F0B" w:rsidRPr="00310D52">
        <w:rPr>
          <w:rFonts w:eastAsia="Calibri"/>
          <w:noProof/>
          <w:lang w:val="es-DO"/>
        </w:rPr>
        <w:t>1.</w:t>
      </w:r>
      <w:r w:rsidR="00FB03B0" w:rsidRPr="00310D52">
        <w:rPr>
          <w:rFonts w:eastAsia="Calibri"/>
          <w:noProof/>
          <w:lang w:val="es-DO"/>
        </w:rPr>
        <w:t xml:space="preserve"> </w:t>
      </w:r>
      <w:r w:rsidR="00993F0B" w:rsidRPr="00310D52">
        <w:rPr>
          <w:rFonts w:eastAsia="Calibri"/>
          <w:noProof/>
          <w:lang w:val="es-DO"/>
        </w:rPr>
        <w:t>Los registros identificados como N/D (no disponibles) corresponden a casos sin información de georreferenciación.</w:t>
      </w:r>
      <w:bookmarkEnd w:id="14"/>
      <w:r w:rsidR="00993F0B" w:rsidRPr="00310D52">
        <w:rPr>
          <w:rFonts w:eastAsia="Calibri"/>
          <w:noProof/>
          <w:lang w:val="es-DO"/>
        </w:rPr>
        <w:t xml:space="preserve"> </w:t>
      </w:r>
      <w:r w:rsidR="00467EB5" w:rsidRPr="00310D52">
        <w:rPr>
          <w:rFonts w:eastAsia="Calibri"/>
          <w:noProof/>
          <w:lang w:val="es-DO"/>
        </w:rPr>
        <w:t xml:space="preserve">A </w:t>
      </w:r>
      <w:r w:rsidRPr="00310D52">
        <w:rPr>
          <w:rFonts w:eastAsia="Calibri"/>
          <w:noProof/>
          <w:lang w:val="es-DO"/>
        </w:rPr>
        <w:t>continuación</w:t>
      </w:r>
      <w:r w:rsidR="00993F0B" w:rsidRPr="00310D52">
        <w:rPr>
          <w:rFonts w:eastAsia="Calibri"/>
          <w:noProof/>
          <w:lang w:val="es-DO"/>
        </w:rPr>
        <w:t xml:space="preserve"> </w:t>
      </w:r>
      <w:r w:rsidRPr="00310D52">
        <w:rPr>
          <w:rFonts w:eastAsia="Calibri"/>
          <w:noProof/>
          <w:lang w:val="es-DO"/>
        </w:rPr>
        <w:t>se presentan las asistencias desagregadas por región:</w:t>
      </w:r>
    </w:p>
    <w:tbl>
      <w:tblPr>
        <w:tblW w:w="5620" w:type="dxa"/>
        <w:tblLook w:val="04A0" w:firstRow="1" w:lastRow="0" w:firstColumn="1" w:lastColumn="0" w:noHBand="0" w:noVBand="1"/>
      </w:tblPr>
      <w:tblGrid>
        <w:gridCol w:w="2080"/>
        <w:gridCol w:w="2020"/>
        <w:gridCol w:w="1520"/>
      </w:tblGrid>
      <w:tr w:rsidR="00310D52" w:rsidRPr="00D0435C" w14:paraId="1B09E612" w14:textId="77777777" w:rsidTr="0066103B">
        <w:trPr>
          <w:trHeight w:val="315"/>
        </w:trPr>
        <w:tc>
          <w:tcPr>
            <w:tcW w:w="208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26AFE81F"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Región</w:t>
            </w:r>
          </w:p>
        </w:tc>
        <w:tc>
          <w:tcPr>
            <w:tcW w:w="2020" w:type="dxa"/>
            <w:tcBorders>
              <w:top w:val="single" w:sz="4" w:space="0" w:color="auto"/>
              <w:left w:val="nil"/>
              <w:bottom w:val="single" w:sz="4" w:space="0" w:color="auto"/>
              <w:right w:val="single" w:sz="4" w:space="0" w:color="auto"/>
            </w:tcBorders>
            <w:shd w:val="clear" w:color="000000" w:fill="011C50"/>
            <w:vAlign w:val="center"/>
            <w:hideMark/>
          </w:tcPr>
          <w:p w14:paraId="4568C740"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Asistencias</w:t>
            </w:r>
          </w:p>
        </w:tc>
        <w:tc>
          <w:tcPr>
            <w:tcW w:w="1520" w:type="dxa"/>
            <w:tcBorders>
              <w:top w:val="single" w:sz="4" w:space="0" w:color="auto"/>
              <w:left w:val="nil"/>
              <w:bottom w:val="single" w:sz="4" w:space="0" w:color="auto"/>
              <w:right w:val="single" w:sz="4" w:space="0" w:color="auto"/>
            </w:tcBorders>
            <w:shd w:val="clear" w:color="000000" w:fill="011C50"/>
            <w:vAlign w:val="center"/>
            <w:hideMark/>
          </w:tcPr>
          <w:p w14:paraId="5FB0C1DB"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Traslados</w:t>
            </w:r>
          </w:p>
        </w:tc>
      </w:tr>
      <w:tr w:rsidR="00310D52" w:rsidRPr="00D0435C" w14:paraId="337F1A18"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65CC0F83"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Ozama</w:t>
            </w:r>
          </w:p>
        </w:tc>
        <w:tc>
          <w:tcPr>
            <w:tcW w:w="2020" w:type="dxa"/>
            <w:tcBorders>
              <w:top w:val="nil"/>
              <w:left w:val="nil"/>
              <w:bottom w:val="single" w:sz="4" w:space="0" w:color="auto"/>
              <w:right w:val="single" w:sz="4" w:space="0" w:color="auto"/>
            </w:tcBorders>
            <w:vAlign w:val="center"/>
            <w:hideMark/>
          </w:tcPr>
          <w:p w14:paraId="607BFFA9"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214,644</w:t>
            </w:r>
          </w:p>
        </w:tc>
        <w:tc>
          <w:tcPr>
            <w:tcW w:w="1520" w:type="dxa"/>
            <w:tcBorders>
              <w:top w:val="nil"/>
              <w:left w:val="nil"/>
              <w:bottom w:val="single" w:sz="4" w:space="0" w:color="auto"/>
              <w:right w:val="single" w:sz="4" w:space="0" w:color="auto"/>
            </w:tcBorders>
            <w:vAlign w:val="center"/>
            <w:hideMark/>
          </w:tcPr>
          <w:p w14:paraId="100BE5E4"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107,976</w:t>
            </w:r>
          </w:p>
        </w:tc>
      </w:tr>
      <w:tr w:rsidR="00310D52" w:rsidRPr="00D0435C" w14:paraId="65715483"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2E18E263"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Cibao Norte</w:t>
            </w:r>
          </w:p>
        </w:tc>
        <w:tc>
          <w:tcPr>
            <w:tcW w:w="2020" w:type="dxa"/>
            <w:tcBorders>
              <w:top w:val="nil"/>
              <w:left w:val="nil"/>
              <w:bottom w:val="single" w:sz="4" w:space="0" w:color="auto"/>
              <w:right w:val="single" w:sz="4" w:space="0" w:color="auto"/>
            </w:tcBorders>
            <w:vAlign w:val="center"/>
            <w:hideMark/>
          </w:tcPr>
          <w:p w14:paraId="0BB1B760"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97,820</w:t>
            </w:r>
          </w:p>
        </w:tc>
        <w:tc>
          <w:tcPr>
            <w:tcW w:w="1520" w:type="dxa"/>
            <w:tcBorders>
              <w:top w:val="nil"/>
              <w:left w:val="nil"/>
              <w:bottom w:val="single" w:sz="4" w:space="0" w:color="auto"/>
              <w:right w:val="single" w:sz="4" w:space="0" w:color="auto"/>
            </w:tcBorders>
            <w:vAlign w:val="center"/>
            <w:hideMark/>
          </w:tcPr>
          <w:p w14:paraId="3BD49553"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49,500</w:t>
            </w:r>
          </w:p>
        </w:tc>
      </w:tr>
      <w:tr w:rsidR="00310D52" w:rsidRPr="00D0435C" w14:paraId="7E3C775D"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47C40ABE"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Cibao Sur</w:t>
            </w:r>
          </w:p>
        </w:tc>
        <w:tc>
          <w:tcPr>
            <w:tcW w:w="2020" w:type="dxa"/>
            <w:tcBorders>
              <w:top w:val="nil"/>
              <w:left w:val="nil"/>
              <w:bottom w:val="single" w:sz="4" w:space="0" w:color="auto"/>
              <w:right w:val="single" w:sz="4" w:space="0" w:color="auto"/>
            </w:tcBorders>
            <w:vAlign w:val="center"/>
            <w:hideMark/>
          </w:tcPr>
          <w:p w14:paraId="46DCFD1B"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36,975</w:t>
            </w:r>
          </w:p>
        </w:tc>
        <w:tc>
          <w:tcPr>
            <w:tcW w:w="1520" w:type="dxa"/>
            <w:tcBorders>
              <w:top w:val="nil"/>
              <w:left w:val="nil"/>
              <w:bottom w:val="single" w:sz="4" w:space="0" w:color="auto"/>
              <w:right w:val="single" w:sz="4" w:space="0" w:color="auto"/>
            </w:tcBorders>
            <w:vAlign w:val="center"/>
            <w:hideMark/>
          </w:tcPr>
          <w:p w14:paraId="26E6C5BC"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23,370</w:t>
            </w:r>
          </w:p>
        </w:tc>
      </w:tr>
      <w:tr w:rsidR="00310D52" w:rsidRPr="00D0435C" w14:paraId="30A5C68C"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70BC2238"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Cibao Nordeste</w:t>
            </w:r>
          </w:p>
        </w:tc>
        <w:tc>
          <w:tcPr>
            <w:tcW w:w="2020" w:type="dxa"/>
            <w:tcBorders>
              <w:top w:val="nil"/>
              <w:left w:val="nil"/>
              <w:bottom w:val="single" w:sz="4" w:space="0" w:color="auto"/>
              <w:right w:val="single" w:sz="4" w:space="0" w:color="auto"/>
            </w:tcBorders>
            <w:vAlign w:val="center"/>
            <w:hideMark/>
          </w:tcPr>
          <w:p w14:paraId="7C79ACDC"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34,085</w:t>
            </w:r>
          </w:p>
        </w:tc>
        <w:tc>
          <w:tcPr>
            <w:tcW w:w="1520" w:type="dxa"/>
            <w:tcBorders>
              <w:top w:val="nil"/>
              <w:left w:val="nil"/>
              <w:bottom w:val="single" w:sz="4" w:space="0" w:color="auto"/>
              <w:right w:val="single" w:sz="4" w:space="0" w:color="auto"/>
            </w:tcBorders>
            <w:vAlign w:val="center"/>
            <w:hideMark/>
          </w:tcPr>
          <w:p w14:paraId="62E97120"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23,159</w:t>
            </w:r>
          </w:p>
        </w:tc>
      </w:tr>
      <w:tr w:rsidR="00310D52" w:rsidRPr="00D0435C" w14:paraId="252A59BE"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62BEAE3E"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Cibao Noroeste</w:t>
            </w:r>
          </w:p>
        </w:tc>
        <w:tc>
          <w:tcPr>
            <w:tcW w:w="2020" w:type="dxa"/>
            <w:tcBorders>
              <w:top w:val="nil"/>
              <w:left w:val="nil"/>
              <w:bottom w:val="single" w:sz="4" w:space="0" w:color="auto"/>
              <w:right w:val="single" w:sz="4" w:space="0" w:color="auto"/>
            </w:tcBorders>
            <w:vAlign w:val="center"/>
            <w:hideMark/>
          </w:tcPr>
          <w:p w14:paraId="482F6201"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8,403</w:t>
            </w:r>
          </w:p>
        </w:tc>
        <w:tc>
          <w:tcPr>
            <w:tcW w:w="1520" w:type="dxa"/>
            <w:tcBorders>
              <w:top w:val="nil"/>
              <w:left w:val="nil"/>
              <w:bottom w:val="single" w:sz="4" w:space="0" w:color="auto"/>
              <w:right w:val="single" w:sz="4" w:space="0" w:color="auto"/>
            </w:tcBorders>
            <w:vAlign w:val="center"/>
            <w:hideMark/>
          </w:tcPr>
          <w:p w14:paraId="5CCFA644"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5,635</w:t>
            </w:r>
          </w:p>
        </w:tc>
      </w:tr>
      <w:tr w:rsidR="00310D52" w:rsidRPr="00D0435C" w14:paraId="4A73FB15"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64C19C19"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Valdesia</w:t>
            </w:r>
          </w:p>
        </w:tc>
        <w:tc>
          <w:tcPr>
            <w:tcW w:w="2020" w:type="dxa"/>
            <w:tcBorders>
              <w:top w:val="nil"/>
              <w:left w:val="nil"/>
              <w:bottom w:val="single" w:sz="4" w:space="0" w:color="auto"/>
              <w:right w:val="single" w:sz="4" w:space="0" w:color="auto"/>
            </w:tcBorders>
            <w:vAlign w:val="center"/>
            <w:hideMark/>
          </w:tcPr>
          <w:p w14:paraId="728E4F42"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40,757</w:t>
            </w:r>
          </w:p>
        </w:tc>
        <w:tc>
          <w:tcPr>
            <w:tcW w:w="1520" w:type="dxa"/>
            <w:tcBorders>
              <w:top w:val="nil"/>
              <w:left w:val="nil"/>
              <w:bottom w:val="single" w:sz="4" w:space="0" w:color="auto"/>
              <w:right w:val="single" w:sz="4" w:space="0" w:color="auto"/>
            </w:tcBorders>
            <w:vAlign w:val="center"/>
            <w:hideMark/>
          </w:tcPr>
          <w:p w14:paraId="5883918F"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23,967</w:t>
            </w:r>
          </w:p>
        </w:tc>
      </w:tr>
      <w:tr w:rsidR="00310D52" w:rsidRPr="00D0435C" w14:paraId="2B83189C"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5E743031"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Enriquillo</w:t>
            </w:r>
          </w:p>
        </w:tc>
        <w:tc>
          <w:tcPr>
            <w:tcW w:w="2020" w:type="dxa"/>
            <w:tcBorders>
              <w:top w:val="nil"/>
              <w:left w:val="nil"/>
              <w:bottom w:val="single" w:sz="4" w:space="0" w:color="auto"/>
              <w:right w:val="single" w:sz="4" w:space="0" w:color="auto"/>
            </w:tcBorders>
            <w:vAlign w:val="center"/>
            <w:hideMark/>
          </w:tcPr>
          <w:p w14:paraId="2A69A04B"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11,892</w:t>
            </w:r>
          </w:p>
        </w:tc>
        <w:tc>
          <w:tcPr>
            <w:tcW w:w="1520" w:type="dxa"/>
            <w:tcBorders>
              <w:top w:val="nil"/>
              <w:left w:val="nil"/>
              <w:bottom w:val="single" w:sz="4" w:space="0" w:color="auto"/>
              <w:right w:val="single" w:sz="4" w:space="0" w:color="auto"/>
            </w:tcBorders>
            <w:vAlign w:val="center"/>
            <w:hideMark/>
          </w:tcPr>
          <w:p w14:paraId="31372494"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7,747</w:t>
            </w:r>
          </w:p>
        </w:tc>
      </w:tr>
      <w:tr w:rsidR="00310D52" w:rsidRPr="00D0435C" w14:paraId="26378E7C"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5F53E027"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El Valle</w:t>
            </w:r>
          </w:p>
        </w:tc>
        <w:tc>
          <w:tcPr>
            <w:tcW w:w="2020" w:type="dxa"/>
            <w:tcBorders>
              <w:top w:val="nil"/>
              <w:left w:val="nil"/>
              <w:bottom w:val="single" w:sz="4" w:space="0" w:color="auto"/>
              <w:right w:val="single" w:sz="4" w:space="0" w:color="auto"/>
            </w:tcBorders>
            <w:vAlign w:val="center"/>
            <w:hideMark/>
          </w:tcPr>
          <w:p w14:paraId="2FCB1CF3"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32,090</w:t>
            </w:r>
          </w:p>
        </w:tc>
        <w:tc>
          <w:tcPr>
            <w:tcW w:w="1520" w:type="dxa"/>
            <w:tcBorders>
              <w:top w:val="nil"/>
              <w:left w:val="nil"/>
              <w:bottom w:val="single" w:sz="4" w:space="0" w:color="auto"/>
              <w:right w:val="single" w:sz="4" w:space="0" w:color="auto"/>
            </w:tcBorders>
            <w:vAlign w:val="center"/>
            <w:hideMark/>
          </w:tcPr>
          <w:p w14:paraId="1E225585"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22,069</w:t>
            </w:r>
          </w:p>
        </w:tc>
      </w:tr>
      <w:tr w:rsidR="00310D52" w:rsidRPr="00D0435C" w14:paraId="7A2900FD"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3C61E33E"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Yuma</w:t>
            </w:r>
          </w:p>
        </w:tc>
        <w:tc>
          <w:tcPr>
            <w:tcW w:w="2020" w:type="dxa"/>
            <w:tcBorders>
              <w:top w:val="nil"/>
              <w:left w:val="nil"/>
              <w:bottom w:val="single" w:sz="4" w:space="0" w:color="auto"/>
              <w:right w:val="single" w:sz="4" w:space="0" w:color="auto"/>
            </w:tcBorders>
            <w:vAlign w:val="center"/>
            <w:hideMark/>
          </w:tcPr>
          <w:p w14:paraId="1257A435"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46,135</w:t>
            </w:r>
          </w:p>
        </w:tc>
        <w:tc>
          <w:tcPr>
            <w:tcW w:w="1520" w:type="dxa"/>
            <w:tcBorders>
              <w:top w:val="nil"/>
              <w:left w:val="nil"/>
              <w:bottom w:val="single" w:sz="4" w:space="0" w:color="auto"/>
              <w:right w:val="single" w:sz="4" w:space="0" w:color="auto"/>
            </w:tcBorders>
            <w:vAlign w:val="center"/>
            <w:hideMark/>
          </w:tcPr>
          <w:p w14:paraId="47434132"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27,270</w:t>
            </w:r>
          </w:p>
        </w:tc>
      </w:tr>
      <w:tr w:rsidR="00310D52" w:rsidRPr="00D0435C" w14:paraId="100B2A57"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1217E459"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Higuamo</w:t>
            </w:r>
          </w:p>
        </w:tc>
        <w:tc>
          <w:tcPr>
            <w:tcW w:w="2020" w:type="dxa"/>
            <w:tcBorders>
              <w:top w:val="nil"/>
              <w:left w:val="nil"/>
              <w:bottom w:val="single" w:sz="4" w:space="0" w:color="auto"/>
              <w:right w:val="single" w:sz="4" w:space="0" w:color="auto"/>
            </w:tcBorders>
            <w:vAlign w:val="center"/>
            <w:hideMark/>
          </w:tcPr>
          <w:p w14:paraId="399FD651"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25,057</w:t>
            </w:r>
          </w:p>
        </w:tc>
        <w:tc>
          <w:tcPr>
            <w:tcW w:w="1520" w:type="dxa"/>
            <w:tcBorders>
              <w:top w:val="nil"/>
              <w:left w:val="nil"/>
              <w:bottom w:val="single" w:sz="4" w:space="0" w:color="auto"/>
              <w:right w:val="single" w:sz="4" w:space="0" w:color="auto"/>
            </w:tcBorders>
            <w:vAlign w:val="center"/>
            <w:hideMark/>
          </w:tcPr>
          <w:p w14:paraId="43EDACCE"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15,554</w:t>
            </w:r>
          </w:p>
        </w:tc>
      </w:tr>
      <w:tr w:rsidR="00310D52" w:rsidRPr="00D0435C" w14:paraId="4D17D22A" w14:textId="77777777" w:rsidTr="0066103B">
        <w:trPr>
          <w:trHeight w:val="315"/>
        </w:trPr>
        <w:tc>
          <w:tcPr>
            <w:tcW w:w="2080" w:type="dxa"/>
            <w:tcBorders>
              <w:top w:val="nil"/>
              <w:left w:val="single" w:sz="4" w:space="0" w:color="auto"/>
              <w:bottom w:val="single" w:sz="4" w:space="0" w:color="auto"/>
              <w:right w:val="single" w:sz="4" w:space="0" w:color="auto"/>
            </w:tcBorders>
            <w:vAlign w:val="center"/>
            <w:hideMark/>
          </w:tcPr>
          <w:p w14:paraId="1763F45F"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N/D</w:t>
            </w:r>
          </w:p>
        </w:tc>
        <w:tc>
          <w:tcPr>
            <w:tcW w:w="2020" w:type="dxa"/>
            <w:tcBorders>
              <w:top w:val="nil"/>
              <w:left w:val="nil"/>
              <w:bottom w:val="single" w:sz="4" w:space="0" w:color="auto"/>
              <w:right w:val="single" w:sz="4" w:space="0" w:color="auto"/>
            </w:tcBorders>
            <w:vAlign w:val="center"/>
            <w:hideMark/>
          </w:tcPr>
          <w:p w14:paraId="70A28CCB"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80</w:t>
            </w:r>
          </w:p>
        </w:tc>
        <w:tc>
          <w:tcPr>
            <w:tcW w:w="1520" w:type="dxa"/>
            <w:tcBorders>
              <w:top w:val="nil"/>
              <w:left w:val="nil"/>
              <w:bottom w:val="single" w:sz="4" w:space="0" w:color="auto"/>
              <w:right w:val="single" w:sz="4" w:space="0" w:color="auto"/>
            </w:tcBorders>
            <w:vAlign w:val="center"/>
            <w:hideMark/>
          </w:tcPr>
          <w:p w14:paraId="27002F00" w14:textId="77777777" w:rsidR="0066103B" w:rsidRPr="0066103B" w:rsidRDefault="0066103B" w:rsidP="00D0435C">
            <w:pPr>
              <w:spacing w:after="0" w:line="360" w:lineRule="auto"/>
              <w:jc w:val="center"/>
              <w:rPr>
                <w:rFonts w:eastAsia="Times New Roman"/>
                <w:spacing w:val="0"/>
                <w:lang w:val="es-DO"/>
              </w:rPr>
            </w:pPr>
            <w:r w:rsidRPr="0066103B">
              <w:rPr>
                <w:rFonts w:eastAsia="Times New Roman"/>
                <w:spacing w:val="0"/>
                <w:lang w:val="es-DO"/>
              </w:rPr>
              <w:t>37</w:t>
            </w:r>
          </w:p>
        </w:tc>
      </w:tr>
      <w:tr w:rsidR="00310D52" w:rsidRPr="00D0435C" w14:paraId="27DBABDD" w14:textId="77777777" w:rsidTr="0066103B">
        <w:trPr>
          <w:trHeight w:val="315"/>
        </w:trPr>
        <w:tc>
          <w:tcPr>
            <w:tcW w:w="2080" w:type="dxa"/>
            <w:tcBorders>
              <w:top w:val="nil"/>
              <w:left w:val="single" w:sz="4" w:space="0" w:color="auto"/>
              <w:bottom w:val="single" w:sz="4" w:space="0" w:color="auto"/>
              <w:right w:val="single" w:sz="4" w:space="0" w:color="auto"/>
            </w:tcBorders>
            <w:shd w:val="clear" w:color="000000" w:fill="011C50"/>
            <w:vAlign w:val="center"/>
            <w:hideMark/>
          </w:tcPr>
          <w:p w14:paraId="25E673D2"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Total general</w:t>
            </w:r>
          </w:p>
        </w:tc>
        <w:tc>
          <w:tcPr>
            <w:tcW w:w="2020" w:type="dxa"/>
            <w:tcBorders>
              <w:top w:val="nil"/>
              <w:left w:val="nil"/>
              <w:bottom w:val="single" w:sz="4" w:space="0" w:color="auto"/>
              <w:right w:val="single" w:sz="4" w:space="0" w:color="auto"/>
            </w:tcBorders>
            <w:shd w:val="clear" w:color="000000" w:fill="011C50"/>
            <w:vAlign w:val="center"/>
            <w:hideMark/>
          </w:tcPr>
          <w:p w14:paraId="14F5FB9C"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547,938</w:t>
            </w:r>
          </w:p>
        </w:tc>
        <w:tc>
          <w:tcPr>
            <w:tcW w:w="1520" w:type="dxa"/>
            <w:tcBorders>
              <w:top w:val="nil"/>
              <w:left w:val="nil"/>
              <w:bottom w:val="single" w:sz="4" w:space="0" w:color="auto"/>
              <w:right w:val="single" w:sz="4" w:space="0" w:color="auto"/>
            </w:tcBorders>
            <w:shd w:val="clear" w:color="000000" w:fill="011C50"/>
            <w:vAlign w:val="center"/>
            <w:hideMark/>
          </w:tcPr>
          <w:p w14:paraId="3BC24B9D" w14:textId="77777777" w:rsidR="0066103B" w:rsidRPr="0066103B" w:rsidRDefault="0066103B" w:rsidP="00D0435C">
            <w:pPr>
              <w:spacing w:after="0" w:line="360" w:lineRule="auto"/>
              <w:jc w:val="center"/>
              <w:rPr>
                <w:rFonts w:eastAsia="Times New Roman"/>
                <w:b/>
                <w:bCs/>
                <w:color w:val="auto"/>
                <w:spacing w:val="0"/>
                <w:lang w:val="es-DO"/>
              </w:rPr>
            </w:pPr>
            <w:r w:rsidRPr="0066103B">
              <w:rPr>
                <w:rFonts w:eastAsia="Times New Roman"/>
                <w:b/>
                <w:bCs/>
                <w:color w:val="auto"/>
                <w:spacing w:val="0"/>
                <w:lang w:val="es-DO"/>
              </w:rPr>
              <w:t>306,286</w:t>
            </w:r>
          </w:p>
        </w:tc>
      </w:tr>
    </w:tbl>
    <w:p w14:paraId="77C5A982" w14:textId="12EFA76F" w:rsidR="002B5F66" w:rsidRPr="00D0435C" w:rsidRDefault="00166020" w:rsidP="00D0435C">
      <w:pPr>
        <w:spacing w:line="360" w:lineRule="auto"/>
        <w:ind w:left="90"/>
        <w:jc w:val="both"/>
        <w:rPr>
          <w:rFonts w:eastAsia="Calibri"/>
          <w:i/>
          <w:iCs/>
          <w:noProof/>
          <w:sz w:val="18"/>
          <w:szCs w:val="18"/>
          <w:lang w:val="es-DO"/>
        </w:rPr>
      </w:pPr>
      <w:r w:rsidRPr="00D0435C">
        <w:rPr>
          <w:rFonts w:eastAsia="Calibri"/>
          <w:i/>
          <w:iCs/>
          <w:noProof/>
          <w:sz w:val="18"/>
          <w:szCs w:val="18"/>
          <w:lang w:val="es-DO"/>
        </w:rPr>
        <w:t>Fuente: Tablero de Asignaciones y Traslados 9-1-1.</w:t>
      </w:r>
    </w:p>
    <w:p w14:paraId="77B47922" w14:textId="77777777" w:rsidR="00341A6A" w:rsidRPr="00310D52" w:rsidRDefault="00341A6A" w:rsidP="00FB03B0">
      <w:pPr>
        <w:spacing w:line="360" w:lineRule="auto"/>
        <w:ind w:left="90"/>
        <w:jc w:val="both"/>
        <w:rPr>
          <w:rFonts w:eastAsia="Calibri"/>
          <w:noProof/>
          <w:lang w:val="es-DO"/>
        </w:rPr>
      </w:pPr>
    </w:p>
    <w:p w14:paraId="0C88F68A" w14:textId="77777777" w:rsidR="002B61DF" w:rsidRPr="00F06D9C" w:rsidRDefault="002B61DF" w:rsidP="00781A65">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15" w:name="_Toc217050882"/>
      <w:r w:rsidRPr="00F06D9C">
        <w:rPr>
          <w:rFonts w:eastAsiaTheme="majorEastAsia"/>
          <w:b/>
          <w:spacing w:val="0"/>
          <w:szCs w:val="28"/>
          <w:lang w:val="es-DO"/>
        </w:rPr>
        <w:lastRenderedPageBreak/>
        <w:t>Atenciones Interhospitalarias</w:t>
      </w:r>
      <w:bookmarkEnd w:id="15"/>
    </w:p>
    <w:p w14:paraId="1EE3A279" w14:textId="630BD2ED" w:rsidR="005B472D" w:rsidRPr="00310D52" w:rsidRDefault="00A72627" w:rsidP="00781A65">
      <w:pPr>
        <w:spacing w:line="360" w:lineRule="auto"/>
        <w:jc w:val="both"/>
        <w:rPr>
          <w:rFonts w:eastAsia="Calibri"/>
          <w:noProof/>
          <w:lang w:val="es-DO"/>
        </w:rPr>
      </w:pPr>
      <w:r w:rsidRPr="00310D52">
        <w:rPr>
          <w:rFonts w:eastAsia="Calibri"/>
          <w:noProof/>
          <w:lang w:val="es-DO"/>
        </w:rPr>
        <w:t xml:space="preserve">Los traslados interhospitalarios constituyeron un componente esencial para garantizar la continuidad del cuidado en el sistema de atención extrahospitalaria, permitiendo la referencia oportuna de pacientes desde centros de menor capacidad resolutiva hacia establecimientos de mayor complejidad. Durante el </w:t>
      </w:r>
      <w:r w:rsidR="00FB03B0" w:rsidRPr="00310D52">
        <w:rPr>
          <w:rFonts w:eastAsia="Calibri"/>
          <w:noProof/>
          <w:lang w:val="es-DO"/>
        </w:rPr>
        <w:t>año</w:t>
      </w:r>
      <w:r w:rsidRPr="00310D52">
        <w:rPr>
          <w:rFonts w:eastAsia="Calibri"/>
          <w:noProof/>
          <w:lang w:val="es-DO"/>
        </w:rPr>
        <w:t xml:space="preserve"> se realizaron más de 65,286 traslados, incluyendo movilizaciones para la realización de estudios diagnósticos especializados y la atención de condiciones clínicas que requerían manejo avanzado, contribuyendo a la reducción de riesgos y a la mejora de los resultados en salud.</w:t>
      </w:r>
      <w:r w:rsidR="005B472D" w:rsidRPr="00310D52">
        <w:rPr>
          <w:rFonts w:eastAsia="Calibri"/>
          <w:noProof/>
          <w:lang w:val="es-DO"/>
        </w:rPr>
        <w:t xml:space="preserve"> </w:t>
      </w:r>
    </w:p>
    <w:p w14:paraId="718C48D6" w14:textId="77777777" w:rsidR="00781A65" w:rsidRPr="00310D52" w:rsidRDefault="00781A65" w:rsidP="00781A65">
      <w:pPr>
        <w:spacing w:line="360" w:lineRule="auto"/>
        <w:jc w:val="both"/>
        <w:rPr>
          <w:rFonts w:eastAsia="Calibri"/>
          <w:noProof/>
          <w:lang w:val="es-DO"/>
        </w:rPr>
      </w:pPr>
      <w:r w:rsidRPr="00310D52">
        <w:rPr>
          <w:rFonts w:eastAsia="Calibri"/>
          <w:noProof/>
          <w:lang w:val="es-DO"/>
        </w:rPr>
        <w:t xml:space="preserve">Esta labor se ejecutó con un presupuesto de </w:t>
      </w:r>
      <w:bookmarkStart w:id="16" w:name="_Hlk217047500"/>
      <w:r w:rsidRPr="00310D52">
        <w:rPr>
          <w:rFonts w:eastAsia="Calibri"/>
          <w:noProof/>
          <w:lang w:val="es-DO"/>
        </w:rPr>
        <w:t>RD$575,898,274.73</w:t>
      </w:r>
      <w:bookmarkEnd w:id="16"/>
      <w:r w:rsidRPr="00310D52">
        <w:rPr>
          <w:rFonts w:eastAsia="Calibri"/>
          <w:noProof/>
          <w:lang w:val="es-DO"/>
        </w:rPr>
        <w:t xml:space="preserve">, beneficiando a 10,760,028 habitantes en las 32 provincias del país. Asimismo, se brindó cobertura a 43 cruceros en Cabo Rojo, Pedernales, entre enero y diciembre de 2025, con 168,970 turistas, de los cuales 76 recibieron asistencia de emergencias. </w:t>
      </w:r>
    </w:p>
    <w:p w14:paraId="4EAECD16" w14:textId="369E4A11" w:rsidR="00654164" w:rsidRPr="00310D52" w:rsidRDefault="00781A65" w:rsidP="00781A65">
      <w:pPr>
        <w:spacing w:line="360" w:lineRule="auto"/>
        <w:jc w:val="both"/>
        <w:rPr>
          <w:rFonts w:eastAsia="Calibri"/>
          <w:noProof/>
          <w:lang w:val="es-DO"/>
        </w:rPr>
      </w:pPr>
      <w:r w:rsidRPr="00310D52">
        <w:rPr>
          <w:rFonts w:eastAsia="Calibri"/>
          <w:noProof/>
          <w:lang w:val="es-DO"/>
        </w:rPr>
        <w:t>A continuación, se presentan las asistencias por región:</w:t>
      </w:r>
    </w:p>
    <w:tbl>
      <w:tblPr>
        <w:tblW w:w="5243" w:type="dxa"/>
        <w:tblLook w:val="04A0" w:firstRow="1" w:lastRow="0" w:firstColumn="1" w:lastColumn="0" w:noHBand="0" w:noVBand="1"/>
      </w:tblPr>
      <w:tblGrid>
        <w:gridCol w:w="2458"/>
        <w:gridCol w:w="2785"/>
      </w:tblGrid>
      <w:tr w:rsidR="00310D52" w:rsidRPr="00FB03B0" w14:paraId="3901C4B7" w14:textId="77777777" w:rsidTr="005B1419">
        <w:trPr>
          <w:trHeight w:val="64"/>
        </w:trPr>
        <w:tc>
          <w:tcPr>
            <w:tcW w:w="245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21CB44B5" w14:textId="77777777" w:rsidR="00FB03B0" w:rsidRPr="00FB03B0" w:rsidRDefault="00FB03B0" w:rsidP="00781A65">
            <w:pPr>
              <w:spacing w:after="0" w:line="360" w:lineRule="auto"/>
              <w:jc w:val="center"/>
              <w:rPr>
                <w:rFonts w:eastAsia="Times New Roman"/>
                <w:b/>
                <w:bCs/>
                <w:color w:val="auto"/>
                <w:spacing w:val="0"/>
                <w:lang w:val="es-DO"/>
              </w:rPr>
            </w:pPr>
            <w:r w:rsidRPr="00FB03B0">
              <w:rPr>
                <w:rFonts w:eastAsia="Times New Roman"/>
                <w:b/>
                <w:bCs/>
                <w:color w:val="auto"/>
                <w:spacing w:val="0"/>
                <w:lang w:val="es-DO"/>
              </w:rPr>
              <w:t>Región</w:t>
            </w:r>
          </w:p>
        </w:tc>
        <w:tc>
          <w:tcPr>
            <w:tcW w:w="2785" w:type="dxa"/>
            <w:tcBorders>
              <w:top w:val="single" w:sz="4" w:space="0" w:color="auto"/>
              <w:left w:val="nil"/>
              <w:bottom w:val="single" w:sz="4" w:space="0" w:color="auto"/>
              <w:right w:val="single" w:sz="4" w:space="0" w:color="auto"/>
            </w:tcBorders>
            <w:shd w:val="clear" w:color="000000" w:fill="142F62"/>
            <w:vAlign w:val="center"/>
            <w:hideMark/>
          </w:tcPr>
          <w:p w14:paraId="0E179026" w14:textId="77777777" w:rsidR="00FB03B0" w:rsidRPr="00FB03B0" w:rsidRDefault="00FB03B0" w:rsidP="00781A65">
            <w:pPr>
              <w:spacing w:after="0" w:line="360" w:lineRule="auto"/>
              <w:jc w:val="center"/>
              <w:rPr>
                <w:rFonts w:eastAsia="Times New Roman"/>
                <w:b/>
                <w:bCs/>
                <w:color w:val="auto"/>
                <w:spacing w:val="0"/>
                <w:lang w:val="es-DO"/>
              </w:rPr>
            </w:pPr>
            <w:r w:rsidRPr="00FB03B0">
              <w:rPr>
                <w:rFonts w:eastAsia="Times New Roman"/>
                <w:b/>
                <w:bCs/>
                <w:color w:val="auto"/>
                <w:spacing w:val="0"/>
                <w:lang w:val="es-DO"/>
              </w:rPr>
              <w:t>Total de Traslados</w:t>
            </w:r>
          </w:p>
        </w:tc>
      </w:tr>
      <w:tr w:rsidR="00310D52" w:rsidRPr="00FB03B0" w14:paraId="3A968FC7"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13E48231"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Ozama</w:t>
            </w:r>
          </w:p>
        </w:tc>
        <w:tc>
          <w:tcPr>
            <w:tcW w:w="2785" w:type="dxa"/>
            <w:tcBorders>
              <w:top w:val="nil"/>
              <w:left w:val="nil"/>
              <w:bottom w:val="single" w:sz="4" w:space="0" w:color="auto"/>
              <w:right w:val="single" w:sz="4" w:space="0" w:color="auto"/>
            </w:tcBorders>
            <w:vAlign w:val="center"/>
            <w:hideMark/>
          </w:tcPr>
          <w:p w14:paraId="40633FE2"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19,344</w:t>
            </w:r>
          </w:p>
        </w:tc>
      </w:tr>
      <w:tr w:rsidR="00310D52" w:rsidRPr="00FB03B0" w14:paraId="3962DC18"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3D16947E"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Cibao Norte</w:t>
            </w:r>
          </w:p>
        </w:tc>
        <w:tc>
          <w:tcPr>
            <w:tcW w:w="2785" w:type="dxa"/>
            <w:tcBorders>
              <w:top w:val="nil"/>
              <w:left w:val="nil"/>
              <w:bottom w:val="single" w:sz="4" w:space="0" w:color="auto"/>
              <w:right w:val="single" w:sz="4" w:space="0" w:color="auto"/>
            </w:tcBorders>
            <w:vAlign w:val="center"/>
            <w:hideMark/>
          </w:tcPr>
          <w:p w14:paraId="264B7F64"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9,754</w:t>
            </w:r>
          </w:p>
        </w:tc>
      </w:tr>
      <w:tr w:rsidR="00310D52" w:rsidRPr="00FB03B0" w14:paraId="2A8D22C5"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20A26A79"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Cibao Sur</w:t>
            </w:r>
          </w:p>
        </w:tc>
        <w:tc>
          <w:tcPr>
            <w:tcW w:w="2785" w:type="dxa"/>
            <w:tcBorders>
              <w:top w:val="nil"/>
              <w:left w:val="nil"/>
              <w:bottom w:val="single" w:sz="4" w:space="0" w:color="auto"/>
              <w:right w:val="single" w:sz="4" w:space="0" w:color="auto"/>
            </w:tcBorders>
            <w:vAlign w:val="center"/>
            <w:hideMark/>
          </w:tcPr>
          <w:p w14:paraId="11DB7110"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4,079</w:t>
            </w:r>
          </w:p>
        </w:tc>
      </w:tr>
      <w:tr w:rsidR="00310D52" w:rsidRPr="00FB03B0" w14:paraId="5CD41184" w14:textId="77777777" w:rsidTr="00225C91">
        <w:trPr>
          <w:trHeight w:val="125"/>
        </w:trPr>
        <w:tc>
          <w:tcPr>
            <w:tcW w:w="2458" w:type="dxa"/>
            <w:tcBorders>
              <w:top w:val="nil"/>
              <w:left w:val="single" w:sz="4" w:space="0" w:color="auto"/>
              <w:bottom w:val="single" w:sz="4" w:space="0" w:color="auto"/>
              <w:right w:val="single" w:sz="4" w:space="0" w:color="auto"/>
            </w:tcBorders>
            <w:vAlign w:val="center"/>
            <w:hideMark/>
          </w:tcPr>
          <w:p w14:paraId="037B9CA3"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Cibao Nordeste</w:t>
            </w:r>
          </w:p>
        </w:tc>
        <w:tc>
          <w:tcPr>
            <w:tcW w:w="2785" w:type="dxa"/>
            <w:tcBorders>
              <w:top w:val="nil"/>
              <w:left w:val="nil"/>
              <w:bottom w:val="single" w:sz="4" w:space="0" w:color="auto"/>
              <w:right w:val="single" w:sz="4" w:space="0" w:color="auto"/>
            </w:tcBorders>
            <w:vAlign w:val="center"/>
            <w:hideMark/>
          </w:tcPr>
          <w:p w14:paraId="3834CE1D"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5,086</w:t>
            </w:r>
          </w:p>
        </w:tc>
      </w:tr>
      <w:tr w:rsidR="00310D52" w:rsidRPr="00FB03B0" w14:paraId="465A9E36"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4EB0CCC5"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Cibao Noroeste</w:t>
            </w:r>
          </w:p>
        </w:tc>
        <w:tc>
          <w:tcPr>
            <w:tcW w:w="2785" w:type="dxa"/>
            <w:tcBorders>
              <w:top w:val="nil"/>
              <w:left w:val="nil"/>
              <w:bottom w:val="single" w:sz="4" w:space="0" w:color="auto"/>
              <w:right w:val="single" w:sz="4" w:space="0" w:color="auto"/>
            </w:tcBorders>
            <w:vAlign w:val="center"/>
            <w:hideMark/>
          </w:tcPr>
          <w:p w14:paraId="6FAC76E8"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6,315</w:t>
            </w:r>
          </w:p>
        </w:tc>
      </w:tr>
      <w:tr w:rsidR="00310D52" w:rsidRPr="00FB03B0" w14:paraId="61A6403E"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1D74683E"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Valdesia</w:t>
            </w:r>
          </w:p>
        </w:tc>
        <w:tc>
          <w:tcPr>
            <w:tcW w:w="2785" w:type="dxa"/>
            <w:tcBorders>
              <w:top w:val="nil"/>
              <w:left w:val="nil"/>
              <w:bottom w:val="single" w:sz="4" w:space="0" w:color="auto"/>
              <w:right w:val="single" w:sz="4" w:space="0" w:color="auto"/>
            </w:tcBorders>
            <w:vAlign w:val="center"/>
            <w:hideMark/>
          </w:tcPr>
          <w:p w14:paraId="15CFD836"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5,228</w:t>
            </w:r>
          </w:p>
        </w:tc>
      </w:tr>
      <w:tr w:rsidR="00310D52" w:rsidRPr="00FB03B0" w14:paraId="124B635E"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41FB864E"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Enriquillo</w:t>
            </w:r>
          </w:p>
        </w:tc>
        <w:tc>
          <w:tcPr>
            <w:tcW w:w="2785" w:type="dxa"/>
            <w:tcBorders>
              <w:top w:val="nil"/>
              <w:left w:val="nil"/>
              <w:bottom w:val="single" w:sz="4" w:space="0" w:color="auto"/>
              <w:right w:val="single" w:sz="4" w:space="0" w:color="auto"/>
            </w:tcBorders>
            <w:vAlign w:val="center"/>
            <w:hideMark/>
          </w:tcPr>
          <w:p w14:paraId="695C3ADF"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3,231</w:t>
            </w:r>
          </w:p>
        </w:tc>
      </w:tr>
      <w:tr w:rsidR="00310D52" w:rsidRPr="00FB03B0" w14:paraId="01F68FB9"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712FC544"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El Valle</w:t>
            </w:r>
          </w:p>
        </w:tc>
        <w:tc>
          <w:tcPr>
            <w:tcW w:w="2785" w:type="dxa"/>
            <w:tcBorders>
              <w:top w:val="nil"/>
              <w:left w:val="nil"/>
              <w:bottom w:val="single" w:sz="4" w:space="0" w:color="auto"/>
              <w:right w:val="single" w:sz="4" w:space="0" w:color="auto"/>
            </w:tcBorders>
            <w:vAlign w:val="center"/>
            <w:hideMark/>
          </w:tcPr>
          <w:p w14:paraId="50AFC3C7"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3,875</w:t>
            </w:r>
          </w:p>
        </w:tc>
      </w:tr>
      <w:tr w:rsidR="00310D52" w:rsidRPr="00FB03B0" w14:paraId="4D8B1455" w14:textId="77777777" w:rsidTr="005B1419">
        <w:trPr>
          <w:trHeight w:val="289"/>
        </w:trPr>
        <w:tc>
          <w:tcPr>
            <w:tcW w:w="2458" w:type="dxa"/>
            <w:tcBorders>
              <w:top w:val="nil"/>
              <w:left w:val="single" w:sz="4" w:space="0" w:color="auto"/>
              <w:bottom w:val="single" w:sz="4" w:space="0" w:color="auto"/>
              <w:right w:val="single" w:sz="4" w:space="0" w:color="auto"/>
            </w:tcBorders>
            <w:vAlign w:val="center"/>
            <w:hideMark/>
          </w:tcPr>
          <w:p w14:paraId="6AF46B4B"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Yuma</w:t>
            </w:r>
          </w:p>
        </w:tc>
        <w:tc>
          <w:tcPr>
            <w:tcW w:w="2785" w:type="dxa"/>
            <w:tcBorders>
              <w:top w:val="nil"/>
              <w:left w:val="nil"/>
              <w:bottom w:val="single" w:sz="4" w:space="0" w:color="auto"/>
              <w:right w:val="single" w:sz="4" w:space="0" w:color="auto"/>
            </w:tcBorders>
            <w:vAlign w:val="center"/>
            <w:hideMark/>
          </w:tcPr>
          <w:p w14:paraId="3DC51A34"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5,096</w:t>
            </w:r>
          </w:p>
        </w:tc>
      </w:tr>
      <w:tr w:rsidR="00310D52" w:rsidRPr="00FB03B0" w14:paraId="1A3DBED7" w14:textId="77777777" w:rsidTr="005B1419">
        <w:trPr>
          <w:trHeight w:val="64"/>
        </w:trPr>
        <w:tc>
          <w:tcPr>
            <w:tcW w:w="2458" w:type="dxa"/>
            <w:tcBorders>
              <w:top w:val="nil"/>
              <w:left w:val="single" w:sz="4" w:space="0" w:color="auto"/>
              <w:bottom w:val="single" w:sz="4" w:space="0" w:color="auto"/>
              <w:right w:val="single" w:sz="4" w:space="0" w:color="auto"/>
            </w:tcBorders>
            <w:vAlign w:val="center"/>
            <w:hideMark/>
          </w:tcPr>
          <w:p w14:paraId="6B97D9BE"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Higuamo</w:t>
            </w:r>
          </w:p>
        </w:tc>
        <w:tc>
          <w:tcPr>
            <w:tcW w:w="2785" w:type="dxa"/>
            <w:tcBorders>
              <w:top w:val="nil"/>
              <w:left w:val="nil"/>
              <w:bottom w:val="single" w:sz="4" w:space="0" w:color="auto"/>
              <w:right w:val="single" w:sz="4" w:space="0" w:color="auto"/>
            </w:tcBorders>
            <w:vAlign w:val="center"/>
            <w:hideMark/>
          </w:tcPr>
          <w:p w14:paraId="3B893833" w14:textId="77777777" w:rsidR="00FB03B0" w:rsidRPr="00FB03B0" w:rsidRDefault="00FB03B0" w:rsidP="00781A65">
            <w:pPr>
              <w:spacing w:after="0" w:line="360" w:lineRule="auto"/>
              <w:jc w:val="center"/>
              <w:rPr>
                <w:rFonts w:eastAsia="Times New Roman"/>
                <w:spacing w:val="0"/>
                <w:lang w:val="es-DO"/>
              </w:rPr>
            </w:pPr>
            <w:r w:rsidRPr="00FB03B0">
              <w:rPr>
                <w:rFonts w:eastAsia="Times New Roman"/>
                <w:spacing w:val="0"/>
                <w:lang w:val="es-DO"/>
              </w:rPr>
              <w:t>3,278</w:t>
            </w:r>
          </w:p>
        </w:tc>
      </w:tr>
      <w:tr w:rsidR="00310D52" w:rsidRPr="00FB03B0" w14:paraId="34BB7BC5" w14:textId="77777777" w:rsidTr="005B1419">
        <w:trPr>
          <w:trHeight w:val="64"/>
        </w:trPr>
        <w:tc>
          <w:tcPr>
            <w:tcW w:w="2458" w:type="dxa"/>
            <w:tcBorders>
              <w:top w:val="nil"/>
              <w:left w:val="single" w:sz="4" w:space="0" w:color="auto"/>
              <w:bottom w:val="single" w:sz="4" w:space="0" w:color="auto"/>
              <w:right w:val="single" w:sz="4" w:space="0" w:color="auto"/>
            </w:tcBorders>
            <w:shd w:val="clear" w:color="000000" w:fill="142F62"/>
            <w:vAlign w:val="center"/>
            <w:hideMark/>
          </w:tcPr>
          <w:p w14:paraId="4DCF0E6E" w14:textId="77777777" w:rsidR="00FB03B0" w:rsidRPr="00FB03B0" w:rsidRDefault="00FB03B0" w:rsidP="00781A65">
            <w:pPr>
              <w:spacing w:after="0" w:line="360" w:lineRule="auto"/>
              <w:jc w:val="center"/>
              <w:rPr>
                <w:rFonts w:eastAsia="Times New Roman"/>
                <w:b/>
                <w:bCs/>
                <w:color w:val="auto"/>
                <w:spacing w:val="0"/>
                <w:lang w:val="es-DO"/>
              </w:rPr>
            </w:pPr>
            <w:r w:rsidRPr="00FB03B0">
              <w:rPr>
                <w:rFonts w:eastAsia="Times New Roman"/>
                <w:b/>
                <w:bCs/>
                <w:color w:val="auto"/>
                <w:spacing w:val="0"/>
                <w:lang w:val="es-DO"/>
              </w:rPr>
              <w:t>Total general</w:t>
            </w:r>
          </w:p>
        </w:tc>
        <w:tc>
          <w:tcPr>
            <w:tcW w:w="2785" w:type="dxa"/>
            <w:tcBorders>
              <w:top w:val="nil"/>
              <w:left w:val="nil"/>
              <w:bottom w:val="single" w:sz="4" w:space="0" w:color="auto"/>
              <w:right w:val="single" w:sz="4" w:space="0" w:color="auto"/>
            </w:tcBorders>
            <w:shd w:val="clear" w:color="000000" w:fill="142F62"/>
            <w:vAlign w:val="center"/>
            <w:hideMark/>
          </w:tcPr>
          <w:p w14:paraId="1B696103" w14:textId="77777777" w:rsidR="00FB03B0" w:rsidRPr="00FB03B0" w:rsidRDefault="00FB03B0" w:rsidP="00781A65">
            <w:pPr>
              <w:spacing w:after="0" w:line="360" w:lineRule="auto"/>
              <w:jc w:val="center"/>
              <w:rPr>
                <w:rFonts w:eastAsia="Times New Roman"/>
                <w:b/>
                <w:bCs/>
                <w:color w:val="auto"/>
                <w:spacing w:val="0"/>
                <w:lang w:val="es-DO"/>
              </w:rPr>
            </w:pPr>
            <w:r w:rsidRPr="00FB03B0">
              <w:rPr>
                <w:rFonts w:eastAsia="Times New Roman"/>
                <w:b/>
                <w:bCs/>
                <w:color w:val="auto"/>
                <w:spacing w:val="0"/>
                <w:lang w:val="es-DO"/>
              </w:rPr>
              <w:t>65,286</w:t>
            </w:r>
          </w:p>
        </w:tc>
      </w:tr>
    </w:tbl>
    <w:p w14:paraId="5EEE8CC9" w14:textId="2DE1A260" w:rsidR="00A72627" w:rsidRPr="00310D52" w:rsidRDefault="00665893" w:rsidP="00781A65">
      <w:pPr>
        <w:spacing w:line="360" w:lineRule="auto"/>
        <w:jc w:val="both"/>
        <w:rPr>
          <w:rFonts w:eastAsia="Calibri"/>
          <w:i/>
          <w:iCs/>
          <w:noProof/>
          <w:sz w:val="18"/>
          <w:szCs w:val="18"/>
          <w:lang w:val="es-DO"/>
        </w:rPr>
      </w:pPr>
      <w:r w:rsidRPr="00310D52">
        <w:rPr>
          <w:rFonts w:eastAsia="Calibri"/>
          <w:i/>
          <w:iCs/>
          <w:noProof/>
          <w:sz w:val="18"/>
          <w:szCs w:val="18"/>
          <w:lang w:val="es-DO"/>
        </w:rPr>
        <w:t>Fuente: Departamento de Gestión Extrahospitalari</w:t>
      </w:r>
      <w:r w:rsidR="00A72627" w:rsidRPr="00310D52">
        <w:rPr>
          <w:rFonts w:eastAsia="Calibri"/>
          <w:i/>
          <w:iCs/>
          <w:noProof/>
          <w:sz w:val="18"/>
          <w:szCs w:val="18"/>
          <w:lang w:val="es-DO"/>
        </w:rPr>
        <w:t>a</w:t>
      </w:r>
    </w:p>
    <w:p w14:paraId="6C46B100" w14:textId="5F4EB758" w:rsidR="002B61DF" w:rsidRPr="00F06D9C" w:rsidRDefault="002B61DF" w:rsidP="00434602">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17" w:name="_Toc217050883"/>
      <w:r w:rsidRPr="00F06D9C">
        <w:rPr>
          <w:rFonts w:eastAsiaTheme="majorEastAsia"/>
          <w:b/>
          <w:spacing w:val="0"/>
          <w:szCs w:val="28"/>
          <w:lang w:val="es-DO"/>
        </w:rPr>
        <w:lastRenderedPageBreak/>
        <w:t>Aumento de la Capacidad de Respuesta</w:t>
      </w:r>
      <w:bookmarkEnd w:id="17"/>
    </w:p>
    <w:p w14:paraId="33F5E205" w14:textId="65346EA8" w:rsidR="00225C91" w:rsidRPr="00310D52" w:rsidRDefault="0046718F" w:rsidP="00434602">
      <w:pPr>
        <w:spacing w:line="360" w:lineRule="auto"/>
        <w:jc w:val="both"/>
        <w:rPr>
          <w:rFonts w:eastAsia="Calibri"/>
          <w:noProof/>
          <w:lang w:val="es-DO"/>
        </w:rPr>
      </w:pPr>
      <w:r w:rsidRPr="00310D52">
        <w:rPr>
          <w:rFonts w:eastAsia="Calibri"/>
          <w:noProof/>
          <w:lang w:val="es-DO"/>
        </w:rPr>
        <w:t>Durante el añose integraron 235</w:t>
      </w:r>
      <w:r w:rsidR="00341A6A" w:rsidRPr="00310D52">
        <w:rPr>
          <w:rFonts w:eastAsia="Calibri"/>
          <w:noProof/>
          <w:lang w:val="es-DO"/>
        </w:rPr>
        <w:t xml:space="preserve"> </w:t>
      </w:r>
      <w:r w:rsidRPr="00310D52">
        <w:rPr>
          <w:rFonts w:eastAsia="Calibri"/>
          <w:noProof/>
          <w:lang w:val="es-DO"/>
        </w:rPr>
        <w:t>nuevas</w:t>
      </w:r>
      <w:r w:rsidR="00341A6A" w:rsidRPr="00310D52">
        <w:rPr>
          <w:rFonts w:eastAsia="Calibri"/>
          <w:noProof/>
          <w:lang w:val="es-DO"/>
        </w:rPr>
        <w:t xml:space="preserve"> </w:t>
      </w:r>
      <w:r w:rsidRPr="00310D52">
        <w:rPr>
          <w:rFonts w:eastAsia="Calibri"/>
          <w:noProof/>
          <w:lang w:val="es-DO"/>
        </w:rPr>
        <w:t>ambulancias</w:t>
      </w:r>
      <w:r w:rsidR="00341A6A" w:rsidRPr="00310D52">
        <w:rPr>
          <w:rFonts w:eastAsia="Calibri"/>
          <w:noProof/>
          <w:lang w:val="es-DO"/>
        </w:rPr>
        <w:t xml:space="preserve"> </w:t>
      </w:r>
      <w:r w:rsidRPr="00310D52">
        <w:rPr>
          <w:rFonts w:eastAsia="Calibri"/>
          <w:noProof/>
          <w:lang w:val="es-DO"/>
        </w:rPr>
        <w:t>a</w:t>
      </w:r>
      <w:r w:rsidR="00341A6A" w:rsidRPr="00310D52">
        <w:rPr>
          <w:rFonts w:eastAsia="Calibri"/>
          <w:noProof/>
          <w:lang w:val="es-DO"/>
        </w:rPr>
        <w:t xml:space="preserve"> </w:t>
      </w:r>
      <w:r w:rsidRPr="00310D52">
        <w:rPr>
          <w:rFonts w:eastAsia="Calibri"/>
          <w:noProof/>
          <w:lang w:val="es-DO"/>
        </w:rPr>
        <w:t xml:space="preserve">la flota nacional, fortaleciendo </w:t>
      </w:r>
      <w:r w:rsidR="00341A6A" w:rsidRPr="00310D52">
        <w:rPr>
          <w:rFonts w:eastAsia="Calibri"/>
          <w:noProof/>
          <w:lang w:val="es-DO"/>
        </w:rPr>
        <w:t xml:space="preserve">significativamente </w:t>
      </w:r>
      <w:r w:rsidRPr="00310D52">
        <w:rPr>
          <w:rFonts w:eastAsia="Calibri"/>
          <w:noProof/>
          <w:lang w:val="es-DO"/>
        </w:rPr>
        <w:t xml:space="preserve">la capacidad operativa de la DAEH en zonas urbanas </w:t>
      </w:r>
      <w:r w:rsidR="00341A6A" w:rsidRPr="00310D52">
        <w:rPr>
          <w:rFonts w:eastAsia="Calibri"/>
          <w:noProof/>
          <w:lang w:val="es-DO"/>
        </w:rPr>
        <w:t>y</w:t>
      </w:r>
      <w:r w:rsidRPr="00310D52">
        <w:rPr>
          <w:rFonts w:eastAsia="Calibri"/>
          <w:noProof/>
          <w:lang w:val="es-DO"/>
        </w:rPr>
        <w:t xml:space="preserve"> rurales. Con esta incorporación, la institución alcanzó un total de 850 ambulancias a nivel nacional, además de 122 Unidades de Respuesta Inmediata (URI). </w:t>
      </w:r>
    </w:p>
    <w:p w14:paraId="5A54350E" w14:textId="40DB310F" w:rsidR="0046718F" w:rsidRPr="00310D52" w:rsidRDefault="0046718F" w:rsidP="00434602">
      <w:pPr>
        <w:spacing w:line="360" w:lineRule="auto"/>
        <w:jc w:val="both"/>
        <w:rPr>
          <w:rFonts w:eastAsia="Calibri"/>
          <w:noProof/>
          <w:lang w:val="es-DO"/>
        </w:rPr>
      </w:pPr>
      <w:r w:rsidRPr="00310D52">
        <w:rPr>
          <w:rFonts w:eastAsia="Calibri"/>
          <w:noProof/>
          <w:lang w:val="es-DO"/>
        </w:rPr>
        <w:t>De forma complementaria, se sumaron 14 camionetas, 2 camiones y 1 camión grúa destinados al apoyo logístico, operativo y de mantenimiento, contribuyendo a ampliar la cobertura territorial y a mejorar la oportunidad, seguridad y eficiencia de la atención extrahospitalaria en beneficio de la población.</w:t>
      </w:r>
    </w:p>
    <w:p w14:paraId="49AEFDEF" w14:textId="6CAC0976" w:rsidR="0046718F" w:rsidRPr="00310D52" w:rsidRDefault="0046718F" w:rsidP="00434602">
      <w:pPr>
        <w:spacing w:line="360" w:lineRule="auto"/>
        <w:jc w:val="both"/>
        <w:rPr>
          <w:rFonts w:eastAsia="Calibri"/>
          <w:noProof/>
          <w:lang w:val="es-DO"/>
        </w:rPr>
      </w:pPr>
      <w:r w:rsidRPr="00310D52">
        <w:rPr>
          <w:rFonts w:eastAsia="Calibri"/>
          <w:noProof/>
          <w:lang w:val="es-DO"/>
        </w:rPr>
        <w:t>La distribución operativa de estas unidades permitió habilitar nuevas preposiciones prehospitalarias en Santo Domingo (1), San Cristóbal (2), Peravia (1), Duarte (1) y Barahona (1). Asimismo, en el componente interhospitalario se incorporaron unidades en Santo Domingo (2), La Vega (1), Monseñor Nouel (1), Sánchez Ramírez (2), San Pedro de Macorís (5), Hato Mayor (2), Monte Plata (2), La Romana (2), Puerto Plata (2), Espaillat (1), Duarte (1), Pedernales (1), Santiago Rodríguez (3) y San Cristóbal (1), reforzando de manera estratégica la red de traslados sanitarios.</w:t>
      </w:r>
    </w:p>
    <w:p w14:paraId="5DEE1DDA" w14:textId="2785FDEC" w:rsidR="0046718F" w:rsidRPr="00310D52" w:rsidRDefault="0046718F" w:rsidP="00434602">
      <w:pPr>
        <w:spacing w:line="360" w:lineRule="auto"/>
        <w:jc w:val="both"/>
        <w:rPr>
          <w:rFonts w:eastAsia="Calibri"/>
          <w:noProof/>
          <w:lang w:val="es-DO"/>
        </w:rPr>
      </w:pPr>
      <w:r w:rsidRPr="00310D52">
        <w:rPr>
          <w:rFonts w:eastAsia="Calibri"/>
          <w:noProof/>
          <w:lang w:val="es-DO"/>
        </w:rPr>
        <w:t>Estas acciones permitieron fortalecer los servicios prehospitalarios del Sistema 9-1-1, los traslados interhospitalarios y la disponibilidad de unidades de respaldo, garantizando una respuesta más equilibrada y sostenible ante escenarios de alta demanda. Como resultado, se logró incrementar la cobertura de preposiciones a nivel nacional hasta un 92.7 %, así como mejorar la disponibilidad de unidades durante los turnos de mayor demanda, impactando de forma directa la capacidad resolutiva del sistema y reforzando el acceso oportuno de la población a los servicios de atención extrahospitalaria.</w:t>
      </w:r>
    </w:p>
    <w:p w14:paraId="7189AF54" w14:textId="3128CBF0" w:rsidR="00233626" w:rsidRPr="00310D52" w:rsidRDefault="0046718F" w:rsidP="00781A65">
      <w:pPr>
        <w:spacing w:line="360" w:lineRule="auto"/>
        <w:jc w:val="both"/>
        <w:rPr>
          <w:rFonts w:eastAsiaTheme="majorEastAsia"/>
          <w:b/>
          <w:spacing w:val="0"/>
          <w:szCs w:val="28"/>
          <w:lang w:val="es-DO"/>
        </w:rPr>
      </w:pPr>
      <w:r w:rsidRPr="00310D52">
        <w:rPr>
          <w:rFonts w:eastAsiaTheme="majorEastAsia"/>
          <w:b/>
          <w:spacing w:val="0"/>
          <w:szCs w:val="28"/>
          <w:lang w:val="es-DO"/>
        </w:rPr>
        <w:lastRenderedPageBreak/>
        <w:t>Total de Unidades de Ambulancias:</w:t>
      </w:r>
    </w:p>
    <w:tbl>
      <w:tblPr>
        <w:tblW w:w="5305" w:type="dxa"/>
        <w:tblLook w:val="04A0" w:firstRow="1" w:lastRow="0" w:firstColumn="1" w:lastColumn="0" w:noHBand="0" w:noVBand="1"/>
      </w:tblPr>
      <w:tblGrid>
        <w:gridCol w:w="1885"/>
        <w:gridCol w:w="1620"/>
        <w:gridCol w:w="1800"/>
      </w:tblGrid>
      <w:tr w:rsidR="00310D52" w:rsidRPr="00781A65" w14:paraId="103AE9E6" w14:textId="77777777" w:rsidTr="00225C91">
        <w:trPr>
          <w:trHeight w:val="70"/>
        </w:trPr>
        <w:tc>
          <w:tcPr>
            <w:tcW w:w="1885" w:type="dxa"/>
            <w:tcBorders>
              <w:top w:val="single" w:sz="4" w:space="0" w:color="auto"/>
              <w:left w:val="single" w:sz="4" w:space="0" w:color="auto"/>
              <w:bottom w:val="single" w:sz="4" w:space="0" w:color="auto"/>
              <w:right w:val="nil"/>
            </w:tcBorders>
            <w:shd w:val="clear" w:color="000000" w:fill="142F62"/>
            <w:vAlign w:val="center"/>
            <w:hideMark/>
          </w:tcPr>
          <w:p w14:paraId="6F1C8E91" w14:textId="77777777" w:rsidR="00781A65" w:rsidRPr="00781A65" w:rsidRDefault="00781A65" w:rsidP="00781A65">
            <w:pPr>
              <w:spacing w:after="0" w:line="360" w:lineRule="auto"/>
              <w:jc w:val="center"/>
              <w:rPr>
                <w:rFonts w:eastAsia="Times New Roman"/>
                <w:b/>
                <w:bCs/>
                <w:color w:val="auto"/>
                <w:spacing w:val="0"/>
                <w:lang w:val="es-DO"/>
              </w:rPr>
            </w:pPr>
            <w:r w:rsidRPr="00781A65">
              <w:rPr>
                <w:rFonts w:eastAsia="Times New Roman"/>
                <w:b/>
                <w:bCs/>
                <w:color w:val="auto"/>
                <w:spacing w:val="0"/>
                <w:lang w:val="es-DO"/>
              </w:rPr>
              <w:t>Operatividad</w:t>
            </w:r>
          </w:p>
        </w:tc>
        <w:tc>
          <w:tcPr>
            <w:tcW w:w="1620" w:type="dxa"/>
            <w:tcBorders>
              <w:top w:val="single" w:sz="4" w:space="0" w:color="auto"/>
              <w:left w:val="nil"/>
              <w:bottom w:val="single" w:sz="4" w:space="0" w:color="auto"/>
              <w:right w:val="single" w:sz="4" w:space="0" w:color="auto"/>
            </w:tcBorders>
            <w:shd w:val="clear" w:color="000000" w:fill="142F62"/>
            <w:vAlign w:val="center"/>
            <w:hideMark/>
          </w:tcPr>
          <w:p w14:paraId="35963B4D" w14:textId="77777777" w:rsidR="00781A65" w:rsidRPr="00781A65" w:rsidRDefault="00781A65" w:rsidP="00781A65">
            <w:pPr>
              <w:spacing w:after="0" w:line="360" w:lineRule="auto"/>
              <w:jc w:val="center"/>
              <w:rPr>
                <w:rFonts w:eastAsia="Times New Roman"/>
                <w:b/>
                <w:bCs/>
                <w:color w:val="auto"/>
                <w:spacing w:val="0"/>
                <w:lang w:val="es-DO"/>
              </w:rPr>
            </w:pPr>
            <w:r w:rsidRPr="00781A65">
              <w:rPr>
                <w:rFonts w:eastAsia="Times New Roman"/>
                <w:b/>
                <w:bCs/>
                <w:color w:val="auto"/>
                <w:spacing w:val="0"/>
                <w:lang w:val="es-DO"/>
              </w:rPr>
              <w:t> </w:t>
            </w:r>
          </w:p>
        </w:tc>
        <w:tc>
          <w:tcPr>
            <w:tcW w:w="1800" w:type="dxa"/>
            <w:tcBorders>
              <w:top w:val="single" w:sz="4" w:space="0" w:color="auto"/>
              <w:left w:val="nil"/>
              <w:bottom w:val="single" w:sz="4" w:space="0" w:color="auto"/>
              <w:right w:val="single" w:sz="4" w:space="0" w:color="auto"/>
            </w:tcBorders>
            <w:shd w:val="clear" w:color="000000" w:fill="142F62"/>
            <w:vAlign w:val="center"/>
            <w:hideMark/>
          </w:tcPr>
          <w:p w14:paraId="5F6DBEBB" w14:textId="77777777" w:rsidR="00781A65" w:rsidRPr="00781A65" w:rsidRDefault="00781A65" w:rsidP="00781A65">
            <w:pPr>
              <w:spacing w:after="0" w:line="360" w:lineRule="auto"/>
              <w:jc w:val="center"/>
              <w:rPr>
                <w:rFonts w:eastAsia="Times New Roman"/>
                <w:b/>
                <w:bCs/>
                <w:color w:val="auto"/>
                <w:spacing w:val="0"/>
                <w:lang w:val="es-DO"/>
              </w:rPr>
            </w:pPr>
            <w:r w:rsidRPr="00781A65">
              <w:rPr>
                <w:rFonts w:eastAsia="Times New Roman"/>
                <w:b/>
                <w:bCs/>
                <w:color w:val="auto"/>
                <w:spacing w:val="0"/>
                <w:lang w:val="es-DO"/>
              </w:rPr>
              <w:t>Total de Unidades</w:t>
            </w:r>
          </w:p>
        </w:tc>
      </w:tr>
      <w:tr w:rsidR="00310D52" w:rsidRPr="00781A65" w14:paraId="2B2AD4A5" w14:textId="77777777" w:rsidTr="00781A65">
        <w:trPr>
          <w:trHeight w:val="315"/>
        </w:trPr>
        <w:tc>
          <w:tcPr>
            <w:tcW w:w="1885" w:type="dxa"/>
            <w:vMerge w:val="restart"/>
            <w:tcBorders>
              <w:top w:val="nil"/>
              <w:left w:val="single" w:sz="4" w:space="0" w:color="auto"/>
              <w:bottom w:val="single" w:sz="4" w:space="0" w:color="000000"/>
              <w:right w:val="single" w:sz="4" w:space="0" w:color="auto"/>
            </w:tcBorders>
            <w:vAlign w:val="center"/>
            <w:hideMark/>
          </w:tcPr>
          <w:p w14:paraId="3F2BC77D"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Prehospitalaria</w:t>
            </w:r>
          </w:p>
        </w:tc>
        <w:tc>
          <w:tcPr>
            <w:tcW w:w="1620" w:type="dxa"/>
            <w:tcBorders>
              <w:top w:val="nil"/>
              <w:left w:val="nil"/>
              <w:bottom w:val="single" w:sz="4" w:space="0" w:color="auto"/>
              <w:right w:val="single" w:sz="4" w:space="0" w:color="auto"/>
            </w:tcBorders>
            <w:noWrap/>
            <w:vAlign w:val="center"/>
            <w:hideMark/>
          </w:tcPr>
          <w:p w14:paraId="0D90E353"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DAEH 9-1-1</w:t>
            </w:r>
          </w:p>
        </w:tc>
        <w:tc>
          <w:tcPr>
            <w:tcW w:w="1800" w:type="dxa"/>
            <w:tcBorders>
              <w:top w:val="nil"/>
              <w:left w:val="nil"/>
              <w:bottom w:val="single" w:sz="4" w:space="0" w:color="auto"/>
              <w:right w:val="single" w:sz="4" w:space="0" w:color="auto"/>
            </w:tcBorders>
            <w:noWrap/>
            <w:vAlign w:val="center"/>
            <w:hideMark/>
          </w:tcPr>
          <w:p w14:paraId="0A6DA3A0" w14:textId="77777777" w:rsidR="00781A65" w:rsidRPr="00781A65" w:rsidRDefault="00781A65" w:rsidP="00781A65">
            <w:pPr>
              <w:spacing w:after="0" w:line="360" w:lineRule="auto"/>
              <w:jc w:val="center"/>
              <w:rPr>
                <w:rFonts w:eastAsia="Times New Roman"/>
                <w:spacing w:val="0"/>
                <w:lang w:val="es-DO"/>
              </w:rPr>
            </w:pPr>
            <w:r w:rsidRPr="00781A65">
              <w:rPr>
                <w:rFonts w:eastAsia="Times New Roman"/>
                <w:spacing w:val="0"/>
                <w:lang w:val="es-DO"/>
              </w:rPr>
              <w:t>309</w:t>
            </w:r>
          </w:p>
        </w:tc>
      </w:tr>
      <w:tr w:rsidR="00310D52" w:rsidRPr="00781A65" w14:paraId="6CBFB4D3" w14:textId="77777777" w:rsidTr="00781A65">
        <w:trPr>
          <w:trHeight w:val="315"/>
        </w:trPr>
        <w:tc>
          <w:tcPr>
            <w:tcW w:w="1885" w:type="dxa"/>
            <w:vMerge/>
            <w:tcBorders>
              <w:top w:val="nil"/>
              <w:left w:val="single" w:sz="4" w:space="0" w:color="auto"/>
              <w:bottom w:val="single" w:sz="4" w:space="0" w:color="000000"/>
              <w:right w:val="single" w:sz="4" w:space="0" w:color="auto"/>
            </w:tcBorders>
            <w:vAlign w:val="center"/>
            <w:hideMark/>
          </w:tcPr>
          <w:p w14:paraId="252C752A" w14:textId="77777777" w:rsidR="00781A65" w:rsidRPr="00781A65" w:rsidRDefault="00781A65" w:rsidP="00781A65">
            <w:pPr>
              <w:spacing w:after="0" w:line="360" w:lineRule="auto"/>
              <w:rPr>
                <w:rFonts w:eastAsia="Times New Roman"/>
                <w:spacing w:val="0"/>
                <w:lang w:val="es-DO"/>
              </w:rPr>
            </w:pPr>
          </w:p>
        </w:tc>
        <w:tc>
          <w:tcPr>
            <w:tcW w:w="1620" w:type="dxa"/>
            <w:tcBorders>
              <w:top w:val="nil"/>
              <w:left w:val="nil"/>
              <w:bottom w:val="single" w:sz="4" w:space="0" w:color="auto"/>
              <w:right w:val="single" w:sz="4" w:space="0" w:color="auto"/>
            </w:tcBorders>
            <w:noWrap/>
            <w:vAlign w:val="center"/>
            <w:hideMark/>
          </w:tcPr>
          <w:p w14:paraId="3597A114"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CRD</w:t>
            </w:r>
          </w:p>
        </w:tc>
        <w:tc>
          <w:tcPr>
            <w:tcW w:w="1800" w:type="dxa"/>
            <w:tcBorders>
              <w:top w:val="nil"/>
              <w:left w:val="nil"/>
              <w:bottom w:val="single" w:sz="4" w:space="0" w:color="auto"/>
              <w:right w:val="single" w:sz="4" w:space="0" w:color="auto"/>
            </w:tcBorders>
            <w:noWrap/>
            <w:vAlign w:val="center"/>
            <w:hideMark/>
          </w:tcPr>
          <w:p w14:paraId="150B476C" w14:textId="77777777" w:rsidR="00781A65" w:rsidRPr="00781A65" w:rsidRDefault="00781A65" w:rsidP="00781A65">
            <w:pPr>
              <w:spacing w:after="0" w:line="360" w:lineRule="auto"/>
              <w:jc w:val="center"/>
              <w:rPr>
                <w:rFonts w:eastAsia="Times New Roman"/>
                <w:spacing w:val="0"/>
                <w:lang w:val="es-DO"/>
              </w:rPr>
            </w:pPr>
            <w:r w:rsidRPr="00781A65">
              <w:rPr>
                <w:rFonts w:eastAsia="Times New Roman"/>
                <w:spacing w:val="0"/>
                <w:lang w:val="es-DO"/>
              </w:rPr>
              <w:t>143</w:t>
            </w:r>
          </w:p>
        </w:tc>
      </w:tr>
      <w:tr w:rsidR="00310D52" w:rsidRPr="00781A65" w14:paraId="0D6BB03B" w14:textId="77777777" w:rsidTr="00781A65">
        <w:trPr>
          <w:trHeight w:val="315"/>
        </w:trPr>
        <w:tc>
          <w:tcPr>
            <w:tcW w:w="1885" w:type="dxa"/>
            <w:tcBorders>
              <w:top w:val="nil"/>
              <w:left w:val="single" w:sz="4" w:space="0" w:color="auto"/>
              <w:bottom w:val="single" w:sz="4" w:space="0" w:color="auto"/>
              <w:right w:val="single" w:sz="4" w:space="0" w:color="auto"/>
            </w:tcBorders>
            <w:vAlign w:val="center"/>
            <w:hideMark/>
          </w:tcPr>
          <w:p w14:paraId="11890482"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Interhospitalaria</w:t>
            </w:r>
          </w:p>
        </w:tc>
        <w:tc>
          <w:tcPr>
            <w:tcW w:w="1620" w:type="dxa"/>
            <w:tcBorders>
              <w:top w:val="nil"/>
              <w:left w:val="nil"/>
              <w:bottom w:val="single" w:sz="4" w:space="0" w:color="auto"/>
              <w:right w:val="single" w:sz="4" w:space="0" w:color="auto"/>
            </w:tcBorders>
            <w:noWrap/>
            <w:vAlign w:val="center"/>
            <w:hideMark/>
          </w:tcPr>
          <w:p w14:paraId="507E9A76"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CRUE</w:t>
            </w:r>
          </w:p>
        </w:tc>
        <w:tc>
          <w:tcPr>
            <w:tcW w:w="1800" w:type="dxa"/>
            <w:tcBorders>
              <w:top w:val="nil"/>
              <w:left w:val="nil"/>
              <w:bottom w:val="single" w:sz="4" w:space="0" w:color="auto"/>
              <w:right w:val="single" w:sz="4" w:space="0" w:color="auto"/>
            </w:tcBorders>
            <w:noWrap/>
            <w:vAlign w:val="center"/>
            <w:hideMark/>
          </w:tcPr>
          <w:p w14:paraId="23F8734A" w14:textId="77777777" w:rsidR="00781A65" w:rsidRPr="00781A65" w:rsidRDefault="00781A65" w:rsidP="00781A65">
            <w:pPr>
              <w:spacing w:after="0" w:line="360" w:lineRule="auto"/>
              <w:jc w:val="center"/>
              <w:rPr>
                <w:rFonts w:eastAsia="Times New Roman"/>
                <w:spacing w:val="0"/>
                <w:lang w:val="es-DO"/>
              </w:rPr>
            </w:pPr>
            <w:r w:rsidRPr="00781A65">
              <w:rPr>
                <w:rFonts w:eastAsia="Times New Roman"/>
                <w:spacing w:val="0"/>
                <w:lang w:val="es-DO"/>
              </w:rPr>
              <w:t>133</w:t>
            </w:r>
          </w:p>
        </w:tc>
      </w:tr>
      <w:tr w:rsidR="00310D52" w:rsidRPr="00781A65" w14:paraId="00FF7AB6" w14:textId="77777777" w:rsidTr="00781A65">
        <w:trPr>
          <w:trHeight w:val="315"/>
        </w:trPr>
        <w:tc>
          <w:tcPr>
            <w:tcW w:w="1885" w:type="dxa"/>
            <w:tcBorders>
              <w:top w:val="nil"/>
              <w:left w:val="single" w:sz="4" w:space="0" w:color="auto"/>
              <w:bottom w:val="single" w:sz="4" w:space="0" w:color="auto"/>
              <w:right w:val="single" w:sz="4" w:space="0" w:color="auto"/>
            </w:tcBorders>
            <w:vAlign w:val="center"/>
            <w:hideMark/>
          </w:tcPr>
          <w:p w14:paraId="775492CF"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 </w:t>
            </w:r>
          </w:p>
        </w:tc>
        <w:tc>
          <w:tcPr>
            <w:tcW w:w="1620" w:type="dxa"/>
            <w:tcBorders>
              <w:top w:val="nil"/>
              <w:left w:val="nil"/>
              <w:bottom w:val="nil"/>
              <w:right w:val="nil"/>
            </w:tcBorders>
            <w:noWrap/>
            <w:vAlign w:val="center"/>
            <w:hideMark/>
          </w:tcPr>
          <w:p w14:paraId="02910511" w14:textId="77777777" w:rsidR="00781A65" w:rsidRPr="00781A65" w:rsidRDefault="00781A65" w:rsidP="00781A65">
            <w:pPr>
              <w:spacing w:after="0" w:line="360" w:lineRule="auto"/>
              <w:rPr>
                <w:rFonts w:eastAsia="Times New Roman"/>
                <w:spacing w:val="0"/>
                <w:lang w:val="es-DO"/>
              </w:rPr>
            </w:pPr>
            <w:r w:rsidRPr="00781A65">
              <w:rPr>
                <w:rFonts w:eastAsia="Times New Roman"/>
                <w:spacing w:val="0"/>
                <w:lang w:val="es-DO"/>
              </w:rPr>
              <w:t>Backup</w:t>
            </w:r>
          </w:p>
        </w:tc>
        <w:tc>
          <w:tcPr>
            <w:tcW w:w="1800" w:type="dxa"/>
            <w:tcBorders>
              <w:top w:val="nil"/>
              <w:left w:val="single" w:sz="4" w:space="0" w:color="auto"/>
              <w:bottom w:val="single" w:sz="4" w:space="0" w:color="auto"/>
              <w:right w:val="single" w:sz="4" w:space="0" w:color="auto"/>
            </w:tcBorders>
            <w:noWrap/>
            <w:vAlign w:val="center"/>
            <w:hideMark/>
          </w:tcPr>
          <w:p w14:paraId="107C0604" w14:textId="77777777" w:rsidR="00781A65" w:rsidRPr="00781A65" w:rsidRDefault="00781A65" w:rsidP="00781A65">
            <w:pPr>
              <w:spacing w:after="0" w:line="360" w:lineRule="auto"/>
              <w:jc w:val="center"/>
              <w:rPr>
                <w:rFonts w:eastAsia="Times New Roman"/>
                <w:spacing w:val="0"/>
                <w:lang w:val="es-DO"/>
              </w:rPr>
            </w:pPr>
            <w:r w:rsidRPr="00781A65">
              <w:rPr>
                <w:rFonts w:eastAsia="Times New Roman"/>
                <w:spacing w:val="0"/>
                <w:lang w:val="es-DO"/>
              </w:rPr>
              <w:t>265</w:t>
            </w:r>
          </w:p>
        </w:tc>
      </w:tr>
      <w:tr w:rsidR="00310D52" w:rsidRPr="00781A65" w14:paraId="21EAA98A" w14:textId="77777777" w:rsidTr="00781A65">
        <w:trPr>
          <w:trHeight w:val="315"/>
        </w:trPr>
        <w:tc>
          <w:tcPr>
            <w:tcW w:w="3505" w:type="dxa"/>
            <w:gridSpan w:val="2"/>
            <w:tcBorders>
              <w:top w:val="single" w:sz="4" w:space="0" w:color="auto"/>
              <w:left w:val="single" w:sz="4" w:space="0" w:color="auto"/>
              <w:bottom w:val="single" w:sz="4" w:space="0" w:color="auto"/>
              <w:right w:val="single" w:sz="4" w:space="0" w:color="000000"/>
            </w:tcBorders>
            <w:shd w:val="clear" w:color="000000" w:fill="142F62"/>
            <w:vAlign w:val="center"/>
            <w:hideMark/>
          </w:tcPr>
          <w:p w14:paraId="64134586" w14:textId="77777777" w:rsidR="00781A65" w:rsidRPr="00781A65" w:rsidRDefault="00781A65" w:rsidP="00781A65">
            <w:pPr>
              <w:spacing w:after="0" w:line="360" w:lineRule="auto"/>
              <w:jc w:val="center"/>
              <w:rPr>
                <w:rFonts w:eastAsia="Times New Roman"/>
                <w:b/>
                <w:bCs/>
                <w:color w:val="auto"/>
                <w:spacing w:val="0"/>
                <w:lang w:val="es-DO"/>
              </w:rPr>
            </w:pPr>
            <w:r w:rsidRPr="00781A65">
              <w:rPr>
                <w:rFonts w:eastAsia="Times New Roman"/>
                <w:b/>
                <w:bCs/>
                <w:color w:val="auto"/>
                <w:spacing w:val="0"/>
                <w:lang w:val="es-DO"/>
              </w:rPr>
              <w:t xml:space="preserve">Total General </w:t>
            </w:r>
          </w:p>
        </w:tc>
        <w:tc>
          <w:tcPr>
            <w:tcW w:w="1800" w:type="dxa"/>
            <w:tcBorders>
              <w:top w:val="nil"/>
              <w:left w:val="nil"/>
              <w:bottom w:val="single" w:sz="4" w:space="0" w:color="auto"/>
              <w:right w:val="single" w:sz="4" w:space="0" w:color="auto"/>
            </w:tcBorders>
            <w:shd w:val="clear" w:color="000000" w:fill="142F62"/>
            <w:noWrap/>
            <w:vAlign w:val="center"/>
            <w:hideMark/>
          </w:tcPr>
          <w:p w14:paraId="525F025E" w14:textId="77777777" w:rsidR="00781A65" w:rsidRPr="00781A65" w:rsidRDefault="00781A65" w:rsidP="00781A65">
            <w:pPr>
              <w:spacing w:after="0" w:line="360" w:lineRule="auto"/>
              <w:jc w:val="center"/>
              <w:rPr>
                <w:rFonts w:eastAsia="Times New Roman"/>
                <w:b/>
                <w:bCs/>
                <w:color w:val="auto"/>
                <w:spacing w:val="0"/>
                <w:lang w:val="es-DO"/>
              </w:rPr>
            </w:pPr>
            <w:r w:rsidRPr="00781A65">
              <w:rPr>
                <w:rFonts w:eastAsia="Times New Roman"/>
                <w:b/>
                <w:bCs/>
                <w:color w:val="auto"/>
                <w:spacing w:val="0"/>
                <w:lang w:val="es-DO"/>
              </w:rPr>
              <w:t>850</w:t>
            </w:r>
          </w:p>
        </w:tc>
      </w:tr>
    </w:tbl>
    <w:p w14:paraId="592EFBF6" w14:textId="6730AE4E" w:rsidR="00540854" w:rsidRPr="00310D52" w:rsidRDefault="00540854" w:rsidP="00781A65">
      <w:pPr>
        <w:spacing w:line="360" w:lineRule="auto"/>
        <w:jc w:val="both"/>
        <w:rPr>
          <w:rFonts w:eastAsiaTheme="majorEastAsia"/>
          <w:b/>
          <w:i/>
          <w:iCs/>
          <w:spacing w:val="0"/>
          <w:szCs w:val="28"/>
          <w:lang w:val="es-DO"/>
        </w:rPr>
      </w:pPr>
      <w:r w:rsidRPr="00310D52">
        <w:rPr>
          <w:rFonts w:eastAsia="Calibri"/>
          <w:i/>
          <w:iCs/>
          <w:noProof/>
          <w:sz w:val="18"/>
          <w:szCs w:val="18"/>
          <w:lang w:val="es-DO"/>
        </w:rPr>
        <w:t>Fuente: Departamento de Gestión Extrahospitalaria</w:t>
      </w:r>
    </w:p>
    <w:p w14:paraId="17992DC6" w14:textId="49CD0016" w:rsidR="00A72627" w:rsidRPr="00310D52" w:rsidRDefault="00A72627" w:rsidP="00434602">
      <w:pPr>
        <w:spacing w:line="360" w:lineRule="auto"/>
        <w:jc w:val="both"/>
        <w:rPr>
          <w:rFonts w:eastAsiaTheme="majorEastAsia"/>
          <w:b/>
          <w:spacing w:val="0"/>
          <w:szCs w:val="28"/>
          <w:lang w:val="es-DO"/>
        </w:rPr>
      </w:pPr>
      <w:r w:rsidRPr="00310D52">
        <w:rPr>
          <w:rFonts w:eastAsiaTheme="majorEastAsia"/>
          <w:b/>
          <w:spacing w:val="0"/>
          <w:szCs w:val="28"/>
          <w:lang w:val="es-DO"/>
        </w:rPr>
        <w:t>Tabla de Preposiciones de Unidades de Ambulancia Prehospitalarias</w:t>
      </w:r>
    </w:p>
    <w:p w14:paraId="749C7980" w14:textId="18946778" w:rsidR="00A72627" w:rsidRPr="00310D52" w:rsidRDefault="00781A65" w:rsidP="00434602">
      <w:pPr>
        <w:spacing w:after="0" w:line="360" w:lineRule="auto"/>
        <w:jc w:val="both"/>
        <w:rPr>
          <w:rFonts w:eastAsia="Calibri"/>
          <w:noProof/>
          <w:lang w:val="es-DO"/>
        </w:rPr>
      </w:pPr>
      <w:r w:rsidRPr="00310D52">
        <w:rPr>
          <w:rFonts w:eastAsia="Calibri"/>
          <w:noProof/>
          <w:lang w:val="es-DO"/>
        </w:rPr>
        <w:object w:dxaOrig="8977" w:dyaOrig="8482" w14:anchorId="0C4850B4">
          <v:shape id="_x0000_i1025" type="#_x0000_t75" style="width:369.6pt;height:372pt" o:ole="">
            <v:imagedata r:id="rId15" o:title=""/>
          </v:shape>
          <o:OLEObject Type="Embed" ProgID="Excel.Sheet.12" ShapeID="_x0000_i1025" DrawAspect="Content" ObjectID="_1827944957" r:id="rId16"/>
        </w:object>
      </w:r>
    </w:p>
    <w:p w14:paraId="5C585998" w14:textId="673CC0A3" w:rsidR="00A72627" w:rsidRPr="00310D52" w:rsidRDefault="00A72627" w:rsidP="00434602">
      <w:pPr>
        <w:spacing w:after="0" w:line="360" w:lineRule="auto"/>
        <w:jc w:val="both"/>
        <w:rPr>
          <w:rFonts w:eastAsia="Calibri"/>
          <w:i/>
          <w:iCs/>
          <w:noProof/>
          <w:sz w:val="20"/>
          <w:szCs w:val="20"/>
          <w:lang w:val="es-DO"/>
        </w:rPr>
      </w:pPr>
      <w:r w:rsidRPr="00310D52">
        <w:rPr>
          <w:rFonts w:eastAsia="Calibri"/>
          <w:i/>
          <w:iCs/>
          <w:noProof/>
          <w:sz w:val="20"/>
          <w:szCs w:val="20"/>
          <w:lang w:val="es-DO"/>
        </w:rPr>
        <w:t>Fuente: Departamento de Gestión Extrahospitalaria</w:t>
      </w:r>
    </w:p>
    <w:p w14:paraId="51D742C2" w14:textId="2C637A23" w:rsidR="00A72627" w:rsidRPr="00310D52" w:rsidRDefault="00A72627" w:rsidP="00434602">
      <w:pPr>
        <w:spacing w:line="360" w:lineRule="auto"/>
        <w:jc w:val="both"/>
        <w:rPr>
          <w:rFonts w:eastAsiaTheme="majorEastAsia"/>
          <w:b/>
          <w:spacing w:val="0"/>
          <w:szCs w:val="28"/>
          <w:lang w:val="es-DO"/>
        </w:rPr>
      </w:pPr>
      <w:r w:rsidRPr="00310D52">
        <w:rPr>
          <w:rFonts w:eastAsiaTheme="majorEastAsia"/>
          <w:b/>
          <w:spacing w:val="0"/>
          <w:szCs w:val="28"/>
          <w:lang w:val="es-DO"/>
        </w:rPr>
        <w:lastRenderedPageBreak/>
        <w:t>Tabla de Unidades de Ambulancia Interhospitalarias</w:t>
      </w:r>
    </w:p>
    <w:p w14:paraId="65AE2FF4" w14:textId="112D4305" w:rsidR="00A72627" w:rsidRPr="00310D52" w:rsidRDefault="0019602B" w:rsidP="00434602">
      <w:pPr>
        <w:spacing w:line="360" w:lineRule="auto"/>
        <w:jc w:val="both"/>
        <w:rPr>
          <w:rFonts w:eastAsia="Calibri"/>
          <w:noProof/>
          <w:sz w:val="20"/>
          <w:szCs w:val="20"/>
          <w:lang w:val="es-DO"/>
        </w:rPr>
      </w:pPr>
      <w:r w:rsidRPr="00310D52">
        <w:rPr>
          <w:rFonts w:eastAsia="Calibri"/>
          <w:noProof/>
          <w:sz w:val="20"/>
          <w:szCs w:val="20"/>
          <w:lang w:val="es-DO"/>
        </w:rPr>
        <w:object w:dxaOrig="10682" w:dyaOrig="10676" w14:anchorId="643F69E7">
          <v:shape id="_x0000_i1026" type="#_x0000_t75" style="width:406.2pt;height:476.4pt" o:ole="">
            <v:imagedata r:id="rId17" o:title=""/>
          </v:shape>
          <o:OLEObject Type="Embed" ProgID="Excel.Sheet.12" ShapeID="_x0000_i1026" DrawAspect="Content" ObjectID="_1827944958" r:id="rId18"/>
        </w:object>
      </w:r>
    </w:p>
    <w:p w14:paraId="576D5B01" w14:textId="77777777" w:rsidR="0019602B" w:rsidRPr="00310D52" w:rsidRDefault="0019602B" w:rsidP="00434602">
      <w:pPr>
        <w:spacing w:line="360" w:lineRule="auto"/>
        <w:jc w:val="both"/>
        <w:rPr>
          <w:rFonts w:eastAsia="Calibri"/>
          <w:i/>
          <w:iCs/>
          <w:noProof/>
          <w:sz w:val="20"/>
          <w:szCs w:val="20"/>
          <w:lang w:val="es-DO"/>
        </w:rPr>
      </w:pPr>
      <w:r w:rsidRPr="00310D52">
        <w:rPr>
          <w:rFonts w:eastAsia="Calibri"/>
          <w:i/>
          <w:iCs/>
          <w:noProof/>
          <w:sz w:val="20"/>
          <w:szCs w:val="20"/>
          <w:lang w:val="es-DO"/>
        </w:rPr>
        <w:t>Fuente: Departamento de Gestión Extrahospitalaria</w:t>
      </w:r>
    </w:p>
    <w:p w14:paraId="4119A72B" w14:textId="77777777" w:rsidR="005B472D" w:rsidRPr="00310D52" w:rsidRDefault="005B472D" w:rsidP="00434602">
      <w:pPr>
        <w:spacing w:line="360" w:lineRule="auto"/>
        <w:jc w:val="both"/>
        <w:rPr>
          <w:rFonts w:eastAsia="Calibri"/>
          <w:i/>
          <w:iCs/>
          <w:noProof/>
          <w:sz w:val="20"/>
          <w:szCs w:val="20"/>
          <w:lang w:val="es-DO"/>
        </w:rPr>
      </w:pPr>
    </w:p>
    <w:p w14:paraId="771BE2BB" w14:textId="77777777" w:rsidR="005B472D" w:rsidRPr="00310D52" w:rsidRDefault="005B472D" w:rsidP="00434602">
      <w:pPr>
        <w:spacing w:line="360" w:lineRule="auto"/>
        <w:jc w:val="both"/>
        <w:rPr>
          <w:rFonts w:eastAsia="Calibri"/>
          <w:i/>
          <w:iCs/>
          <w:noProof/>
          <w:sz w:val="20"/>
          <w:szCs w:val="20"/>
          <w:lang w:val="es-DO"/>
        </w:rPr>
      </w:pPr>
    </w:p>
    <w:p w14:paraId="60F42B1D" w14:textId="77777777" w:rsidR="005B1419" w:rsidRPr="00310D52" w:rsidRDefault="005B1419" w:rsidP="00434602">
      <w:pPr>
        <w:spacing w:line="360" w:lineRule="auto"/>
        <w:jc w:val="both"/>
        <w:rPr>
          <w:rFonts w:eastAsia="Calibri"/>
          <w:i/>
          <w:iCs/>
          <w:noProof/>
          <w:sz w:val="20"/>
          <w:szCs w:val="20"/>
          <w:lang w:val="es-DO"/>
        </w:rPr>
      </w:pPr>
    </w:p>
    <w:p w14:paraId="108C98C6" w14:textId="6CA47C2F" w:rsidR="002B61DF" w:rsidRPr="00F06D9C" w:rsidRDefault="002B61DF" w:rsidP="00434602">
      <w:pPr>
        <w:keepNext/>
        <w:keepLines/>
        <w:numPr>
          <w:ilvl w:val="1"/>
          <w:numId w:val="10"/>
        </w:numPr>
        <w:spacing w:before="240" w:after="0" w:line="360" w:lineRule="auto"/>
        <w:ind w:left="0" w:hanging="450"/>
        <w:jc w:val="both"/>
        <w:outlineLvl w:val="0"/>
        <w:rPr>
          <w:rFonts w:eastAsiaTheme="majorEastAsia"/>
          <w:b/>
          <w:spacing w:val="0"/>
          <w:lang w:val="es-DO"/>
        </w:rPr>
      </w:pPr>
      <w:bookmarkStart w:id="18" w:name="_Toc217050884"/>
      <w:r w:rsidRPr="00F06D9C">
        <w:rPr>
          <w:rFonts w:eastAsiaTheme="majorEastAsia"/>
          <w:b/>
          <w:spacing w:val="0"/>
          <w:lang w:val="es-DO"/>
        </w:rPr>
        <w:lastRenderedPageBreak/>
        <w:t>Expansión de la cobertura territorial.</w:t>
      </w:r>
      <w:bookmarkEnd w:id="18"/>
    </w:p>
    <w:p w14:paraId="0C7D7096" w14:textId="385C46F1" w:rsidR="0005527B" w:rsidRPr="00310D52" w:rsidRDefault="00233626" w:rsidP="00781A65">
      <w:pPr>
        <w:spacing w:line="360" w:lineRule="auto"/>
        <w:jc w:val="both"/>
        <w:rPr>
          <w:rFonts w:eastAsia="Calibri"/>
          <w:noProof/>
          <w:lang w:val="es-DO"/>
        </w:rPr>
      </w:pPr>
      <w:r w:rsidRPr="00310D52">
        <w:rPr>
          <w:rFonts w:eastAsia="Calibri"/>
          <w:noProof/>
          <w:lang w:val="es-DO"/>
        </w:rPr>
        <w:t>En el marco de la expansión del Sistema Nacional de Atención a Emergencias y Seguridad 9</w:t>
      </w:r>
      <w:r w:rsidR="008358E8" w:rsidRPr="00310D52">
        <w:rPr>
          <w:rFonts w:eastAsia="Calibri"/>
          <w:noProof/>
          <w:lang w:val="es-DO"/>
        </w:rPr>
        <w:t>-</w:t>
      </w:r>
      <w:r w:rsidRPr="00310D52">
        <w:rPr>
          <w:rFonts w:eastAsia="Calibri"/>
          <w:noProof/>
          <w:lang w:val="es-DO"/>
        </w:rPr>
        <w:t>1</w:t>
      </w:r>
      <w:r w:rsidR="008358E8" w:rsidRPr="00310D52">
        <w:rPr>
          <w:rFonts w:eastAsia="Calibri"/>
          <w:noProof/>
          <w:lang w:val="es-DO"/>
        </w:rPr>
        <w:t>-</w:t>
      </w:r>
      <w:r w:rsidRPr="00310D52">
        <w:rPr>
          <w:rFonts w:eastAsia="Calibri"/>
          <w:noProof/>
          <w:lang w:val="es-DO"/>
        </w:rPr>
        <w:t xml:space="preserve">1, la DAEH puso en funcionamiento la nueva base operativa en la provincia de Pedernales, desde donde se coordinarán las labores administrativas, logísticas y de respuesta ante emergencias. Como parte de esta ampliación, se integraron </w:t>
      </w:r>
      <w:r w:rsidR="0046718F" w:rsidRPr="00310D52">
        <w:rPr>
          <w:rFonts w:eastAsia="Calibri"/>
          <w:noProof/>
          <w:lang w:val="es-DO"/>
        </w:rPr>
        <w:t>13</w:t>
      </w:r>
      <w:r w:rsidRPr="00310D52">
        <w:rPr>
          <w:rFonts w:eastAsia="Calibri"/>
          <w:noProof/>
          <w:lang w:val="es-DO"/>
        </w:rPr>
        <w:t xml:space="preserve"> ambulancias totalmente equipadas, distribuidas en puntos estratégicos, incluido el corredor turístico de Cabo Rojo, con el propósito de garantizar atención prehospitalaria oportuna y permanente. Esta iniciativa fortalece la capacidad de respuesta en una provincia de creciente desarrollo turístico y mejora el acceso de residentes y visitantes a los servicios de salud extrahospitalaria.</w:t>
      </w:r>
    </w:p>
    <w:p w14:paraId="1EA1E8E4" w14:textId="0875C24A" w:rsidR="003310D1" w:rsidRPr="00F06D9C" w:rsidRDefault="003310D1" w:rsidP="00434602">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19" w:name="_Toc217050885"/>
      <w:r w:rsidRPr="00F06D9C">
        <w:rPr>
          <w:rFonts w:eastAsiaTheme="majorEastAsia"/>
          <w:b/>
          <w:spacing w:val="0"/>
          <w:szCs w:val="28"/>
          <w:lang w:val="es-DO"/>
        </w:rPr>
        <w:t>Gestión del Riesgo y Respuesta ante Desastres</w:t>
      </w:r>
      <w:bookmarkEnd w:id="19"/>
    </w:p>
    <w:p w14:paraId="2D8347F1" w14:textId="77777777" w:rsidR="003310D1" w:rsidRPr="00310D52" w:rsidRDefault="003310D1" w:rsidP="00434602">
      <w:pPr>
        <w:spacing w:line="360" w:lineRule="auto"/>
        <w:jc w:val="both"/>
        <w:rPr>
          <w:rFonts w:eastAsia="Calibri"/>
          <w:noProof/>
          <w:lang w:val="es-DO"/>
        </w:rPr>
      </w:pPr>
      <w:r w:rsidRPr="00310D52">
        <w:rPr>
          <w:rFonts w:eastAsia="Calibri"/>
          <w:noProof/>
          <w:lang w:val="es-DO"/>
        </w:rPr>
        <w:t>La gestión de riesgos se fortaleció significativamente mediante acciones orientadas a la prevención, preparación y respuesta ante emergencias. Se desarrollaron talleres especializados en primeros auxilios, emergencias de origen natural y evacuación dirigidos a las brigadas de respuesta de la DAEH y los CRUE a nivel nacional, junto con capacitaciones teórico-prácticas en combate contra incendios y manejo de eventos naturales y antrópicos. Como parte del apoyo directo a la ciudadanía, se instalaron carpas médicas en actividades masivas en Santo Domingo, Santiago y Bonao, donde se brindó asistencia a</w:t>
      </w:r>
      <w:r w:rsidRPr="00310D52">
        <w:rPr>
          <w:rFonts w:eastAsia="Calibri"/>
          <w:b/>
          <w:bCs/>
          <w:noProof/>
          <w:lang w:val="es-DO"/>
        </w:rPr>
        <w:t xml:space="preserve"> </w:t>
      </w:r>
      <w:r w:rsidRPr="00310D52">
        <w:rPr>
          <w:rFonts w:eastAsia="Calibri"/>
          <w:noProof/>
          <w:lang w:val="es-DO"/>
        </w:rPr>
        <w:t>127 personas en total.</w:t>
      </w:r>
    </w:p>
    <w:p w14:paraId="68CC7446" w14:textId="77777777" w:rsidR="0019602B" w:rsidRPr="00310D52" w:rsidRDefault="003310D1" w:rsidP="00434602">
      <w:pPr>
        <w:spacing w:line="360" w:lineRule="auto"/>
        <w:jc w:val="both"/>
        <w:rPr>
          <w:rFonts w:eastAsia="Calibri"/>
          <w:noProof/>
          <w:lang w:val="es-DO"/>
        </w:rPr>
      </w:pPr>
      <w:r w:rsidRPr="00310D52">
        <w:rPr>
          <w:rFonts w:eastAsia="Calibri"/>
          <w:noProof/>
          <w:lang w:val="es-DO"/>
        </w:rPr>
        <w:t xml:space="preserve">Para garantizar una coordinación eficaz durante los principales operativos nacionales, se establecieron mesas de trabajo con el COE, el MSP, el SNS, autoridades municipales y equipos internos de la institución, orientadas a la preparación del Operativo Semana Santa 2025 y la temporada ciclónica. </w:t>
      </w:r>
    </w:p>
    <w:p w14:paraId="75BB51C3" w14:textId="76CE70DB" w:rsidR="003310D1" w:rsidRPr="00310D52" w:rsidRDefault="003310D1" w:rsidP="00434602">
      <w:pPr>
        <w:spacing w:line="360" w:lineRule="auto"/>
        <w:jc w:val="both"/>
        <w:rPr>
          <w:rFonts w:eastAsia="Calibri"/>
          <w:noProof/>
          <w:lang w:val="es-DO"/>
        </w:rPr>
      </w:pPr>
      <w:r w:rsidRPr="00310D52">
        <w:rPr>
          <w:rFonts w:eastAsia="Calibri"/>
          <w:noProof/>
          <w:lang w:val="es-DO"/>
        </w:rPr>
        <w:t xml:space="preserve">Asimismo, se participó activamente en el Simulacro Nacional de Evacuación, logrando la </w:t>
      </w:r>
      <w:r w:rsidRPr="00310D52">
        <w:rPr>
          <w:rFonts w:eastAsia="Calibri"/>
          <w:noProof/>
          <w:lang w:val="es-DO"/>
        </w:rPr>
        <w:lastRenderedPageBreak/>
        <w:t xml:space="preserve">movilización de 948 personas entre la sede central, edificio 2 y los CRUE a nivel nacional. También se mantuvo acompañamiento técnico en ferias, operativos navideños y procesos de elaboración de planes de emergencia regionales, involucrando a más de 30 colaboradores. </w:t>
      </w:r>
    </w:p>
    <w:p w14:paraId="63DDF23B" w14:textId="5C6C5730" w:rsidR="003310D1" w:rsidRPr="00310D52" w:rsidRDefault="003310D1" w:rsidP="00434602">
      <w:pPr>
        <w:spacing w:line="360" w:lineRule="auto"/>
        <w:jc w:val="both"/>
        <w:rPr>
          <w:rFonts w:eastAsia="Calibri"/>
          <w:noProof/>
          <w:lang w:val="es-DO"/>
        </w:rPr>
      </w:pPr>
      <w:r w:rsidRPr="00310D52">
        <w:rPr>
          <w:rFonts w:eastAsia="Calibri"/>
          <w:noProof/>
          <w:lang w:val="es-DO"/>
        </w:rPr>
        <w:t>Estas acciones fueron complementadas con levantamientos de riesgos en las bases operativas y apoyo directo a equipos residenciales, consolidando así una gestión de riesgos más robusta, articulada y orientada a la protección institucional y ciudadana.</w:t>
      </w:r>
    </w:p>
    <w:p w14:paraId="7DE0B5F3" w14:textId="6F20E7DF" w:rsidR="003310D1" w:rsidRPr="00F06D9C" w:rsidRDefault="003310D1" w:rsidP="00434602">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20" w:name="_Toc217050886"/>
      <w:r w:rsidRPr="00F06D9C">
        <w:rPr>
          <w:rFonts w:eastAsiaTheme="majorEastAsia"/>
          <w:b/>
          <w:spacing w:val="0"/>
          <w:szCs w:val="28"/>
          <w:lang w:val="es-DO"/>
        </w:rPr>
        <w:t>Entrenamientos Técnicos</w:t>
      </w:r>
      <w:bookmarkEnd w:id="20"/>
    </w:p>
    <w:p w14:paraId="6052FE50" w14:textId="5388B595" w:rsidR="003310D1" w:rsidRPr="00310D52" w:rsidRDefault="003310D1" w:rsidP="00434602">
      <w:pPr>
        <w:spacing w:line="360" w:lineRule="auto"/>
        <w:jc w:val="both"/>
        <w:rPr>
          <w:rFonts w:eastAsia="Calibri"/>
          <w:noProof/>
          <w:lang w:val="es-DO"/>
        </w:rPr>
      </w:pPr>
      <w:bookmarkStart w:id="21" w:name="_Hlk216270122"/>
      <w:r w:rsidRPr="00310D52">
        <w:rPr>
          <w:rFonts w:eastAsia="Calibri"/>
          <w:noProof/>
          <w:lang w:val="es-DO"/>
        </w:rPr>
        <w:t>El fortalecimiento de capacidades técnicas tuvo un impacto nacional, logrando capacitar a 16,301 personas entre colaboradores asistenciales y población general, mediante el Programa Cuidando Vida y diversas acciones formativas. De este total, 1,401 colaboradores fueron entrenados en control de hemorragias, 2,762 en el uso de ventiladores mecánicos, 1,141 en manejo de pacientes con trauma y 456 en atención a quemaduras. Además, se ejecutaron entrenamientos masivos durante la Feria Internacional del Libro, donde el programa Mano Solo Mano logró impactar a 3,124 personas, reforzando conocimientos en reanimación cardiopulmonar.</w:t>
      </w:r>
    </w:p>
    <w:p w14:paraId="6E029697" w14:textId="5236C609" w:rsidR="003310D1" w:rsidRPr="00310D52" w:rsidRDefault="003310D1" w:rsidP="00434602">
      <w:pPr>
        <w:spacing w:line="360" w:lineRule="auto"/>
        <w:jc w:val="both"/>
        <w:rPr>
          <w:rFonts w:eastAsia="Calibri"/>
          <w:noProof/>
          <w:lang w:val="es-DO"/>
        </w:rPr>
      </w:pPr>
      <w:r w:rsidRPr="00310D52">
        <w:rPr>
          <w:rFonts w:eastAsia="Calibri"/>
          <w:noProof/>
          <w:lang w:val="es-DO"/>
        </w:rPr>
        <w:t xml:space="preserve">Asimismo, 1,282 nuevos colaboradores asistenciales y técnicos en transporte sanitario fueron formados para integrarse a la División de Entrenamiento y Simulacro. Otras acciones incluyeron capacitaciones en evaluación primaria, RCP y uso de DEA para 54 </w:t>
      </w:r>
      <w:bookmarkEnd w:id="21"/>
      <w:r w:rsidRPr="00310D52">
        <w:rPr>
          <w:rFonts w:eastAsia="Calibri"/>
          <w:noProof/>
          <w:lang w:val="es-DO"/>
        </w:rPr>
        <w:t>colaboradores, entrenamientos en soporte vital básico para efectivos militares, así como reforzamientos operativos dirigidos al uso, manejo y funcionamiento de ambulancias, monitores desfibriladores e incubadoras, beneficiando a 269, 105 y 2,249 colaboradores,</w:t>
      </w:r>
      <w:r w:rsidR="00467EB5" w:rsidRPr="00310D52">
        <w:rPr>
          <w:rFonts w:eastAsia="Calibri"/>
          <w:noProof/>
          <w:lang w:val="es-DO"/>
        </w:rPr>
        <w:t xml:space="preserve"> </w:t>
      </w:r>
      <w:r w:rsidRPr="00310D52">
        <w:rPr>
          <w:rFonts w:eastAsia="Calibri"/>
          <w:noProof/>
          <w:lang w:val="es-DO"/>
        </w:rPr>
        <w:t xml:space="preserve">respectivamente. Complementariamente, 1,455 colaboradores fueron entrenados en </w:t>
      </w:r>
      <w:r w:rsidRPr="00310D52">
        <w:rPr>
          <w:rFonts w:eastAsia="Calibri"/>
          <w:noProof/>
          <w:lang w:val="es-DO"/>
        </w:rPr>
        <w:lastRenderedPageBreak/>
        <w:t>emergencias clínicas y 953 en emergencias médicas generales. En conjunto, estas iniciativas evidencian un compromiso sostenido con el desarrollo técnico, la estandarización de competencias y la mejora continua de la capacidad operativa institucional.</w:t>
      </w:r>
    </w:p>
    <w:p w14:paraId="512EB6B0" w14:textId="139BA0C1" w:rsidR="003310D1" w:rsidRPr="00310D52" w:rsidRDefault="003310D1" w:rsidP="00434602">
      <w:pPr>
        <w:spacing w:line="360" w:lineRule="auto"/>
        <w:jc w:val="both"/>
        <w:rPr>
          <w:rFonts w:eastAsia="Calibri"/>
          <w:noProof/>
          <w:lang w:val="es-DO"/>
        </w:rPr>
      </w:pPr>
      <w:r w:rsidRPr="00310D52">
        <w:rPr>
          <w:rFonts w:eastAsia="Calibri"/>
          <w:noProof/>
          <w:lang w:val="es-DO"/>
        </w:rPr>
        <w:t>Desagregado por tipo de capacitación estad</w:t>
      </w:r>
      <w:r w:rsidR="00B92191" w:rsidRPr="00310D52">
        <w:rPr>
          <w:rFonts w:eastAsia="Calibri"/>
          <w:noProof/>
          <w:lang w:val="es-DO"/>
        </w:rPr>
        <w:t>í</w:t>
      </w:r>
      <w:r w:rsidRPr="00310D52">
        <w:rPr>
          <w:rFonts w:eastAsia="Calibri"/>
          <w:noProof/>
          <w:lang w:val="es-DO"/>
        </w:rPr>
        <w:t>sticamente:</w:t>
      </w:r>
    </w:p>
    <w:p w14:paraId="46F7C513" w14:textId="04D37410" w:rsidR="00870AD0" w:rsidRPr="00310D52" w:rsidRDefault="00870AD0" w:rsidP="00434602">
      <w:pPr>
        <w:spacing w:line="360" w:lineRule="auto"/>
        <w:jc w:val="both"/>
        <w:rPr>
          <w:rFonts w:eastAsia="Calibri"/>
          <w:noProof/>
          <w:lang w:val="es-DO"/>
        </w:rPr>
      </w:pPr>
      <w:r w:rsidRPr="00310D52">
        <w:rPr>
          <w:rFonts w:eastAsia="Calibri"/>
          <w:noProof/>
          <w:lang w:val="es-DO"/>
        </w:rPr>
        <w:object w:dxaOrig="8446" w:dyaOrig="7947" w14:anchorId="12E09260">
          <v:shape id="_x0000_i1027" type="#_x0000_t75" style="width:401.4pt;height:397.2pt" o:ole="">
            <v:imagedata r:id="rId19" o:title=""/>
          </v:shape>
          <o:OLEObject Type="Embed" ProgID="Excel.Sheet.12" ShapeID="_x0000_i1027" DrawAspect="Content" ObjectID="_1827944959" r:id="rId20"/>
        </w:object>
      </w:r>
    </w:p>
    <w:p w14:paraId="54E958CD" w14:textId="5ACDB4A5" w:rsidR="0019602B" w:rsidRDefault="003310D1" w:rsidP="00434602">
      <w:pPr>
        <w:spacing w:line="360" w:lineRule="auto"/>
        <w:jc w:val="both"/>
        <w:rPr>
          <w:rFonts w:eastAsia="Calibri"/>
          <w:i/>
          <w:iCs/>
          <w:noProof/>
          <w:sz w:val="18"/>
          <w:szCs w:val="18"/>
          <w:lang w:val="es-DO"/>
        </w:rPr>
      </w:pPr>
      <w:r w:rsidRPr="00310D52">
        <w:rPr>
          <w:rFonts w:eastAsia="Calibri"/>
          <w:i/>
          <w:iCs/>
          <w:noProof/>
          <w:sz w:val="18"/>
          <w:szCs w:val="18"/>
          <w:lang w:val="es-DO"/>
        </w:rPr>
        <w:t>Fuente: División de Entrenamientos y Simulacros</w:t>
      </w:r>
    </w:p>
    <w:p w14:paraId="2C27563F" w14:textId="77777777" w:rsidR="00F06D9C" w:rsidRDefault="00F06D9C" w:rsidP="00434602">
      <w:pPr>
        <w:spacing w:line="360" w:lineRule="auto"/>
        <w:jc w:val="both"/>
        <w:rPr>
          <w:rFonts w:eastAsia="Calibri"/>
          <w:i/>
          <w:iCs/>
          <w:noProof/>
          <w:sz w:val="18"/>
          <w:szCs w:val="18"/>
          <w:lang w:val="es-DO"/>
        </w:rPr>
      </w:pPr>
    </w:p>
    <w:p w14:paraId="1EA43002" w14:textId="77777777" w:rsidR="00F06D9C" w:rsidRPr="00310D52" w:rsidRDefault="00F06D9C" w:rsidP="00434602">
      <w:pPr>
        <w:spacing w:line="360" w:lineRule="auto"/>
        <w:jc w:val="both"/>
        <w:rPr>
          <w:rFonts w:eastAsia="Calibri"/>
          <w:i/>
          <w:iCs/>
          <w:noProof/>
          <w:sz w:val="18"/>
          <w:szCs w:val="18"/>
          <w:lang w:val="es-DO"/>
        </w:rPr>
      </w:pPr>
    </w:p>
    <w:p w14:paraId="2DC842EA" w14:textId="54A29FFE" w:rsidR="002B61DF" w:rsidRPr="00F06D9C" w:rsidRDefault="002B61DF" w:rsidP="00434602">
      <w:pPr>
        <w:keepNext/>
        <w:keepLines/>
        <w:numPr>
          <w:ilvl w:val="1"/>
          <w:numId w:val="10"/>
        </w:numPr>
        <w:spacing w:before="240" w:after="0" w:line="360" w:lineRule="auto"/>
        <w:ind w:left="0" w:hanging="450"/>
        <w:jc w:val="both"/>
        <w:outlineLvl w:val="0"/>
        <w:rPr>
          <w:rFonts w:eastAsiaTheme="majorEastAsia"/>
          <w:b/>
          <w:spacing w:val="0"/>
          <w:szCs w:val="28"/>
          <w:lang w:val="es-DO"/>
        </w:rPr>
      </w:pPr>
      <w:bookmarkStart w:id="22" w:name="_Toc217050887"/>
      <w:r w:rsidRPr="00F06D9C">
        <w:rPr>
          <w:rFonts w:eastAsiaTheme="majorEastAsia"/>
          <w:b/>
          <w:spacing w:val="0"/>
          <w:szCs w:val="28"/>
          <w:lang w:val="es-DO"/>
        </w:rPr>
        <w:lastRenderedPageBreak/>
        <w:t>Coordinación y Enlace con la Red Pública de Salud</w:t>
      </w:r>
      <w:bookmarkEnd w:id="22"/>
    </w:p>
    <w:p w14:paraId="5129A843" w14:textId="53D9370F" w:rsidR="00C4768C" w:rsidRPr="00310D52" w:rsidRDefault="00C4768C" w:rsidP="00434602">
      <w:pPr>
        <w:spacing w:line="360" w:lineRule="auto"/>
        <w:jc w:val="both"/>
        <w:rPr>
          <w:rFonts w:eastAsia="Calibri"/>
          <w:noProof/>
          <w:lang w:val="es-DO"/>
        </w:rPr>
      </w:pPr>
      <w:r w:rsidRPr="00310D52">
        <w:rPr>
          <w:rFonts w:eastAsia="Calibri"/>
          <w:noProof/>
          <w:lang w:val="es-DO"/>
        </w:rPr>
        <w:t xml:space="preserve">Durante el 2025 se ejecutaron </w:t>
      </w:r>
      <w:bookmarkStart w:id="23" w:name="_Hlk216272204"/>
      <w:r w:rsidRPr="00310D52">
        <w:rPr>
          <w:rFonts w:eastAsia="Calibri"/>
          <w:noProof/>
          <w:lang w:val="es-DO"/>
        </w:rPr>
        <w:t>acciones para fortalecer la articulación operativa entre la atención extrahospitalaria, los centros de salud y las instituciones aliadas</w:t>
      </w:r>
      <w:bookmarkEnd w:id="23"/>
      <w:r w:rsidRPr="00310D52">
        <w:rPr>
          <w:rFonts w:eastAsia="Calibri"/>
          <w:noProof/>
          <w:lang w:val="es-DO"/>
        </w:rPr>
        <w:t>. Estas iniciativas contribuyeron a mejorar la calidad, continuidad y oportunidad de la respuesta prehospitalaria, impactando tanto al personal operativo como a los usuarios del sistema.</w:t>
      </w:r>
    </w:p>
    <w:p w14:paraId="2CCB1D6F" w14:textId="31192CB9" w:rsidR="00C4768C" w:rsidRPr="00310D52" w:rsidRDefault="00C4768C" w:rsidP="00434602">
      <w:pPr>
        <w:spacing w:line="360" w:lineRule="auto"/>
        <w:jc w:val="both"/>
        <w:rPr>
          <w:rFonts w:eastAsia="Calibri"/>
          <w:noProof/>
          <w:lang w:val="es-DO"/>
        </w:rPr>
      </w:pPr>
      <w:r w:rsidRPr="00310D52">
        <w:rPr>
          <w:rFonts w:eastAsia="Calibri"/>
          <w:noProof/>
          <w:lang w:val="es-DO"/>
        </w:rPr>
        <w:t>En materia de enlace interinstitucional</w:t>
      </w:r>
      <w:r w:rsidRPr="00310D52">
        <w:rPr>
          <w:rFonts w:eastAsia="Calibri"/>
          <w:b/>
          <w:bCs/>
          <w:noProof/>
          <w:lang w:val="es-DO"/>
        </w:rPr>
        <w:t>,</w:t>
      </w:r>
      <w:r w:rsidRPr="00310D52">
        <w:rPr>
          <w:rFonts w:eastAsia="Calibri"/>
          <w:noProof/>
          <w:lang w:val="es-DO"/>
        </w:rPr>
        <w:t xml:space="preserve"> se consolidó un proceso de coordinación con entidades del sector salud mediante la creación de seis mesas de trabajo con el Ministerio de Salud Pública, CONAPE, la Dirección Materno Infantil y el área de Salud Mental del SNS, entre otros. Estas mesas permitieron avanzar en la revisión y actualización de lineamientos asistenciales, incluyendo la elaboración de protocolos para el traslado de pacientes respiratorios e infectocontagiosos, con énfasis en tuberculosis, beneficiando directamente al equipo técnico del CRUE y al personal hospitalario vinculado a los procesos de atención y transferencia de pacientes.</w:t>
      </w:r>
    </w:p>
    <w:p w14:paraId="0F0294A2" w14:textId="710CD421" w:rsidR="00467EB5" w:rsidRPr="00310D52" w:rsidRDefault="00C4768C" w:rsidP="00434602">
      <w:pPr>
        <w:spacing w:line="360" w:lineRule="auto"/>
        <w:jc w:val="both"/>
        <w:rPr>
          <w:rFonts w:eastAsia="Calibri"/>
          <w:noProof/>
          <w:lang w:val="es-DO"/>
        </w:rPr>
      </w:pPr>
      <w:r w:rsidRPr="00310D52">
        <w:rPr>
          <w:rFonts w:eastAsia="Calibri"/>
          <w:noProof/>
          <w:lang w:val="es-DO"/>
        </w:rPr>
        <w:t>Como parte del Programa de Salud Mental Institucional, se fortaleció el acompañamiento emocional del personal, especialmente de aquellos expuestos a situaciones críticas. Se implementaron Primeros Auxilios Psicológicos para colaboradores involucrados en eventos de alto impacto, beneficiando a 75 personas, además de la realización de talleres preventivos de bienestar emocional, que impactaron a 50 colaboradores. Estas acciones consolidan un modelo de apoyo continuo que favorece la estabilidad emocional y el desempeño del talento humano.</w:t>
      </w:r>
    </w:p>
    <w:p w14:paraId="147FB737" w14:textId="77777777" w:rsidR="00C336E5" w:rsidRPr="00310D52" w:rsidRDefault="0019602B" w:rsidP="00434602">
      <w:pPr>
        <w:spacing w:line="360" w:lineRule="auto"/>
        <w:jc w:val="both"/>
        <w:rPr>
          <w:rFonts w:eastAsia="Calibri"/>
          <w:noProof/>
          <w:lang w:val="es-DO"/>
        </w:rPr>
      </w:pPr>
      <w:r w:rsidRPr="00310D52">
        <w:rPr>
          <w:rFonts w:eastAsia="Calibri"/>
          <w:noProof/>
          <w:lang w:val="es-DO"/>
        </w:rPr>
        <w:t>El fortalecimiento de las capacidades técnicas y del bienestar del personal constituyó un componente esencial durante el período.</w:t>
      </w:r>
    </w:p>
    <w:p w14:paraId="64AABA6F" w14:textId="1B332784" w:rsidR="00C4768C" w:rsidRPr="00310D52" w:rsidRDefault="0019602B" w:rsidP="00781A65">
      <w:pPr>
        <w:spacing w:line="360" w:lineRule="auto"/>
        <w:jc w:val="both"/>
        <w:rPr>
          <w:rFonts w:eastAsia="Calibri"/>
          <w:noProof/>
          <w:lang w:val="es-DO"/>
        </w:rPr>
      </w:pPr>
      <w:r w:rsidRPr="00310D52">
        <w:rPr>
          <w:rFonts w:eastAsia="Calibri"/>
          <w:noProof/>
          <w:lang w:val="es-DO"/>
        </w:rPr>
        <w:lastRenderedPageBreak/>
        <w:t>En este marco, se desarrolló un programa integral de formación y acompañamiento que incluyó el Taller de Traslado Neonatal Seguro, dirigido a 15 colaboradores del CRUE, y el Taller de Desensibilización Sistemática, enfocado en el manejo emocional del estrés, que benefició a 20 colaboradores. De manera complementaria, se realizaron jornadas de debriefing post-eventos críticos con la participación de 37 colaboradores, así como consultas psicológicas que brindaron atención directa a 148 personas y consultas nutricionales para 132 colaboradores, contribuyendo de forma integral al fortalecimiento del desempeño, la estabilidad emocional y el bienestar del talento humano.</w:t>
      </w:r>
    </w:p>
    <w:p w14:paraId="26EADE64" w14:textId="02A47EAB" w:rsidR="002B61DF" w:rsidRPr="00310D52" w:rsidRDefault="00C4768C" w:rsidP="00781A65">
      <w:pPr>
        <w:spacing w:line="360" w:lineRule="auto"/>
        <w:jc w:val="both"/>
        <w:rPr>
          <w:rFonts w:eastAsia="Calibri"/>
          <w:noProof/>
          <w:lang w:val="es-DO"/>
        </w:rPr>
      </w:pPr>
      <w:r w:rsidRPr="00310D52">
        <w:rPr>
          <w:rFonts w:eastAsia="Calibri"/>
          <w:noProof/>
          <w:lang w:val="es-DO"/>
        </w:rPr>
        <w:t>En cuanto al soporte operativo, se mantuvo un monitoreo permanente a la retención de unidades, logrando la liberación de más de 5,200 ambulancias durante el año, acción que impacta directamente en la disponibilidad de respuesta del Sistema 9-1-1 en todas las provincias cubiertas. Adicionalmente, se brindó acompañamiento en situaciones críticas como la atención psicosocial tras el siniestro del Jet Set, ofreciendo apoyo a 25 familias e involucrando a 75 colaboradores en la operación de respuesta. También se apoyó la implementación del Código Ictus en Santiago, contribuyendo al fortalecimiento de los circuitos de atención para eventos cerebrovasculares.</w:t>
      </w:r>
    </w:p>
    <w:p w14:paraId="71F9221D" w14:textId="1DC939BB" w:rsidR="00C336E5" w:rsidRPr="00310D52" w:rsidRDefault="00C336E5" w:rsidP="00434602">
      <w:pPr>
        <w:spacing w:line="360" w:lineRule="auto"/>
        <w:jc w:val="both"/>
        <w:rPr>
          <w:rFonts w:eastAsia="Calibri"/>
          <w:noProof/>
          <w:lang w:val="es-DO"/>
        </w:rPr>
      </w:pPr>
    </w:p>
    <w:p w14:paraId="01FF8F50" w14:textId="77777777" w:rsidR="00C336E5" w:rsidRPr="00310D52" w:rsidRDefault="00C336E5" w:rsidP="00434602">
      <w:pPr>
        <w:spacing w:line="360" w:lineRule="auto"/>
        <w:jc w:val="both"/>
        <w:rPr>
          <w:rFonts w:eastAsia="Calibri"/>
          <w:noProof/>
          <w:lang w:val="es-DO"/>
        </w:rPr>
      </w:pPr>
    </w:p>
    <w:p w14:paraId="0E9B9DFB" w14:textId="77777777" w:rsidR="00C336E5" w:rsidRPr="00310D52" w:rsidRDefault="00C336E5" w:rsidP="00C336E5">
      <w:pPr>
        <w:spacing w:line="360" w:lineRule="auto"/>
        <w:jc w:val="both"/>
        <w:rPr>
          <w:rFonts w:eastAsia="Calibri"/>
          <w:noProof/>
          <w:lang w:val="es-DO"/>
        </w:rPr>
      </w:pPr>
    </w:p>
    <w:p w14:paraId="7A23F787" w14:textId="77777777" w:rsidR="00C336E5" w:rsidRPr="00310D52" w:rsidRDefault="00C336E5" w:rsidP="00C336E5">
      <w:pPr>
        <w:spacing w:line="360" w:lineRule="auto"/>
        <w:jc w:val="both"/>
        <w:rPr>
          <w:rFonts w:eastAsia="Calibri"/>
          <w:noProof/>
          <w:lang w:val="es-DO"/>
        </w:rPr>
      </w:pPr>
    </w:p>
    <w:p w14:paraId="1CF3B87F" w14:textId="77777777" w:rsidR="00C336E5" w:rsidRPr="00310D52" w:rsidRDefault="00C336E5" w:rsidP="00C336E5">
      <w:pPr>
        <w:spacing w:line="360" w:lineRule="auto"/>
        <w:jc w:val="both"/>
        <w:rPr>
          <w:rFonts w:eastAsia="Calibri"/>
          <w:noProof/>
          <w:lang w:val="es-DO"/>
        </w:rPr>
      </w:pPr>
    </w:p>
    <w:p w14:paraId="480AB252" w14:textId="760B2B21" w:rsidR="00654164" w:rsidRPr="00310D52" w:rsidRDefault="00654164" w:rsidP="00380E7E">
      <w:pPr>
        <w:pStyle w:val="Ttulo1"/>
        <w:numPr>
          <w:ilvl w:val="0"/>
          <w:numId w:val="1"/>
        </w:numPr>
        <w:rPr>
          <w:rFonts w:cs="Times New Roman"/>
          <w:color w:val="767171"/>
          <w:lang w:val="es-DO"/>
        </w:rPr>
      </w:pPr>
      <w:bookmarkStart w:id="24" w:name="_Toc217050888"/>
      <w:r w:rsidRPr="00310D52">
        <w:rPr>
          <w:rFonts w:cs="Times New Roman"/>
          <w:color w:val="767171"/>
          <w:lang w:val="es-DO"/>
        </w:rPr>
        <w:lastRenderedPageBreak/>
        <w:t>RESULTADOS DE LAS ÁREAS TRANSVERSALES Y DE APOYO</w:t>
      </w:r>
      <w:bookmarkEnd w:id="24"/>
    </w:p>
    <w:p w14:paraId="5D67DA4A" w14:textId="77777777" w:rsidR="00654164" w:rsidRPr="00310D52" w:rsidRDefault="00654164" w:rsidP="00654164">
      <w:pPr>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310D52" w:rsidRDefault="00654164" w:rsidP="00654164">
      <w:pPr>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2BBFC4CF" w14:textId="77777777" w:rsidR="00654164" w:rsidRPr="00310D52" w:rsidRDefault="00654164" w:rsidP="00654164">
      <w:pPr>
        <w:jc w:val="center"/>
        <w:rPr>
          <w:noProof/>
          <w:lang w:val="es-DO"/>
        </w:rPr>
      </w:pPr>
    </w:p>
    <w:p w14:paraId="0EFE30EC" w14:textId="4659C8E7" w:rsidR="005C3D4D" w:rsidRPr="00F06D9C" w:rsidRDefault="005C3D4D" w:rsidP="00F06D9C">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25" w:name="_Toc217050889"/>
      <w:bookmarkStart w:id="26" w:name="_Toc184936518"/>
      <w:r w:rsidRPr="00F06D9C">
        <w:rPr>
          <w:rFonts w:eastAsiaTheme="majorEastAsia"/>
          <w:b/>
          <w:spacing w:val="0"/>
          <w:szCs w:val="28"/>
          <w:lang w:val="es-DO"/>
        </w:rPr>
        <w:t>Desempeño Área Administrativa y Financiera</w:t>
      </w:r>
      <w:bookmarkEnd w:id="25"/>
    </w:p>
    <w:p w14:paraId="43AE2D5B" w14:textId="53B92204" w:rsidR="005C3D4D" w:rsidRPr="00310D52" w:rsidRDefault="005C3D4D" w:rsidP="005C3D4D">
      <w:pPr>
        <w:spacing w:line="360" w:lineRule="auto"/>
        <w:jc w:val="both"/>
        <w:rPr>
          <w:rFonts w:eastAsia="Calibri"/>
          <w:noProof/>
          <w:lang w:val="es-DO"/>
        </w:rPr>
      </w:pPr>
      <w:r w:rsidRPr="00310D52">
        <w:rPr>
          <w:rFonts w:eastAsia="Calibri"/>
          <w:noProof/>
          <w:lang w:val="es-DO"/>
        </w:rPr>
        <w:t>La Dirección de Servicios de Atención a Emergencias Extrahospitalarias (DAEH), para el año 2025 se le asignó un presupuesto de RD$7,256,831,790.00</w:t>
      </w:r>
      <w:r w:rsidRPr="00310D52">
        <w:rPr>
          <w:rFonts w:eastAsia="Calibri"/>
          <w:b/>
          <w:bCs/>
          <w:noProof/>
          <w:lang w:val="es-DO"/>
        </w:rPr>
        <w:t>,</w:t>
      </w:r>
      <w:r w:rsidRPr="00310D52">
        <w:rPr>
          <w:rFonts w:eastAsia="Calibri"/>
          <w:noProof/>
          <w:lang w:val="es-DO"/>
        </w:rPr>
        <w:t xml:space="preserve"> para dar continuidad a su misión de proveer asistencia sanitaria urgente, especializada, oportuna y adecuada en beneficio de todos los usuarios en el territorio nacional.</w:t>
      </w:r>
    </w:p>
    <w:p w14:paraId="7E0D72D1" w14:textId="12812617" w:rsidR="005C3D4D" w:rsidRPr="00310D52" w:rsidRDefault="005C3D4D" w:rsidP="005C3D4D">
      <w:pPr>
        <w:spacing w:line="360" w:lineRule="auto"/>
        <w:jc w:val="both"/>
        <w:rPr>
          <w:rFonts w:eastAsia="Calibri"/>
          <w:b/>
          <w:bCs/>
          <w:noProof/>
          <w:lang w:val="es-DO"/>
        </w:rPr>
      </w:pPr>
      <w:r w:rsidRPr="00310D52">
        <w:rPr>
          <w:rFonts w:eastAsia="Calibri"/>
          <w:b/>
          <w:bCs/>
          <w:noProof/>
          <w:lang w:val="es-DO"/>
        </w:rPr>
        <w:t>Presupuesto Aprobado Año 2025 por Objeto del Gasto</w:t>
      </w:r>
      <w:r w:rsidR="00E334A5" w:rsidRPr="00310D52">
        <w:rPr>
          <w:rFonts w:eastAsia="Calibri"/>
          <w:b/>
          <w:bCs/>
          <w:noProof/>
          <w:lang w:val="es-DO"/>
        </w:rPr>
        <w:t xml:space="preserve"> (RD$)</w:t>
      </w:r>
    </w:p>
    <w:tbl>
      <w:tblPr>
        <w:tblW w:w="6280" w:type="dxa"/>
        <w:tblLook w:val="04A0" w:firstRow="1" w:lastRow="0" w:firstColumn="1" w:lastColumn="0" w:noHBand="0" w:noVBand="1"/>
      </w:tblPr>
      <w:tblGrid>
        <w:gridCol w:w="4480"/>
        <w:gridCol w:w="1896"/>
      </w:tblGrid>
      <w:tr w:rsidR="00310D52" w:rsidRPr="00870AD0" w14:paraId="4A1ACA80" w14:textId="77777777" w:rsidTr="00870AD0">
        <w:trPr>
          <w:trHeight w:val="315"/>
        </w:trPr>
        <w:tc>
          <w:tcPr>
            <w:tcW w:w="448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057A8F59" w14:textId="77777777" w:rsidR="00870AD0" w:rsidRPr="00870AD0" w:rsidRDefault="00870AD0" w:rsidP="00870AD0">
            <w:pPr>
              <w:spacing w:after="0" w:line="240" w:lineRule="auto"/>
              <w:jc w:val="center"/>
              <w:rPr>
                <w:rFonts w:eastAsia="Times New Roman"/>
                <w:b/>
                <w:bCs/>
                <w:color w:val="auto"/>
                <w:spacing w:val="0"/>
                <w:lang w:val="es-DO"/>
              </w:rPr>
            </w:pPr>
            <w:r w:rsidRPr="00870AD0">
              <w:rPr>
                <w:rFonts w:eastAsia="Times New Roman"/>
                <w:b/>
                <w:bCs/>
                <w:color w:val="auto"/>
                <w:spacing w:val="0"/>
                <w:lang w:val="es-DO"/>
              </w:rPr>
              <w:t>Agrupaciones</w:t>
            </w:r>
          </w:p>
        </w:tc>
        <w:tc>
          <w:tcPr>
            <w:tcW w:w="1800" w:type="dxa"/>
            <w:tcBorders>
              <w:top w:val="single" w:sz="4" w:space="0" w:color="auto"/>
              <w:left w:val="nil"/>
              <w:bottom w:val="single" w:sz="4" w:space="0" w:color="auto"/>
              <w:right w:val="single" w:sz="4" w:space="0" w:color="auto"/>
            </w:tcBorders>
            <w:shd w:val="clear" w:color="000000" w:fill="142F62"/>
            <w:noWrap/>
            <w:vAlign w:val="center"/>
            <w:hideMark/>
          </w:tcPr>
          <w:p w14:paraId="49D9F863" w14:textId="77777777" w:rsidR="00870AD0" w:rsidRPr="00870AD0" w:rsidRDefault="00870AD0" w:rsidP="00870AD0">
            <w:pPr>
              <w:spacing w:after="0" w:line="240" w:lineRule="auto"/>
              <w:jc w:val="center"/>
              <w:rPr>
                <w:rFonts w:eastAsia="Times New Roman"/>
                <w:b/>
                <w:bCs/>
                <w:color w:val="auto"/>
                <w:spacing w:val="0"/>
                <w:lang w:val="es-DO"/>
              </w:rPr>
            </w:pPr>
            <w:r w:rsidRPr="00870AD0">
              <w:rPr>
                <w:rFonts w:eastAsia="Times New Roman"/>
                <w:b/>
                <w:bCs/>
                <w:color w:val="auto"/>
                <w:spacing w:val="0"/>
                <w:lang w:val="es-DO"/>
              </w:rPr>
              <w:t>Pres. Inicial</w:t>
            </w:r>
          </w:p>
        </w:tc>
      </w:tr>
      <w:tr w:rsidR="00310D52" w:rsidRPr="00870AD0" w14:paraId="025159EE"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7D8589"/>
            <w:noWrap/>
            <w:vAlign w:val="center"/>
            <w:hideMark/>
          </w:tcPr>
          <w:p w14:paraId="00D776DB" w14:textId="77777777" w:rsidR="00870AD0" w:rsidRPr="00870AD0" w:rsidRDefault="00870AD0" w:rsidP="00870AD0">
            <w:pPr>
              <w:spacing w:after="0" w:line="240" w:lineRule="auto"/>
              <w:rPr>
                <w:rFonts w:eastAsia="Times New Roman"/>
                <w:b/>
                <w:bCs/>
                <w:color w:val="FFFFFF" w:themeColor="background1"/>
                <w:spacing w:val="0"/>
                <w:lang w:val="es-DO"/>
              </w:rPr>
            </w:pPr>
            <w:r w:rsidRPr="00870AD0">
              <w:rPr>
                <w:rFonts w:eastAsia="Times New Roman"/>
                <w:b/>
                <w:bCs/>
                <w:color w:val="FFFFFF" w:themeColor="background1"/>
                <w:spacing w:val="0"/>
                <w:lang w:val="es-DO"/>
              </w:rPr>
              <w:t>Total, General</w:t>
            </w:r>
          </w:p>
        </w:tc>
        <w:tc>
          <w:tcPr>
            <w:tcW w:w="1800" w:type="dxa"/>
            <w:tcBorders>
              <w:top w:val="nil"/>
              <w:left w:val="nil"/>
              <w:bottom w:val="single" w:sz="4" w:space="0" w:color="auto"/>
              <w:right w:val="single" w:sz="4" w:space="0" w:color="auto"/>
            </w:tcBorders>
            <w:shd w:val="clear" w:color="000000" w:fill="7D8589"/>
            <w:noWrap/>
            <w:vAlign w:val="center"/>
            <w:hideMark/>
          </w:tcPr>
          <w:p w14:paraId="64F767AE" w14:textId="77777777" w:rsidR="00870AD0" w:rsidRPr="00870AD0" w:rsidRDefault="00870AD0" w:rsidP="00870AD0">
            <w:pPr>
              <w:spacing w:after="0" w:line="240" w:lineRule="auto"/>
              <w:jc w:val="right"/>
              <w:rPr>
                <w:rFonts w:eastAsia="Times New Roman"/>
                <w:b/>
                <w:bCs/>
                <w:color w:val="FFFFFF" w:themeColor="background1"/>
                <w:spacing w:val="0"/>
                <w:lang w:val="es-DO"/>
              </w:rPr>
            </w:pPr>
            <w:r w:rsidRPr="00870AD0">
              <w:rPr>
                <w:rFonts w:eastAsia="Times New Roman"/>
                <w:b/>
                <w:bCs/>
                <w:color w:val="FFFFFF" w:themeColor="background1"/>
                <w:spacing w:val="0"/>
                <w:lang w:val="es-DO"/>
              </w:rPr>
              <w:t>7,256,831,790.00</w:t>
            </w:r>
          </w:p>
        </w:tc>
      </w:tr>
      <w:tr w:rsidR="00310D52" w:rsidRPr="00870AD0" w14:paraId="57CE5130"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FFFFFF"/>
            <w:noWrap/>
            <w:vAlign w:val="center"/>
            <w:hideMark/>
          </w:tcPr>
          <w:p w14:paraId="05F3A4A1" w14:textId="77777777" w:rsidR="00870AD0" w:rsidRPr="00870AD0" w:rsidRDefault="00870AD0" w:rsidP="005B1419">
            <w:pPr>
              <w:spacing w:after="0" w:line="240" w:lineRule="auto"/>
              <w:jc w:val="both"/>
              <w:rPr>
                <w:rFonts w:eastAsia="Times New Roman"/>
                <w:spacing w:val="0"/>
                <w:lang w:val="es-DO"/>
              </w:rPr>
            </w:pPr>
            <w:r w:rsidRPr="00870AD0">
              <w:rPr>
                <w:rFonts w:eastAsia="Times New Roman"/>
                <w:spacing w:val="0"/>
                <w:lang w:val="es-DO"/>
              </w:rPr>
              <w:t>2.1-Remuneraciones Y Contribuciones</w:t>
            </w:r>
          </w:p>
        </w:tc>
        <w:tc>
          <w:tcPr>
            <w:tcW w:w="1800" w:type="dxa"/>
            <w:tcBorders>
              <w:top w:val="nil"/>
              <w:left w:val="nil"/>
              <w:bottom w:val="single" w:sz="4" w:space="0" w:color="auto"/>
              <w:right w:val="single" w:sz="4" w:space="0" w:color="auto"/>
            </w:tcBorders>
            <w:shd w:val="clear" w:color="000000" w:fill="FFFFFF"/>
            <w:noWrap/>
            <w:vAlign w:val="center"/>
            <w:hideMark/>
          </w:tcPr>
          <w:p w14:paraId="6EFF6B8F" w14:textId="77777777" w:rsidR="00870AD0" w:rsidRPr="00870AD0" w:rsidRDefault="00870AD0" w:rsidP="00870AD0">
            <w:pPr>
              <w:spacing w:after="0" w:line="240" w:lineRule="auto"/>
              <w:jc w:val="right"/>
              <w:rPr>
                <w:rFonts w:eastAsia="Times New Roman"/>
                <w:spacing w:val="0"/>
                <w:lang w:val="es-DO"/>
              </w:rPr>
            </w:pPr>
            <w:r w:rsidRPr="00870AD0">
              <w:rPr>
                <w:rFonts w:eastAsia="Times New Roman"/>
                <w:spacing w:val="0"/>
                <w:lang w:val="es-DO"/>
              </w:rPr>
              <w:t>5,020,714,334.00</w:t>
            </w:r>
          </w:p>
        </w:tc>
      </w:tr>
      <w:tr w:rsidR="00310D52" w:rsidRPr="00870AD0" w14:paraId="4B3B9878"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FFFFFF"/>
            <w:noWrap/>
            <w:vAlign w:val="center"/>
            <w:hideMark/>
          </w:tcPr>
          <w:p w14:paraId="210D7FEC" w14:textId="77777777" w:rsidR="00870AD0" w:rsidRPr="00870AD0" w:rsidRDefault="00870AD0" w:rsidP="005B1419">
            <w:pPr>
              <w:spacing w:after="0" w:line="240" w:lineRule="auto"/>
              <w:jc w:val="both"/>
              <w:rPr>
                <w:rFonts w:eastAsia="Times New Roman"/>
                <w:spacing w:val="0"/>
                <w:lang w:val="es-DO"/>
              </w:rPr>
            </w:pPr>
            <w:r w:rsidRPr="00870AD0">
              <w:rPr>
                <w:rFonts w:eastAsia="Times New Roman"/>
                <w:spacing w:val="0"/>
                <w:lang w:val="es-DO"/>
              </w:rPr>
              <w:t>2.2-Contratación De Servicios</w:t>
            </w:r>
          </w:p>
        </w:tc>
        <w:tc>
          <w:tcPr>
            <w:tcW w:w="1800" w:type="dxa"/>
            <w:tcBorders>
              <w:top w:val="nil"/>
              <w:left w:val="nil"/>
              <w:bottom w:val="single" w:sz="4" w:space="0" w:color="auto"/>
              <w:right w:val="single" w:sz="4" w:space="0" w:color="auto"/>
            </w:tcBorders>
            <w:shd w:val="clear" w:color="000000" w:fill="FFFFFF"/>
            <w:noWrap/>
            <w:vAlign w:val="center"/>
            <w:hideMark/>
          </w:tcPr>
          <w:p w14:paraId="1DF14047" w14:textId="77777777" w:rsidR="00870AD0" w:rsidRPr="00870AD0" w:rsidRDefault="00870AD0" w:rsidP="00870AD0">
            <w:pPr>
              <w:spacing w:after="0" w:line="240" w:lineRule="auto"/>
              <w:jc w:val="right"/>
              <w:rPr>
                <w:rFonts w:eastAsia="Times New Roman"/>
                <w:spacing w:val="0"/>
                <w:lang w:val="es-DO"/>
              </w:rPr>
            </w:pPr>
            <w:r w:rsidRPr="00870AD0">
              <w:rPr>
                <w:rFonts w:eastAsia="Times New Roman"/>
                <w:spacing w:val="0"/>
                <w:lang w:val="es-DO"/>
              </w:rPr>
              <w:t>1,322,019,695.00</w:t>
            </w:r>
          </w:p>
        </w:tc>
      </w:tr>
      <w:tr w:rsidR="00310D52" w:rsidRPr="00870AD0" w14:paraId="7B291B30"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FFFFFF"/>
            <w:noWrap/>
            <w:vAlign w:val="center"/>
            <w:hideMark/>
          </w:tcPr>
          <w:p w14:paraId="485501AB" w14:textId="77777777" w:rsidR="00870AD0" w:rsidRPr="00870AD0" w:rsidRDefault="00870AD0" w:rsidP="005B1419">
            <w:pPr>
              <w:spacing w:after="0" w:line="240" w:lineRule="auto"/>
              <w:jc w:val="both"/>
              <w:rPr>
                <w:rFonts w:eastAsia="Times New Roman"/>
                <w:spacing w:val="0"/>
                <w:lang w:val="es-DO"/>
              </w:rPr>
            </w:pPr>
            <w:r w:rsidRPr="00870AD0">
              <w:rPr>
                <w:rFonts w:eastAsia="Times New Roman"/>
                <w:spacing w:val="0"/>
                <w:lang w:val="es-DO"/>
              </w:rPr>
              <w:t>2.3-Materiales Y Suministros</w:t>
            </w:r>
          </w:p>
        </w:tc>
        <w:tc>
          <w:tcPr>
            <w:tcW w:w="1800" w:type="dxa"/>
            <w:tcBorders>
              <w:top w:val="nil"/>
              <w:left w:val="nil"/>
              <w:bottom w:val="single" w:sz="4" w:space="0" w:color="auto"/>
              <w:right w:val="single" w:sz="4" w:space="0" w:color="auto"/>
            </w:tcBorders>
            <w:shd w:val="clear" w:color="000000" w:fill="FFFFFF"/>
            <w:noWrap/>
            <w:vAlign w:val="center"/>
            <w:hideMark/>
          </w:tcPr>
          <w:p w14:paraId="002DE14E" w14:textId="77777777" w:rsidR="00870AD0" w:rsidRPr="00870AD0" w:rsidRDefault="00870AD0" w:rsidP="00870AD0">
            <w:pPr>
              <w:spacing w:after="0" w:line="240" w:lineRule="auto"/>
              <w:jc w:val="right"/>
              <w:rPr>
                <w:rFonts w:eastAsia="Times New Roman"/>
                <w:spacing w:val="0"/>
                <w:lang w:val="es-DO"/>
              </w:rPr>
            </w:pPr>
            <w:r w:rsidRPr="00870AD0">
              <w:rPr>
                <w:rFonts w:eastAsia="Times New Roman"/>
                <w:spacing w:val="0"/>
                <w:lang w:val="es-DO"/>
              </w:rPr>
              <w:t>240,517,792.00</w:t>
            </w:r>
          </w:p>
        </w:tc>
      </w:tr>
      <w:tr w:rsidR="00310D52" w:rsidRPr="00870AD0" w14:paraId="35DCA792"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FFFFFF"/>
            <w:vAlign w:val="center"/>
            <w:hideMark/>
          </w:tcPr>
          <w:p w14:paraId="730506EF" w14:textId="77FE6D3D" w:rsidR="00870AD0" w:rsidRPr="00870AD0" w:rsidRDefault="00870AD0" w:rsidP="005B1419">
            <w:pPr>
              <w:spacing w:after="0" w:line="240" w:lineRule="auto"/>
              <w:jc w:val="both"/>
              <w:rPr>
                <w:rFonts w:eastAsia="Times New Roman"/>
                <w:spacing w:val="0"/>
                <w:lang w:val="es-DO"/>
              </w:rPr>
            </w:pPr>
            <w:r w:rsidRPr="00870AD0">
              <w:rPr>
                <w:rFonts w:eastAsia="Times New Roman"/>
                <w:spacing w:val="0"/>
                <w:lang w:val="es-DO"/>
              </w:rPr>
              <w:t xml:space="preserve">2.6-Bienes Muebles, Inmuebles </w:t>
            </w:r>
            <w:r w:rsidR="005B1419" w:rsidRPr="00310D52">
              <w:rPr>
                <w:rFonts w:eastAsia="Times New Roman"/>
                <w:spacing w:val="0"/>
                <w:lang w:val="es-DO"/>
              </w:rPr>
              <w:t>e</w:t>
            </w:r>
            <w:r w:rsidRPr="00870AD0">
              <w:rPr>
                <w:rFonts w:eastAsia="Times New Roman"/>
                <w:spacing w:val="0"/>
                <w:lang w:val="es-DO"/>
              </w:rPr>
              <w:t xml:space="preserve"> Intangibles</w:t>
            </w:r>
          </w:p>
        </w:tc>
        <w:tc>
          <w:tcPr>
            <w:tcW w:w="1800" w:type="dxa"/>
            <w:tcBorders>
              <w:top w:val="nil"/>
              <w:left w:val="nil"/>
              <w:bottom w:val="single" w:sz="4" w:space="0" w:color="auto"/>
              <w:right w:val="single" w:sz="4" w:space="0" w:color="auto"/>
            </w:tcBorders>
            <w:shd w:val="clear" w:color="000000" w:fill="FFFFFF"/>
            <w:noWrap/>
            <w:vAlign w:val="center"/>
            <w:hideMark/>
          </w:tcPr>
          <w:p w14:paraId="22E7E8DA" w14:textId="77777777" w:rsidR="00870AD0" w:rsidRPr="00870AD0" w:rsidRDefault="00870AD0" w:rsidP="00870AD0">
            <w:pPr>
              <w:spacing w:after="0" w:line="240" w:lineRule="auto"/>
              <w:jc w:val="right"/>
              <w:rPr>
                <w:rFonts w:eastAsia="Times New Roman"/>
                <w:spacing w:val="0"/>
                <w:lang w:val="es-DO"/>
              </w:rPr>
            </w:pPr>
            <w:r w:rsidRPr="00870AD0">
              <w:rPr>
                <w:rFonts w:eastAsia="Times New Roman"/>
                <w:spacing w:val="0"/>
                <w:lang w:val="es-DO"/>
              </w:rPr>
              <w:t>215,068,308.00</w:t>
            </w:r>
          </w:p>
        </w:tc>
      </w:tr>
      <w:tr w:rsidR="00310D52" w:rsidRPr="00870AD0" w14:paraId="5D0A9F77" w14:textId="77777777" w:rsidTr="00870AD0">
        <w:trPr>
          <w:trHeight w:val="315"/>
        </w:trPr>
        <w:tc>
          <w:tcPr>
            <w:tcW w:w="4480" w:type="dxa"/>
            <w:tcBorders>
              <w:top w:val="nil"/>
              <w:left w:val="single" w:sz="4" w:space="0" w:color="auto"/>
              <w:bottom w:val="single" w:sz="4" w:space="0" w:color="auto"/>
              <w:right w:val="single" w:sz="4" w:space="0" w:color="auto"/>
            </w:tcBorders>
            <w:shd w:val="clear" w:color="000000" w:fill="FFFFFF"/>
            <w:noWrap/>
            <w:vAlign w:val="center"/>
            <w:hideMark/>
          </w:tcPr>
          <w:p w14:paraId="6D15649A" w14:textId="77777777" w:rsidR="00870AD0" w:rsidRPr="00870AD0" w:rsidRDefault="00870AD0" w:rsidP="005B1419">
            <w:pPr>
              <w:spacing w:after="0" w:line="240" w:lineRule="auto"/>
              <w:jc w:val="both"/>
              <w:rPr>
                <w:rFonts w:eastAsia="Times New Roman"/>
                <w:spacing w:val="0"/>
                <w:lang w:val="es-DO"/>
              </w:rPr>
            </w:pPr>
            <w:r w:rsidRPr="00870AD0">
              <w:rPr>
                <w:rFonts w:eastAsia="Times New Roman"/>
                <w:spacing w:val="0"/>
                <w:lang w:val="es-DO"/>
              </w:rPr>
              <w:t>2.7- Obras</w:t>
            </w:r>
          </w:p>
        </w:tc>
        <w:tc>
          <w:tcPr>
            <w:tcW w:w="1800" w:type="dxa"/>
            <w:tcBorders>
              <w:top w:val="nil"/>
              <w:left w:val="nil"/>
              <w:bottom w:val="single" w:sz="4" w:space="0" w:color="auto"/>
              <w:right w:val="single" w:sz="4" w:space="0" w:color="auto"/>
            </w:tcBorders>
            <w:shd w:val="clear" w:color="000000" w:fill="FFFFFF"/>
            <w:noWrap/>
            <w:vAlign w:val="center"/>
            <w:hideMark/>
          </w:tcPr>
          <w:p w14:paraId="68C15C9B" w14:textId="77777777" w:rsidR="00870AD0" w:rsidRPr="00870AD0" w:rsidRDefault="00870AD0" w:rsidP="00870AD0">
            <w:pPr>
              <w:spacing w:after="0" w:line="240" w:lineRule="auto"/>
              <w:jc w:val="right"/>
              <w:rPr>
                <w:rFonts w:eastAsia="Times New Roman"/>
                <w:spacing w:val="0"/>
                <w:lang w:val="es-DO"/>
              </w:rPr>
            </w:pPr>
            <w:r w:rsidRPr="00870AD0">
              <w:rPr>
                <w:rFonts w:eastAsia="Times New Roman"/>
                <w:spacing w:val="0"/>
                <w:lang w:val="es-DO"/>
              </w:rPr>
              <w:t>458,511,661.00</w:t>
            </w:r>
          </w:p>
        </w:tc>
      </w:tr>
    </w:tbl>
    <w:p w14:paraId="1F935A30" w14:textId="7482959C" w:rsidR="005C3D4D" w:rsidRPr="00310D52" w:rsidRDefault="005C3D4D" w:rsidP="005C3D4D">
      <w:pPr>
        <w:spacing w:line="360" w:lineRule="auto"/>
        <w:jc w:val="both"/>
        <w:rPr>
          <w:rFonts w:eastAsia="Calibri"/>
          <w:i/>
          <w:iCs/>
          <w:noProof/>
          <w:sz w:val="18"/>
          <w:szCs w:val="18"/>
          <w:lang w:val="es-DO"/>
        </w:rPr>
      </w:pPr>
      <w:r w:rsidRPr="00310D52">
        <w:rPr>
          <w:rFonts w:eastAsia="Calibri"/>
          <w:i/>
          <w:iCs/>
          <w:noProof/>
          <w:sz w:val="18"/>
          <w:szCs w:val="18"/>
          <w:lang w:val="es-DO"/>
        </w:rPr>
        <w:t>Fuente: Elaboración propia en base a reporte SIGEF</w:t>
      </w:r>
    </w:p>
    <w:p w14:paraId="21C9B0A3" w14:textId="6237945C" w:rsidR="005C3D4D" w:rsidRPr="00310D52" w:rsidRDefault="005C3D4D" w:rsidP="005C3D4D">
      <w:pPr>
        <w:spacing w:line="360" w:lineRule="auto"/>
        <w:jc w:val="both"/>
        <w:rPr>
          <w:rFonts w:eastAsia="Calibri"/>
          <w:noProof/>
          <w:lang w:val="es-DO"/>
        </w:rPr>
      </w:pPr>
      <w:r w:rsidRPr="00310D52">
        <w:rPr>
          <w:rFonts w:eastAsia="Calibri"/>
          <w:noProof/>
          <w:lang w:val="es-DO"/>
        </w:rPr>
        <w:t>Durante el transcurso del año se realizaron modificaciones presupuestarias de aumento por RD$2,189,052,640.37 de los cuales RD$1,150,000,000.00 fueron aprobados para la incorporación al sistema de 120 ambulancias donados por el Gobierno de China y RD$1,039,052,640.37 provienen de saldos de años anteriores para cubrir los contratos ya vigentes contraídos en la institución. Con estas modificaciones, el presupuesto vigente al 30 de noviembre del año 2025 asciende a RD$9,445,884,430.37.</w:t>
      </w:r>
    </w:p>
    <w:p w14:paraId="0C6FF494" w14:textId="77777777" w:rsidR="00E334A5" w:rsidRPr="00310D52" w:rsidRDefault="00E334A5" w:rsidP="005C3D4D">
      <w:pPr>
        <w:spacing w:line="360" w:lineRule="auto"/>
        <w:jc w:val="both"/>
        <w:rPr>
          <w:rFonts w:eastAsia="Calibri"/>
          <w:noProof/>
          <w:lang w:val="es-DO"/>
        </w:rPr>
      </w:pPr>
    </w:p>
    <w:p w14:paraId="003801F1" w14:textId="1A8DC68A" w:rsidR="005C3D4D" w:rsidRPr="00310D52" w:rsidRDefault="005C3D4D" w:rsidP="005C3D4D">
      <w:pPr>
        <w:spacing w:line="360" w:lineRule="auto"/>
        <w:jc w:val="both"/>
        <w:rPr>
          <w:rFonts w:eastAsia="Calibri"/>
          <w:b/>
          <w:bCs/>
          <w:noProof/>
          <w:lang w:val="es-DO"/>
        </w:rPr>
      </w:pPr>
      <w:r w:rsidRPr="00310D52">
        <w:rPr>
          <w:rFonts w:eastAsia="Calibri"/>
          <w:b/>
          <w:bCs/>
          <w:noProof/>
          <w:lang w:val="es-DO"/>
        </w:rPr>
        <w:lastRenderedPageBreak/>
        <w:t>Ejecución Presupuestaria</w:t>
      </w:r>
    </w:p>
    <w:p w14:paraId="7F1DED5C" w14:textId="780265C8" w:rsidR="005C3D4D" w:rsidRPr="00310D52" w:rsidRDefault="005C3D4D" w:rsidP="005C3D4D">
      <w:pPr>
        <w:spacing w:line="360" w:lineRule="auto"/>
        <w:jc w:val="both"/>
        <w:rPr>
          <w:rFonts w:eastAsia="Calibri"/>
          <w:noProof/>
          <w:lang w:val="es-DO"/>
        </w:rPr>
      </w:pPr>
      <w:r w:rsidRPr="00310D52">
        <w:rPr>
          <w:rFonts w:eastAsia="Calibri"/>
          <w:noProof/>
          <w:lang w:val="es-DO"/>
        </w:rPr>
        <w:t>Durante el período Enero-Noviembre del año 2025, la DAEH tuvo un cumplimiento presupuestario de RD$7,108,568,714.97 lo que representa un 97.96% de ejecución del presupuesto del año.</w:t>
      </w:r>
      <w:r w:rsidR="00E334A5" w:rsidRPr="00310D52">
        <w:rPr>
          <w:rFonts w:eastAsia="Calibri"/>
          <w:noProof/>
          <w:lang w:val="es-DO"/>
        </w:rPr>
        <w:t xml:space="preserve"> </w:t>
      </w:r>
      <w:r w:rsidRPr="00310D52">
        <w:rPr>
          <w:rFonts w:eastAsia="Calibri"/>
          <w:noProof/>
          <w:lang w:val="es-DO"/>
        </w:rPr>
        <w:t>El 67.29% de ejecución se destinó al pago de remuneración y contribuciones, lo que se refleja en la contratación de nuevo personal asistencia</w:t>
      </w:r>
      <w:r w:rsidR="00993F0B" w:rsidRPr="00310D52">
        <w:rPr>
          <w:rFonts w:eastAsia="Calibri"/>
          <w:noProof/>
          <w:lang w:val="es-DO"/>
        </w:rPr>
        <w:t>l</w:t>
      </w:r>
      <w:r w:rsidRPr="00310D52">
        <w:rPr>
          <w:rFonts w:eastAsia="Calibri"/>
          <w:noProof/>
          <w:lang w:val="es-DO"/>
        </w:rPr>
        <w:t xml:space="preserve"> y administrativo para la incorporación de 120 ambulancias</w:t>
      </w:r>
      <w:r w:rsidR="0098786B" w:rsidRPr="00310D52">
        <w:rPr>
          <w:rFonts w:eastAsia="Calibri"/>
          <w:noProof/>
          <w:lang w:val="es-DO"/>
        </w:rPr>
        <w:t>.</w:t>
      </w:r>
    </w:p>
    <w:p w14:paraId="188569DE" w14:textId="70408279" w:rsidR="005C3D4D" w:rsidRPr="00310D52" w:rsidRDefault="005C3D4D" w:rsidP="005C3D4D">
      <w:pPr>
        <w:spacing w:line="360" w:lineRule="auto"/>
        <w:jc w:val="both"/>
        <w:rPr>
          <w:rFonts w:eastAsia="Calibri"/>
          <w:noProof/>
          <w:lang w:val="es-DO"/>
        </w:rPr>
      </w:pPr>
      <w:r w:rsidRPr="00310D52">
        <w:rPr>
          <w:rFonts w:eastAsia="Calibri"/>
          <w:noProof/>
          <w:lang w:val="es-DO"/>
        </w:rPr>
        <w:t>Al renglón de contrataciones de servicios le corresponde un 23.84% para el servicio de mantenimiento y reparaciones de ambulancias, alquiler de 143 ambulancias, seguros de vehículos, vida y funerario, además de las oficinas donde funcionan los Centros de Regulación de Urgencias y Emergencias (CRUE).</w:t>
      </w:r>
      <w:r w:rsidR="00E334A5" w:rsidRPr="00310D52">
        <w:rPr>
          <w:rFonts w:eastAsia="Calibri"/>
          <w:noProof/>
          <w:lang w:val="es-DO"/>
        </w:rPr>
        <w:t xml:space="preserve"> </w:t>
      </w:r>
      <w:r w:rsidRPr="00310D52">
        <w:rPr>
          <w:rFonts w:eastAsia="Calibri"/>
          <w:noProof/>
          <w:lang w:val="es-DO"/>
        </w:rPr>
        <w:t xml:space="preserve">El 8.87% restante se destinó a la adquisición de uniformes para todos los colaboradores de la DAEH, combustible para la flotilla vehicular de la institución, medicamentos, insumos y equipos médicos, además de la adquisición de 14 vehículos para el fortalecimiento del proceso de coordinación, operatividad y regulación a nivel nacional de los CRUE y 40 Motores para el fortalecimiento de las operaciones de las Unidades de Respuesta Rápida del </w:t>
      </w:r>
      <w:r w:rsidR="00E334A5" w:rsidRPr="00310D52">
        <w:rPr>
          <w:rFonts w:eastAsia="Calibri"/>
          <w:noProof/>
          <w:lang w:val="es-DO"/>
        </w:rPr>
        <w:t>Gran Santo Domingo.</w:t>
      </w:r>
    </w:p>
    <w:p w14:paraId="7C96D69A" w14:textId="060BEA7C" w:rsidR="00E334A5" w:rsidRPr="00310D52" w:rsidRDefault="00E334A5" w:rsidP="005C3D4D">
      <w:pPr>
        <w:spacing w:line="360" w:lineRule="auto"/>
        <w:jc w:val="both"/>
        <w:rPr>
          <w:rFonts w:eastAsia="Calibri"/>
          <w:b/>
          <w:bCs/>
          <w:noProof/>
          <w:lang w:val="es-DO"/>
        </w:rPr>
      </w:pPr>
      <w:r w:rsidRPr="00310D52">
        <w:rPr>
          <w:rFonts w:eastAsia="Calibri"/>
          <w:b/>
          <w:bCs/>
          <w:noProof/>
          <w:lang w:val="es-DO"/>
        </w:rPr>
        <w:t>Presupuesto Ejecutado Enero-Noviembre Año 2025 por Objeto del Gasto (RD$)</w:t>
      </w:r>
    </w:p>
    <w:p w14:paraId="18961A1E" w14:textId="02FF8D5E" w:rsidR="00E334A5" w:rsidRPr="00310D52" w:rsidRDefault="0098786B" w:rsidP="00E334A5">
      <w:pPr>
        <w:spacing w:after="0" w:line="360" w:lineRule="auto"/>
        <w:jc w:val="both"/>
        <w:rPr>
          <w:rFonts w:eastAsia="Calibri"/>
          <w:noProof/>
          <w:lang w:val="es-DO"/>
        </w:rPr>
      </w:pPr>
      <w:r w:rsidRPr="00310D52">
        <w:rPr>
          <w:rFonts w:eastAsia="Calibri"/>
          <w:noProof/>
          <w:lang w:val="es-DO"/>
        </w:rPr>
        <w:object w:dxaOrig="6678" w:dyaOrig="1849" w14:anchorId="1B68024F">
          <v:shape id="_x0000_i1028" type="#_x0000_t75" style="width:276pt;height:76.2pt" o:ole="">
            <v:imagedata r:id="rId21" o:title=""/>
          </v:shape>
          <o:OLEObject Type="Embed" ProgID="Excel.Sheet.12" ShapeID="_x0000_i1028" DrawAspect="Content" ObjectID="_1827944960" r:id="rId22"/>
        </w:object>
      </w:r>
      <w:r w:rsidR="00E334A5" w:rsidRPr="00310D52">
        <w:rPr>
          <w:rFonts w:eastAsia="Calibri"/>
          <w:noProof/>
          <w:lang w:val="es-DO"/>
        </w:rPr>
        <w:t xml:space="preserve"> </w:t>
      </w:r>
    </w:p>
    <w:p w14:paraId="2C0F5A6A" w14:textId="4C1D3C10" w:rsidR="00E334A5" w:rsidRPr="00310D52" w:rsidRDefault="00E334A5" w:rsidP="00E334A5">
      <w:pPr>
        <w:spacing w:after="0" w:line="360" w:lineRule="auto"/>
        <w:jc w:val="both"/>
        <w:rPr>
          <w:rFonts w:eastAsia="Calibri"/>
          <w:i/>
          <w:iCs/>
          <w:noProof/>
          <w:sz w:val="18"/>
          <w:szCs w:val="18"/>
          <w:lang w:val="es-DO"/>
        </w:rPr>
      </w:pPr>
      <w:r w:rsidRPr="00310D52">
        <w:rPr>
          <w:rFonts w:eastAsia="Calibri"/>
          <w:i/>
          <w:iCs/>
          <w:noProof/>
          <w:sz w:val="18"/>
          <w:szCs w:val="18"/>
          <w:lang w:val="es-DO"/>
        </w:rPr>
        <w:t>Fuente: Elaboración propia en base a reporte SIGEF</w:t>
      </w:r>
    </w:p>
    <w:p w14:paraId="26712B11" w14:textId="76DFE81A" w:rsidR="0098786B" w:rsidRPr="00310D52" w:rsidRDefault="0098786B" w:rsidP="005C3D4D">
      <w:pPr>
        <w:spacing w:line="360" w:lineRule="auto"/>
        <w:jc w:val="both"/>
        <w:rPr>
          <w:rFonts w:eastAsia="Calibri"/>
          <w:noProof/>
          <w:lang w:val="es-DO"/>
        </w:rPr>
      </w:pPr>
      <w:r w:rsidRPr="00310D52">
        <w:rPr>
          <w:rFonts w:eastAsia="Calibri"/>
          <w:b/>
          <w:bCs/>
          <w:noProof/>
          <w:lang w:val="es-DO"/>
        </w:rPr>
        <w:t>Resultados Índice de Gestión Presupuestaria (IGP):</w:t>
      </w:r>
      <w:r w:rsidRPr="00310D52">
        <w:rPr>
          <w:rFonts w:eastAsia="Calibri"/>
          <w:noProof/>
          <w:lang w:val="es-DO"/>
        </w:rPr>
        <w:t xml:space="preserve"> El Indice de Gestion Presupuestaria cerramos con 94% promedio, indicando el grado la institución </w:t>
      </w:r>
      <w:r w:rsidRPr="00310D52">
        <w:rPr>
          <w:rFonts w:eastAsia="Calibri"/>
          <w:noProof/>
          <w:lang w:val="es-DO"/>
        </w:rPr>
        <w:lastRenderedPageBreak/>
        <w:t>cumple con la mejora de los procesos de gestion eficaz , eficiente y transparente en la  vinculacion del Presupuesto y la Planificacion (metas fisicas y financieras).</w:t>
      </w:r>
    </w:p>
    <w:p w14:paraId="6E9D35DD" w14:textId="65E8938B" w:rsidR="00E334A5" w:rsidRPr="00310D52" w:rsidRDefault="00E334A5" w:rsidP="005C3D4D">
      <w:pPr>
        <w:spacing w:line="360" w:lineRule="auto"/>
        <w:jc w:val="both"/>
        <w:rPr>
          <w:rFonts w:eastAsia="Calibri"/>
          <w:b/>
          <w:bCs/>
          <w:noProof/>
          <w:lang w:val="es-DO"/>
        </w:rPr>
      </w:pPr>
      <w:r w:rsidRPr="00310D52">
        <w:rPr>
          <w:rFonts w:eastAsia="Calibri"/>
          <w:b/>
          <w:bCs/>
          <w:noProof/>
          <w:lang w:val="es-DO"/>
        </w:rPr>
        <w:t>Deudas por Pagar</w:t>
      </w:r>
    </w:p>
    <w:p w14:paraId="3037B336" w14:textId="6AC636C5" w:rsidR="00E334A5" w:rsidRPr="00310D52" w:rsidRDefault="00E334A5" w:rsidP="005C3D4D">
      <w:pPr>
        <w:spacing w:line="360" w:lineRule="auto"/>
        <w:jc w:val="both"/>
        <w:rPr>
          <w:rFonts w:eastAsia="Calibri"/>
          <w:noProof/>
          <w:lang w:val="es-DO"/>
        </w:rPr>
      </w:pPr>
      <w:r w:rsidRPr="00310D52">
        <w:rPr>
          <w:rFonts w:eastAsia="Calibri"/>
          <w:noProof/>
          <w:lang w:val="es-DO"/>
        </w:rPr>
        <w:t>Durante este período Enero-Noviembre 2025, la deuda de la DAEH asciende a un monto de</w:t>
      </w:r>
      <w:r w:rsidRPr="00310D52">
        <w:rPr>
          <w:rFonts w:eastAsia="Calibri"/>
          <w:b/>
          <w:bCs/>
          <w:noProof/>
          <w:lang w:val="es-DO"/>
        </w:rPr>
        <w:t xml:space="preserve"> </w:t>
      </w:r>
      <w:r w:rsidRPr="00310D52">
        <w:rPr>
          <w:rFonts w:eastAsia="Calibri"/>
          <w:noProof/>
          <w:lang w:val="es-DO"/>
        </w:rPr>
        <w:t>RD$104,553,319.36, contraídas en bienes y servicios detallados (ver cuadro), cabe destacar que todas cuentan con su apropiación y cuota de compromiso para ser saldadas, algunas al corte del período se encuentran en proceso de pago, otras a esperas de aprobación de ADENDAS de tiempo en los contratos y otras se encuentran a esperas de soporte por parte de los proveedores.</w:t>
      </w:r>
    </w:p>
    <w:p w14:paraId="2C79CC34" w14:textId="16BE9015" w:rsidR="005B53BC" w:rsidRPr="00310D52" w:rsidRDefault="005B53BC" w:rsidP="005C3D4D">
      <w:pPr>
        <w:spacing w:line="360" w:lineRule="auto"/>
        <w:jc w:val="both"/>
        <w:rPr>
          <w:rFonts w:eastAsia="Calibri"/>
          <w:b/>
          <w:bCs/>
          <w:noProof/>
          <w:lang w:val="es-DO"/>
        </w:rPr>
      </w:pPr>
      <w:r w:rsidRPr="00310D52">
        <w:rPr>
          <w:rFonts w:eastAsia="Calibri"/>
          <w:b/>
          <w:bCs/>
          <w:noProof/>
          <w:lang w:val="es-DO"/>
        </w:rPr>
        <w:t>Deudas por Pagar DAEH, Al 30 de Noviembre del Año 2025 (RD$)</w:t>
      </w:r>
    </w:p>
    <w:p w14:paraId="0BE0876B" w14:textId="4E2689F2" w:rsidR="00E334A5" w:rsidRPr="00310D52" w:rsidRDefault="00310D52" w:rsidP="005B53BC">
      <w:pPr>
        <w:spacing w:after="0" w:line="360" w:lineRule="auto"/>
        <w:jc w:val="both"/>
        <w:rPr>
          <w:rFonts w:eastAsia="Calibri"/>
          <w:noProof/>
          <w:lang w:val="es-DO"/>
        </w:rPr>
      </w:pPr>
      <w:r w:rsidRPr="00310D52">
        <w:rPr>
          <w:rFonts w:eastAsia="Calibri"/>
          <w:noProof/>
          <w:lang w:val="es-DO"/>
        </w:rPr>
        <w:object w:dxaOrig="6759" w:dyaOrig="9776" w14:anchorId="71E22F48">
          <v:shape id="_x0000_i1029" type="#_x0000_t75" style="width:333pt;height:327pt" o:ole="">
            <v:imagedata r:id="rId23" o:title=""/>
          </v:shape>
          <o:OLEObject Type="Embed" ProgID="Excel.Sheet.12" ShapeID="_x0000_i1029" DrawAspect="Content" ObjectID="_1827944961" r:id="rId24"/>
        </w:object>
      </w:r>
    </w:p>
    <w:p w14:paraId="46EEF75C" w14:textId="3558F902" w:rsidR="005B53BC" w:rsidRPr="00310D52" w:rsidRDefault="005B53BC" w:rsidP="005B53BC">
      <w:pPr>
        <w:spacing w:after="0" w:line="360" w:lineRule="auto"/>
        <w:jc w:val="both"/>
        <w:rPr>
          <w:rFonts w:eastAsia="Calibri"/>
          <w:i/>
          <w:iCs/>
          <w:noProof/>
          <w:sz w:val="18"/>
          <w:szCs w:val="18"/>
          <w:lang w:val="es-DO"/>
        </w:rPr>
      </w:pPr>
      <w:r w:rsidRPr="00310D52">
        <w:rPr>
          <w:rFonts w:eastAsia="Calibri"/>
          <w:i/>
          <w:iCs/>
          <w:noProof/>
          <w:sz w:val="18"/>
          <w:szCs w:val="18"/>
          <w:lang w:val="es-DO"/>
        </w:rPr>
        <w:t>Fuente: Elaboración propia en base a las informaciones del División Financiera de la DAEH.</w:t>
      </w:r>
    </w:p>
    <w:p w14:paraId="317B4BAE" w14:textId="5603A04C" w:rsidR="00E334A5" w:rsidRPr="00310D52" w:rsidRDefault="005B53BC" w:rsidP="005C3D4D">
      <w:pPr>
        <w:spacing w:line="360" w:lineRule="auto"/>
        <w:jc w:val="both"/>
        <w:rPr>
          <w:rFonts w:eastAsia="Calibri"/>
          <w:b/>
          <w:bCs/>
          <w:noProof/>
          <w:lang w:val="es-DO"/>
        </w:rPr>
      </w:pPr>
      <w:r w:rsidRPr="00310D52">
        <w:rPr>
          <w:rFonts w:eastAsia="Calibri"/>
          <w:b/>
          <w:bCs/>
          <w:noProof/>
          <w:lang w:val="es-DO"/>
        </w:rPr>
        <w:lastRenderedPageBreak/>
        <w:t>Compras y Contrataciones</w:t>
      </w:r>
    </w:p>
    <w:p w14:paraId="217FDBA0" w14:textId="482E86FA" w:rsidR="005B53BC" w:rsidRPr="00310D52" w:rsidRDefault="005B53BC" w:rsidP="005C3D4D">
      <w:pPr>
        <w:spacing w:line="360" w:lineRule="auto"/>
        <w:jc w:val="both"/>
        <w:rPr>
          <w:rFonts w:eastAsia="Calibri"/>
          <w:noProof/>
          <w:lang w:val="es-DO"/>
        </w:rPr>
      </w:pPr>
      <w:r w:rsidRPr="00310D52">
        <w:rPr>
          <w:rFonts w:eastAsia="Calibri"/>
          <w:noProof/>
          <w:lang w:val="es-DO"/>
        </w:rPr>
        <w:t>Para el período Enero-Noviembre del año 2025 la Dirección de Servicios de Atención a Emergencias Extrahospitalarias (DAEH), ejecutó en compras y contrataciones un monto de RD$1,785,197,829.00 de los cuales el 34.02% se destinó a la adquisición de bienes y el 65.98% a servicios.</w:t>
      </w:r>
    </w:p>
    <w:p w14:paraId="792F0383" w14:textId="065D39CD" w:rsidR="005C3D4D" w:rsidRPr="00310D52" w:rsidRDefault="005B53BC" w:rsidP="005C3D4D">
      <w:pPr>
        <w:spacing w:line="360" w:lineRule="auto"/>
        <w:jc w:val="both"/>
        <w:rPr>
          <w:rFonts w:eastAsia="Calibri"/>
          <w:b/>
          <w:bCs/>
          <w:noProof/>
          <w:lang w:val="es-DO"/>
        </w:rPr>
      </w:pPr>
      <w:r w:rsidRPr="00310D52">
        <w:rPr>
          <w:rFonts w:eastAsia="Calibri"/>
          <w:b/>
          <w:bCs/>
          <w:noProof/>
          <w:lang w:val="es-DO"/>
        </w:rPr>
        <w:t>Montos Estimados Según Objeto de Contratación</w:t>
      </w:r>
    </w:p>
    <w:p w14:paraId="66260B54" w14:textId="64A56A04" w:rsidR="005C3D4D" w:rsidRPr="00310D52" w:rsidRDefault="005B53BC" w:rsidP="005B53BC">
      <w:pPr>
        <w:spacing w:after="0" w:line="360" w:lineRule="auto"/>
        <w:jc w:val="both"/>
        <w:rPr>
          <w:rFonts w:eastAsia="Calibri"/>
          <w:noProof/>
          <w:lang w:val="es-DO"/>
        </w:rPr>
      </w:pPr>
      <w:r w:rsidRPr="00310D52">
        <w:rPr>
          <w:rFonts w:eastAsia="Calibri"/>
          <w:noProof/>
          <w:lang w:val="es-DO"/>
        </w:rPr>
        <w:object w:dxaOrig="5085" w:dyaOrig="1253" w14:anchorId="33B02E1F">
          <v:shape id="_x0000_i1030" type="#_x0000_t75" style="width:219.6pt;height:1in" o:ole="">
            <v:imagedata r:id="rId25" o:title=""/>
          </v:shape>
          <o:OLEObject Type="Embed" ProgID="Excel.Sheet.12" ShapeID="_x0000_i1030" DrawAspect="Content" ObjectID="_1827944962" r:id="rId26"/>
        </w:object>
      </w:r>
    </w:p>
    <w:p w14:paraId="738F467E" w14:textId="5A903FCA" w:rsidR="005B53BC" w:rsidRPr="00310D52" w:rsidRDefault="005B53BC" w:rsidP="005B53BC">
      <w:pPr>
        <w:spacing w:after="0" w:line="240" w:lineRule="auto"/>
        <w:jc w:val="both"/>
        <w:rPr>
          <w:rFonts w:eastAsia="Calibri"/>
          <w:i/>
          <w:iCs/>
          <w:noProof/>
          <w:sz w:val="18"/>
          <w:szCs w:val="18"/>
          <w:lang w:val="es-DO"/>
        </w:rPr>
      </w:pPr>
      <w:r w:rsidRPr="00310D52">
        <w:rPr>
          <w:rFonts w:eastAsia="Calibri"/>
          <w:i/>
          <w:iCs/>
          <w:noProof/>
          <w:sz w:val="18"/>
          <w:szCs w:val="18"/>
          <w:lang w:val="es-DO"/>
        </w:rPr>
        <w:t>Fuente: Portal Transaccional Compras y Contrataciones.</w:t>
      </w:r>
    </w:p>
    <w:p w14:paraId="7E4E71A6" w14:textId="77777777" w:rsidR="005B53BC" w:rsidRPr="00310D52" w:rsidRDefault="005B53BC" w:rsidP="005B53BC">
      <w:pPr>
        <w:spacing w:after="0" w:line="240" w:lineRule="auto"/>
        <w:jc w:val="both"/>
        <w:rPr>
          <w:rFonts w:eastAsia="Calibri"/>
          <w:noProof/>
          <w:sz w:val="18"/>
          <w:szCs w:val="18"/>
          <w:lang w:val="es-DO"/>
        </w:rPr>
      </w:pPr>
    </w:p>
    <w:p w14:paraId="1C4AF7D3" w14:textId="6E955FF6" w:rsidR="005B53BC" w:rsidRPr="00310D52" w:rsidRDefault="005B53BC" w:rsidP="005B53BC">
      <w:pPr>
        <w:spacing w:line="360" w:lineRule="auto"/>
        <w:jc w:val="both"/>
        <w:rPr>
          <w:rFonts w:eastAsia="Calibri"/>
          <w:noProof/>
          <w:lang w:val="es-DO"/>
        </w:rPr>
      </w:pPr>
      <w:r w:rsidRPr="00310D52">
        <w:rPr>
          <w:rFonts w:eastAsia="Calibri"/>
          <w:noProof/>
          <w:lang w:val="es-DO"/>
        </w:rPr>
        <w:t>De los procesos de compras ejecutados RD$339,573,730.00 fueron dirigidos a las MIPYMES y RD$124,304,024.00 a MIPYMES MUJER, para cumplir con las cuotas establecidas por la Ley 340-06 y su reglamento de aplicación. El monto de RD$1,3213,200.75 correspondió a otras empresas.</w:t>
      </w:r>
    </w:p>
    <w:p w14:paraId="58F733BD" w14:textId="26E81C3F" w:rsidR="005B53BC" w:rsidRPr="00310D52" w:rsidRDefault="00996181" w:rsidP="005C3D4D">
      <w:pPr>
        <w:spacing w:line="360" w:lineRule="auto"/>
        <w:jc w:val="both"/>
        <w:rPr>
          <w:rFonts w:eastAsia="Calibri"/>
          <w:noProof/>
          <w:lang w:val="es-DO"/>
        </w:rPr>
      </w:pPr>
      <w:r w:rsidRPr="00310D52">
        <w:rPr>
          <w:noProof/>
          <w:lang w:val="es-DO"/>
        </w:rPr>
        <w:drawing>
          <wp:inline distT="0" distB="0" distL="0" distR="0" wp14:anchorId="31905E27" wp14:editId="0A78B9AA">
            <wp:extent cx="4572000" cy="2743200"/>
            <wp:effectExtent l="0" t="0" r="0" b="0"/>
            <wp:docPr id="1821313456" name="Gráfico 1">
              <a:extLst xmlns:a="http://schemas.openxmlformats.org/drawingml/2006/main">
                <a:ext uri="{FF2B5EF4-FFF2-40B4-BE49-F238E27FC236}">
                  <a16:creationId xmlns:a16="http://schemas.microsoft.com/office/drawing/2014/main" id="{216AD897-F464-9C31-A767-CB6733382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EDB4BCC" w14:textId="1A711953" w:rsidR="00996181" w:rsidRPr="00310D52" w:rsidRDefault="00996181" w:rsidP="005C3D4D">
      <w:pPr>
        <w:spacing w:line="360" w:lineRule="auto"/>
        <w:jc w:val="both"/>
        <w:rPr>
          <w:rFonts w:eastAsia="Calibri"/>
          <w:i/>
          <w:iCs/>
          <w:noProof/>
          <w:sz w:val="18"/>
          <w:szCs w:val="18"/>
          <w:lang w:val="es-DO"/>
        </w:rPr>
      </w:pPr>
      <w:r w:rsidRPr="00310D52">
        <w:rPr>
          <w:rFonts w:eastAsia="Calibri"/>
          <w:i/>
          <w:iCs/>
          <w:noProof/>
          <w:sz w:val="18"/>
          <w:szCs w:val="18"/>
          <w:lang w:val="es-DO"/>
        </w:rPr>
        <w:t>Fuente: División de Compras y Contrataciones</w:t>
      </w:r>
    </w:p>
    <w:p w14:paraId="1755AEB0" w14:textId="3CCF1407" w:rsidR="00996181" w:rsidRPr="00310D52" w:rsidRDefault="00996181" w:rsidP="005C3D4D">
      <w:pPr>
        <w:spacing w:line="360" w:lineRule="auto"/>
        <w:jc w:val="both"/>
        <w:rPr>
          <w:lang w:val="es-DO"/>
        </w:rPr>
      </w:pPr>
      <w:r w:rsidRPr="00310D52">
        <w:rPr>
          <w:lang w:val="es-DO"/>
        </w:rPr>
        <w:lastRenderedPageBreak/>
        <w:t>Durante el período se realizaron adjudicaciones en diferentes modalidades de contratación pública:</w:t>
      </w:r>
    </w:p>
    <w:p w14:paraId="1FFA3A3D" w14:textId="2D7FFFFD" w:rsidR="00996181" w:rsidRPr="00310D52" w:rsidRDefault="00996181" w:rsidP="005C3D4D">
      <w:pPr>
        <w:spacing w:line="360" w:lineRule="auto"/>
        <w:jc w:val="both"/>
        <w:rPr>
          <w:b/>
          <w:bCs/>
          <w:lang w:val="es-DO"/>
        </w:rPr>
      </w:pPr>
      <w:r w:rsidRPr="00310D52">
        <w:rPr>
          <w:b/>
          <w:bCs/>
          <w:lang w:val="es-DO"/>
        </w:rPr>
        <w:t>Compras y contrataciones según modalidad 2025 (RD$)</w:t>
      </w:r>
    </w:p>
    <w:tbl>
      <w:tblPr>
        <w:tblW w:w="5350" w:type="dxa"/>
        <w:tblLook w:val="04A0" w:firstRow="1" w:lastRow="0" w:firstColumn="1" w:lastColumn="0" w:noHBand="0" w:noVBand="1"/>
      </w:tblPr>
      <w:tblGrid>
        <w:gridCol w:w="3430"/>
        <w:gridCol w:w="1920"/>
      </w:tblGrid>
      <w:tr w:rsidR="00310D52" w:rsidRPr="00310D52" w14:paraId="1C2D006D" w14:textId="77777777" w:rsidTr="005B1419">
        <w:trPr>
          <w:trHeight w:val="405"/>
        </w:trPr>
        <w:tc>
          <w:tcPr>
            <w:tcW w:w="3430"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12B5DA62" w14:textId="77777777" w:rsidR="005B1419" w:rsidRPr="005B1419" w:rsidRDefault="005B1419" w:rsidP="005B1419">
            <w:pPr>
              <w:spacing w:after="0" w:line="240" w:lineRule="auto"/>
              <w:rPr>
                <w:rFonts w:eastAsia="Times New Roman"/>
                <w:b/>
                <w:bCs/>
                <w:color w:val="FFFFFF" w:themeColor="background1"/>
                <w:spacing w:val="0"/>
                <w:lang w:val="es-DO"/>
              </w:rPr>
            </w:pPr>
            <w:r w:rsidRPr="005B1419">
              <w:rPr>
                <w:rFonts w:eastAsia="Times New Roman"/>
                <w:b/>
                <w:bCs/>
                <w:color w:val="FFFFFF" w:themeColor="background1"/>
                <w:spacing w:val="0"/>
                <w:lang w:val="es-DO"/>
              </w:rPr>
              <w:t xml:space="preserve">Modalidad de Contratación </w:t>
            </w:r>
          </w:p>
        </w:tc>
        <w:tc>
          <w:tcPr>
            <w:tcW w:w="1920" w:type="dxa"/>
            <w:tcBorders>
              <w:top w:val="single" w:sz="4" w:space="0" w:color="auto"/>
              <w:left w:val="nil"/>
              <w:bottom w:val="single" w:sz="4" w:space="0" w:color="auto"/>
              <w:right w:val="single" w:sz="4" w:space="0" w:color="auto"/>
            </w:tcBorders>
            <w:shd w:val="clear" w:color="000000" w:fill="142F62"/>
            <w:noWrap/>
            <w:vAlign w:val="center"/>
            <w:hideMark/>
          </w:tcPr>
          <w:p w14:paraId="65878CAF" w14:textId="77777777" w:rsidR="005B1419" w:rsidRPr="005B1419" w:rsidRDefault="005B1419" w:rsidP="005B1419">
            <w:pPr>
              <w:spacing w:after="0" w:line="240" w:lineRule="auto"/>
              <w:jc w:val="center"/>
              <w:rPr>
                <w:rFonts w:eastAsia="Times New Roman"/>
                <w:b/>
                <w:bCs/>
                <w:color w:val="FFFFFF" w:themeColor="background1"/>
                <w:spacing w:val="0"/>
                <w:lang w:val="es-DO"/>
              </w:rPr>
            </w:pPr>
            <w:r w:rsidRPr="005B1419">
              <w:rPr>
                <w:rFonts w:eastAsia="Times New Roman"/>
                <w:b/>
                <w:bCs/>
                <w:color w:val="FFFFFF" w:themeColor="background1"/>
                <w:spacing w:val="0"/>
                <w:lang w:val="es-DO"/>
              </w:rPr>
              <w:t xml:space="preserve">Monto </w:t>
            </w:r>
          </w:p>
        </w:tc>
      </w:tr>
      <w:tr w:rsidR="00310D52" w:rsidRPr="00310D52" w14:paraId="3721D6B3"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057609D4"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Compras por debajo del umbral</w:t>
            </w:r>
          </w:p>
        </w:tc>
        <w:tc>
          <w:tcPr>
            <w:tcW w:w="1920" w:type="dxa"/>
            <w:tcBorders>
              <w:top w:val="nil"/>
              <w:left w:val="nil"/>
              <w:bottom w:val="single" w:sz="4" w:space="0" w:color="auto"/>
              <w:right w:val="single" w:sz="4" w:space="0" w:color="auto"/>
            </w:tcBorders>
            <w:shd w:val="clear" w:color="000000" w:fill="FFFFFF"/>
            <w:noWrap/>
            <w:vAlign w:val="center"/>
            <w:hideMark/>
          </w:tcPr>
          <w:p w14:paraId="1C63AE49"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11,270,641.00</w:t>
            </w:r>
          </w:p>
        </w:tc>
      </w:tr>
      <w:tr w:rsidR="00310D52" w:rsidRPr="00310D52" w14:paraId="6C34ECA8"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28366300"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Compras menores</w:t>
            </w:r>
          </w:p>
        </w:tc>
        <w:tc>
          <w:tcPr>
            <w:tcW w:w="1920" w:type="dxa"/>
            <w:tcBorders>
              <w:top w:val="nil"/>
              <w:left w:val="nil"/>
              <w:bottom w:val="single" w:sz="4" w:space="0" w:color="auto"/>
              <w:right w:val="single" w:sz="4" w:space="0" w:color="auto"/>
            </w:tcBorders>
            <w:shd w:val="clear" w:color="000000" w:fill="FFFFFF"/>
            <w:noWrap/>
            <w:vAlign w:val="center"/>
            <w:hideMark/>
          </w:tcPr>
          <w:p w14:paraId="4980C5E6"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12,799,771.00</w:t>
            </w:r>
          </w:p>
        </w:tc>
      </w:tr>
      <w:tr w:rsidR="00310D52" w:rsidRPr="00310D52" w14:paraId="5D2D5B39"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4567DCA5"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Comparación de precios</w:t>
            </w:r>
          </w:p>
        </w:tc>
        <w:tc>
          <w:tcPr>
            <w:tcW w:w="1920" w:type="dxa"/>
            <w:tcBorders>
              <w:top w:val="nil"/>
              <w:left w:val="nil"/>
              <w:bottom w:val="single" w:sz="4" w:space="0" w:color="auto"/>
              <w:right w:val="single" w:sz="4" w:space="0" w:color="auto"/>
            </w:tcBorders>
            <w:shd w:val="clear" w:color="000000" w:fill="FFFFFF"/>
            <w:noWrap/>
            <w:vAlign w:val="center"/>
            <w:hideMark/>
          </w:tcPr>
          <w:p w14:paraId="3C888A45"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14,673,150.00</w:t>
            </w:r>
          </w:p>
        </w:tc>
      </w:tr>
      <w:tr w:rsidR="00310D52" w:rsidRPr="00310D52" w14:paraId="3423E0A4"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30117199"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Licitación pública</w:t>
            </w:r>
          </w:p>
        </w:tc>
        <w:tc>
          <w:tcPr>
            <w:tcW w:w="1920" w:type="dxa"/>
            <w:tcBorders>
              <w:top w:val="nil"/>
              <w:left w:val="nil"/>
              <w:bottom w:val="single" w:sz="4" w:space="0" w:color="auto"/>
              <w:right w:val="single" w:sz="4" w:space="0" w:color="auto"/>
            </w:tcBorders>
            <w:shd w:val="clear" w:color="000000" w:fill="FFFFFF"/>
            <w:noWrap/>
            <w:vAlign w:val="center"/>
            <w:hideMark/>
          </w:tcPr>
          <w:p w14:paraId="283FD6E5"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1,576,860,183.00</w:t>
            </w:r>
          </w:p>
        </w:tc>
      </w:tr>
      <w:tr w:rsidR="00310D52" w:rsidRPr="00310D52" w14:paraId="6923F20B"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5F6DB810"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Excepción - proveedor único</w:t>
            </w:r>
          </w:p>
        </w:tc>
        <w:tc>
          <w:tcPr>
            <w:tcW w:w="1920" w:type="dxa"/>
            <w:tcBorders>
              <w:top w:val="nil"/>
              <w:left w:val="nil"/>
              <w:bottom w:val="single" w:sz="4" w:space="0" w:color="auto"/>
              <w:right w:val="single" w:sz="4" w:space="0" w:color="auto"/>
            </w:tcBorders>
            <w:shd w:val="clear" w:color="000000" w:fill="FFFFFF"/>
            <w:noWrap/>
            <w:vAlign w:val="center"/>
            <w:hideMark/>
          </w:tcPr>
          <w:p w14:paraId="0F3B1867"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90,321,624.00</w:t>
            </w:r>
          </w:p>
        </w:tc>
      </w:tr>
      <w:tr w:rsidR="00310D52" w:rsidRPr="00310D52" w14:paraId="08BF38BB" w14:textId="77777777" w:rsidTr="005B1419">
        <w:trPr>
          <w:trHeight w:val="315"/>
        </w:trPr>
        <w:tc>
          <w:tcPr>
            <w:tcW w:w="3430" w:type="dxa"/>
            <w:tcBorders>
              <w:top w:val="nil"/>
              <w:left w:val="single" w:sz="4" w:space="0" w:color="auto"/>
              <w:bottom w:val="single" w:sz="4" w:space="0" w:color="auto"/>
              <w:right w:val="single" w:sz="4" w:space="0" w:color="auto"/>
            </w:tcBorders>
            <w:shd w:val="clear" w:color="000000" w:fill="FFFFFF"/>
            <w:noWrap/>
            <w:vAlign w:val="center"/>
            <w:hideMark/>
          </w:tcPr>
          <w:p w14:paraId="23098CE7" w14:textId="77777777" w:rsidR="005B1419" w:rsidRPr="005B1419" w:rsidRDefault="005B1419" w:rsidP="005B1419">
            <w:pPr>
              <w:spacing w:after="0" w:line="240" w:lineRule="auto"/>
              <w:rPr>
                <w:rFonts w:eastAsia="Times New Roman"/>
                <w:spacing w:val="0"/>
                <w:lang w:val="es-DO"/>
              </w:rPr>
            </w:pPr>
            <w:r w:rsidRPr="005B1419">
              <w:rPr>
                <w:rFonts w:eastAsia="Times New Roman"/>
                <w:spacing w:val="0"/>
                <w:lang w:val="es-DO"/>
              </w:rPr>
              <w:t>Subasta Inversa</w:t>
            </w:r>
          </w:p>
        </w:tc>
        <w:tc>
          <w:tcPr>
            <w:tcW w:w="1920" w:type="dxa"/>
            <w:tcBorders>
              <w:top w:val="nil"/>
              <w:left w:val="nil"/>
              <w:bottom w:val="single" w:sz="4" w:space="0" w:color="auto"/>
              <w:right w:val="single" w:sz="4" w:space="0" w:color="auto"/>
            </w:tcBorders>
            <w:shd w:val="clear" w:color="000000" w:fill="FFFFFF"/>
            <w:noWrap/>
            <w:vAlign w:val="center"/>
            <w:hideMark/>
          </w:tcPr>
          <w:p w14:paraId="406F4BE4" w14:textId="77777777" w:rsidR="005B1419" w:rsidRPr="005B1419" w:rsidRDefault="005B1419" w:rsidP="005B1419">
            <w:pPr>
              <w:spacing w:after="0" w:line="240" w:lineRule="auto"/>
              <w:jc w:val="right"/>
              <w:rPr>
                <w:rFonts w:eastAsia="Times New Roman"/>
                <w:spacing w:val="0"/>
                <w:lang w:val="es-DO"/>
              </w:rPr>
            </w:pPr>
            <w:r w:rsidRPr="005B1419">
              <w:rPr>
                <w:rFonts w:eastAsia="Times New Roman"/>
                <w:spacing w:val="0"/>
                <w:lang w:val="es-DO"/>
              </w:rPr>
              <w:t>79,272,460.00</w:t>
            </w:r>
          </w:p>
        </w:tc>
      </w:tr>
      <w:tr w:rsidR="00310D52" w:rsidRPr="00310D52" w14:paraId="57326856" w14:textId="77777777" w:rsidTr="005B1419">
        <w:trPr>
          <w:trHeight w:val="330"/>
        </w:trPr>
        <w:tc>
          <w:tcPr>
            <w:tcW w:w="3430" w:type="dxa"/>
            <w:tcBorders>
              <w:top w:val="nil"/>
              <w:left w:val="single" w:sz="4" w:space="0" w:color="auto"/>
              <w:bottom w:val="single" w:sz="4" w:space="0" w:color="auto"/>
              <w:right w:val="single" w:sz="4" w:space="0" w:color="auto"/>
            </w:tcBorders>
            <w:shd w:val="clear" w:color="000000" w:fill="142F62"/>
            <w:noWrap/>
            <w:vAlign w:val="center"/>
            <w:hideMark/>
          </w:tcPr>
          <w:p w14:paraId="2AF01BAD" w14:textId="77777777" w:rsidR="005B1419" w:rsidRPr="005B1419" w:rsidRDefault="005B1419" w:rsidP="005B1419">
            <w:pPr>
              <w:spacing w:after="0" w:line="240" w:lineRule="auto"/>
              <w:jc w:val="center"/>
              <w:rPr>
                <w:rFonts w:eastAsia="Times New Roman"/>
                <w:b/>
                <w:bCs/>
                <w:color w:val="FFFFFF" w:themeColor="background1"/>
                <w:spacing w:val="0"/>
                <w:lang w:val="es-DO"/>
              </w:rPr>
            </w:pPr>
            <w:r w:rsidRPr="005B1419">
              <w:rPr>
                <w:rFonts w:eastAsia="Times New Roman"/>
                <w:b/>
                <w:bCs/>
                <w:color w:val="FFFFFF" w:themeColor="background1"/>
                <w:spacing w:val="0"/>
                <w:lang w:val="es-DO"/>
              </w:rPr>
              <w:t>Total</w:t>
            </w:r>
          </w:p>
        </w:tc>
        <w:tc>
          <w:tcPr>
            <w:tcW w:w="1920" w:type="dxa"/>
            <w:tcBorders>
              <w:top w:val="nil"/>
              <w:left w:val="nil"/>
              <w:bottom w:val="single" w:sz="4" w:space="0" w:color="auto"/>
              <w:right w:val="single" w:sz="4" w:space="0" w:color="auto"/>
            </w:tcBorders>
            <w:shd w:val="clear" w:color="000000" w:fill="142F62"/>
            <w:noWrap/>
            <w:vAlign w:val="center"/>
            <w:hideMark/>
          </w:tcPr>
          <w:p w14:paraId="58628919" w14:textId="77777777" w:rsidR="005B1419" w:rsidRPr="005B1419" w:rsidRDefault="005B1419" w:rsidP="005B1419">
            <w:pPr>
              <w:spacing w:after="0" w:line="240" w:lineRule="auto"/>
              <w:jc w:val="center"/>
              <w:rPr>
                <w:rFonts w:eastAsia="Times New Roman"/>
                <w:b/>
                <w:bCs/>
                <w:color w:val="FFFFFF" w:themeColor="background1"/>
                <w:spacing w:val="0"/>
                <w:lang w:val="es-DO"/>
              </w:rPr>
            </w:pPr>
            <w:r w:rsidRPr="005B1419">
              <w:rPr>
                <w:rFonts w:eastAsia="Times New Roman"/>
                <w:b/>
                <w:bCs/>
                <w:color w:val="FFFFFF" w:themeColor="background1"/>
                <w:spacing w:val="0"/>
                <w:lang w:val="es-DO"/>
              </w:rPr>
              <w:t>1,785,197,829.00</w:t>
            </w:r>
          </w:p>
        </w:tc>
      </w:tr>
    </w:tbl>
    <w:p w14:paraId="15052A8C" w14:textId="77777777" w:rsidR="00275786" w:rsidRPr="00310D52" w:rsidRDefault="00275786" w:rsidP="00996181">
      <w:pPr>
        <w:spacing w:line="360" w:lineRule="auto"/>
        <w:jc w:val="both"/>
        <w:rPr>
          <w:i/>
          <w:iCs/>
          <w:sz w:val="18"/>
          <w:szCs w:val="18"/>
          <w:lang w:val="es-DO"/>
        </w:rPr>
      </w:pPr>
    </w:p>
    <w:p w14:paraId="0A811F33" w14:textId="76221825" w:rsidR="00996181" w:rsidRPr="00310D52" w:rsidRDefault="00996181" w:rsidP="00996181">
      <w:pPr>
        <w:spacing w:line="360" w:lineRule="auto"/>
        <w:jc w:val="both"/>
        <w:rPr>
          <w:rFonts w:eastAsia="Times New Roman"/>
          <w:i/>
          <w:iCs/>
          <w:sz w:val="16"/>
          <w:szCs w:val="16"/>
          <w:lang w:val="es-DO" w:eastAsia="es-DO"/>
        </w:rPr>
      </w:pPr>
      <w:r w:rsidRPr="00310D52">
        <w:rPr>
          <w:i/>
          <w:iCs/>
          <w:sz w:val="18"/>
          <w:szCs w:val="18"/>
          <w:lang w:val="es-DO"/>
        </w:rPr>
        <w:t xml:space="preserve">Fuente: Elaboración en base a los reportes del SIGEF </w:t>
      </w:r>
    </w:p>
    <w:p w14:paraId="25A786B4" w14:textId="77777777" w:rsidR="00996181" w:rsidRPr="00310D52" w:rsidRDefault="00996181" w:rsidP="00996181">
      <w:pPr>
        <w:spacing w:line="360" w:lineRule="auto"/>
        <w:jc w:val="both"/>
        <w:rPr>
          <w:rFonts w:eastAsia="Calibri"/>
          <w:noProof/>
          <w:lang w:val="es-DO"/>
        </w:rPr>
      </w:pPr>
      <w:r w:rsidRPr="00310D52">
        <w:rPr>
          <w:rFonts w:eastAsia="Calibri"/>
          <w:noProof/>
          <w:lang w:val="es-DO"/>
        </w:rPr>
        <w:t>En las modalidades como se puede observar, la de mayor adjudicación fueron las licitaciones públicas, representando un 88.33% del total dirigidas a la contratación de servicios de Alquileres de Ambulancias, Mantenimientos, Adquisición de Insumos Médicos, Combustibles.</w:t>
      </w:r>
    </w:p>
    <w:p w14:paraId="6A5A1F86" w14:textId="45691E0B" w:rsidR="00996181" w:rsidRPr="00310D52" w:rsidRDefault="00996181" w:rsidP="005C3D4D">
      <w:pPr>
        <w:spacing w:line="360" w:lineRule="auto"/>
        <w:jc w:val="both"/>
        <w:rPr>
          <w:rFonts w:eastAsia="Calibri"/>
          <w:noProof/>
          <w:lang w:val="es-DO"/>
        </w:rPr>
      </w:pPr>
      <w:r w:rsidRPr="00310D52">
        <w:rPr>
          <w:rFonts w:eastAsia="Calibri"/>
          <w:noProof/>
          <w:lang w:val="es-DO"/>
        </w:rPr>
        <w:t>Las compras por debajo del umbral, comparaciones de precios y compras menores también representan una parte considerable de las adjudicaciones, con montos de RD$11,270 millones, RD$14,673 millones y RD$12,799 millones, respectivamente. Estas modalidades se utilizan para adquisiciones de menor cuantía y se caracterizan por promover la participación de proveedores más pequeños y locales.</w:t>
      </w:r>
    </w:p>
    <w:p w14:paraId="1294F8F2" w14:textId="77777777" w:rsidR="00996181" w:rsidRPr="00310D52" w:rsidRDefault="00996181" w:rsidP="005C3D4D">
      <w:pPr>
        <w:spacing w:line="360" w:lineRule="auto"/>
        <w:jc w:val="both"/>
        <w:rPr>
          <w:rFonts w:eastAsia="Calibri"/>
          <w:noProof/>
          <w:lang w:val="es-DO"/>
        </w:rPr>
      </w:pPr>
    </w:p>
    <w:p w14:paraId="592E518D" w14:textId="77777777" w:rsidR="00996181" w:rsidRPr="00310D52" w:rsidRDefault="00996181" w:rsidP="005C3D4D">
      <w:pPr>
        <w:spacing w:line="360" w:lineRule="auto"/>
        <w:jc w:val="both"/>
        <w:rPr>
          <w:rFonts w:eastAsia="Calibri"/>
          <w:noProof/>
          <w:lang w:val="es-DO"/>
        </w:rPr>
      </w:pPr>
    </w:p>
    <w:p w14:paraId="2C184E58" w14:textId="77777777" w:rsidR="00996181" w:rsidRPr="00310D52" w:rsidRDefault="00996181" w:rsidP="005C3D4D">
      <w:pPr>
        <w:spacing w:line="360" w:lineRule="auto"/>
        <w:jc w:val="both"/>
        <w:rPr>
          <w:rFonts w:eastAsia="Calibri"/>
          <w:noProof/>
          <w:lang w:val="es-DO"/>
        </w:rPr>
      </w:pPr>
    </w:p>
    <w:p w14:paraId="38BCA76B" w14:textId="60BB5D7B" w:rsidR="0005527B" w:rsidRPr="00F06D9C" w:rsidRDefault="0005527B" w:rsidP="0005527B">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27" w:name="_Toc217050890"/>
      <w:r w:rsidRPr="00F06D9C">
        <w:rPr>
          <w:rFonts w:eastAsiaTheme="majorEastAsia"/>
          <w:b/>
          <w:spacing w:val="0"/>
          <w:szCs w:val="28"/>
          <w:lang w:val="es-DO"/>
        </w:rPr>
        <w:lastRenderedPageBreak/>
        <w:t>Desempeño de los Recursos Humanos</w:t>
      </w:r>
      <w:bookmarkEnd w:id="27"/>
    </w:p>
    <w:p w14:paraId="3BF13CE5" w14:textId="552C2927" w:rsidR="0005527B" w:rsidRPr="00310D52" w:rsidRDefault="0005527B" w:rsidP="0005527B">
      <w:pPr>
        <w:spacing w:line="360" w:lineRule="auto"/>
        <w:jc w:val="both"/>
        <w:rPr>
          <w:lang w:val="es-DO"/>
        </w:rPr>
      </w:pPr>
      <w:r w:rsidRPr="00310D52">
        <w:rPr>
          <w:lang w:val="es-DO"/>
        </w:rPr>
        <w:t>En el periodo analizado se ha logrado avances significativos en la gestión del talento humano que han influido en el crecimiento de la entidad, obteniendo los siguientes logros:</w:t>
      </w:r>
    </w:p>
    <w:p w14:paraId="5B50D52F" w14:textId="147E748C" w:rsidR="0005527B" w:rsidRPr="00310D52" w:rsidRDefault="0005527B" w:rsidP="0005527B">
      <w:pPr>
        <w:pStyle w:val="Prrafodelista"/>
        <w:numPr>
          <w:ilvl w:val="0"/>
          <w:numId w:val="15"/>
        </w:numPr>
        <w:spacing w:line="360" w:lineRule="auto"/>
        <w:jc w:val="both"/>
        <w:rPr>
          <w:lang w:val="es-DO"/>
        </w:rPr>
      </w:pPr>
      <w:bookmarkStart w:id="28" w:name="_Hlk216273271"/>
      <w:r w:rsidRPr="00310D52">
        <w:rPr>
          <w:lang w:val="es-DO"/>
        </w:rPr>
        <w:t>Se ejecutó un amplio programa de fortalecimiento de competencias con 55 acciones formativas y 1,531 horas de capacitación, dirigidas a mejorar las capacidades técnicas, operativas y administrativas del personal de distintas áreas asistenciales y administrativas.</w:t>
      </w:r>
    </w:p>
    <w:bookmarkEnd w:id="28"/>
    <w:p w14:paraId="3010F2A5" w14:textId="77586097" w:rsidR="0005527B" w:rsidRPr="00310D52" w:rsidRDefault="0005527B" w:rsidP="0005527B">
      <w:pPr>
        <w:pStyle w:val="Prrafodelista"/>
        <w:numPr>
          <w:ilvl w:val="0"/>
          <w:numId w:val="15"/>
        </w:numPr>
        <w:spacing w:line="360" w:lineRule="auto"/>
        <w:jc w:val="both"/>
        <w:rPr>
          <w:lang w:val="es-DO"/>
        </w:rPr>
      </w:pPr>
      <w:r w:rsidRPr="00310D52">
        <w:rPr>
          <w:lang w:val="es-DO"/>
        </w:rPr>
        <w:t>Se gestionó y aprobó la cobertura oportuna de funciones mediante 58 interinatos, asegurando la continuidad operativa y la atención eficiente de los servicios esenciales.</w:t>
      </w:r>
    </w:p>
    <w:p w14:paraId="5A58EACB" w14:textId="67710EF9" w:rsidR="0005527B" w:rsidRPr="00310D52" w:rsidRDefault="0005527B" w:rsidP="0005527B">
      <w:pPr>
        <w:pStyle w:val="Prrafodelista"/>
        <w:numPr>
          <w:ilvl w:val="0"/>
          <w:numId w:val="15"/>
        </w:numPr>
        <w:spacing w:line="360" w:lineRule="auto"/>
        <w:jc w:val="both"/>
        <w:rPr>
          <w:lang w:val="es-DO"/>
        </w:rPr>
      </w:pPr>
      <w:r w:rsidRPr="00310D52">
        <w:rPr>
          <w:lang w:val="es-DO"/>
        </w:rPr>
        <w:t>Se aprobaron 131 cambios de designación fija, garantizando la regularización laboral conforme a las normativas vigentes y validando los expedientes requeridos para su adecuada tramitación.</w:t>
      </w:r>
    </w:p>
    <w:p w14:paraId="10159DE4" w14:textId="5249E3B8" w:rsidR="0005527B" w:rsidRPr="00310D52" w:rsidRDefault="0005527B" w:rsidP="0005527B">
      <w:pPr>
        <w:pStyle w:val="Prrafodelista"/>
        <w:numPr>
          <w:ilvl w:val="0"/>
          <w:numId w:val="15"/>
        </w:numPr>
        <w:spacing w:line="360" w:lineRule="auto"/>
        <w:jc w:val="both"/>
        <w:rPr>
          <w:lang w:val="es-DO"/>
        </w:rPr>
      </w:pPr>
      <w:r w:rsidRPr="00310D52">
        <w:rPr>
          <w:lang w:val="es-DO"/>
        </w:rPr>
        <w:t>Asimismo, fueron gestionados y aprobados 16 cambios de designación temporal, enfocados en reforzar el apoyo operativo de acuerdo con las necesidades institucionales identificadas.</w:t>
      </w:r>
    </w:p>
    <w:p w14:paraId="2C4186FD" w14:textId="4404B09A" w:rsidR="0005527B" w:rsidRPr="00310D52" w:rsidRDefault="0005527B" w:rsidP="0005527B">
      <w:pPr>
        <w:pStyle w:val="Prrafodelista"/>
        <w:numPr>
          <w:ilvl w:val="0"/>
          <w:numId w:val="15"/>
        </w:numPr>
        <w:spacing w:line="360" w:lineRule="auto"/>
        <w:jc w:val="both"/>
        <w:rPr>
          <w:lang w:val="es-DO"/>
        </w:rPr>
      </w:pPr>
      <w:r w:rsidRPr="00310D52">
        <w:rPr>
          <w:lang w:val="es-DO"/>
        </w:rPr>
        <w:t xml:space="preserve">Se brindó respuesta oportuna a 160 casos presentados a través del programa “5 minutos con el </w:t>
      </w:r>
      <w:r w:rsidR="004126E1" w:rsidRPr="00310D52">
        <w:rPr>
          <w:lang w:val="es-DO"/>
        </w:rPr>
        <w:t>director</w:t>
      </w:r>
      <w:r w:rsidRPr="00310D52">
        <w:rPr>
          <w:lang w:val="es-DO"/>
        </w:rPr>
        <w:t>”, atendiendo inquietudes, solicitudes y situaciones administrativas planteadas por los colaboradores.</w:t>
      </w:r>
    </w:p>
    <w:p w14:paraId="30352422" w14:textId="1EDFDCD4" w:rsidR="0005527B" w:rsidRPr="00310D52" w:rsidRDefault="00BA6390" w:rsidP="0005527B">
      <w:pPr>
        <w:pStyle w:val="Prrafodelista"/>
        <w:numPr>
          <w:ilvl w:val="0"/>
          <w:numId w:val="15"/>
        </w:numPr>
        <w:spacing w:line="360" w:lineRule="auto"/>
        <w:jc w:val="both"/>
        <w:rPr>
          <w:lang w:val="es-DO"/>
        </w:rPr>
      </w:pPr>
      <w:r w:rsidRPr="00310D52">
        <w:rPr>
          <w:lang w:val="es-DO"/>
        </w:rPr>
        <w:t xml:space="preserve">En materia de reclutamiento, se procesaron 3,350 solicitudes, de las cuales, tras el proceso de depuración y validación correspondiente, fueron seleccionados y contratados 2,308 colaboradores asistenciales y 422 colaboradores administrativos, fortaleciendo la capacidad operativa y de apoyo de la institución. Al cierre del período, la DAEH contó </w:t>
      </w:r>
      <w:r w:rsidRPr="00310D52">
        <w:rPr>
          <w:lang w:val="es-DO"/>
        </w:rPr>
        <w:lastRenderedPageBreak/>
        <w:t>con un total de 8,450 colaboradores, de los cuales 4,863 corresponden al sexo femenino (57.5 %) y 3,587 al sexo masculino (42.5 %), evidenciando una participación mayoritaria de mujeres en la estructura institucional.</w:t>
      </w:r>
    </w:p>
    <w:p w14:paraId="322236B6" w14:textId="1994C2C1" w:rsidR="0005527B" w:rsidRPr="00310D52" w:rsidRDefault="0005527B" w:rsidP="0005527B">
      <w:pPr>
        <w:pStyle w:val="Prrafodelista"/>
        <w:numPr>
          <w:ilvl w:val="0"/>
          <w:numId w:val="15"/>
        </w:numPr>
        <w:spacing w:line="360" w:lineRule="auto"/>
        <w:jc w:val="both"/>
        <w:rPr>
          <w:lang w:val="es-DO"/>
        </w:rPr>
      </w:pPr>
      <w:r w:rsidRPr="00310D52">
        <w:rPr>
          <w:lang w:val="es-DO"/>
        </w:rPr>
        <w:t>Se llevaron a cabo 8 jornadas de salud orientadas al bienestar integral del personal, ofreciendo servicios gratuitos de evaluación cardiovascular, oftalmológica, control de glicemia y Sonomamografía.</w:t>
      </w:r>
    </w:p>
    <w:p w14:paraId="5EE88047" w14:textId="07755D46" w:rsidR="00467EB5" w:rsidRPr="00310D52" w:rsidRDefault="00467EB5" w:rsidP="0005527B">
      <w:pPr>
        <w:pStyle w:val="Prrafodelista"/>
        <w:numPr>
          <w:ilvl w:val="0"/>
          <w:numId w:val="15"/>
        </w:numPr>
        <w:spacing w:line="360" w:lineRule="auto"/>
        <w:jc w:val="both"/>
        <w:rPr>
          <w:lang w:val="es-DO"/>
        </w:rPr>
      </w:pPr>
      <w:r w:rsidRPr="00310D52">
        <w:rPr>
          <w:lang w:val="es-DO"/>
        </w:rPr>
        <w:t>Se</w:t>
      </w:r>
      <w:r w:rsidR="00211E35" w:rsidRPr="00310D52">
        <w:rPr>
          <w:lang w:val="es-DO"/>
        </w:rPr>
        <w:t xml:space="preserve"> gestionó el proceso de Evaluación de Desempeño del personal, logrando la aprobación de 7,154 colaboradores, lo que representó un 94 % del personal evaluado, permitiendo su acceso al incentivo por rendimiento individual, conforme a las normativas institucionales y a los lineamientos establecidos por el Ministerio de Administración Pública (MAP).</w:t>
      </w:r>
    </w:p>
    <w:p w14:paraId="4E73FC0F" w14:textId="6B1AADC8" w:rsidR="0005527B" w:rsidRPr="00310D52" w:rsidRDefault="0005527B" w:rsidP="0005527B">
      <w:pPr>
        <w:pStyle w:val="Prrafodelista"/>
        <w:numPr>
          <w:ilvl w:val="0"/>
          <w:numId w:val="15"/>
        </w:numPr>
        <w:spacing w:line="360" w:lineRule="auto"/>
        <w:jc w:val="both"/>
        <w:rPr>
          <w:lang w:val="es-DO"/>
        </w:rPr>
      </w:pPr>
      <w:r w:rsidRPr="00310D52">
        <w:rPr>
          <w:lang w:val="es-DO"/>
        </w:rPr>
        <w:t>Finalmente, se completó la carnetización de 2,847 colaboradores, mediante un proceso organizado y eficiente que garantizó la emisión y distribución precisa y oportuna de los carnets institucionales.</w:t>
      </w:r>
    </w:p>
    <w:p w14:paraId="124715BC" w14:textId="4AB90EAD" w:rsidR="00467EB5" w:rsidRPr="00310D52" w:rsidRDefault="00BA6390" w:rsidP="00BA6390">
      <w:pPr>
        <w:spacing w:line="360" w:lineRule="auto"/>
        <w:jc w:val="both"/>
        <w:rPr>
          <w:lang w:val="es-DO"/>
        </w:rPr>
      </w:pPr>
      <w:r w:rsidRPr="00310D52">
        <w:rPr>
          <w:lang w:val="es-DO"/>
        </w:rPr>
        <w:t xml:space="preserve">Actualmente, nuestra institución no ha sido incorporada en el sistema SISMAP, Esta situación limita la evaluación externa de nuestros subsistemas de </w:t>
      </w:r>
      <w:r w:rsidR="00310D52" w:rsidRPr="00310D52">
        <w:rPr>
          <w:lang w:val="es-DO"/>
        </w:rPr>
        <w:t xml:space="preserve">recursos humanos </w:t>
      </w:r>
      <w:r w:rsidRPr="00310D52">
        <w:rPr>
          <w:lang w:val="es-DO"/>
        </w:rPr>
        <w:t>en comparación con otras instituciones públicas. Sin embargo, estamos comprometidos con la mejora continua y el monitoreo interno de nuestros indicadores.</w:t>
      </w:r>
    </w:p>
    <w:p w14:paraId="0ED9D0F8" w14:textId="77777777" w:rsidR="00996181" w:rsidRPr="00310D52" w:rsidRDefault="00996181" w:rsidP="00BA6390">
      <w:pPr>
        <w:spacing w:line="360" w:lineRule="auto"/>
        <w:jc w:val="both"/>
        <w:rPr>
          <w:lang w:val="es-DO"/>
        </w:rPr>
      </w:pPr>
    </w:p>
    <w:p w14:paraId="0A0CC23B" w14:textId="77777777" w:rsidR="00996181" w:rsidRPr="00310D52" w:rsidRDefault="00996181" w:rsidP="00BA6390">
      <w:pPr>
        <w:spacing w:line="360" w:lineRule="auto"/>
        <w:jc w:val="both"/>
        <w:rPr>
          <w:lang w:val="es-DO"/>
        </w:rPr>
      </w:pPr>
    </w:p>
    <w:p w14:paraId="128431BF" w14:textId="77777777" w:rsidR="00996181" w:rsidRPr="00310D52" w:rsidRDefault="00996181" w:rsidP="00BA6390">
      <w:pPr>
        <w:spacing w:line="360" w:lineRule="auto"/>
        <w:jc w:val="both"/>
        <w:rPr>
          <w:lang w:val="es-DO"/>
        </w:rPr>
      </w:pPr>
    </w:p>
    <w:p w14:paraId="5EF31174" w14:textId="1AF80AA2" w:rsidR="001D52D6" w:rsidRPr="00F06D9C" w:rsidRDefault="001D52D6" w:rsidP="0005527B">
      <w:pPr>
        <w:pStyle w:val="Prrafodelista"/>
        <w:keepNext/>
        <w:keepLines/>
        <w:numPr>
          <w:ilvl w:val="1"/>
          <w:numId w:val="1"/>
        </w:numPr>
        <w:spacing w:before="240" w:after="0" w:line="360" w:lineRule="auto"/>
        <w:ind w:left="360"/>
        <w:jc w:val="both"/>
        <w:outlineLvl w:val="0"/>
        <w:rPr>
          <w:rFonts w:eastAsiaTheme="majorEastAsia"/>
          <w:b/>
          <w:spacing w:val="0"/>
          <w:szCs w:val="28"/>
          <w:lang w:val="es-DO"/>
        </w:rPr>
      </w:pPr>
      <w:bookmarkStart w:id="29" w:name="_Toc217050891"/>
      <w:r w:rsidRPr="00F06D9C">
        <w:rPr>
          <w:rFonts w:eastAsiaTheme="majorEastAsia"/>
          <w:b/>
          <w:spacing w:val="0"/>
          <w:szCs w:val="28"/>
          <w:lang w:val="es-DO"/>
        </w:rPr>
        <w:lastRenderedPageBreak/>
        <w:t>Desempeño de los Procesos Jurídicos</w:t>
      </w:r>
      <w:bookmarkEnd w:id="26"/>
      <w:bookmarkEnd w:id="29"/>
    </w:p>
    <w:p w14:paraId="348C72F2" w14:textId="2A8D9A7F" w:rsidR="005C7C38" w:rsidRPr="00310D52" w:rsidRDefault="00BD6578" w:rsidP="00BA2267">
      <w:pPr>
        <w:spacing w:line="360" w:lineRule="auto"/>
        <w:jc w:val="both"/>
        <w:rPr>
          <w:rFonts w:eastAsia="Calibri"/>
          <w:noProof/>
          <w:lang w:val="es-DO"/>
        </w:rPr>
      </w:pPr>
      <w:r w:rsidRPr="00310D52">
        <w:rPr>
          <w:rFonts w:eastAsia="Calibri"/>
          <w:noProof/>
          <w:lang w:val="es-DO"/>
        </w:rPr>
        <w:t>En el área jurídica, hemos implementado acciones que contribuyen al fortalecimiento de los procesos internos de nuestra institución y a una gestión legal eficiente. Entre los principales logros se incluyen:</w:t>
      </w:r>
    </w:p>
    <w:p w14:paraId="517A708C" w14:textId="57FC8B10" w:rsidR="00BD6578" w:rsidRPr="00310D52" w:rsidRDefault="00BD6578" w:rsidP="00BD6578">
      <w:pPr>
        <w:pStyle w:val="Prrafodelista"/>
        <w:numPr>
          <w:ilvl w:val="0"/>
          <w:numId w:val="14"/>
        </w:numPr>
        <w:spacing w:line="360" w:lineRule="auto"/>
        <w:jc w:val="both"/>
        <w:rPr>
          <w:rFonts w:eastAsia="Calibri"/>
          <w:noProof/>
          <w:lang w:val="es-DO"/>
        </w:rPr>
      </w:pPr>
      <w:r w:rsidRPr="00310D52">
        <w:rPr>
          <w:rFonts w:eastAsia="Calibri"/>
          <w:noProof/>
          <w:lang w:val="es-DO"/>
        </w:rPr>
        <w:t>Gestión de Finiquitos Legales: Se completaron 248 finiquitos legales, garantizando el cierre formal y oportuno de los procesos correspondientes.</w:t>
      </w:r>
    </w:p>
    <w:p w14:paraId="449F813A" w14:textId="70F1B2D4" w:rsidR="005C7C38" w:rsidRPr="00310D52" w:rsidRDefault="00BD6578" w:rsidP="00BD6578">
      <w:pPr>
        <w:pStyle w:val="Prrafodelista"/>
        <w:numPr>
          <w:ilvl w:val="0"/>
          <w:numId w:val="14"/>
        </w:numPr>
        <w:spacing w:line="360" w:lineRule="auto"/>
        <w:jc w:val="both"/>
        <w:rPr>
          <w:rFonts w:eastAsia="Calibri"/>
          <w:noProof/>
          <w:lang w:val="es-DO"/>
        </w:rPr>
      </w:pPr>
      <w:r w:rsidRPr="00310D52">
        <w:rPr>
          <w:rFonts w:eastAsia="Calibri"/>
          <w:noProof/>
          <w:lang w:val="es-DO"/>
        </w:rPr>
        <w:t>Fortalecimiento de Procesos Administrativos y Contractuales: Se revisaron y gestionaron 35 contratos de compras y contrataciones, asegurando el cumplimiento del marco normativo vigente. Asimismo, el equipo participó activamente en 22 revisiones de pliegos de condiciones, apoyando la transparencia en los procesos institucionales.</w:t>
      </w:r>
    </w:p>
    <w:p w14:paraId="234071AF" w14:textId="75C9C20C" w:rsidR="00BD6578" w:rsidRPr="00310D52" w:rsidRDefault="00BD6578" w:rsidP="00BD6578">
      <w:pPr>
        <w:pStyle w:val="Prrafodelista"/>
        <w:numPr>
          <w:ilvl w:val="0"/>
          <w:numId w:val="14"/>
        </w:numPr>
        <w:spacing w:line="360" w:lineRule="auto"/>
        <w:jc w:val="both"/>
        <w:rPr>
          <w:rFonts w:eastAsia="Calibri"/>
          <w:noProof/>
          <w:lang w:val="es-DO"/>
        </w:rPr>
      </w:pPr>
      <w:r w:rsidRPr="00310D52">
        <w:rPr>
          <w:rFonts w:eastAsia="Calibri"/>
          <w:noProof/>
          <w:lang w:val="es-DO"/>
        </w:rPr>
        <w:t>Certificaciones de Asistencias: Se emitieron 296 certificaciones de asistencia a usuarios atendidos por nuestras unidades prehospitalarias, contribuyendo a la validación de sus procesos clínicos y administrativo.</w:t>
      </w:r>
    </w:p>
    <w:p w14:paraId="50764829" w14:textId="39DF5AB9" w:rsidR="00BD6578" w:rsidRPr="00310D52" w:rsidRDefault="00BD6578" w:rsidP="00BD6578">
      <w:pPr>
        <w:pStyle w:val="Prrafodelista"/>
        <w:numPr>
          <w:ilvl w:val="0"/>
          <w:numId w:val="14"/>
        </w:numPr>
        <w:spacing w:line="360" w:lineRule="auto"/>
        <w:jc w:val="both"/>
        <w:rPr>
          <w:rFonts w:eastAsia="Calibri"/>
          <w:noProof/>
          <w:lang w:val="es-DO"/>
        </w:rPr>
      </w:pPr>
      <w:r w:rsidRPr="00310D52">
        <w:rPr>
          <w:rFonts w:eastAsia="Calibri"/>
          <w:noProof/>
          <w:lang w:val="es-DO"/>
        </w:rPr>
        <w:t>Procesos Litigiosos: Se gestionaron 30 procesos litigiosos, con 17 casos resueltos y 13 en curso, manteniendo el seguimiento oportuno ante los tribunales y velando por la defensa institucional.</w:t>
      </w:r>
    </w:p>
    <w:p w14:paraId="77151591" w14:textId="51DC9532" w:rsidR="00BD6578" w:rsidRPr="00310D52" w:rsidRDefault="00BD6578" w:rsidP="00467EB5">
      <w:pPr>
        <w:pStyle w:val="Prrafodelista"/>
        <w:numPr>
          <w:ilvl w:val="0"/>
          <w:numId w:val="14"/>
        </w:numPr>
        <w:spacing w:line="360" w:lineRule="auto"/>
        <w:jc w:val="both"/>
        <w:rPr>
          <w:rFonts w:eastAsia="Calibri"/>
          <w:noProof/>
          <w:lang w:val="es-DO"/>
        </w:rPr>
      </w:pPr>
      <w:r w:rsidRPr="00310D52">
        <w:rPr>
          <w:rFonts w:eastAsia="Calibri"/>
          <w:noProof/>
          <w:lang w:val="es-DO"/>
        </w:rPr>
        <w:t>Convenios Interinstitucionales: Se</w:t>
      </w:r>
      <w:r w:rsidR="00BA6390" w:rsidRPr="00310D52">
        <w:rPr>
          <w:rFonts w:eastAsia="Calibri"/>
          <w:noProof/>
          <w:lang w:val="es-DO"/>
        </w:rPr>
        <w:t xml:space="preserve"> formalizaron dos acuerdos interinstitucionales orientados a fortalecer la gestión jurídica y operativa de la DAEH: uno con el Consejo Estatal del Azúcar (CEA), mediante el cual se asignó un terreno para su uso como centro de acopio y taller institucional, y otro con el IDOPRIL, destinado a fortalecer la protección social de los colaboradores ante riesgos laborales, mejorar la cobertura y agilizar el pago de subsidios, garantizando beneficios oportunos y una gestión más eficiente y transparente.</w:t>
      </w:r>
    </w:p>
    <w:p w14:paraId="63FA89A8" w14:textId="15E22783" w:rsidR="00BD6578" w:rsidRPr="00310D52" w:rsidRDefault="00BD6578" w:rsidP="00BD6578">
      <w:pPr>
        <w:spacing w:line="360" w:lineRule="auto"/>
        <w:jc w:val="both"/>
        <w:rPr>
          <w:rFonts w:eastAsia="Calibri"/>
          <w:noProof/>
          <w:lang w:val="es-DO"/>
        </w:rPr>
      </w:pPr>
      <w:r w:rsidRPr="00310D52">
        <w:rPr>
          <w:rFonts w:eastAsia="Calibri"/>
          <w:noProof/>
          <w:lang w:val="es-DO"/>
        </w:rPr>
        <w:lastRenderedPageBreak/>
        <w:t>Desagregado por acción contamos con las siguientes estadísticas:</w:t>
      </w:r>
    </w:p>
    <w:p w14:paraId="08A4740D" w14:textId="0818E5A6" w:rsidR="005C7C38" w:rsidRPr="00310D52" w:rsidRDefault="00BA6390" w:rsidP="00996181">
      <w:pPr>
        <w:spacing w:after="0" w:line="360" w:lineRule="auto"/>
        <w:jc w:val="both"/>
        <w:rPr>
          <w:rFonts w:eastAsia="Calibri"/>
          <w:noProof/>
          <w:lang w:val="es-DO"/>
        </w:rPr>
      </w:pPr>
      <w:r w:rsidRPr="00310D52">
        <w:rPr>
          <w:rFonts w:eastAsia="Calibri"/>
          <w:noProof/>
          <w:lang w:val="es-DO"/>
        </w:rPr>
        <w:object w:dxaOrig="8622" w:dyaOrig="5704" w14:anchorId="45DC9E07">
          <v:shape id="_x0000_i1031" type="#_x0000_t75" style="width:379.2pt;height:263.4pt" o:ole="">
            <v:imagedata r:id="rId28" o:title=""/>
          </v:shape>
          <o:OLEObject Type="Embed" ProgID="Excel.Sheet.12" ShapeID="_x0000_i1031" DrawAspect="Content" ObjectID="_1827944963" r:id="rId29"/>
        </w:object>
      </w:r>
    </w:p>
    <w:p w14:paraId="018AB76F" w14:textId="77777777" w:rsidR="002F2305" w:rsidRPr="00310D52" w:rsidRDefault="00BD6578" w:rsidP="002F2305">
      <w:pPr>
        <w:spacing w:line="360" w:lineRule="auto"/>
        <w:jc w:val="both"/>
        <w:rPr>
          <w:rFonts w:eastAsia="Calibri"/>
          <w:i/>
          <w:iCs/>
          <w:noProof/>
          <w:sz w:val="18"/>
          <w:szCs w:val="18"/>
          <w:lang w:val="es-DO"/>
        </w:rPr>
      </w:pPr>
      <w:r w:rsidRPr="00310D52">
        <w:rPr>
          <w:rFonts w:eastAsia="Calibri"/>
          <w:i/>
          <w:iCs/>
          <w:noProof/>
          <w:sz w:val="18"/>
          <w:szCs w:val="18"/>
          <w:lang w:val="es-DO"/>
        </w:rPr>
        <w:t>Fuente: Departamento Juridico</w:t>
      </w:r>
      <w:bookmarkStart w:id="30" w:name="_Toc184936520"/>
    </w:p>
    <w:p w14:paraId="5996F4DA" w14:textId="04F4FC10" w:rsidR="002F2305" w:rsidRPr="00F06D9C" w:rsidRDefault="002F2305" w:rsidP="002F2305">
      <w:pPr>
        <w:pStyle w:val="Prrafodelista"/>
        <w:keepNext/>
        <w:keepLines/>
        <w:numPr>
          <w:ilvl w:val="1"/>
          <w:numId w:val="1"/>
        </w:numPr>
        <w:spacing w:before="240" w:after="0" w:line="360" w:lineRule="auto"/>
        <w:ind w:left="0"/>
        <w:jc w:val="both"/>
        <w:outlineLvl w:val="0"/>
        <w:rPr>
          <w:rFonts w:eastAsiaTheme="majorEastAsia"/>
          <w:b/>
          <w:spacing w:val="0"/>
          <w:szCs w:val="28"/>
          <w:lang w:val="es-DO"/>
        </w:rPr>
      </w:pPr>
      <w:bookmarkStart w:id="31" w:name="_Toc217050892"/>
      <w:r w:rsidRPr="00F06D9C">
        <w:rPr>
          <w:rFonts w:eastAsiaTheme="majorEastAsia"/>
          <w:b/>
          <w:spacing w:val="0"/>
          <w:szCs w:val="28"/>
          <w:lang w:val="es-DO"/>
        </w:rPr>
        <w:t>Desempeño de la Tecnología</w:t>
      </w:r>
      <w:bookmarkEnd w:id="31"/>
    </w:p>
    <w:p w14:paraId="16EA565E" w14:textId="0114A001" w:rsidR="002F277C" w:rsidRPr="00310D52" w:rsidRDefault="002F277C" w:rsidP="002F277C">
      <w:pPr>
        <w:spacing w:line="360" w:lineRule="auto"/>
        <w:jc w:val="both"/>
        <w:rPr>
          <w:rFonts w:eastAsia="Calibri"/>
          <w:noProof/>
          <w:lang w:val="es-DO"/>
        </w:rPr>
      </w:pPr>
      <w:r w:rsidRPr="00310D52">
        <w:rPr>
          <w:rFonts w:eastAsia="Calibri"/>
          <w:noProof/>
          <w:lang w:val="es-DO"/>
        </w:rPr>
        <w:t>En materia tecnológica, durante el período se desarrollaron diversas iniciativas orientadas al fortalecimiento de la infraestructura, la mejora de los procesos internos y la implementación de soluciones digitales que contribuyen a una mayor eficiencia operativa. Estas acciones apoyan directamente el proceso de transformación institucional y se alinean con los lineamientos de modernización de la gestión pública.</w:t>
      </w:r>
    </w:p>
    <w:p w14:paraId="166AFFB9" w14:textId="0F4AF100" w:rsidR="002F277C" w:rsidRPr="00310D52" w:rsidRDefault="002F277C" w:rsidP="002F277C">
      <w:pPr>
        <w:spacing w:line="360" w:lineRule="auto"/>
        <w:jc w:val="both"/>
        <w:rPr>
          <w:rFonts w:eastAsia="Calibri"/>
          <w:noProof/>
          <w:lang w:val="es-DO"/>
        </w:rPr>
      </w:pPr>
      <w:r w:rsidRPr="00310D52">
        <w:rPr>
          <w:rFonts w:eastAsia="Calibri"/>
          <w:noProof/>
          <w:lang w:val="es-DO"/>
        </w:rPr>
        <w:t xml:space="preserve">Como parte del proceso de reestructuración tecnológica, se realizaron levantamientos tecnológicos en las provincias donde opera la institución, con el objetivo de conocer el estado real de los recursos disponibles. Este diagnóstico permitió identificar condiciones del equipamiento, necesidades de actualización y sustitución, oportunidades de mejora en conectividad y redes internas, así como establecer una hoja de </w:t>
      </w:r>
      <w:r w:rsidRPr="00310D52">
        <w:rPr>
          <w:rFonts w:eastAsia="Calibri"/>
          <w:noProof/>
          <w:lang w:val="es-DO"/>
        </w:rPr>
        <w:lastRenderedPageBreak/>
        <w:t>ruta para la modernización tecnológica regional. Estos levantamientos constituyen la base para la planificación de inversiones, la priorización de intervenciones y la garantía de la continuidad operativa a nivel territorial.</w:t>
      </w:r>
    </w:p>
    <w:p w14:paraId="5470C3BC" w14:textId="490C4E0A" w:rsidR="002F277C" w:rsidRPr="00310D52" w:rsidRDefault="002F277C" w:rsidP="002F277C">
      <w:pPr>
        <w:spacing w:line="360" w:lineRule="auto"/>
        <w:jc w:val="both"/>
        <w:rPr>
          <w:rFonts w:eastAsia="Calibri"/>
          <w:noProof/>
          <w:lang w:val="es-DO"/>
        </w:rPr>
      </w:pPr>
      <w:r w:rsidRPr="00310D52">
        <w:rPr>
          <w:rFonts w:eastAsia="Calibri"/>
          <w:noProof/>
          <w:lang w:val="es-DO"/>
        </w:rPr>
        <w:t>En el ámbito de la transformación digital, se completó la segunda fase del Sistema de Gestión Humana (SGH), plataforma estratégica destinada a centralizar y optimizar la gestión del personal. La implementación del SGH permitirá automatizar procesos clave, fortalecer la integridad y disponibilidad de la información, mejorar la eficiencia administrativa y garantizar la trazabilidad de las operaciones relacionadas con los recursos humanos.</w:t>
      </w:r>
    </w:p>
    <w:p w14:paraId="192C7B97" w14:textId="4BD313C9" w:rsidR="002F277C" w:rsidRPr="00310D52" w:rsidRDefault="002F277C" w:rsidP="002F277C">
      <w:pPr>
        <w:spacing w:line="360" w:lineRule="auto"/>
        <w:jc w:val="both"/>
        <w:rPr>
          <w:rFonts w:eastAsia="Calibri"/>
          <w:noProof/>
          <w:lang w:val="es-DO"/>
        </w:rPr>
      </w:pPr>
      <w:r w:rsidRPr="00310D52">
        <w:rPr>
          <w:rFonts w:eastAsia="Calibri"/>
          <w:noProof/>
          <w:lang w:val="es-DO"/>
        </w:rPr>
        <w:t>El sistema integra módulos fundamentales vinculados a la gestión laboral, tales como amonestaciones, solicitudes de permisos, vacaciones, licencias médicas, certificaciones, estructura organizacional y seguimiento de actividades. Cada uno de estos componentes contará con tableros de control diseñados para ofrecer información en tiempo real y visualizaciones que faciliten el análisis y la toma de decisiones.</w:t>
      </w:r>
    </w:p>
    <w:p w14:paraId="5B37E0D7" w14:textId="320AAD4A" w:rsidR="00675ED4" w:rsidRPr="00310D52" w:rsidRDefault="002F277C" w:rsidP="00675ED4">
      <w:pPr>
        <w:spacing w:line="360" w:lineRule="auto"/>
        <w:jc w:val="both"/>
        <w:rPr>
          <w:rFonts w:eastAsia="Calibri"/>
          <w:noProof/>
          <w:lang w:val="es-DO"/>
        </w:rPr>
      </w:pPr>
      <w:r w:rsidRPr="00310D52">
        <w:rPr>
          <w:rFonts w:eastAsia="Calibri"/>
          <w:noProof/>
          <w:lang w:val="es-DO"/>
        </w:rPr>
        <w:t>Entre los desarrollos realizados, destaca el Tablero de Monitoreo de Actividades, el cual consolida información clave sobre el movimiento del personal, incluyendo cantidad de empleados, ingresos, desvinculaciones, cambios de designación, ajustes salariales y distribución por región y dependencia. Esta herramienta fortalece la capacidad de análisis estratégico del recurso humano y contribuye a una gestión más eficiente, transparente y orientada a resultados.</w:t>
      </w:r>
    </w:p>
    <w:p w14:paraId="649D1521" w14:textId="1B716AD7" w:rsidR="006D4D90" w:rsidRPr="00310D52" w:rsidRDefault="006D4D90" w:rsidP="00675ED4">
      <w:pPr>
        <w:spacing w:line="360" w:lineRule="auto"/>
        <w:jc w:val="both"/>
        <w:rPr>
          <w:rFonts w:eastAsia="Calibri"/>
          <w:noProof/>
          <w:lang w:val="es-DO"/>
        </w:rPr>
      </w:pPr>
      <w:r w:rsidRPr="00310D52">
        <w:rPr>
          <w:rFonts w:eastAsia="Calibri"/>
          <w:noProof/>
          <w:lang w:val="es-DO"/>
        </w:rPr>
        <w:t xml:space="preserve">La DAEH continuó avanzando en el proceso de adecuación a los estándares TIC del Estado, mediante la implementación progresiva de las Normas TIC, el fortalecimiento de la gestión del portal web institucional y la organización de evidencias para los procesos de </w:t>
      </w:r>
      <w:r w:rsidRPr="00310D52">
        <w:rPr>
          <w:rFonts w:eastAsia="Calibri"/>
          <w:noProof/>
          <w:lang w:val="es-DO"/>
        </w:rPr>
        <w:lastRenderedPageBreak/>
        <w:t>certificación NORTIC A2 y la evaluación preliminar de NORTIC A3. Estos esfuerzos forman parte de la preparación institucional para su futura inclusión en el iTicge, ya que la DAEH aún no forma parte de las instituciones evaluadas en este índice.</w:t>
      </w:r>
    </w:p>
    <w:p w14:paraId="18415E23" w14:textId="20749056" w:rsidR="00D744ED" w:rsidRPr="00F06D9C" w:rsidRDefault="00D744ED" w:rsidP="00D744ED">
      <w:pPr>
        <w:pStyle w:val="Prrafodelista"/>
        <w:keepNext/>
        <w:keepLines/>
        <w:numPr>
          <w:ilvl w:val="1"/>
          <w:numId w:val="1"/>
        </w:numPr>
        <w:spacing w:before="240" w:after="0" w:line="360" w:lineRule="auto"/>
        <w:ind w:left="0"/>
        <w:jc w:val="both"/>
        <w:outlineLvl w:val="0"/>
        <w:rPr>
          <w:rFonts w:eastAsiaTheme="majorEastAsia"/>
          <w:b/>
          <w:spacing w:val="0"/>
          <w:szCs w:val="28"/>
          <w:lang w:val="es-DO"/>
        </w:rPr>
      </w:pPr>
      <w:bookmarkStart w:id="32" w:name="_Toc217050893"/>
      <w:r w:rsidRPr="00F06D9C">
        <w:rPr>
          <w:rFonts w:eastAsiaTheme="majorEastAsia"/>
          <w:b/>
          <w:spacing w:val="0"/>
          <w:szCs w:val="28"/>
          <w:lang w:val="es-DO"/>
        </w:rPr>
        <w:t>Desempeño del Sistema de Planificación y Desarrollo Institucional.</w:t>
      </w:r>
      <w:bookmarkEnd w:id="30"/>
      <w:bookmarkEnd w:id="32"/>
    </w:p>
    <w:p w14:paraId="1EC5248E" w14:textId="77777777" w:rsidR="00D744ED" w:rsidRPr="00310D52" w:rsidRDefault="00D744ED" w:rsidP="00D744ED">
      <w:pPr>
        <w:spacing w:line="360" w:lineRule="auto"/>
        <w:jc w:val="both"/>
        <w:rPr>
          <w:rFonts w:eastAsia="Calibri"/>
          <w:noProof/>
          <w:lang w:val="es-DO"/>
        </w:rPr>
      </w:pPr>
      <w:r w:rsidRPr="00310D52">
        <w:rPr>
          <w:rFonts w:eastAsia="Calibri"/>
          <w:noProof/>
          <w:lang w:val="es-DO"/>
        </w:rPr>
        <w:t xml:space="preserve">La Dirección de Servicios de Atención a Emergencias Extrahospitalarias impulsa acciones enfocadas en el crecimiento organizacional. Su objetivo es liderar la creación y seguimiento de planes, programas y proyectos clave para el desarrollo institucional, además de gestionar los sistemas de calidad y fomentar la cooperación internacional. </w:t>
      </w:r>
    </w:p>
    <w:p w14:paraId="0C182C23" w14:textId="77777777" w:rsidR="00D744ED" w:rsidRPr="00310D52" w:rsidRDefault="00D744ED" w:rsidP="00D744ED">
      <w:pPr>
        <w:spacing w:line="360" w:lineRule="auto"/>
        <w:jc w:val="both"/>
        <w:rPr>
          <w:rFonts w:eastAsia="Calibri"/>
          <w:noProof/>
          <w:lang w:val="es-DO"/>
        </w:rPr>
      </w:pPr>
      <w:r w:rsidRPr="00310D52">
        <w:rPr>
          <w:rFonts w:eastAsia="Calibri"/>
          <w:noProof/>
          <w:lang w:val="es-DO"/>
        </w:rPr>
        <w:t>Esta área se dedica a fortalecer y optimizar el sistema de emergencias mediante el desarrollo de los cuatro subsistemas de planificación, con el fin de asegurar una gestión eficiente y efectiva que esté alineada con los objetivos estratégicos, en beneficio tanto de la institución como de todos los involucrados.</w:t>
      </w:r>
    </w:p>
    <w:p w14:paraId="1661F84F" w14:textId="77777777" w:rsidR="00D744ED" w:rsidRPr="00310D52" w:rsidRDefault="00D744ED" w:rsidP="00D744ED">
      <w:pPr>
        <w:spacing w:line="360" w:lineRule="auto"/>
        <w:jc w:val="both"/>
        <w:rPr>
          <w:rFonts w:eastAsia="Calibri"/>
          <w:noProof/>
          <w:lang w:val="es-DO"/>
        </w:rPr>
      </w:pPr>
      <w:r w:rsidRPr="00310D52">
        <w:rPr>
          <w:rFonts w:eastAsia="Calibri"/>
          <w:noProof/>
          <w:lang w:val="es-DO"/>
        </w:rPr>
        <w:t>Dentro de los principales logros encontramos:</w:t>
      </w:r>
    </w:p>
    <w:p w14:paraId="428F0E84" w14:textId="5C53A171" w:rsidR="00D744ED" w:rsidRPr="00310D52" w:rsidRDefault="00D744ED" w:rsidP="00D744ED">
      <w:pPr>
        <w:pStyle w:val="Prrafodelista"/>
        <w:numPr>
          <w:ilvl w:val="0"/>
          <w:numId w:val="16"/>
        </w:numPr>
        <w:spacing w:line="360" w:lineRule="auto"/>
        <w:jc w:val="both"/>
        <w:rPr>
          <w:rFonts w:eastAsia="Calibri"/>
          <w:b/>
          <w:bCs/>
          <w:noProof/>
          <w:lang w:val="es-DO"/>
        </w:rPr>
      </w:pPr>
      <w:r w:rsidRPr="00310D52">
        <w:rPr>
          <w:rFonts w:eastAsia="Calibri"/>
          <w:noProof/>
          <w:lang w:val="es-DO"/>
        </w:rPr>
        <w:t>Se elaboró y se puso en marcha el Plan Estratégico Institucional 2025-2028, construido a partir del análisis de riesgos, las necesidades operativas y las prioridades institucionales. Este instrumento establece la hoja de ruta para los próximos cuatro años, alineando objetivos, indicadores y acciones clave que fortalecerán la organización y optimizarán la prestación de los servicios de atención extrahospitalaria en todo el país.</w:t>
      </w:r>
    </w:p>
    <w:p w14:paraId="20516FE2" w14:textId="77777777" w:rsidR="00D744ED" w:rsidRPr="00310D52" w:rsidRDefault="00D744ED" w:rsidP="00D744ED">
      <w:pPr>
        <w:pStyle w:val="Prrafodelista"/>
        <w:rPr>
          <w:rFonts w:eastAsia="Calibri"/>
          <w:noProof/>
          <w:lang w:val="es-DO"/>
        </w:rPr>
      </w:pPr>
    </w:p>
    <w:p w14:paraId="6F3E070B" w14:textId="243239DE" w:rsidR="00D744ED" w:rsidRPr="00310D52" w:rsidRDefault="00D744ED" w:rsidP="00D744ED">
      <w:pPr>
        <w:pStyle w:val="Prrafodelista"/>
        <w:numPr>
          <w:ilvl w:val="0"/>
          <w:numId w:val="16"/>
        </w:numPr>
        <w:spacing w:line="360" w:lineRule="auto"/>
        <w:jc w:val="both"/>
        <w:rPr>
          <w:rFonts w:eastAsia="Calibri"/>
          <w:noProof/>
          <w:lang w:val="es-DO"/>
        </w:rPr>
      </w:pPr>
      <w:r w:rsidRPr="00310D52">
        <w:rPr>
          <w:rFonts w:eastAsia="Calibri"/>
          <w:noProof/>
          <w:lang w:val="es-DO"/>
        </w:rPr>
        <w:t xml:space="preserve">De acuerdo con la programación correspondientes al año se evalúan los avances de iniciativas y actividades a modo general, y el desempeño particular de cada una de las áreas </w:t>
      </w:r>
      <w:r w:rsidRPr="00310D52">
        <w:rPr>
          <w:rFonts w:eastAsia="Calibri"/>
          <w:noProof/>
          <w:lang w:val="es-DO"/>
        </w:rPr>
        <w:lastRenderedPageBreak/>
        <w:t xml:space="preserve">funcionales que forman parte de la DAEH, </w:t>
      </w:r>
      <w:bookmarkStart w:id="33" w:name="_Hlk216336737"/>
      <w:r w:rsidRPr="00310D52">
        <w:rPr>
          <w:rFonts w:eastAsia="Calibri"/>
          <w:noProof/>
          <w:lang w:val="es-DO"/>
        </w:rPr>
        <w:t xml:space="preserve">monitoreo del Plan Operativo Anual con un porcentaje promedio de eficiencia y eficacia de un </w:t>
      </w:r>
      <w:r w:rsidR="001F160D" w:rsidRPr="00310D52">
        <w:rPr>
          <w:rFonts w:eastAsia="Calibri"/>
          <w:noProof/>
          <w:lang w:val="es-DO"/>
        </w:rPr>
        <w:t>96</w:t>
      </w:r>
      <w:r w:rsidRPr="00310D52">
        <w:rPr>
          <w:rFonts w:eastAsia="Calibri"/>
          <w:noProof/>
          <w:lang w:val="es-DO"/>
        </w:rPr>
        <w:t>%.</w:t>
      </w:r>
    </w:p>
    <w:p w14:paraId="39A117F3" w14:textId="77777777" w:rsidR="00D744ED" w:rsidRPr="00310D52" w:rsidRDefault="00D744ED" w:rsidP="00D744ED">
      <w:pPr>
        <w:pStyle w:val="Prrafodelista"/>
        <w:rPr>
          <w:rFonts w:eastAsia="Calibri"/>
          <w:noProof/>
          <w:lang w:val="es-DO"/>
        </w:rPr>
      </w:pPr>
    </w:p>
    <w:p w14:paraId="16926445" w14:textId="71FFD980" w:rsidR="00D744ED" w:rsidRPr="00310D52" w:rsidRDefault="00D744ED" w:rsidP="00F75DF1">
      <w:pPr>
        <w:pStyle w:val="Prrafodelista"/>
        <w:numPr>
          <w:ilvl w:val="0"/>
          <w:numId w:val="16"/>
        </w:numPr>
        <w:spacing w:line="360" w:lineRule="auto"/>
        <w:jc w:val="both"/>
        <w:rPr>
          <w:rFonts w:eastAsia="Calibri"/>
          <w:noProof/>
          <w:lang w:val="es-DO"/>
        </w:rPr>
      </w:pPr>
      <w:r w:rsidRPr="00310D52">
        <w:rPr>
          <w:rFonts w:eastAsia="Calibri"/>
          <w:noProof/>
          <w:lang w:val="es-DO"/>
        </w:rPr>
        <w:t xml:space="preserve">Actualización de cuatro (4) </w:t>
      </w:r>
      <w:bookmarkStart w:id="34" w:name="_Hlk184283155"/>
      <w:r w:rsidRPr="00310D52">
        <w:rPr>
          <w:rFonts w:eastAsia="Calibri"/>
          <w:noProof/>
          <w:lang w:val="es-DO"/>
        </w:rPr>
        <w:t xml:space="preserve">planes de respuesta a </w:t>
      </w:r>
      <w:bookmarkEnd w:id="34"/>
      <w:r w:rsidRPr="00310D52">
        <w:rPr>
          <w:rFonts w:eastAsia="Calibri"/>
          <w:noProof/>
          <w:lang w:val="es-DO"/>
        </w:rPr>
        <w:t>emergencias por temporadas: Operativo La Altagracia, Operativo Semana Santa, Temporada Ciclónica 2025 y Operativo Navidad-Año Nuevo 2025-26, con el objetivo de garantizar la protección de la vida de la población mediante medidas preventivas y asegurar que los servicios de salud sean eficaces y oportunos.</w:t>
      </w:r>
    </w:p>
    <w:p w14:paraId="52E19DEB" w14:textId="77777777" w:rsidR="00F75DF1" w:rsidRPr="00310D52" w:rsidRDefault="00F75DF1" w:rsidP="00F75DF1">
      <w:pPr>
        <w:pStyle w:val="Prrafodelista"/>
        <w:rPr>
          <w:rFonts w:eastAsia="Calibri"/>
          <w:noProof/>
          <w:lang w:val="es-DO"/>
        </w:rPr>
      </w:pPr>
    </w:p>
    <w:p w14:paraId="091D7865" w14:textId="56E8F697" w:rsidR="00D744ED" w:rsidRPr="00310D52" w:rsidRDefault="00D744ED" w:rsidP="00D744ED">
      <w:pPr>
        <w:pStyle w:val="Prrafodelista"/>
        <w:numPr>
          <w:ilvl w:val="0"/>
          <w:numId w:val="16"/>
        </w:numPr>
        <w:spacing w:line="360" w:lineRule="auto"/>
        <w:jc w:val="both"/>
        <w:rPr>
          <w:rFonts w:eastAsia="Calibri"/>
          <w:noProof/>
          <w:lang w:val="es-DO"/>
        </w:rPr>
      </w:pPr>
      <w:r w:rsidRPr="00310D52">
        <w:rPr>
          <w:rFonts w:eastAsia="Calibri"/>
          <w:noProof/>
          <w:lang w:val="es-DO"/>
        </w:rPr>
        <w:t xml:space="preserve">Fortalecimiento  en la  eficiencia y la calidad de los servicios prestados, mediante la </w:t>
      </w:r>
      <w:r w:rsidR="008358E8" w:rsidRPr="00310D52">
        <w:rPr>
          <w:rFonts w:eastAsia="Calibri"/>
          <w:noProof/>
          <w:lang w:val="es-DO"/>
        </w:rPr>
        <w:t>estandarización</w:t>
      </w:r>
      <w:r w:rsidRPr="00310D52">
        <w:rPr>
          <w:rFonts w:eastAsia="Calibri"/>
          <w:noProof/>
          <w:lang w:val="es-DO"/>
        </w:rPr>
        <w:t xml:space="preserve"> de </w:t>
      </w:r>
      <w:r w:rsidR="002E0ED0" w:rsidRPr="00310D52">
        <w:rPr>
          <w:rFonts w:eastAsia="Calibri"/>
          <w:noProof/>
          <w:lang w:val="es-DO"/>
        </w:rPr>
        <w:t>29</w:t>
      </w:r>
      <w:r w:rsidRPr="00310D52">
        <w:rPr>
          <w:rFonts w:eastAsia="Calibri"/>
          <w:noProof/>
          <w:lang w:val="es-DO"/>
        </w:rPr>
        <w:t xml:space="preserve"> documentos normativos, incluyendo formularios, fichas instructivas, procedimientos, manuales, políticas y planes. Este proceso busca garantizar la uniformidad en los procesos operativos, mejorar la comprensión y aplicación de las normativas institucionales, y asegurar la alineación con los estándares establecidos</w:t>
      </w:r>
      <w:r w:rsidR="00F361A9" w:rsidRPr="00310D52">
        <w:rPr>
          <w:rFonts w:eastAsia="Calibri"/>
          <w:noProof/>
          <w:lang w:val="es-DO"/>
        </w:rPr>
        <w:t xml:space="preserve">, cumpliendo con un total de </w:t>
      </w:r>
      <w:r w:rsidR="002E0ED0" w:rsidRPr="00310D52">
        <w:rPr>
          <w:rFonts w:eastAsia="Calibri"/>
          <w:noProof/>
          <w:lang w:val="es-DO"/>
        </w:rPr>
        <w:t>171</w:t>
      </w:r>
      <w:r w:rsidR="00F361A9" w:rsidRPr="00310D52">
        <w:rPr>
          <w:rFonts w:eastAsia="Calibri"/>
          <w:noProof/>
          <w:lang w:val="es-DO"/>
        </w:rPr>
        <w:t xml:space="preserve"> documentos del Sistema de Gestión de Calidad</w:t>
      </w:r>
      <w:r w:rsidRPr="00310D52">
        <w:rPr>
          <w:rFonts w:eastAsia="Calibri"/>
          <w:noProof/>
          <w:lang w:val="es-DO"/>
        </w:rPr>
        <w:t>.</w:t>
      </w:r>
    </w:p>
    <w:bookmarkEnd w:id="33"/>
    <w:p w14:paraId="1701211A" w14:textId="77777777" w:rsidR="004218D4" w:rsidRPr="00310D52" w:rsidRDefault="004218D4" w:rsidP="004218D4">
      <w:pPr>
        <w:pStyle w:val="Prrafodelista"/>
        <w:spacing w:line="360" w:lineRule="auto"/>
        <w:jc w:val="both"/>
        <w:rPr>
          <w:rFonts w:eastAsia="Calibri"/>
          <w:noProof/>
          <w:lang w:val="es-DO"/>
        </w:rPr>
      </w:pPr>
    </w:p>
    <w:p w14:paraId="7BF354C2" w14:textId="2AB9BAAA" w:rsidR="00F75DF1" w:rsidRPr="00F06D9C" w:rsidRDefault="00F75DF1" w:rsidP="003E00B8">
      <w:pPr>
        <w:pStyle w:val="Prrafodelista"/>
        <w:keepNext/>
        <w:keepLines/>
        <w:numPr>
          <w:ilvl w:val="0"/>
          <w:numId w:val="18"/>
        </w:numPr>
        <w:spacing w:before="240" w:after="0" w:line="360" w:lineRule="auto"/>
        <w:ind w:left="0"/>
        <w:outlineLvl w:val="0"/>
        <w:rPr>
          <w:rFonts w:eastAsiaTheme="majorEastAsia"/>
          <w:b/>
          <w:spacing w:val="0"/>
          <w:szCs w:val="28"/>
          <w:lang w:val="es-DO"/>
        </w:rPr>
      </w:pPr>
      <w:bookmarkStart w:id="35" w:name="_Toc140677008"/>
      <w:bookmarkStart w:id="36" w:name="_Toc153439498"/>
      <w:bookmarkStart w:id="37" w:name="_Toc184936521"/>
      <w:bookmarkStart w:id="38" w:name="_Toc217050894"/>
      <w:r w:rsidRPr="00F06D9C">
        <w:rPr>
          <w:rFonts w:eastAsiaTheme="majorEastAsia"/>
          <w:b/>
          <w:spacing w:val="0"/>
          <w:szCs w:val="28"/>
          <w:lang w:val="es-DO"/>
        </w:rPr>
        <w:t>Resultados de las Normas Básicas de Control Interno (NOBACI)</w:t>
      </w:r>
      <w:bookmarkEnd w:id="35"/>
      <w:bookmarkEnd w:id="36"/>
      <w:bookmarkEnd w:id="37"/>
      <w:bookmarkEnd w:id="38"/>
    </w:p>
    <w:p w14:paraId="41079495" w14:textId="77777777" w:rsidR="00F75DF1" w:rsidRDefault="00F75DF1" w:rsidP="00F75DF1">
      <w:pPr>
        <w:spacing w:line="360" w:lineRule="auto"/>
        <w:jc w:val="both"/>
        <w:rPr>
          <w:rFonts w:eastAsia="Calibri"/>
          <w:noProof/>
          <w:lang w:val="es-DO"/>
        </w:rPr>
      </w:pPr>
      <w:r w:rsidRPr="00310D52">
        <w:rPr>
          <w:rFonts w:eastAsia="Calibri"/>
          <w:noProof/>
          <w:lang w:val="es-DO"/>
        </w:rPr>
        <w:t>Conscientes de la importancia que representa el control interno en aras de fomentar la transparencia y la rendición clara y oportuna de cuentas, nuestras autoridades han apoyado y promovido enfáticamente la implementación de las Normas Básicas de Control Interno (NOBACI), para lo cual dentro de nuestra Institución se ha conformado un equipo de trabajo dedicado específicamente a la evaluación, documentación y establecimiento de los controles fundamentales requeridos por las NOBACI.</w:t>
      </w:r>
    </w:p>
    <w:p w14:paraId="3A222BE7" w14:textId="77777777" w:rsidR="00F06D9C" w:rsidRPr="00310D52" w:rsidRDefault="00F06D9C" w:rsidP="00F75DF1">
      <w:pPr>
        <w:spacing w:line="360" w:lineRule="auto"/>
        <w:jc w:val="both"/>
        <w:rPr>
          <w:rFonts w:eastAsia="Calibri"/>
          <w:noProof/>
          <w:lang w:val="es-DO"/>
        </w:rPr>
      </w:pPr>
    </w:p>
    <w:p w14:paraId="5ADBE694" w14:textId="77777777" w:rsidR="00F75DF1" w:rsidRPr="00310D52" w:rsidRDefault="00F75DF1" w:rsidP="00F75DF1">
      <w:pPr>
        <w:spacing w:line="360" w:lineRule="auto"/>
        <w:jc w:val="both"/>
        <w:rPr>
          <w:rFonts w:eastAsia="Calibri"/>
          <w:noProof/>
          <w:lang w:val="es-DO"/>
        </w:rPr>
      </w:pPr>
      <w:r w:rsidRPr="00310D52">
        <w:rPr>
          <w:rFonts w:eastAsia="Calibri"/>
          <w:noProof/>
          <w:lang w:val="es-DO"/>
        </w:rPr>
        <w:lastRenderedPageBreak/>
        <w:t>A la fecha, hemos logrado el siguiente avance:</w:t>
      </w:r>
    </w:p>
    <w:p w14:paraId="41299C6C" w14:textId="0053A3C4" w:rsidR="00F75DF1" w:rsidRPr="00310D52" w:rsidRDefault="00F75DF1" w:rsidP="00F75DF1">
      <w:pPr>
        <w:pStyle w:val="Descripcin"/>
        <w:keepNext/>
        <w:spacing w:line="360" w:lineRule="auto"/>
        <w:jc w:val="both"/>
        <w:rPr>
          <w:b/>
          <w:bCs/>
          <w:i w:val="0"/>
          <w:iCs w:val="0"/>
          <w:color w:val="767171"/>
          <w:sz w:val="24"/>
          <w:szCs w:val="24"/>
          <w:lang w:val="es-DO"/>
        </w:rPr>
      </w:pPr>
      <w:r w:rsidRPr="00310D52">
        <w:rPr>
          <w:b/>
          <w:bCs/>
          <w:i w:val="0"/>
          <w:iCs w:val="0"/>
          <w:color w:val="767171"/>
          <w:sz w:val="24"/>
          <w:szCs w:val="24"/>
          <w:lang w:val="es-DO"/>
        </w:rPr>
        <w:t xml:space="preserve">Tabla </w:t>
      </w:r>
      <w:r w:rsidRPr="00310D52">
        <w:rPr>
          <w:b/>
          <w:bCs/>
          <w:i w:val="0"/>
          <w:iCs w:val="0"/>
          <w:color w:val="767171"/>
          <w:sz w:val="24"/>
          <w:szCs w:val="24"/>
          <w:lang w:val="es-DO"/>
        </w:rPr>
        <w:fldChar w:fldCharType="begin"/>
      </w:r>
      <w:r w:rsidRPr="00310D52">
        <w:rPr>
          <w:b/>
          <w:bCs/>
          <w:i w:val="0"/>
          <w:iCs w:val="0"/>
          <w:color w:val="767171"/>
          <w:sz w:val="24"/>
          <w:szCs w:val="24"/>
          <w:lang w:val="es-DO"/>
        </w:rPr>
        <w:instrText xml:space="preserve"> SEQ Tabla \* ARABIC </w:instrText>
      </w:r>
      <w:r w:rsidRPr="00310D52">
        <w:rPr>
          <w:b/>
          <w:bCs/>
          <w:i w:val="0"/>
          <w:iCs w:val="0"/>
          <w:color w:val="767171"/>
          <w:sz w:val="24"/>
          <w:szCs w:val="24"/>
          <w:lang w:val="es-DO"/>
        </w:rPr>
        <w:fldChar w:fldCharType="separate"/>
      </w:r>
      <w:r w:rsidR="00E51BBA" w:rsidRPr="00310D52">
        <w:rPr>
          <w:b/>
          <w:bCs/>
          <w:i w:val="0"/>
          <w:iCs w:val="0"/>
          <w:noProof/>
          <w:color w:val="767171"/>
          <w:sz w:val="24"/>
          <w:szCs w:val="24"/>
          <w:lang w:val="es-DO"/>
        </w:rPr>
        <w:t>1</w:t>
      </w:r>
      <w:r w:rsidRPr="00310D52">
        <w:rPr>
          <w:b/>
          <w:bCs/>
          <w:i w:val="0"/>
          <w:iCs w:val="0"/>
          <w:color w:val="767171"/>
          <w:sz w:val="24"/>
          <w:szCs w:val="24"/>
          <w:lang w:val="es-DO"/>
        </w:rPr>
        <w:fldChar w:fldCharType="end"/>
      </w:r>
      <w:r w:rsidRPr="00310D52">
        <w:rPr>
          <w:b/>
          <w:bCs/>
          <w:i w:val="0"/>
          <w:iCs w:val="0"/>
          <w:color w:val="767171"/>
          <w:sz w:val="24"/>
          <w:szCs w:val="24"/>
          <w:lang w:val="es-DO"/>
        </w:rPr>
        <w:t>: Resultados NOBACI</w:t>
      </w:r>
    </w:p>
    <w:p w14:paraId="7462C135" w14:textId="5F10DB0F" w:rsidR="00F75DF1" w:rsidRPr="00310D52" w:rsidRDefault="00A52ABC" w:rsidP="00F75DF1">
      <w:pPr>
        <w:spacing w:after="0" w:line="360" w:lineRule="auto"/>
        <w:jc w:val="both"/>
        <w:rPr>
          <w:i/>
          <w:iCs/>
          <w:sz w:val="18"/>
          <w:szCs w:val="18"/>
          <w:lang w:val="es-DO"/>
        </w:rPr>
      </w:pPr>
      <w:r w:rsidRPr="00310D52">
        <w:rPr>
          <w:rFonts w:eastAsia="Calibri"/>
          <w:noProof/>
          <w:lang w:val="es-DO"/>
        </w:rPr>
        <w:object w:dxaOrig="5971" w:dyaOrig="2459" w14:anchorId="24B0A84A">
          <v:shape id="_x0000_i1032" type="#_x0000_t75" style="width:298.8pt;height:123pt" o:ole="">
            <v:imagedata r:id="rId30" o:title=""/>
          </v:shape>
          <o:OLEObject Type="Embed" ProgID="Excel.Sheet.12" ShapeID="_x0000_i1032" DrawAspect="Content" ObjectID="_1827944964" r:id="rId31"/>
        </w:object>
      </w:r>
    </w:p>
    <w:p w14:paraId="0B9B16A0" w14:textId="77777777" w:rsidR="00F75DF1" w:rsidRPr="00310D52" w:rsidRDefault="00F75DF1" w:rsidP="00F75DF1">
      <w:pPr>
        <w:spacing w:after="0" w:line="360" w:lineRule="auto"/>
        <w:jc w:val="both"/>
        <w:rPr>
          <w:rFonts w:eastAsia="Calibri"/>
          <w:noProof/>
          <w:lang w:val="es-DO"/>
        </w:rPr>
      </w:pPr>
      <w:r w:rsidRPr="00310D52">
        <w:rPr>
          <w:i/>
          <w:iCs/>
          <w:sz w:val="18"/>
          <w:szCs w:val="18"/>
          <w:lang w:val="es-DO"/>
        </w:rPr>
        <w:t>Fuente: Sistema de Diagnóstico NOBACI</w:t>
      </w:r>
    </w:p>
    <w:p w14:paraId="57BFC214" w14:textId="77777777" w:rsidR="00F75DF1" w:rsidRPr="00310D52" w:rsidRDefault="00F75DF1" w:rsidP="00F75DF1">
      <w:pPr>
        <w:spacing w:line="360" w:lineRule="auto"/>
        <w:jc w:val="both"/>
        <w:rPr>
          <w:rFonts w:eastAsia="Calibri"/>
          <w:noProof/>
          <w:lang w:val="es-DO"/>
        </w:rPr>
      </w:pPr>
    </w:p>
    <w:p w14:paraId="72855DD1" w14:textId="77777777" w:rsidR="00F75DF1" w:rsidRPr="00310D52" w:rsidRDefault="00F75DF1" w:rsidP="00F75DF1">
      <w:pPr>
        <w:spacing w:line="360" w:lineRule="auto"/>
        <w:jc w:val="both"/>
        <w:rPr>
          <w:rFonts w:eastAsia="Calibri"/>
          <w:b/>
          <w:bCs/>
          <w:noProof/>
          <w:lang w:val="es-DO"/>
        </w:rPr>
      </w:pPr>
      <w:r w:rsidRPr="00310D52">
        <w:rPr>
          <w:rFonts w:eastAsia="Calibri"/>
          <w:b/>
          <w:bCs/>
          <w:noProof/>
          <w:lang w:val="es-DO"/>
        </w:rPr>
        <w:t>Índice de Control Interno (ICI)</w:t>
      </w:r>
    </w:p>
    <w:p w14:paraId="11FD50FB" w14:textId="7645FD7A" w:rsidR="00A52ABC" w:rsidRPr="00310D52" w:rsidRDefault="003310D1" w:rsidP="00F75DF1">
      <w:pPr>
        <w:spacing w:line="360" w:lineRule="auto"/>
        <w:jc w:val="both"/>
        <w:rPr>
          <w:rFonts w:eastAsia="Calibri"/>
          <w:noProof/>
          <w:lang w:val="es-DO"/>
        </w:rPr>
      </w:pPr>
      <w:r w:rsidRPr="00310D52">
        <w:rPr>
          <w:rFonts w:eastAsia="Calibri"/>
          <w:noProof/>
          <w:lang w:val="es-DO"/>
        </w:rPr>
        <w:t xml:space="preserve">El Índice de Control Interno (ICI), evaluado por la Contraloría General de la República, mide el nivel de cumplimiento del control interno en las instituciones públicas. Este indicador agrupa 17 subindicadores distribuidos en tres macrocomponentes: diseño y documentación del sistema de control interno, eficacia de los controles internos y resultados y seguimiento de auditorías. Durante el período evaluado, </w:t>
      </w:r>
      <w:bookmarkStart w:id="39" w:name="_Hlk216337209"/>
      <w:r w:rsidRPr="00310D52">
        <w:rPr>
          <w:rFonts w:eastAsia="Calibri"/>
          <w:noProof/>
          <w:lang w:val="es-DO"/>
        </w:rPr>
        <w:t>la institución alcanzó un promedio general de cumplimiento del 92%,</w:t>
      </w:r>
      <w:r w:rsidRPr="00310D52">
        <w:rPr>
          <w:rFonts w:eastAsia="Calibri"/>
          <w:b/>
          <w:bCs/>
          <w:noProof/>
          <w:lang w:val="es-DO"/>
        </w:rPr>
        <w:t xml:space="preserve"> </w:t>
      </w:r>
      <w:r w:rsidRPr="00310D52">
        <w:rPr>
          <w:rFonts w:eastAsia="Calibri"/>
          <w:noProof/>
          <w:lang w:val="es-DO"/>
        </w:rPr>
        <w:t xml:space="preserve">reflejando un desempeño robusto y alineado con los estándares de control interno, eficiencia y rendición de cuentas del </w:t>
      </w:r>
      <w:r w:rsidR="00310D52" w:rsidRPr="00310D52">
        <w:rPr>
          <w:rFonts w:eastAsia="Calibri"/>
          <w:noProof/>
          <w:lang w:val="es-DO"/>
        </w:rPr>
        <w:t>estado</w:t>
      </w:r>
      <w:r w:rsidRPr="00310D52">
        <w:rPr>
          <w:rFonts w:eastAsia="Calibri"/>
          <w:noProof/>
          <w:lang w:val="es-DO"/>
        </w:rPr>
        <w:t>.</w:t>
      </w:r>
    </w:p>
    <w:p w14:paraId="56999FFE" w14:textId="77777777" w:rsidR="00F75DF1" w:rsidRPr="00F06D9C" w:rsidRDefault="00F75DF1" w:rsidP="003E00B8">
      <w:pPr>
        <w:pStyle w:val="Prrafodelista"/>
        <w:keepNext/>
        <w:keepLines/>
        <w:numPr>
          <w:ilvl w:val="0"/>
          <w:numId w:val="18"/>
        </w:numPr>
        <w:spacing w:before="240" w:after="0" w:line="360" w:lineRule="auto"/>
        <w:ind w:left="0"/>
        <w:outlineLvl w:val="0"/>
        <w:rPr>
          <w:rFonts w:eastAsiaTheme="majorEastAsia"/>
          <w:b/>
          <w:spacing w:val="0"/>
          <w:szCs w:val="28"/>
          <w:lang w:val="es-DO"/>
        </w:rPr>
      </w:pPr>
      <w:bookmarkStart w:id="40" w:name="_Toc153439499"/>
      <w:bookmarkStart w:id="41" w:name="_Toc184936522"/>
      <w:bookmarkStart w:id="42" w:name="_Toc217050895"/>
      <w:bookmarkEnd w:id="39"/>
      <w:r w:rsidRPr="00F06D9C">
        <w:rPr>
          <w:rFonts w:eastAsiaTheme="majorEastAsia"/>
          <w:b/>
          <w:spacing w:val="0"/>
          <w:szCs w:val="28"/>
          <w:lang w:val="es-DO"/>
        </w:rPr>
        <w:t>Resultados de los Sistemas de Calidad</w:t>
      </w:r>
      <w:bookmarkEnd w:id="40"/>
      <w:bookmarkEnd w:id="41"/>
      <w:bookmarkEnd w:id="42"/>
    </w:p>
    <w:p w14:paraId="44F55A8B" w14:textId="1D436888" w:rsidR="003310D1" w:rsidRPr="00310D52" w:rsidRDefault="003310D1" w:rsidP="003310D1">
      <w:pPr>
        <w:spacing w:line="360" w:lineRule="auto"/>
        <w:jc w:val="both"/>
        <w:rPr>
          <w:rFonts w:eastAsia="Calibri"/>
          <w:noProof/>
          <w:lang w:val="es-DO"/>
        </w:rPr>
      </w:pPr>
      <w:r w:rsidRPr="00310D52">
        <w:rPr>
          <w:rFonts w:eastAsia="Calibri"/>
          <w:noProof/>
          <w:lang w:val="es-DO"/>
        </w:rPr>
        <w:t xml:space="preserve">La Dirección de Servicios de Atención a Emergencias Extrahospitalarias avanza en la implementación de un Sistema de Gestión de la Calidad, tomando como referencia el Modelo de Excelencia CAF y la Norma ISO 9001:2015. Como parte de este proceso, se cuenta con un Mapa de Procesos Institucional que identifica y organiza los procesos estratégicos, misionales, de apoyo, evaluación y mejora </w:t>
      </w:r>
      <w:r w:rsidRPr="00310D52">
        <w:rPr>
          <w:rFonts w:eastAsia="Calibri"/>
          <w:noProof/>
          <w:lang w:val="es-DO"/>
        </w:rPr>
        <w:lastRenderedPageBreak/>
        <w:t>continua, facilitando la comprensión de cómo se articulan las áreas y de los roles y responsabilidades dentro de cada proceso.</w:t>
      </w:r>
    </w:p>
    <w:p w14:paraId="5E9BC7DC" w14:textId="139F6F53" w:rsidR="00F75DF1" w:rsidRPr="00310D52" w:rsidRDefault="003310D1" w:rsidP="003310D1">
      <w:pPr>
        <w:spacing w:line="360" w:lineRule="auto"/>
        <w:jc w:val="both"/>
        <w:rPr>
          <w:rFonts w:eastAsia="Calibri"/>
          <w:noProof/>
          <w:lang w:val="es-DO"/>
        </w:rPr>
      </w:pPr>
      <w:r w:rsidRPr="00310D52">
        <w:rPr>
          <w:rFonts w:eastAsia="Calibri"/>
          <w:noProof/>
          <w:lang w:val="es-DO"/>
        </w:rPr>
        <w:t>Durante el 2025 se inició la autoevaluación del Modelo CAF, actualmente en su fase inicial de levantamiento de información. Este diagnóstico permitirá identificar el nivel de madurez institucional, las oportunidades de mejora y las acciones prioritarias para fortalecer la calidad del servicio. Estas iniciativas consolidan el compromiso de la institución con la mejora continua, la eficiencia operativa y el cumplimiento de estándares que aseguren una respuesta oportuna y de calidad a los usuarios.</w:t>
      </w:r>
    </w:p>
    <w:p w14:paraId="389CD0B5" w14:textId="523553AE" w:rsidR="003310D1" w:rsidRPr="00310D52" w:rsidRDefault="003E00B8" w:rsidP="003310D1">
      <w:pPr>
        <w:spacing w:line="360" w:lineRule="auto"/>
        <w:jc w:val="both"/>
        <w:rPr>
          <w:rFonts w:eastAsia="Calibri"/>
          <w:noProof/>
          <w:lang w:val="es-DO"/>
        </w:rPr>
      </w:pPr>
      <w:r w:rsidRPr="00310D52">
        <w:rPr>
          <w:rFonts w:eastAsia="Calibri"/>
          <w:noProof/>
          <w:lang w:val="es-DO"/>
        </w:rPr>
        <w:t>Durante el período se fortalecieron los procesos de evaluación, monitoreo y análisis de desempeño operacional, abarcando investigaciones de casos relevantes, supervisión del personal durante las operaciones y revisión de situaciones con tiempos elevados de respuesta. Estos ejercicios permitieron identificar oportunidades de mejora, validar el cumplimiento de los protocolos y generar recomendaciones basadas en evidencia para optimizar la coordinación, el despacho y la respuesta asistencial. El conjunto de estas acciones contribuye al aseguramiento de la calidad y a la mejora continua del servicio brindado a la ciudadanía.</w:t>
      </w:r>
    </w:p>
    <w:p w14:paraId="38987145" w14:textId="296898A1" w:rsidR="003310D1" w:rsidRPr="00310D52" w:rsidRDefault="003E00B8" w:rsidP="00F75DF1">
      <w:pPr>
        <w:spacing w:after="0" w:line="360" w:lineRule="auto"/>
        <w:jc w:val="both"/>
        <w:rPr>
          <w:rFonts w:eastAsia="Calibri"/>
          <w:noProof/>
          <w:lang w:val="es-DO"/>
        </w:rPr>
      </w:pPr>
      <w:r w:rsidRPr="00310D52">
        <w:rPr>
          <w:rFonts w:eastAsia="Calibri"/>
          <w:noProof/>
          <w:lang w:val="es-DO"/>
        </w:rPr>
        <w:object w:dxaOrig="10970" w:dyaOrig="4288" w14:anchorId="046B5A99">
          <v:shape id="_x0000_i1033" type="#_x0000_t75" style="width:432.6pt;height:214.2pt" o:ole="">
            <v:imagedata r:id="rId32" o:title=""/>
          </v:shape>
          <o:OLEObject Type="Embed" ProgID="Excel.Sheet.12" ShapeID="_x0000_i1033" DrawAspect="Content" ObjectID="_1827944965" r:id="rId33"/>
        </w:object>
      </w:r>
    </w:p>
    <w:p w14:paraId="287FA51B" w14:textId="7804C82A" w:rsidR="00F75DF1" w:rsidRPr="00310D52" w:rsidRDefault="003E00B8" w:rsidP="00F75DF1">
      <w:pPr>
        <w:spacing w:after="0" w:line="360" w:lineRule="auto"/>
        <w:jc w:val="both"/>
        <w:rPr>
          <w:rFonts w:eastAsia="Calibri"/>
          <w:i/>
          <w:iCs/>
          <w:noProof/>
          <w:lang w:val="es-DO"/>
        </w:rPr>
      </w:pPr>
      <w:r w:rsidRPr="00310D52">
        <w:rPr>
          <w:rFonts w:eastAsia="Calibri"/>
          <w:i/>
          <w:iCs/>
          <w:noProof/>
          <w:sz w:val="18"/>
          <w:szCs w:val="18"/>
          <w:lang w:val="es-DO"/>
        </w:rPr>
        <w:t xml:space="preserve">Fuente: </w:t>
      </w:r>
      <w:r w:rsidR="003E092F" w:rsidRPr="00310D52">
        <w:rPr>
          <w:rFonts w:eastAsia="Calibri"/>
          <w:i/>
          <w:iCs/>
          <w:noProof/>
          <w:sz w:val="18"/>
          <w:szCs w:val="18"/>
          <w:lang w:val="es-DO"/>
        </w:rPr>
        <w:t xml:space="preserve">Área de </w:t>
      </w:r>
      <w:r w:rsidRPr="00310D52">
        <w:rPr>
          <w:rFonts w:eastAsia="Calibri"/>
          <w:i/>
          <w:iCs/>
          <w:noProof/>
          <w:sz w:val="18"/>
          <w:szCs w:val="18"/>
          <w:lang w:val="es-DO"/>
        </w:rPr>
        <w:t>Control y Evaluación Prehospitalaria</w:t>
      </w:r>
    </w:p>
    <w:p w14:paraId="43EDD274" w14:textId="77777777" w:rsidR="00F75DF1" w:rsidRPr="00F06D9C" w:rsidRDefault="00F75DF1" w:rsidP="003E00B8">
      <w:pPr>
        <w:pStyle w:val="Prrafodelista"/>
        <w:keepNext/>
        <w:keepLines/>
        <w:numPr>
          <w:ilvl w:val="0"/>
          <w:numId w:val="18"/>
        </w:numPr>
        <w:spacing w:before="240" w:after="0" w:line="360" w:lineRule="auto"/>
        <w:ind w:left="0"/>
        <w:outlineLvl w:val="0"/>
        <w:rPr>
          <w:rFonts w:eastAsiaTheme="majorEastAsia"/>
          <w:b/>
          <w:spacing w:val="0"/>
          <w:szCs w:val="28"/>
          <w:lang w:val="es-DO"/>
        </w:rPr>
      </w:pPr>
      <w:bookmarkStart w:id="43" w:name="_Toc153439500"/>
      <w:bookmarkStart w:id="44" w:name="_Toc184936523"/>
      <w:bookmarkStart w:id="45" w:name="_Toc217050896"/>
      <w:r w:rsidRPr="00F06D9C">
        <w:rPr>
          <w:rFonts w:eastAsiaTheme="majorEastAsia"/>
          <w:b/>
          <w:spacing w:val="0"/>
          <w:szCs w:val="28"/>
          <w:lang w:val="es-DO"/>
        </w:rPr>
        <w:t>Acciones para el Fortalecimiento Institucional</w:t>
      </w:r>
      <w:bookmarkEnd w:id="43"/>
      <w:bookmarkEnd w:id="44"/>
      <w:bookmarkEnd w:id="45"/>
    </w:p>
    <w:p w14:paraId="15AF7739" w14:textId="77777777" w:rsidR="00F75DF1" w:rsidRPr="00310D52" w:rsidRDefault="00F75DF1" w:rsidP="00F75DF1">
      <w:pPr>
        <w:spacing w:line="360" w:lineRule="auto"/>
        <w:jc w:val="both"/>
        <w:rPr>
          <w:rFonts w:eastAsia="Calibri"/>
          <w:noProof/>
          <w:lang w:val="es-DO"/>
        </w:rPr>
      </w:pPr>
      <w:r w:rsidRPr="00310D52">
        <w:rPr>
          <w:rFonts w:eastAsia="Calibri"/>
          <w:noProof/>
          <w:lang w:val="es-DO"/>
        </w:rPr>
        <w:t>En este año, con el objetivo de realizar acciones de mejora en todas las áreas de la institución, se crearon y actualizaron documentos del Sistema de Gestión de Calidad, el cual está compuesto por los instructivos, formularios y fichas de procesos de las diversas áreas de la institución. Dichos documentos se distribuyen de acuerdo con la siguiente tabla:</w:t>
      </w:r>
    </w:p>
    <w:p w14:paraId="73A4917C" w14:textId="24041F84" w:rsidR="00F75DF1" w:rsidRPr="00310D52" w:rsidRDefault="002E0ED0" w:rsidP="00F75DF1">
      <w:pPr>
        <w:spacing w:after="0" w:line="360" w:lineRule="auto"/>
        <w:jc w:val="both"/>
        <w:rPr>
          <w:rFonts w:eastAsia="Calibri"/>
          <w:i/>
          <w:iCs/>
          <w:noProof/>
          <w:sz w:val="18"/>
          <w:szCs w:val="18"/>
          <w:lang w:val="es-DO"/>
        </w:rPr>
      </w:pPr>
      <w:r w:rsidRPr="00310D52">
        <w:rPr>
          <w:rFonts w:eastAsia="Calibri"/>
          <w:i/>
          <w:iCs/>
          <w:noProof/>
          <w:sz w:val="18"/>
          <w:szCs w:val="18"/>
          <w:lang w:val="es-DO"/>
        </w:rPr>
        <w:object w:dxaOrig="4635" w:dyaOrig="2764" w14:anchorId="4D39D847">
          <v:shape id="_x0000_i1034" type="#_x0000_t75" style="width:231.6pt;height:138pt" o:ole="">
            <v:imagedata r:id="rId34" o:title=""/>
          </v:shape>
          <o:OLEObject Type="Embed" ProgID="Excel.Sheet.12" ShapeID="_x0000_i1034" DrawAspect="Content" ObjectID="_1827944966" r:id="rId35"/>
        </w:object>
      </w:r>
    </w:p>
    <w:p w14:paraId="0B6E3990" w14:textId="6C319D3C" w:rsidR="00F75DF1" w:rsidRPr="00310D52" w:rsidRDefault="0035673A" w:rsidP="00F75DF1">
      <w:pPr>
        <w:spacing w:after="0" w:line="360" w:lineRule="auto"/>
        <w:jc w:val="both"/>
        <w:rPr>
          <w:rFonts w:eastAsia="Calibri"/>
          <w:i/>
          <w:iCs/>
          <w:noProof/>
          <w:lang w:val="es-DO"/>
        </w:rPr>
      </w:pPr>
      <w:r w:rsidRPr="00310D52">
        <w:rPr>
          <w:rFonts w:eastAsia="Calibri"/>
          <w:i/>
          <w:iCs/>
          <w:noProof/>
          <w:sz w:val="18"/>
          <w:szCs w:val="18"/>
          <w:lang w:val="es-DO"/>
        </w:rPr>
        <w:t xml:space="preserve">Fuente; </w:t>
      </w:r>
      <w:r w:rsidR="00F75DF1" w:rsidRPr="00310D52">
        <w:rPr>
          <w:rFonts w:eastAsia="Calibri"/>
          <w:i/>
          <w:iCs/>
          <w:noProof/>
          <w:sz w:val="18"/>
          <w:szCs w:val="18"/>
          <w:lang w:val="es-DO"/>
        </w:rPr>
        <w:t>División de Calidad en la Gestión</w:t>
      </w:r>
    </w:p>
    <w:p w14:paraId="7704B998" w14:textId="77777777" w:rsidR="003E00B8" w:rsidRPr="00310D52" w:rsidRDefault="003E00B8" w:rsidP="00F75DF1">
      <w:pPr>
        <w:spacing w:line="360" w:lineRule="auto"/>
        <w:jc w:val="both"/>
        <w:rPr>
          <w:rFonts w:eastAsia="Calibri"/>
          <w:noProof/>
          <w:lang w:val="es-DO"/>
        </w:rPr>
      </w:pPr>
    </w:p>
    <w:p w14:paraId="564FF0E4" w14:textId="77777777" w:rsidR="004218D4" w:rsidRPr="00310D52" w:rsidRDefault="004218D4" w:rsidP="00F75DF1">
      <w:pPr>
        <w:spacing w:line="360" w:lineRule="auto"/>
        <w:jc w:val="both"/>
        <w:rPr>
          <w:rFonts w:eastAsia="Calibri"/>
          <w:noProof/>
          <w:lang w:val="es-DO"/>
        </w:rPr>
      </w:pPr>
    </w:p>
    <w:p w14:paraId="3D889938" w14:textId="47A380F5" w:rsidR="00F75DF1" w:rsidRPr="00F06D9C" w:rsidRDefault="00F75DF1" w:rsidP="00F75DF1">
      <w:pPr>
        <w:pStyle w:val="Prrafodelista"/>
        <w:keepNext/>
        <w:keepLines/>
        <w:numPr>
          <w:ilvl w:val="0"/>
          <w:numId w:val="18"/>
        </w:numPr>
        <w:spacing w:before="240" w:after="0" w:line="360" w:lineRule="auto"/>
        <w:ind w:left="0"/>
        <w:outlineLvl w:val="0"/>
        <w:rPr>
          <w:rFonts w:eastAsiaTheme="majorEastAsia"/>
          <w:b/>
          <w:spacing w:val="0"/>
          <w:szCs w:val="28"/>
          <w:lang w:val="es-DO"/>
        </w:rPr>
      </w:pPr>
      <w:bookmarkStart w:id="46" w:name="_Toc153439501"/>
      <w:bookmarkStart w:id="47" w:name="_Toc172110844"/>
      <w:bookmarkStart w:id="48" w:name="_Toc184936524"/>
      <w:bookmarkStart w:id="49" w:name="_Toc217050897"/>
      <w:r w:rsidRPr="00F06D9C">
        <w:rPr>
          <w:rFonts w:eastAsiaTheme="majorEastAsia"/>
          <w:b/>
          <w:spacing w:val="0"/>
          <w:szCs w:val="28"/>
          <w:lang w:val="es-DO"/>
        </w:rPr>
        <w:lastRenderedPageBreak/>
        <w:t>Avances en la Implementación de las Políticas Transversales</w:t>
      </w:r>
      <w:bookmarkEnd w:id="46"/>
      <w:bookmarkEnd w:id="47"/>
      <w:bookmarkEnd w:id="48"/>
      <w:bookmarkEnd w:id="49"/>
    </w:p>
    <w:p w14:paraId="3C6ADE6C" w14:textId="4235BAF4" w:rsidR="00F75DF1" w:rsidRPr="00310D52" w:rsidRDefault="003E00B8" w:rsidP="00F75DF1">
      <w:pPr>
        <w:spacing w:line="360" w:lineRule="auto"/>
        <w:jc w:val="both"/>
        <w:rPr>
          <w:rFonts w:eastAsia="Calibri"/>
          <w:noProof/>
          <w:lang w:val="es-DO"/>
        </w:rPr>
      </w:pPr>
      <w:r w:rsidRPr="00310D52">
        <w:rPr>
          <w:rFonts w:eastAsia="Calibri"/>
          <w:noProof/>
          <w:lang w:val="es-DO"/>
        </w:rPr>
        <w:t>Se ha avazando en la creación y fortalecimiento de los mecanismos institucionales necesarios para implementar las políticas transversales promovidas por el Estado. Aunque la institución aún no forma parte del grupo de entidades evaluadas formalmente bajo estos componentes, se han sentado las bases para mejorar el monitoreo y la toma de decisiones, integrando enfoques de gobernanza, calidad, transparencia y gestión de riesgos en los procesos internos. Estas acciones incrementan progresivamente la capacidad institucional para generar valor público, asegurar el acceso oportuno a los servicios de atención extrahospitalaria e incidir positivamente en la calidad de vida de la población.</w:t>
      </w:r>
    </w:p>
    <w:p w14:paraId="25F945BA" w14:textId="22A7FE3D" w:rsidR="00F75DF1" w:rsidRPr="00F06D9C" w:rsidRDefault="003E00B8" w:rsidP="003E00B8">
      <w:pPr>
        <w:pStyle w:val="Prrafodelista"/>
        <w:keepNext/>
        <w:keepLines/>
        <w:numPr>
          <w:ilvl w:val="0"/>
          <w:numId w:val="18"/>
        </w:numPr>
        <w:spacing w:before="240" w:after="0" w:line="360" w:lineRule="auto"/>
        <w:ind w:left="0"/>
        <w:outlineLvl w:val="0"/>
        <w:rPr>
          <w:rFonts w:eastAsiaTheme="majorEastAsia"/>
          <w:b/>
          <w:spacing w:val="0"/>
          <w:szCs w:val="28"/>
          <w:lang w:val="es-DO"/>
        </w:rPr>
      </w:pPr>
      <w:bookmarkStart w:id="50" w:name="_Toc217050898"/>
      <w:r w:rsidRPr="00F06D9C">
        <w:rPr>
          <w:rFonts w:eastAsiaTheme="majorEastAsia"/>
          <w:b/>
          <w:spacing w:val="0"/>
          <w:szCs w:val="28"/>
          <w:lang w:val="es-DO"/>
        </w:rPr>
        <w:t>Resultados o Avances en la Implementación de la Evaluación de Desempeño Institucional</w:t>
      </w:r>
      <w:r w:rsidR="002F2305" w:rsidRPr="00F06D9C">
        <w:rPr>
          <w:rFonts w:eastAsiaTheme="majorEastAsia"/>
          <w:b/>
          <w:spacing w:val="0"/>
          <w:szCs w:val="28"/>
          <w:lang w:val="es-DO"/>
        </w:rPr>
        <w:t xml:space="preserve"> (EDI).</w:t>
      </w:r>
      <w:bookmarkEnd w:id="50"/>
    </w:p>
    <w:p w14:paraId="4CB3E789" w14:textId="359298E6" w:rsidR="003E00B8" w:rsidRPr="00310D52" w:rsidRDefault="003E00B8" w:rsidP="00F75DF1">
      <w:pPr>
        <w:spacing w:line="360" w:lineRule="auto"/>
        <w:jc w:val="both"/>
        <w:rPr>
          <w:rFonts w:eastAsia="Calibri"/>
          <w:noProof/>
          <w:lang w:val="es-DO"/>
        </w:rPr>
      </w:pPr>
      <w:r w:rsidRPr="00310D52">
        <w:rPr>
          <w:rFonts w:eastAsia="Calibri"/>
          <w:noProof/>
          <w:lang w:val="es-DO"/>
        </w:rPr>
        <w:t>Se avanzó en el proceso de articulación con el ente rector para la futura incorporación de la institución a las 45 entidades actualmente medidas por la Evaluación de Desempeño Institucional (EDI). Aunque la DAEH aún no forma parte del sistema de evaluación, se han dado pasos concretos para su integración, incluyendo la participación en el Taller sobre el Indicador IBOG4, impartido por el Ministerio de Economía, Planificación y Desarrollo. Esta capacitación permitió conocer la metodología de construcción del indicador y su clasificación presupuestaria, fortaleciendo las capacidades institucionales para implementar la política transversal de gestión integral del riesgo y prepararse para su medición formal en el marco del EDI.</w:t>
      </w:r>
    </w:p>
    <w:p w14:paraId="45F24FFA" w14:textId="77777777" w:rsidR="003E00B8" w:rsidRPr="00310D52" w:rsidRDefault="003E00B8" w:rsidP="00F75DF1">
      <w:pPr>
        <w:spacing w:line="360" w:lineRule="auto"/>
        <w:jc w:val="both"/>
        <w:rPr>
          <w:rFonts w:eastAsia="Calibri"/>
          <w:noProof/>
          <w:lang w:val="es-DO"/>
        </w:rPr>
      </w:pPr>
    </w:p>
    <w:p w14:paraId="3689A8ED" w14:textId="0640BAF9" w:rsidR="003E00B8" w:rsidRPr="00F06D9C" w:rsidRDefault="003E00B8" w:rsidP="003E00B8">
      <w:pPr>
        <w:pStyle w:val="Prrafodelista"/>
        <w:keepNext/>
        <w:keepLines/>
        <w:numPr>
          <w:ilvl w:val="1"/>
          <w:numId w:val="1"/>
        </w:numPr>
        <w:spacing w:before="240" w:after="0" w:line="360" w:lineRule="auto"/>
        <w:ind w:left="0"/>
        <w:jc w:val="both"/>
        <w:outlineLvl w:val="0"/>
        <w:rPr>
          <w:rFonts w:eastAsiaTheme="majorEastAsia"/>
          <w:b/>
          <w:spacing w:val="0"/>
          <w:szCs w:val="28"/>
          <w:lang w:val="es-DO"/>
        </w:rPr>
      </w:pPr>
      <w:bookmarkStart w:id="51" w:name="_Toc217050899"/>
      <w:r w:rsidRPr="00F06D9C">
        <w:rPr>
          <w:rFonts w:eastAsiaTheme="majorEastAsia"/>
          <w:b/>
          <w:spacing w:val="0"/>
          <w:szCs w:val="28"/>
          <w:lang w:val="es-DO"/>
        </w:rPr>
        <w:lastRenderedPageBreak/>
        <w:t>Desempeño del Área de Comunicaciones</w:t>
      </w:r>
      <w:bookmarkEnd w:id="51"/>
    </w:p>
    <w:p w14:paraId="3106BE2D" w14:textId="1E75D90B" w:rsidR="00D16900" w:rsidRPr="00310D52" w:rsidRDefault="00D16900" w:rsidP="00D16900">
      <w:pPr>
        <w:spacing w:line="360" w:lineRule="auto"/>
        <w:jc w:val="both"/>
        <w:rPr>
          <w:rFonts w:eastAsia="Calibri"/>
          <w:noProof/>
          <w:lang w:val="es-DO"/>
        </w:rPr>
      </w:pPr>
      <w:r w:rsidRPr="00310D52">
        <w:rPr>
          <w:rFonts w:eastAsia="Calibri"/>
          <w:noProof/>
          <w:lang w:val="es-DO"/>
        </w:rPr>
        <w:t>Durante el año 2025, el área de comunicaciones desarrolló un conjunto de acciones estratégicas orientadas a fortalecer la transparencia institucional, posicionar la labor de la entidad y consolidar una imagen pública basada en servicio, eficiencia y rápida respuesta ante emergencias. La gestión combinó esfuerzos de prensa, producción de contenido, cobertura institucional, comunicación interna y fortalecimiento de la presencia digital, logrando ampliar significativamente el alcance y la visibilidad de la institución.</w:t>
      </w:r>
    </w:p>
    <w:p w14:paraId="15395EC4" w14:textId="2A142F86" w:rsidR="00D16900" w:rsidRPr="00310D52" w:rsidRDefault="00D16900" w:rsidP="00D16900">
      <w:pPr>
        <w:spacing w:line="360" w:lineRule="auto"/>
        <w:jc w:val="both"/>
        <w:rPr>
          <w:rFonts w:eastAsia="Calibri"/>
          <w:noProof/>
          <w:lang w:val="es-DO"/>
        </w:rPr>
      </w:pPr>
      <w:r w:rsidRPr="00310D52">
        <w:rPr>
          <w:rFonts w:eastAsia="Calibri"/>
          <w:noProof/>
          <w:lang w:val="es-DO"/>
        </w:rPr>
        <w:t>En materia de relacionamiento con los medios, se emitieron 21 notas de prensa distribuidas a medios televisivos, radiales e impresos, y se publicaron 38 notas informativas en el portal web institucional, con el propósito de mantener informada a la ciudadanía sobre los principales avances, operativos, reconocimientos, inauguraciones y logros alcanzados. Los temas divulgados abarcaron desde la incorporación de nuevas ambulancias, capacitaciones especializadas y ampliación de servicios, hasta la atención de eventos de alto impacto y el reconocimiento de autoridades por su labor en el sistema de respuesta a emergencias.</w:t>
      </w:r>
    </w:p>
    <w:p w14:paraId="73922C86" w14:textId="77777777" w:rsidR="002F2305" w:rsidRPr="00310D52" w:rsidRDefault="00D16900" w:rsidP="00D16900">
      <w:pPr>
        <w:spacing w:line="360" w:lineRule="auto"/>
        <w:jc w:val="both"/>
        <w:rPr>
          <w:rFonts w:eastAsia="Calibri"/>
          <w:noProof/>
          <w:lang w:val="es-DO"/>
        </w:rPr>
      </w:pPr>
      <w:r w:rsidRPr="00310D52">
        <w:rPr>
          <w:rFonts w:eastAsia="Calibri"/>
          <w:noProof/>
          <w:lang w:val="es-DO"/>
        </w:rPr>
        <w:t xml:space="preserve">En el ámbito digital, la institución experimentó un crecimiento notable en todas sus plataformas. Se difundieron 199 publicaciones estáticas y 39 videos y reels, alcanzando más de 337,300 visualizaciones en Facebook y 2,000,200 en Instagram, reflejo del interés ciudadano en el quehacer institucional. Estas acciones generaron un incremento de 573 nuevos seguidores en Facebook, 5,600 en Instagram y 60 en X (Twitter), además de 46,900 interacciones con el contenido y la atención de 313 mensajes directos. </w:t>
      </w:r>
    </w:p>
    <w:p w14:paraId="5691FCA1" w14:textId="77777777" w:rsidR="003E092F" w:rsidRPr="00310D52" w:rsidRDefault="003E092F" w:rsidP="00D16900">
      <w:pPr>
        <w:spacing w:line="360" w:lineRule="auto"/>
        <w:jc w:val="both"/>
        <w:rPr>
          <w:rFonts w:eastAsia="Calibri"/>
          <w:noProof/>
          <w:lang w:val="es-DO"/>
        </w:rPr>
      </w:pPr>
    </w:p>
    <w:p w14:paraId="4FDF7B78" w14:textId="083AC8AC" w:rsidR="00D16900" w:rsidRPr="00310D52" w:rsidRDefault="00D16900" w:rsidP="00D16900">
      <w:pPr>
        <w:spacing w:line="360" w:lineRule="auto"/>
        <w:jc w:val="both"/>
        <w:rPr>
          <w:rFonts w:eastAsia="Calibri"/>
          <w:noProof/>
          <w:lang w:val="es-DO"/>
        </w:rPr>
      </w:pPr>
      <w:r w:rsidRPr="00310D52">
        <w:rPr>
          <w:rFonts w:eastAsia="Calibri"/>
          <w:noProof/>
          <w:lang w:val="es-DO"/>
        </w:rPr>
        <w:lastRenderedPageBreak/>
        <w:t>La estrategia digital se enriqueció mediante colaboraciones con instituciones aliadas como el COE, Presidencia, Policía Nacional, Sistema 9-1-1, DIGESETT, COMIPOL y Olimpiadas Especiales RD, fortaleciendo la difusión de mensajes de prevención, operatividad y servicio.</w:t>
      </w:r>
    </w:p>
    <w:p w14:paraId="79ADED30" w14:textId="77777777" w:rsidR="00D16900" w:rsidRPr="00310D52" w:rsidRDefault="00D16900" w:rsidP="00D16900">
      <w:pPr>
        <w:jc w:val="both"/>
        <w:rPr>
          <w:lang w:val="es-DO"/>
        </w:rPr>
      </w:pPr>
      <w:r w:rsidRPr="00310D52">
        <w:rPr>
          <w:noProof/>
          <w:lang w:val="es-DO"/>
        </w:rPr>
        <w:drawing>
          <wp:anchor distT="0" distB="0" distL="114300" distR="114300" simplePos="0" relativeHeight="251741184" behindDoc="0" locked="0" layoutInCell="1" allowOverlap="1" wp14:anchorId="04A66EF9" wp14:editId="502D7079">
            <wp:simplePos x="0" y="0"/>
            <wp:positionH relativeFrom="margin">
              <wp:posOffset>3009014</wp:posOffset>
            </wp:positionH>
            <wp:positionV relativeFrom="paragraph">
              <wp:posOffset>5730</wp:posOffset>
            </wp:positionV>
            <wp:extent cx="1973689" cy="2264735"/>
            <wp:effectExtent l="0" t="0" r="7620" b="2540"/>
            <wp:wrapNone/>
            <wp:docPr id="1594667661" name="drawing" descr="Interfaz de usuario gráfica, Aplicación&#10;&#10;El contenido generado por IA puede ser incorrecto.">
              <a:extLst xmlns:a="http://schemas.openxmlformats.org/drawingml/2006/main">
                <a:ext uri="{FF2B5EF4-FFF2-40B4-BE49-F238E27FC236}">
                  <a16:creationId xmlns:a16="http://schemas.microsoft.com/office/drawing/2014/main" id="{6E184452-F15D-451C-9163-4DEEAED1D0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67661" name="drawing" descr="Interfaz de usuario gráfica, Aplicación&#10;&#10;El contenido generado por IA puede ser incorrecto."/>
                    <pic:cNvPicPr/>
                  </pic:nvPicPr>
                  <pic:blipFill>
                    <a:blip r:embed="rId36">
                      <a:extLst>
                        <a:ext uri="{28A0092B-C50C-407E-A947-70E740481C1C}">
                          <a14:useLocalDpi xmlns:a14="http://schemas.microsoft.com/office/drawing/2010/main"/>
                        </a:ext>
                      </a:extLst>
                    </a:blip>
                    <a:stretch>
                      <a:fillRect/>
                    </a:stretch>
                  </pic:blipFill>
                  <pic:spPr>
                    <a:xfrm>
                      <a:off x="0" y="0"/>
                      <a:ext cx="1983451" cy="2275937"/>
                    </a:xfrm>
                    <a:prstGeom prst="rect">
                      <a:avLst/>
                    </a:prstGeom>
                  </pic:spPr>
                </pic:pic>
              </a:graphicData>
            </a:graphic>
            <wp14:sizeRelH relativeFrom="page">
              <wp14:pctWidth>0</wp14:pctWidth>
            </wp14:sizeRelH>
            <wp14:sizeRelV relativeFrom="page">
              <wp14:pctHeight>0</wp14:pctHeight>
            </wp14:sizeRelV>
          </wp:anchor>
        </w:drawing>
      </w:r>
      <w:r w:rsidRPr="00310D52">
        <w:rPr>
          <w:noProof/>
          <w:lang w:val="es-DO"/>
        </w:rPr>
        <w:drawing>
          <wp:inline distT="0" distB="0" distL="0" distR="0" wp14:anchorId="7E40538E" wp14:editId="573D7A0A">
            <wp:extent cx="2705100" cy="2805193"/>
            <wp:effectExtent l="0" t="0" r="0" b="0"/>
            <wp:docPr id="2034787730" name="drawing" descr="Interfaz de usuario gráfica, Aplicación&#10;&#10;El contenido generado por IA puede ser incorrecto.">
              <a:extLst xmlns:a="http://schemas.openxmlformats.org/drawingml/2006/main">
                <a:ext uri="{FF2B5EF4-FFF2-40B4-BE49-F238E27FC236}">
                  <a16:creationId xmlns:a16="http://schemas.microsoft.com/office/drawing/2014/main" id="{683C4CAA-4B3A-4A13-B4E9-18DF811D3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87730" name="drawing" descr="Interfaz de usuario gráfica, Aplicación&#10;&#10;El contenido generado por IA puede ser incorrecto."/>
                    <pic:cNvPicPr/>
                  </pic:nvPicPr>
                  <pic:blipFill>
                    <a:blip r:embed="rId37">
                      <a:extLst>
                        <a:ext uri="{28A0092B-C50C-407E-A947-70E740481C1C}">
                          <a14:useLocalDpi xmlns:a14="http://schemas.microsoft.com/office/drawing/2010/main"/>
                        </a:ext>
                      </a:extLst>
                    </a:blip>
                    <a:stretch>
                      <a:fillRect/>
                    </a:stretch>
                  </pic:blipFill>
                  <pic:spPr>
                    <a:xfrm>
                      <a:off x="0" y="0"/>
                      <a:ext cx="2735735" cy="2836962"/>
                    </a:xfrm>
                    <a:prstGeom prst="rect">
                      <a:avLst/>
                    </a:prstGeom>
                  </pic:spPr>
                </pic:pic>
              </a:graphicData>
            </a:graphic>
          </wp:inline>
        </w:drawing>
      </w:r>
    </w:p>
    <w:p w14:paraId="2071519C" w14:textId="77777777" w:rsidR="00D16900" w:rsidRPr="00310D52" w:rsidRDefault="00D16900" w:rsidP="00D16900">
      <w:pPr>
        <w:jc w:val="both"/>
        <w:rPr>
          <w:lang w:val="es-DO"/>
        </w:rPr>
      </w:pPr>
      <w:r w:rsidRPr="00310D52">
        <w:rPr>
          <w:noProof/>
          <w:lang w:val="es-DO"/>
        </w:rPr>
        <w:drawing>
          <wp:anchor distT="0" distB="0" distL="114300" distR="114300" simplePos="0" relativeHeight="251740160" behindDoc="0" locked="0" layoutInCell="1" allowOverlap="1" wp14:anchorId="19ABB937" wp14:editId="37C0C70A">
            <wp:simplePos x="0" y="0"/>
            <wp:positionH relativeFrom="margin">
              <wp:align>right</wp:align>
            </wp:positionH>
            <wp:positionV relativeFrom="paragraph">
              <wp:posOffset>30583</wp:posOffset>
            </wp:positionV>
            <wp:extent cx="2319394" cy="2509284"/>
            <wp:effectExtent l="0" t="0" r="5080" b="5715"/>
            <wp:wrapNone/>
            <wp:docPr id="626293782" name="drawing" descr="Imagen que contiene Texto&#10;&#10;El contenido generado por IA puede ser incorrecto.">
              <a:extLst xmlns:a="http://schemas.openxmlformats.org/drawingml/2006/main">
                <a:ext uri="{FF2B5EF4-FFF2-40B4-BE49-F238E27FC236}">
                  <a16:creationId xmlns:a16="http://schemas.microsoft.com/office/drawing/2014/main" id="{1FC0D1A6-F145-4C5D-8ED7-519EAE0FB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93782" name="drawing" descr="Imagen que contiene Texto&#10;&#10;El contenido generado por IA puede ser incorrecto."/>
                    <pic:cNvPicPr/>
                  </pic:nvPicPr>
                  <pic:blipFill>
                    <a:blip r:embed="rId38">
                      <a:extLst>
                        <a:ext uri="{28A0092B-C50C-407E-A947-70E740481C1C}">
                          <a14:useLocalDpi xmlns:a14="http://schemas.microsoft.com/office/drawing/2010/main"/>
                        </a:ext>
                      </a:extLst>
                    </a:blip>
                    <a:stretch>
                      <a:fillRect/>
                    </a:stretch>
                  </pic:blipFill>
                  <pic:spPr>
                    <a:xfrm>
                      <a:off x="0" y="0"/>
                      <a:ext cx="2321438" cy="2511496"/>
                    </a:xfrm>
                    <a:prstGeom prst="rect">
                      <a:avLst/>
                    </a:prstGeom>
                  </pic:spPr>
                </pic:pic>
              </a:graphicData>
            </a:graphic>
            <wp14:sizeRelH relativeFrom="page">
              <wp14:pctWidth>0</wp14:pctWidth>
            </wp14:sizeRelH>
            <wp14:sizeRelV relativeFrom="page">
              <wp14:pctHeight>0</wp14:pctHeight>
            </wp14:sizeRelV>
          </wp:anchor>
        </w:drawing>
      </w:r>
      <w:r w:rsidRPr="00310D52">
        <w:rPr>
          <w:noProof/>
          <w:lang w:val="es-DO"/>
        </w:rPr>
        <w:drawing>
          <wp:inline distT="0" distB="0" distL="0" distR="0" wp14:anchorId="0783DEAA" wp14:editId="331FA62C">
            <wp:extent cx="2147570" cy="2477386"/>
            <wp:effectExtent l="0" t="0" r="5080" b="0"/>
            <wp:docPr id="68493083" name="drawing" descr="Interfaz de usuario gráfica, Aplicación&#10;&#10;El contenido generado por IA puede ser incorrecto.">
              <a:extLst xmlns:a="http://schemas.openxmlformats.org/drawingml/2006/main">
                <a:ext uri="{FF2B5EF4-FFF2-40B4-BE49-F238E27FC236}">
                  <a16:creationId xmlns:a16="http://schemas.microsoft.com/office/drawing/2014/main" id="{E6BDA4DB-D1F6-4177-BD9A-F618789DBE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083" name="drawing" descr="Interfaz de usuario gráfica, Aplicación&#10;&#10;El contenido generado por IA puede ser incorrecto."/>
                    <pic:cNvPicPr/>
                  </pic:nvPicPr>
                  <pic:blipFill>
                    <a:blip r:embed="rId39">
                      <a:extLst>
                        <a:ext uri="{28A0092B-C50C-407E-A947-70E740481C1C}">
                          <a14:useLocalDpi xmlns:a14="http://schemas.microsoft.com/office/drawing/2010/main"/>
                        </a:ext>
                      </a:extLst>
                    </a:blip>
                    <a:stretch>
                      <a:fillRect/>
                    </a:stretch>
                  </pic:blipFill>
                  <pic:spPr>
                    <a:xfrm>
                      <a:off x="0" y="0"/>
                      <a:ext cx="2156972" cy="2488232"/>
                    </a:xfrm>
                    <a:prstGeom prst="rect">
                      <a:avLst/>
                    </a:prstGeom>
                  </pic:spPr>
                </pic:pic>
              </a:graphicData>
            </a:graphic>
          </wp:inline>
        </w:drawing>
      </w:r>
    </w:p>
    <w:p w14:paraId="36549B39" w14:textId="3B841019" w:rsidR="00D16900" w:rsidRPr="00310D52" w:rsidRDefault="0096115E" w:rsidP="00D16900">
      <w:pPr>
        <w:jc w:val="both"/>
        <w:rPr>
          <w:i/>
          <w:iCs/>
          <w:sz w:val="18"/>
          <w:szCs w:val="18"/>
          <w:lang w:val="es-DO"/>
        </w:rPr>
      </w:pPr>
      <w:r w:rsidRPr="00310D52">
        <w:rPr>
          <w:i/>
          <w:iCs/>
          <w:sz w:val="18"/>
          <w:szCs w:val="18"/>
          <w:lang w:val="es-DO"/>
        </w:rPr>
        <w:t>Fuente: Departamento de Comunicaciones</w:t>
      </w:r>
    </w:p>
    <w:p w14:paraId="697C2767" w14:textId="7C34C078" w:rsidR="002E0ED0" w:rsidRPr="00310D52" w:rsidRDefault="002E0ED0" w:rsidP="002E0ED0">
      <w:pPr>
        <w:spacing w:line="360" w:lineRule="auto"/>
        <w:jc w:val="both"/>
        <w:rPr>
          <w:lang w:val="es-DO"/>
        </w:rPr>
      </w:pPr>
      <w:r w:rsidRPr="00310D52">
        <w:rPr>
          <w:lang w:val="es-DO"/>
        </w:rPr>
        <w:t xml:space="preserve">La comunidad digital de la institución recibe de manera continua contenido informativo y educativo sobre las operaciones, actividades institucionales y programas internos, incluyendo iniciativas como “Sin Aviso”, “5 Minutos </w:t>
      </w:r>
      <w:r w:rsidRPr="00310D52">
        <w:rPr>
          <w:lang w:val="es-DO"/>
        </w:rPr>
        <w:lastRenderedPageBreak/>
        <w:t xml:space="preserve">con el </w:t>
      </w:r>
      <w:r w:rsidR="004126E1" w:rsidRPr="00310D52">
        <w:rPr>
          <w:lang w:val="es-DO"/>
        </w:rPr>
        <w:t>director</w:t>
      </w:r>
      <w:r w:rsidRPr="00310D52">
        <w:rPr>
          <w:lang w:val="es-DO"/>
        </w:rPr>
        <w:t>”, “Director por 1 Día” y “Base Digna”, además de las visitas de inspección a las bases operativas. Este enfoque ha permitido mantener informada a la ciudadanía y a los colaboradores, fortaleciendo la conexión con la población y destacando el trabajo operativo que realiza la institución a nivel nacional.</w:t>
      </w:r>
    </w:p>
    <w:p w14:paraId="1CD87A62" w14:textId="5B008F01" w:rsidR="00D16900" w:rsidRPr="00310D52" w:rsidRDefault="002E0ED0" w:rsidP="002E0ED0">
      <w:pPr>
        <w:spacing w:line="360" w:lineRule="auto"/>
        <w:jc w:val="both"/>
        <w:rPr>
          <w:lang w:val="es-DO"/>
        </w:rPr>
      </w:pPr>
      <w:r w:rsidRPr="00310D52">
        <w:rPr>
          <w:lang w:val="es-DO"/>
        </w:rPr>
        <w:t>Asimismo, se ha logrado un impacto significativo en la orientación ciudadana durante los traslados de emergencia, especialmente a través de la campaña “Cede el Paso”, que promueve la colaboración de los conductores para facilitar el desplazamiento de las ambulancias y mejorar así los tiempos de respuesta. La interacción constante mediante comentarios y mensajes directos también ha permitido recoger retroalimentación valiosa para la mejora continua del servicio, reforzando la calidad y eficacia de la atención brindada.</w:t>
      </w:r>
    </w:p>
    <w:p w14:paraId="2981F805" w14:textId="7A1497A7" w:rsidR="00C336E5" w:rsidRPr="00310D52" w:rsidRDefault="0035673A" w:rsidP="002E0ED0">
      <w:pPr>
        <w:spacing w:line="360" w:lineRule="auto"/>
        <w:jc w:val="both"/>
        <w:rPr>
          <w:lang w:val="es-DO"/>
        </w:rPr>
      </w:pPr>
      <w:r w:rsidRPr="00310D52">
        <w:rPr>
          <w:lang w:val="es-DO"/>
        </w:rPr>
        <w:t xml:space="preserve">La comunicación interna consolidó un canal informativo a través del boletín institucional “Mes a Mes” publicado mensualmente durante todo el año 2025. Este boletín fortaleció el sentido de pertenencia, integró a las áreas operativas y administrativas, y mantuvo al personal informado sobre logros, actividades, reconocimientos y eventos institucionales durante los 12 meses. </w:t>
      </w:r>
    </w:p>
    <w:p w14:paraId="7869064D" w14:textId="77777777" w:rsidR="00C336E5" w:rsidRPr="00F06D9C" w:rsidRDefault="00C336E5" w:rsidP="00AB26E6">
      <w:pPr>
        <w:pStyle w:val="Prrafodelista"/>
        <w:keepNext/>
        <w:keepLines/>
        <w:numPr>
          <w:ilvl w:val="1"/>
          <w:numId w:val="1"/>
        </w:numPr>
        <w:spacing w:before="240" w:after="0" w:line="360" w:lineRule="auto"/>
        <w:ind w:left="0"/>
        <w:jc w:val="both"/>
        <w:outlineLvl w:val="0"/>
        <w:rPr>
          <w:rFonts w:eastAsiaTheme="majorEastAsia"/>
          <w:b/>
          <w:spacing w:val="0"/>
          <w:szCs w:val="28"/>
          <w:lang w:val="es-DO"/>
        </w:rPr>
      </w:pPr>
      <w:bookmarkStart w:id="52" w:name="_Toc217050900"/>
      <w:r w:rsidRPr="00F06D9C">
        <w:rPr>
          <w:rFonts w:eastAsiaTheme="majorEastAsia"/>
          <w:b/>
          <w:spacing w:val="0"/>
          <w:szCs w:val="28"/>
          <w:lang w:val="es-DO"/>
        </w:rPr>
        <w:t>Monitoreo y Vigilancia</w:t>
      </w:r>
      <w:bookmarkEnd w:id="52"/>
    </w:p>
    <w:p w14:paraId="7023A1FE" w14:textId="77777777" w:rsidR="00C336E5" w:rsidRPr="00310D52" w:rsidRDefault="00C336E5" w:rsidP="00C336E5">
      <w:pPr>
        <w:spacing w:line="360" w:lineRule="auto"/>
        <w:jc w:val="both"/>
        <w:rPr>
          <w:rFonts w:eastAsia="Calibri"/>
          <w:noProof/>
          <w:lang w:val="es-DO"/>
        </w:rPr>
      </w:pPr>
      <w:r w:rsidRPr="00310D52">
        <w:rPr>
          <w:rFonts w:eastAsia="Calibri"/>
          <w:noProof/>
          <w:lang w:val="es-DO"/>
        </w:rPr>
        <w:t>Durante el 2025, el Área de Monitoreo y Vigilancia fortaleció la operatividad del servicio de emergencias extrahospitalarias mediante la puesta en funcionamiento del Centro de Monitoreo, desde el cual se realiza el seguimiento en tiempo real de la ubicación y los movimientos de las ambulancias en el Gran Santo Domingo y en las provincias donde opera la institución, contribuyendo a una respuesta más oportuna y eficiente a la ciudadanía.</w:t>
      </w:r>
    </w:p>
    <w:p w14:paraId="522389CB" w14:textId="77777777" w:rsidR="00C336E5" w:rsidRPr="00310D52" w:rsidRDefault="00C336E5" w:rsidP="00C336E5">
      <w:pPr>
        <w:spacing w:line="360" w:lineRule="auto"/>
        <w:jc w:val="both"/>
        <w:rPr>
          <w:rFonts w:eastAsia="Calibri"/>
          <w:noProof/>
          <w:lang w:val="es-DO"/>
        </w:rPr>
      </w:pPr>
    </w:p>
    <w:p w14:paraId="393730D8" w14:textId="2B49A23E" w:rsidR="00CA6ABE" w:rsidRPr="00310D52" w:rsidRDefault="00CA6ABE" w:rsidP="00CA6ABE">
      <w:pPr>
        <w:spacing w:line="360" w:lineRule="auto"/>
        <w:jc w:val="both"/>
        <w:rPr>
          <w:rFonts w:eastAsia="Calibri"/>
          <w:noProof/>
          <w:lang w:val="es-DO"/>
        </w:rPr>
      </w:pPr>
      <w:r w:rsidRPr="00310D52">
        <w:rPr>
          <w:rFonts w:eastAsia="Calibri"/>
          <w:noProof/>
          <w:lang w:val="es-DO"/>
        </w:rPr>
        <w:lastRenderedPageBreak/>
        <w:t>En el marco del fortalecimiento institucional, se introdujeron equipos y plataformas digitales que sustituyeron los métodos manuales anteriormente utilizados para el registro y monitoreo de las preposiciones.</w:t>
      </w:r>
    </w:p>
    <w:p w14:paraId="27D4DBD4" w14:textId="715B594D" w:rsidR="00CA6ABE" w:rsidRPr="00310D52" w:rsidRDefault="00CA6ABE" w:rsidP="00CA6ABE">
      <w:pPr>
        <w:spacing w:line="360" w:lineRule="auto"/>
        <w:jc w:val="both"/>
        <w:rPr>
          <w:rFonts w:eastAsia="Calibri"/>
          <w:noProof/>
          <w:lang w:val="es-DO"/>
        </w:rPr>
      </w:pPr>
      <w:r w:rsidRPr="00310D52">
        <w:rPr>
          <w:rFonts w:eastAsia="Calibri"/>
          <w:noProof/>
          <w:lang w:val="es-DO"/>
        </w:rPr>
        <w:t>Se desarrollaron aplicaciones propias que facilitan el registro automático de movimientos operativos por parte de los supervisores, generando por primera vez indicadores precisos sobre:</w:t>
      </w:r>
    </w:p>
    <w:p w14:paraId="655EF903" w14:textId="143331CD"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Cobertura nacional</w:t>
      </w:r>
    </w:p>
    <w:p w14:paraId="6770F993" w14:textId="2217F560"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Movilidad de unidades</w:t>
      </w:r>
    </w:p>
    <w:p w14:paraId="0F2866BA" w14:textId="39DFBE1E"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Tiempos de salida y llegada</w:t>
      </w:r>
    </w:p>
    <w:p w14:paraId="53FD0B83" w14:textId="636A41FF"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Causas de no cobertura</w:t>
      </w:r>
    </w:p>
    <w:p w14:paraId="4088592B" w14:textId="616EDDE1"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Estadísticas operativas en tiempo real</w:t>
      </w:r>
    </w:p>
    <w:p w14:paraId="49D191C6" w14:textId="77777777" w:rsidR="00CA6ABE" w:rsidRPr="00310D52" w:rsidRDefault="00CA6ABE" w:rsidP="00CA6ABE">
      <w:pPr>
        <w:spacing w:line="360" w:lineRule="auto"/>
        <w:jc w:val="both"/>
        <w:rPr>
          <w:rFonts w:eastAsia="Calibri"/>
          <w:noProof/>
          <w:lang w:val="es-DO"/>
        </w:rPr>
      </w:pPr>
      <w:r w:rsidRPr="00310D52">
        <w:rPr>
          <w:rFonts w:eastAsia="Calibri"/>
          <w:noProof/>
          <w:lang w:val="es-DO"/>
        </w:rPr>
        <w:t>Gracias a la implementación de estos sistemas, la DAEH logró reducir la no cobertura nacional a menos de un 10% convirtiéndose en un logro institucional sin precedentes y reflejando un avance sustancial en la capacidad de respuesta del servicio.</w:t>
      </w:r>
    </w:p>
    <w:p w14:paraId="07D239E4" w14:textId="77777777" w:rsidR="00CA6ABE" w:rsidRPr="00310D52" w:rsidRDefault="00CA6ABE" w:rsidP="00CA6ABE">
      <w:pPr>
        <w:spacing w:line="360" w:lineRule="auto"/>
        <w:jc w:val="both"/>
        <w:rPr>
          <w:rFonts w:eastAsia="Calibri"/>
          <w:noProof/>
          <w:lang w:val="es-DO"/>
        </w:rPr>
      </w:pPr>
      <w:r w:rsidRPr="00310D52">
        <w:rPr>
          <w:rFonts w:eastAsia="Calibri"/>
          <w:noProof/>
          <w:lang w:val="es-DO"/>
        </w:rPr>
        <w:t>Adicionalmente, durante el periodo se integraron nuevas plataformas destinadas a:</w:t>
      </w:r>
    </w:p>
    <w:p w14:paraId="270394F4" w14:textId="19BE194B"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Detectar de manera automática las retenciones de ambulancias en hospitales, generando alertas oportunas a otras áreas.</w:t>
      </w:r>
    </w:p>
    <w:p w14:paraId="02A2E4B7" w14:textId="4B056174"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Analizar tiempos de respuesta y comportamiento operativo.</w:t>
      </w:r>
    </w:p>
    <w:p w14:paraId="3E2CF096" w14:textId="4AF46D0B"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Controlar la entrada y salida de unidades mediante registros totalmente digitalizados.</w:t>
      </w:r>
    </w:p>
    <w:p w14:paraId="75E68A38" w14:textId="5D16757F" w:rsidR="00C336E5" w:rsidRPr="00310D52" w:rsidRDefault="00CA6ABE" w:rsidP="00CA6ABE">
      <w:pPr>
        <w:spacing w:line="360" w:lineRule="auto"/>
        <w:jc w:val="both"/>
        <w:rPr>
          <w:rFonts w:eastAsia="Calibri"/>
          <w:noProof/>
          <w:lang w:val="es-DO"/>
        </w:rPr>
      </w:pPr>
      <w:r w:rsidRPr="00310D52">
        <w:rPr>
          <w:rFonts w:eastAsia="Calibri"/>
          <w:noProof/>
          <w:lang w:val="es-DO"/>
        </w:rPr>
        <w:t>Estas herramientas tecnológicas han permitido mejorar la coordinación interdepartamental y garantizar un monitoreo oportuno y eficiente de la operación diaria.</w:t>
      </w:r>
    </w:p>
    <w:p w14:paraId="23494974" w14:textId="2249AE4A" w:rsidR="00CA6ABE" w:rsidRPr="00310D52" w:rsidRDefault="00CA6ABE" w:rsidP="00CA6ABE">
      <w:pPr>
        <w:spacing w:line="360" w:lineRule="auto"/>
        <w:jc w:val="both"/>
        <w:rPr>
          <w:rFonts w:eastAsia="Calibri"/>
          <w:noProof/>
          <w:lang w:val="es-DO"/>
        </w:rPr>
      </w:pPr>
      <w:r w:rsidRPr="00310D52">
        <w:rPr>
          <w:rFonts w:eastAsia="Calibri"/>
          <w:noProof/>
          <w:lang w:val="es-DO"/>
        </w:rPr>
        <w:lastRenderedPageBreak/>
        <w:t>Los indicadores obtenidos durante este primer año evidencian el impacto directo de la modernización del sistema de Monitoreo y Vigilancia:</w:t>
      </w:r>
    </w:p>
    <w:p w14:paraId="569BF7D4" w14:textId="6E3B0E36" w:rsidR="00CA6ABE" w:rsidRPr="00310D52" w:rsidRDefault="00CA6ABE" w:rsidP="00CA6ABE">
      <w:pPr>
        <w:spacing w:line="360" w:lineRule="auto"/>
        <w:jc w:val="both"/>
        <w:rPr>
          <w:rFonts w:eastAsia="Calibri"/>
          <w:b/>
          <w:bCs/>
          <w:noProof/>
          <w:lang w:val="es-DO"/>
        </w:rPr>
      </w:pPr>
      <w:r w:rsidRPr="00310D52">
        <w:rPr>
          <w:rFonts w:eastAsia="Calibri"/>
          <w:b/>
          <w:bCs/>
          <w:noProof/>
          <w:lang w:val="es-DO"/>
        </w:rPr>
        <w:t>Tabla de Indicadores de Monitoreo Operativo 2025</w:t>
      </w:r>
    </w:p>
    <w:p w14:paraId="28517B4F" w14:textId="77777777" w:rsidR="00C336E5" w:rsidRPr="00310D52" w:rsidRDefault="00C336E5" w:rsidP="00C336E5">
      <w:pPr>
        <w:rPr>
          <w:lang w:val="es-DO"/>
        </w:rPr>
      </w:pPr>
      <w:r w:rsidRPr="00310D52">
        <w:rPr>
          <w:lang w:val="es-DO"/>
        </w:rPr>
        <w:object w:dxaOrig="7193" w:dyaOrig="4723" w14:anchorId="658D4A52">
          <v:shape id="_x0000_i1035" type="#_x0000_t75" style="width:5in;height:215.4pt" o:ole="">
            <v:imagedata r:id="rId40" o:title=""/>
          </v:shape>
          <o:OLEObject Type="Embed" ProgID="Excel.Sheet.12" ShapeID="_x0000_i1035" DrawAspect="Content" ObjectID="_1827944967" r:id="rId41"/>
        </w:object>
      </w:r>
    </w:p>
    <w:p w14:paraId="2075E2DF" w14:textId="386A1D65" w:rsidR="00C336E5" w:rsidRPr="00310D52" w:rsidRDefault="00C336E5" w:rsidP="00C336E5">
      <w:pPr>
        <w:rPr>
          <w:rFonts w:eastAsia="Calibri"/>
          <w:i/>
          <w:iCs/>
          <w:noProof/>
          <w:sz w:val="18"/>
          <w:szCs w:val="18"/>
          <w:lang w:val="es-DO"/>
        </w:rPr>
      </w:pPr>
      <w:r w:rsidRPr="00310D52">
        <w:rPr>
          <w:rFonts w:eastAsia="Calibri"/>
          <w:i/>
          <w:iCs/>
          <w:noProof/>
          <w:sz w:val="18"/>
          <w:szCs w:val="18"/>
          <w:lang w:val="es-DO"/>
        </w:rPr>
        <w:t>Fuente: Departamento de Monitoreo y Vigilancia</w:t>
      </w:r>
    </w:p>
    <w:p w14:paraId="1274C8C8" w14:textId="66D6E964" w:rsidR="00CA6ABE" w:rsidRPr="00310D52" w:rsidRDefault="00CA6ABE" w:rsidP="00CA6ABE">
      <w:pPr>
        <w:spacing w:line="360" w:lineRule="auto"/>
        <w:jc w:val="both"/>
        <w:rPr>
          <w:rFonts w:eastAsia="Calibri"/>
          <w:noProof/>
          <w:lang w:val="es-DO"/>
        </w:rPr>
      </w:pPr>
      <w:r w:rsidRPr="00310D52">
        <w:rPr>
          <w:rFonts w:eastAsia="Calibri"/>
          <w:noProof/>
          <w:lang w:val="es-DO"/>
        </w:rPr>
        <w:t>Durante el 2025 Monitoreo y Vigilancia fortaleció la gestión institucional mediante:</w:t>
      </w:r>
    </w:p>
    <w:p w14:paraId="7BDD06DF" w14:textId="0934F21A" w:rsidR="00CA6ABE" w:rsidRPr="00310D52" w:rsidRDefault="00CA6ABE" w:rsidP="00CA6ABE">
      <w:pPr>
        <w:spacing w:line="360" w:lineRule="auto"/>
        <w:jc w:val="both"/>
        <w:rPr>
          <w:rFonts w:eastAsia="Calibri"/>
          <w:noProof/>
          <w:lang w:val="es-DO"/>
        </w:rPr>
      </w:pPr>
      <w:r w:rsidRPr="00310D52">
        <w:rPr>
          <w:rFonts w:eastAsia="Calibri"/>
          <w:noProof/>
          <w:lang w:val="es-DO"/>
        </w:rPr>
        <w:t>La estandarización de los flujos de información operativa.</w:t>
      </w:r>
    </w:p>
    <w:p w14:paraId="45F12E8E" w14:textId="4C24B71A"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La generación de indicadores confiables y actualizados.</w:t>
      </w:r>
    </w:p>
    <w:p w14:paraId="54A7CC27" w14:textId="5C83B103"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El soporte tecnológico para la toma de decisiones estratégicas.</w:t>
      </w:r>
    </w:p>
    <w:p w14:paraId="444FE5C2" w14:textId="58CC9E2D"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La mejora en la coordinación interdepartamental mediante reportes automáticos.</w:t>
      </w:r>
    </w:p>
    <w:p w14:paraId="482E2B67" w14:textId="77777777" w:rsidR="00CA6ABE" w:rsidRPr="00310D52" w:rsidRDefault="00CA6ABE" w:rsidP="00CA6ABE">
      <w:pPr>
        <w:spacing w:line="360" w:lineRule="auto"/>
        <w:jc w:val="both"/>
        <w:rPr>
          <w:rFonts w:eastAsia="Calibri"/>
          <w:noProof/>
          <w:lang w:val="es-DO"/>
        </w:rPr>
      </w:pPr>
      <w:r w:rsidRPr="00310D52">
        <w:rPr>
          <w:rFonts w:eastAsia="Calibri"/>
          <w:noProof/>
          <w:lang w:val="es-DO"/>
        </w:rPr>
        <w:t>Además, se elaboraron diversos documentos técnicos esenciales para el sistema de calidad institucional, tales como:</w:t>
      </w:r>
    </w:p>
    <w:p w14:paraId="2E43E5C9" w14:textId="2FF5765C"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Protocolos de monitoreo</w:t>
      </w:r>
    </w:p>
    <w:p w14:paraId="6483FE32" w14:textId="03DBF60B"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Flujogramas de reporte</w:t>
      </w:r>
    </w:p>
    <w:p w14:paraId="5A77D231" w14:textId="08A39A33"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t>Mecanismos de seguimiento continuo</w:t>
      </w:r>
    </w:p>
    <w:p w14:paraId="20294E5C" w14:textId="0047859A" w:rsidR="00CA6ABE" w:rsidRPr="00310D52" w:rsidRDefault="00CA6ABE" w:rsidP="00CA6ABE">
      <w:pPr>
        <w:pStyle w:val="Prrafodelista"/>
        <w:numPr>
          <w:ilvl w:val="0"/>
          <w:numId w:val="28"/>
        </w:numPr>
        <w:spacing w:line="360" w:lineRule="auto"/>
        <w:jc w:val="both"/>
        <w:rPr>
          <w:rFonts w:eastAsia="Calibri"/>
          <w:noProof/>
          <w:lang w:val="es-DO"/>
        </w:rPr>
      </w:pPr>
      <w:r w:rsidRPr="00310D52">
        <w:rPr>
          <w:rFonts w:eastAsia="Calibri"/>
          <w:noProof/>
          <w:lang w:val="es-DO"/>
        </w:rPr>
        <w:lastRenderedPageBreak/>
        <w:t>Lineamientos para el análisis de tiempos operativos</w:t>
      </w:r>
    </w:p>
    <w:p w14:paraId="30E78C7E" w14:textId="6BAFE69A" w:rsidR="00CA6ABE" w:rsidRPr="00310D52" w:rsidRDefault="00CA6ABE" w:rsidP="00CA6ABE">
      <w:pPr>
        <w:spacing w:line="360" w:lineRule="auto"/>
        <w:jc w:val="both"/>
        <w:rPr>
          <w:rFonts w:eastAsia="Calibri"/>
          <w:noProof/>
          <w:lang w:val="es-DO"/>
        </w:rPr>
      </w:pPr>
      <w:r w:rsidRPr="00310D52">
        <w:rPr>
          <w:rFonts w:eastAsia="Calibri"/>
          <w:noProof/>
          <w:lang w:val="es-DO"/>
        </w:rPr>
        <w:t>Estos materiales ya forman parte del Sistema de Gestión de Calidad de la institución.</w:t>
      </w:r>
    </w:p>
    <w:p w14:paraId="027F54C9" w14:textId="3E71C91E" w:rsidR="00D16900" w:rsidRPr="00F06D9C" w:rsidRDefault="00BA6390" w:rsidP="00BA6390">
      <w:pPr>
        <w:pStyle w:val="Prrafodelista"/>
        <w:keepNext/>
        <w:keepLines/>
        <w:numPr>
          <w:ilvl w:val="1"/>
          <w:numId w:val="1"/>
        </w:numPr>
        <w:spacing w:before="240" w:after="0" w:line="360" w:lineRule="auto"/>
        <w:ind w:left="0"/>
        <w:jc w:val="both"/>
        <w:outlineLvl w:val="0"/>
        <w:rPr>
          <w:rFonts w:eastAsiaTheme="majorEastAsia"/>
          <w:b/>
          <w:spacing w:val="0"/>
          <w:szCs w:val="28"/>
          <w:lang w:val="es-DO"/>
        </w:rPr>
      </w:pPr>
      <w:bookmarkStart w:id="53" w:name="_Toc217050901"/>
      <w:r w:rsidRPr="00F06D9C">
        <w:rPr>
          <w:rFonts w:eastAsiaTheme="majorEastAsia"/>
          <w:b/>
          <w:spacing w:val="0"/>
          <w:szCs w:val="28"/>
          <w:lang w:val="es-DO"/>
        </w:rPr>
        <w:t>Seguridad y Vigilancia Institucional</w:t>
      </w:r>
      <w:bookmarkEnd w:id="53"/>
    </w:p>
    <w:p w14:paraId="7BFF7B32" w14:textId="1435D1CE" w:rsidR="003E00B8" w:rsidRPr="00310D52" w:rsidRDefault="00BA6390" w:rsidP="00BA6390">
      <w:pPr>
        <w:spacing w:line="360" w:lineRule="auto"/>
        <w:jc w:val="both"/>
        <w:rPr>
          <w:lang w:val="es-DO"/>
        </w:rPr>
      </w:pPr>
      <w:r w:rsidRPr="00310D52">
        <w:rPr>
          <w:lang w:val="es-DO"/>
        </w:rPr>
        <w:t>Con el objetivo de planificar, coordinar y supervisar las actividades de la seguridad e integridad física de las personas, así como salvaguardar los equipos y propiedades de la institución para asegurar la continuidad de las operaciones de la dirección, se han realizado las actividades inherentes a este tema como las siguientes:</w:t>
      </w:r>
    </w:p>
    <w:p w14:paraId="134BF3AE" w14:textId="7E2D1D9F" w:rsidR="00D16900" w:rsidRPr="00310D52" w:rsidRDefault="003C641F" w:rsidP="003C641F">
      <w:pPr>
        <w:spacing w:line="360" w:lineRule="auto"/>
        <w:jc w:val="both"/>
        <w:rPr>
          <w:lang w:val="es-DO"/>
        </w:rPr>
      </w:pPr>
      <w:r w:rsidRPr="00310D52">
        <w:rPr>
          <w:lang w:val="es-DO"/>
        </w:rPr>
        <w:object w:dxaOrig="8400" w:dyaOrig="5695" w14:anchorId="3DA933B1">
          <v:shape id="_x0000_i1036" type="#_x0000_t75" style="width:394.2pt;height:271.2pt" o:ole="">
            <v:imagedata r:id="rId42" o:title=""/>
          </v:shape>
          <o:OLEObject Type="Embed" ProgID="Excel.Sheet.12" ShapeID="_x0000_i1036" DrawAspect="Content" ObjectID="_1827944968" r:id="rId43"/>
        </w:object>
      </w:r>
    </w:p>
    <w:p w14:paraId="6F521D27" w14:textId="16D395F1" w:rsidR="003C641F" w:rsidRPr="00310D52" w:rsidRDefault="003C641F" w:rsidP="003C641F">
      <w:pPr>
        <w:spacing w:line="360" w:lineRule="auto"/>
        <w:jc w:val="both"/>
        <w:rPr>
          <w:i/>
          <w:iCs/>
          <w:sz w:val="18"/>
          <w:szCs w:val="18"/>
          <w:lang w:val="es-DO"/>
        </w:rPr>
      </w:pPr>
      <w:r w:rsidRPr="00310D52">
        <w:rPr>
          <w:i/>
          <w:iCs/>
          <w:sz w:val="18"/>
          <w:szCs w:val="18"/>
          <w:lang w:val="es-DO"/>
        </w:rPr>
        <w:t>Fuente: Departamento de Seguridad</w:t>
      </w:r>
    </w:p>
    <w:p w14:paraId="42841543" w14:textId="77777777" w:rsidR="00D16900" w:rsidRPr="00310D52" w:rsidRDefault="00D16900" w:rsidP="00D16900">
      <w:pPr>
        <w:jc w:val="both"/>
        <w:rPr>
          <w:lang w:val="es-DO"/>
        </w:rPr>
      </w:pPr>
    </w:p>
    <w:p w14:paraId="32B3F4FC" w14:textId="77777777" w:rsidR="00D16900" w:rsidRPr="00310D52" w:rsidRDefault="00D16900" w:rsidP="00D16900">
      <w:pPr>
        <w:jc w:val="both"/>
        <w:rPr>
          <w:lang w:val="es-DO"/>
        </w:rPr>
      </w:pPr>
    </w:p>
    <w:p w14:paraId="7C5D89D6" w14:textId="77777777" w:rsidR="00A55E73" w:rsidRPr="00310D52" w:rsidRDefault="00A55E73" w:rsidP="00BA2267">
      <w:pPr>
        <w:spacing w:line="360" w:lineRule="auto"/>
        <w:jc w:val="both"/>
        <w:rPr>
          <w:rFonts w:eastAsia="Calibri"/>
          <w:noProof/>
          <w:lang w:val="es-DO"/>
        </w:rPr>
      </w:pPr>
    </w:p>
    <w:p w14:paraId="6D690888" w14:textId="71E8AEC6" w:rsidR="0035429F" w:rsidRPr="00310D52" w:rsidRDefault="00967739" w:rsidP="00756335">
      <w:pPr>
        <w:pStyle w:val="Ttulo1"/>
        <w:numPr>
          <w:ilvl w:val="0"/>
          <w:numId w:val="1"/>
        </w:numPr>
        <w:rPr>
          <w:rFonts w:cs="Times New Roman"/>
          <w:color w:val="767171"/>
          <w:lang w:val="es-DO"/>
        </w:rPr>
      </w:pPr>
      <w:bookmarkStart w:id="54" w:name="_Toc217050902"/>
      <w:r w:rsidRPr="00310D52">
        <w:rPr>
          <w:rFonts w:cs="Times New Roman"/>
          <w:color w:val="767171"/>
          <w:lang w:val="es-DO"/>
        </w:rPr>
        <w:lastRenderedPageBreak/>
        <w:t xml:space="preserve">SERVICIO AL CIUDADANO Y </w:t>
      </w:r>
      <w:r w:rsidR="00485B71" w:rsidRPr="00310D52">
        <w:rPr>
          <w:rFonts w:cs="Times New Roman"/>
          <w:color w:val="767171"/>
          <w:lang w:val="es-DO"/>
        </w:rPr>
        <w:t>TRANSPARENCIA INSTITUCIONAL</w:t>
      </w:r>
      <w:bookmarkEnd w:id="54"/>
    </w:p>
    <w:p w14:paraId="7179426A" w14:textId="77777777" w:rsidR="0035429F" w:rsidRPr="00310D52" w:rsidRDefault="0035429F" w:rsidP="00756335">
      <w:pPr>
        <w:spacing w:line="360" w:lineRule="auto"/>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666AECE" w14:textId="590D2BC7" w:rsidR="0035429F" w:rsidRPr="00310D52" w:rsidRDefault="0035429F" w:rsidP="00756335">
      <w:pPr>
        <w:spacing w:line="360" w:lineRule="auto"/>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614DE580" w14:textId="77777777" w:rsidR="00C336E5" w:rsidRPr="00310D52" w:rsidRDefault="00C336E5" w:rsidP="00756335">
      <w:pPr>
        <w:spacing w:line="360" w:lineRule="auto"/>
        <w:jc w:val="center"/>
        <w:rPr>
          <w:rFonts w:eastAsia="Calibri"/>
          <w:szCs w:val="36"/>
          <w:lang w:val="es-DO"/>
        </w:rPr>
      </w:pPr>
    </w:p>
    <w:p w14:paraId="153CA6D5" w14:textId="15A47A58" w:rsidR="00380E7E" w:rsidRPr="00F06D9C" w:rsidRDefault="00380E7E" w:rsidP="00756335">
      <w:pPr>
        <w:keepNext/>
        <w:keepLines/>
        <w:numPr>
          <w:ilvl w:val="1"/>
          <w:numId w:val="1"/>
        </w:numPr>
        <w:spacing w:before="240" w:after="0" w:line="360" w:lineRule="auto"/>
        <w:ind w:left="0" w:hanging="450"/>
        <w:jc w:val="both"/>
        <w:outlineLvl w:val="0"/>
        <w:rPr>
          <w:rFonts w:eastAsiaTheme="majorEastAsia"/>
          <w:b/>
          <w:spacing w:val="0"/>
          <w:szCs w:val="28"/>
          <w:lang w:val="es-DO"/>
        </w:rPr>
      </w:pPr>
      <w:bookmarkStart w:id="55" w:name="_Toc217050903"/>
      <w:r w:rsidRPr="00F06D9C">
        <w:rPr>
          <w:rFonts w:eastAsiaTheme="majorEastAsia"/>
          <w:b/>
          <w:spacing w:val="0"/>
          <w:szCs w:val="28"/>
          <w:lang w:val="es-DO"/>
        </w:rPr>
        <w:t>Nivel de Satisfacción con el Servicio</w:t>
      </w:r>
      <w:bookmarkEnd w:id="55"/>
    </w:p>
    <w:p w14:paraId="40DCC083" w14:textId="77777777" w:rsidR="007A3FF6" w:rsidRPr="00310D52" w:rsidRDefault="007A3FF6" w:rsidP="00756335">
      <w:pPr>
        <w:pStyle w:val="Prrafodelista"/>
        <w:spacing w:line="360" w:lineRule="auto"/>
        <w:ind w:left="360"/>
        <w:jc w:val="both"/>
        <w:rPr>
          <w:rFonts w:eastAsia="Calibri"/>
          <w:b/>
          <w:bCs/>
          <w:noProof/>
          <w:lang w:val="es-DO"/>
        </w:rPr>
      </w:pPr>
    </w:p>
    <w:p w14:paraId="7C4CC1F0" w14:textId="61F64C5F" w:rsidR="0035429F" w:rsidRPr="00310D52" w:rsidRDefault="00380E7E" w:rsidP="00756335">
      <w:pPr>
        <w:pStyle w:val="Prrafodelista"/>
        <w:numPr>
          <w:ilvl w:val="0"/>
          <w:numId w:val="8"/>
        </w:numPr>
        <w:spacing w:line="360" w:lineRule="auto"/>
        <w:ind w:left="360" w:hanging="360"/>
        <w:jc w:val="both"/>
        <w:rPr>
          <w:rFonts w:eastAsia="Calibri"/>
          <w:b/>
          <w:bCs/>
          <w:noProof/>
          <w:lang w:val="es-DO"/>
        </w:rPr>
      </w:pPr>
      <w:r w:rsidRPr="00310D52">
        <w:rPr>
          <w:rFonts w:eastAsia="Calibri"/>
          <w:b/>
          <w:bCs/>
          <w:noProof/>
          <w:lang w:val="es-DO"/>
        </w:rPr>
        <w:t>Porcentaje de Satisfacción Global de los Servicios Ofrecidos a través del Sistema 9-1-1.</w:t>
      </w:r>
    </w:p>
    <w:p w14:paraId="36BE7778" w14:textId="02ADDB7B" w:rsidR="007A3FF6" w:rsidRPr="00310D52" w:rsidRDefault="007A3FF6" w:rsidP="00756335">
      <w:pPr>
        <w:spacing w:line="360" w:lineRule="auto"/>
        <w:ind w:left="360"/>
        <w:jc w:val="both"/>
        <w:rPr>
          <w:rFonts w:eastAsia="Calibri"/>
          <w:noProof/>
          <w:lang w:val="es-DO"/>
        </w:rPr>
      </w:pPr>
      <w:r w:rsidRPr="00310D52">
        <w:rPr>
          <w:rFonts w:eastAsia="Calibri"/>
          <w:noProof/>
          <w:lang w:val="es-DO"/>
        </w:rPr>
        <w:t>Los resultados de la encuesta de satisfacción entre enero y octubre reflejan un alto nivel de satisfacción por parte de nuestros usuarios. Los aspectos de Conocimiento y Trato en la Respuesta destacan con índices constantes superiores al 89% y 96%, respectivamente, lo que evidencia la profesionalidad y empatía de nuestro equipo en cada interacción.</w:t>
      </w:r>
    </w:p>
    <w:p w14:paraId="0DEF486E" w14:textId="464ED34E" w:rsidR="007A3FF6" w:rsidRPr="00310D52" w:rsidRDefault="007A3FF6" w:rsidP="00756335">
      <w:pPr>
        <w:spacing w:line="360" w:lineRule="auto"/>
        <w:ind w:left="360"/>
        <w:jc w:val="both"/>
        <w:rPr>
          <w:rFonts w:eastAsia="Calibri"/>
          <w:noProof/>
          <w:lang w:val="es-DO"/>
        </w:rPr>
      </w:pPr>
      <w:r w:rsidRPr="00310D52">
        <w:rPr>
          <w:rFonts w:eastAsia="Calibri"/>
          <w:noProof/>
          <w:lang w:val="es-DO"/>
        </w:rPr>
        <w:t>La Satisfacción Global ha aumentado durante este año llegando a un 90%, consolidando la confianza de nuestros usuarios en la calidad de nuestro servicio. Aunque la Velocidad de Respuesta ha mostrado algunas variaciones, con un máximo de 76% en octubre, continuamos implementando mejoras para optimizar este aspecto y brindar un servicio cada vez más ágil y efectivo. Estos resultados reafirman nuestro compromiso de excelencia y nos impulsan a seguir fortaleciendo nuestros procesos para superar las expectativas de nuestros usuarios.</w:t>
      </w:r>
    </w:p>
    <w:p w14:paraId="14D7EE20" w14:textId="0CB3CD0E" w:rsidR="00177191" w:rsidRPr="00310D52" w:rsidRDefault="0061603D" w:rsidP="00756335">
      <w:pPr>
        <w:spacing w:after="0" w:line="360" w:lineRule="auto"/>
        <w:ind w:left="360"/>
        <w:jc w:val="both"/>
        <w:rPr>
          <w:rFonts w:eastAsia="Calibri"/>
          <w:noProof/>
          <w:lang w:val="es-DO"/>
        </w:rPr>
      </w:pPr>
      <w:r w:rsidRPr="00310D52">
        <w:rPr>
          <w:noProof/>
          <w:lang w:val="es-DO"/>
        </w:rPr>
        <w:lastRenderedPageBreak/>
        <w:drawing>
          <wp:inline distT="0" distB="0" distL="0" distR="0" wp14:anchorId="68CE4A81" wp14:editId="6FF1D2E0">
            <wp:extent cx="5018568" cy="4210493"/>
            <wp:effectExtent l="0" t="0" r="10795" b="0"/>
            <wp:docPr id="405642400" name="Gráfico 1">
              <a:extLst xmlns:a="http://schemas.openxmlformats.org/drawingml/2006/main">
                <a:ext uri="{FF2B5EF4-FFF2-40B4-BE49-F238E27FC236}">
                  <a16:creationId xmlns:a16="http://schemas.microsoft.com/office/drawing/2014/main" id="{AE51D8B4-9746-9515-07CE-3368DAFF0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177191" w:rsidRPr="00310D52">
        <w:rPr>
          <w:rFonts w:eastAsia="Calibri"/>
          <w:noProof/>
          <w:lang w:val="es-DO"/>
        </w:rPr>
        <w:t xml:space="preserve"> </w:t>
      </w:r>
    </w:p>
    <w:p w14:paraId="7B20A506" w14:textId="03783BD7" w:rsidR="00C336E5" w:rsidRPr="00310D52" w:rsidRDefault="00C336E5" w:rsidP="00756335">
      <w:pPr>
        <w:spacing w:line="360" w:lineRule="auto"/>
        <w:ind w:left="360"/>
        <w:jc w:val="both"/>
        <w:rPr>
          <w:rFonts w:eastAsia="Calibri"/>
          <w:i/>
          <w:iCs/>
          <w:noProof/>
          <w:sz w:val="18"/>
          <w:szCs w:val="18"/>
          <w:lang w:val="es-DO"/>
        </w:rPr>
      </w:pPr>
      <w:r w:rsidRPr="00310D52">
        <w:rPr>
          <w:rFonts w:eastAsia="Calibri"/>
          <w:i/>
          <w:iCs/>
          <w:noProof/>
          <w:sz w:val="18"/>
          <w:szCs w:val="18"/>
          <w:lang w:val="es-DO"/>
        </w:rPr>
        <w:t>Fuente: Sistema 9-1-1</w:t>
      </w:r>
    </w:p>
    <w:p w14:paraId="14D22D56" w14:textId="77777777" w:rsidR="00C0123A" w:rsidRPr="00310D52" w:rsidRDefault="00C0123A" w:rsidP="00756335">
      <w:pPr>
        <w:pStyle w:val="Prrafodelista"/>
        <w:numPr>
          <w:ilvl w:val="0"/>
          <w:numId w:val="8"/>
        </w:numPr>
        <w:spacing w:line="360" w:lineRule="auto"/>
        <w:ind w:left="360" w:hanging="360"/>
        <w:jc w:val="both"/>
        <w:rPr>
          <w:rFonts w:eastAsia="Calibri"/>
          <w:b/>
          <w:bCs/>
          <w:noProof/>
          <w:lang w:val="es-DO"/>
        </w:rPr>
      </w:pPr>
      <w:r w:rsidRPr="00310D52">
        <w:rPr>
          <w:rFonts w:eastAsia="Calibri"/>
          <w:b/>
          <w:bCs/>
          <w:noProof/>
          <w:lang w:val="es-DO"/>
        </w:rPr>
        <w:t>Resultados del Monitoreo de la Carta Compromiso</w:t>
      </w:r>
    </w:p>
    <w:p w14:paraId="51390CEB" w14:textId="4231A673" w:rsidR="007A3FF6" w:rsidRPr="00310D52" w:rsidRDefault="00074F31" w:rsidP="00756335">
      <w:pPr>
        <w:spacing w:line="360" w:lineRule="auto"/>
        <w:ind w:left="360"/>
        <w:jc w:val="both"/>
        <w:rPr>
          <w:rFonts w:eastAsia="Calibri"/>
          <w:noProof/>
          <w:lang w:val="es-DO"/>
        </w:rPr>
      </w:pPr>
      <w:r w:rsidRPr="00310D52">
        <w:rPr>
          <w:rFonts w:eastAsia="Calibri"/>
          <w:noProof/>
          <w:lang w:val="es-DO"/>
        </w:rPr>
        <w:t>En la actualidad, la institución avanza en la elaboración de su Carta Compromiso al Ciudadano, habiendo completado el diseño del modelo base y el brochure informativo. Durante el año 2025, se continúa trabajando en el ajuste de los indicadores vinculados a los atributos de calidad y en la elaboración de los anexos, registrándose un avance aproximado del 65% en el desarrollo integral del documento. Una vez finalizado este proceso, la carta será remitida al Ministerio de Administración Pública (MAP) para su revisión y aprobación, garantizando el cumplimiento de los estándares establecidos y fortaleciendo la transparencia y la orientación al ciudadano.</w:t>
      </w:r>
    </w:p>
    <w:p w14:paraId="4DC66230" w14:textId="77777777" w:rsidR="00265A48" w:rsidRPr="00F06D9C" w:rsidRDefault="00265A48" w:rsidP="00756335">
      <w:pPr>
        <w:keepNext/>
        <w:keepLines/>
        <w:numPr>
          <w:ilvl w:val="1"/>
          <w:numId w:val="1"/>
        </w:numPr>
        <w:spacing w:before="240" w:after="0" w:line="360" w:lineRule="auto"/>
        <w:ind w:left="0" w:hanging="450"/>
        <w:jc w:val="both"/>
        <w:outlineLvl w:val="0"/>
        <w:rPr>
          <w:rFonts w:eastAsiaTheme="majorEastAsia"/>
          <w:b/>
          <w:spacing w:val="0"/>
          <w:szCs w:val="28"/>
          <w:lang w:val="es-DO"/>
        </w:rPr>
      </w:pPr>
      <w:bookmarkStart w:id="56" w:name="_Toc184936529"/>
      <w:bookmarkStart w:id="57" w:name="_Toc217050904"/>
      <w:r w:rsidRPr="00F06D9C">
        <w:rPr>
          <w:rFonts w:eastAsiaTheme="majorEastAsia"/>
          <w:b/>
          <w:spacing w:val="0"/>
          <w:szCs w:val="28"/>
          <w:lang w:val="es-DO"/>
        </w:rPr>
        <w:lastRenderedPageBreak/>
        <w:t>Nivel de Cumplimiento a Acceso de Información</w:t>
      </w:r>
      <w:bookmarkEnd w:id="56"/>
      <w:bookmarkEnd w:id="57"/>
    </w:p>
    <w:p w14:paraId="20AD96C1" w14:textId="258AF342" w:rsidR="00265A48" w:rsidRPr="00310D52" w:rsidRDefault="00265A48" w:rsidP="00756335">
      <w:pPr>
        <w:spacing w:line="360" w:lineRule="auto"/>
        <w:jc w:val="both"/>
        <w:rPr>
          <w:rFonts w:eastAsia="Calibri"/>
          <w:noProof/>
          <w:lang w:val="es-DO"/>
        </w:rPr>
      </w:pPr>
      <w:r w:rsidRPr="00310D52">
        <w:rPr>
          <w:rFonts w:eastAsia="Calibri"/>
          <w:noProof/>
          <w:lang w:val="es-DO"/>
        </w:rPr>
        <w:t xml:space="preserve">Durante el </w:t>
      </w:r>
      <w:r w:rsidR="0035673A" w:rsidRPr="00310D52">
        <w:rPr>
          <w:rFonts w:eastAsia="Calibri"/>
          <w:noProof/>
          <w:lang w:val="es-DO"/>
        </w:rPr>
        <w:t>año</w:t>
      </w:r>
      <w:r w:rsidRPr="00310D52">
        <w:rPr>
          <w:rFonts w:eastAsia="Calibri"/>
          <w:noProof/>
          <w:lang w:val="es-DO"/>
        </w:rPr>
        <w:t xml:space="preserve"> 2025, la Oficina de Acceso a la Información (OAI) de la Dirección de Servicios de Atención a Emergencias Extrahospitalarias (DAEH) gestionó 7 solicitudes de información, recibidas mediante correo institucional y SAIP. El 100% fue tramitado sin casos pendientes, cumpliendo los plazos establecidos. Del total, 4 fueron cerradas, 2 transferidas y 1 declinada, sin registrarse incumplimientos que requirieran justificación.</w:t>
      </w:r>
    </w:p>
    <w:p w14:paraId="72156FC8" w14:textId="2A54969C" w:rsidR="00265A48" w:rsidRPr="00310D52" w:rsidRDefault="00265A48" w:rsidP="00756335">
      <w:pPr>
        <w:spacing w:line="360" w:lineRule="auto"/>
        <w:jc w:val="both"/>
        <w:rPr>
          <w:rFonts w:eastAsia="Calibri"/>
          <w:noProof/>
          <w:lang w:val="es-DO"/>
        </w:rPr>
      </w:pPr>
      <w:r w:rsidRPr="00310D52">
        <w:rPr>
          <w:rFonts w:eastAsia="Calibri"/>
          <w:noProof/>
          <w:lang w:val="es-DO"/>
        </w:rPr>
        <w:t xml:space="preserve">Se proyecta que noviembre y diciembre mantendrán la misma tendencia, cerrando el año sin solicitudes pendientes. Como parte de la mejora continua, la OAI implementa acciones orientadas al fortalecimiento del seguimiento en el SAIP y reportes internos de monitoreo. </w:t>
      </w:r>
      <w:r w:rsidR="0043570D" w:rsidRPr="00310D52">
        <w:rPr>
          <w:rFonts w:eastAsia="Calibri"/>
          <w:noProof/>
          <w:lang w:val="es-DO"/>
        </w:rPr>
        <w:t xml:space="preserve">A </w:t>
      </w:r>
      <w:r w:rsidR="008358E8" w:rsidRPr="00310D52">
        <w:rPr>
          <w:rFonts w:eastAsia="Calibri"/>
          <w:noProof/>
          <w:lang w:val="es-DO"/>
        </w:rPr>
        <w:t>continuación</w:t>
      </w:r>
      <w:r w:rsidR="0043570D" w:rsidRPr="00310D52">
        <w:rPr>
          <w:rFonts w:eastAsia="Calibri"/>
          <w:noProof/>
          <w:lang w:val="es-DO"/>
        </w:rPr>
        <w:t xml:space="preserve"> se presentan las e</w:t>
      </w:r>
      <w:r w:rsidRPr="00310D52">
        <w:rPr>
          <w:rFonts w:eastAsia="Calibri"/>
          <w:noProof/>
          <w:lang w:val="es-DO"/>
        </w:rPr>
        <w:t xml:space="preserve">stadísticas de </w:t>
      </w:r>
      <w:r w:rsidR="0043570D" w:rsidRPr="00310D52">
        <w:rPr>
          <w:rFonts w:eastAsia="Calibri"/>
          <w:noProof/>
          <w:lang w:val="es-DO"/>
        </w:rPr>
        <w:t>s</w:t>
      </w:r>
      <w:r w:rsidRPr="00310D52">
        <w:rPr>
          <w:rFonts w:eastAsia="Calibri"/>
          <w:noProof/>
          <w:lang w:val="es-DO"/>
        </w:rPr>
        <w:t xml:space="preserve">olicitudes de </w:t>
      </w:r>
      <w:r w:rsidR="0043570D" w:rsidRPr="00310D52">
        <w:rPr>
          <w:rFonts w:eastAsia="Calibri"/>
          <w:noProof/>
          <w:lang w:val="es-DO"/>
        </w:rPr>
        <w:t>a</w:t>
      </w:r>
      <w:r w:rsidRPr="00310D52">
        <w:rPr>
          <w:rFonts w:eastAsia="Calibri"/>
          <w:noProof/>
          <w:lang w:val="es-DO"/>
        </w:rPr>
        <w:t xml:space="preserve">cceso a la Información Pública </w:t>
      </w:r>
      <w:r w:rsidR="0043570D" w:rsidRPr="00310D52">
        <w:rPr>
          <w:rFonts w:eastAsia="Calibri"/>
          <w:noProof/>
          <w:lang w:val="es-DO"/>
        </w:rPr>
        <w:t>durante el periodo e</w:t>
      </w:r>
      <w:r w:rsidRPr="00310D52">
        <w:rPr>
          <w:rFonts w:eastAsia="Calibri"/>
          <w:noProof/>
          <w:lang w:val="es-DO"/>
        </w:rPr>
        <w:t>nero-octubre 2025</w:t>
      </w:r>
      <w:r w:rsidR="0043570D" w:rsidRPr="00310D52">
        <w:rPr>
          <w:rFonts w:eastAsia="Calibri"/>
          <w:noProof/>
          <w:lang w:val="es-DO"/>
        </w:rPr>
        <w:t>.</w:t>
      </w:r>
    </w:p>
    <w:p w14:paraId="015AA132" w14:textId="424ECC2F" w:rsidR="0043570D" w:rsidRPr="00310D52" w:rsidRDefault="003B2462" w:rsidP="00756335">
      <w:pPr>
        <w:spacing w:before="240" w:line="360" w:lineRule="auto"/>
        <w:jc w:val="both"/>
        <w:rPr>
          <w:rFonts w:eastAsia="Calibri"/>
          <w:noProof/>
          <w:lang w:val="es-DO"/>
        </w:rPr>
      </w:pPr>
      <w:r w:rsidRPr="00310D52">
        <w:rPr>
          <w:rFonts w:eastAsia="Calibri"/>
          <w:noProof/>
          <w:lang w:val="es-DO"/>
        </w:rPr>
        <w:object w:dxaOrig="8862" w:dyaOrig="3983" w14:anchorId="66C12714">
          <v:shape id="_x0000_i1037" type="#_x0000_t75" style="width:409.2pt;height:195.6pt" o:ole="">
            <v:imagedata r:id="rId45" o:title=""/>
          </v:shape>
          <o:OLEObject Type="Embed" ProgID="Excel.Sheet.12" ShapeID="_x0000_i1037" DrawAspect="Content" ObjectID="_1827944969" r:id="rId46"/>
        </w:object>
      </w:r>
    </w:p>
    <w:p w14:paraId="5AAD11A6" w14:textId="4876EC55" w:rsidR="0043570D" w:rsidRPr="00310D52" w:rsidRDefault="0043570D" w:rsidP="00756335">
      <w:pPr>
        <w:spacing w:line="360" w:lineRule="auto"/>
        <w:jc w:val="both"/>
        <w:rPr>
          <w:rFonts w:eastAsia="Calibri"/>
          <w:i/>
          <w:iCs/>
          <w:noProof/>
          <w:sz w:val="18"/>
          <w:szCs w:val="18"/>
          <w:lang w:val="es-DO"/>
        </w:rPr>
      </w:pPr>
      <w:r w:rsidRPr="00310D52">
        <w:rPr>
          <w:rFonts w:eastAsia="Calibri"/>
          <w:i/>
          <w:iCs/>
          <w:noProof/>
          <w:sz w:val="18"/>
          <w:szCs w:val="18"/>
          <w:lang w:val="es-DO"/>
        </w:rPr>
        <w:t>Fuente: Oficina de Libre Acceso a la Información</w:t>
      </w:r>
    </w:p>
    <w:p w14:paraId="6D5F0EE2" w14:textId="77777777" w:rsidR="00BA2A5A" w:rsidRPr="00310D52" w:rsidRDefault="00BA2A5A" w:rsidP="00756335">
      <w:pPr>
        <w:spacing w:line="360" w:lineRule="auto"/>
        <w:jc w:val="both"/>
        <w:rPr>
          <w:rFonts w:eastAsia="Calibri"/>
          <w:noProof/>
          <w:lang w:val="es-DO"/>
        </w:rPr>
      </w:pPr>
    </w:p>
    <w:p w14:paraId="6F13C5C4" w14:textId="77777777" w:rsidR="00BA2A5A" w:rsidRPr="00310D52" w:rsidRDefault="00BA2A5A" w:rsidP="00756335">
      <w:pPr>
        <w:spacing w:line="360" w:lineRule="auto"/>
        <w:jc w:val="both"/>
        <w:rPr>
          <w:rFonts w:eastAsia="Calibri"/>
          <w:noProof/>
          <w:lang w:val="es-DO"/>
        </w:rPr>
      </w:pPr>
    </w:p>
    <w:p w14:paraId="69626DF5" w14:textId="6E18DEF4" w:rsidR="00265A48" w:rsidRPr="00F06D9C" w:rsidRDefault="00BA2A5A" w:rsidP="00756335">
      <w:pPr>
        <w:keepNext/>
        <w:keepLines/>
        <w:numPr>
          <w:ilvl w:val="1"/>
          <w:numId w:val="1"/>
        </w:numPr>
        <w:spacing w:before="240" w:after="0" w:line="360" w:lineRule="auto"/>
        <w:ind w:left="0" w:hanging="450"/>
        <w:jc w:val="both"/>
        <w:outlineLvl w:val="0"/>
        <w:rPr>
          <w:rFonts w:eastAsiaTheme="majorEastAsia"/>
          <w:b/>
          <w:spacing w:val="0"/>
          <w:szCs w:val="28"/>
          <w:lang w:val="es-DO"/>
        </w:rPr>
      </w:pPr>
      <w:bookmarkStart w:id="58" w:name="_Toc217050905"/>
      <w:r w:rsidRPr="00F06D9C">
        <w:rPr>
          <w:rFonts w:eastAsiaTheme="majorEastAsia"/>
          <w:b/>
          <w:spacing w:val="0"/>
          <w:szCs w:val="28"/>
          <w:lang w:val="es-DO"/>
        </w:rPr>
        <w:lastRenderedPageBreak/>
        <w:t>Resultados sistema de quejas, reclamos y sugerencias</w:t>
      </w:r>
      <w:r w:rsidR="00993F0B" w:rsidRPr="00F06D9C">
        <w:rPr>
          <w:rFonts w:eastAsiaTheme="majorEastAsia"/>
          <w:b/>
          <w:spacing w:val="0"/>
          <w:szCs w:val="28"/>
          <w:lang w:val="es-DO"/>
        </w:rPr>
        <w:t xml:space="preserve"> (QRS)</w:t>
      </w:r>
      <w:bookmarkEnd w:id="58"/>
    </w:p>
    <w:p w14:paraId="43EFDD1D" w14:textId="1E8AA181" w:rsidR="00896841" w:rsidRPr="00310D52" w:rsidRDefault="00896841" w:rsidP="00756335">
      <w:pPr>
        <w:spacing w:line="360" w:lineRule="auto"/>
        <w:jc w:val="both"/>
        <w:rPr>
          <w:rFonts w:eastAsia="Calibri"/>
          <w:noProof/>
          <w:lang w:val="es-DO"/>
        </w:rPr>
      </w:pPr>
      <w:r w:rsidRPr="00310D52">
        <w:rPr>
          <w:rFonts w:eastAsia="Calibri"/>
          <w:noProof/>
          <w:lang w:val="es-DO"/>
        </w:rPr>
        <w:t>La DAEH recibe QRS por varias vias: la principal fuente de recepción es el Sistema 3-1-1 gestionado a través de la OAI, otros son referidos del Sistema 9-1-1, de igual forma recibos través de los buzones de sugerencias, redes sociales, medios de comunicación (radio, televisión, periódicos), encuestas de satisfacción, supervisiones, comunicados, entre otros.</w:t>
      </w:r>
    </w:p>
    <w:p w14:paraId="64027EAB" w14:textId="77777777" w:rsidR="00896841" w:rsidRPr="00310D52" w:rsidRDefault="00896841" w:rsidP="00756335">
      <w:pPr>
        <w:spacing w:line="360" w:lineRule="auto"/>
        <w:jc w:val="both"/>
        <w:rPr>
          <w:rFonts w:eastAsia="Calibri"/>
          <w:noProof/>
          <w:lang w:val="es-DO"/>
        </w:rPr>
      </w:pPr>
      <w:r w:rsidRPr="00310D52">
        <w:rPr>
          <w:rFonts w:eastAsia="Calibri"/>
          <w:noProof/>
          <w:lang w:val="es-DO"/>
        </w:rPr>
        <w:t xml:space="preserve">Nuestra dirección cumplió con el 100% de las solicitudes de información recibidas, garantizando que todas fueran respondidas dentro de los plazos establecidos por la Ley Núm. 200-04 de Libre Acceso a la Información Pública. </w:t>
      </w:r>
    </w:p>
    <w:p w14:paraId="0DBF9576" w14:textId="235CEADA" w:rsidR="00BA2A5A" w:rsidRPr="00310D52" w:rsidRDefault="00896841" w:rsidP="00756335">
      <w:pPr>
        <w:spacing w:line="360" w:lineRule="auto"/>
        <w:jc w:val="both"/>
        <w:rPr>
          <w:rFonts w:eastAsia="Calibri"/>
          <w:noProof/>
          <w:lang w:val="es-DO"/>
        </w:rPr>
      </w:pPr>
      <w:r w:rsidRPr="00310D52">
        <w:rPr>
          <w:rFonts w:eastAsia="Calibri"/>
          <w:noProof/>
          <w:lang w:val="es-DO"/>
        </w:rPr>
        <w:t>En este periodo, se recibieron 203 QRS de las cuales todas han sido respondidas en los plazos establecidos.</w:t>
      </w:r>
    </w:p>
    <w:p w14:paraId="3EB525FF" w14:textId="61036A08" w:rsidR="00896841" w:rsidRPr="00310D52" w:rsidRDefault="00996181" w:rsidP="00756335">
      <w:pPr>
        <w:spacing w:after="0" w:line="360" w:lineRule="auto"/>
        <w:jc w:val="both"/>
        <w:rPr>
          <w:rFonts w:eastAsia="Calibri"/>
          <w:noProof/>
          <w:lang w:val="es-DO"/>
        </w:rPr>
      </w:pPr>
      <w:r w:rsidRPr="00310D52">
        <w:rPr>
          <w:rFonts w:eastAsia="Calibri"/>
          <w:noProof/>
          <w:lang w:val="es-DO"/>
        </w:rPr>
        <w:object w:dxaOrig="8057" w:dyaOrig="3256" w14:anchorId="7494AC42">
          <v:shape id="_x0000_i1038" type="#_x0000_t75" style="width:355.2pt;height:135.6pt" o:ole="">
            <v:imagedata r:id="rId47" o:title=""/>
          </v:shape>
          <o:OLEObject Type="Embed" ProgID="Excel.Sheet.12" ShapeID="_x0000_i1038" DrawAspect="Content" ObjectID="_1827944970" r:id="rId48"/>
        </w:object>
      </w:r>
    </w:p>
    <w:p w14:paraId="0AFFC1A6" w14:textId="2691B40D" w:rsidR="0043570D" w:rsidRPr="00310D52" w:rsidRDefault="003B2462" w:rsidP="00756335">
      <w:pPr>
        <w:spacing w:line="360" w:lineRule="auto"/>
        <w:jc w:val="both"/>
        <w:rPr>
          <w:rFonts w:eastAsia="Calibri"/>
          <w:i/>
          <w:iCs/>
          <w:noProof/>
          <w:lang w:val="es-DO"/>
        </w:rPr>
      </w:pPr>
      <w:r w:rsidRPr="00310D52">
        <w:rPr>
          <w:rFonts w:eastAsia="Calibri"/>
          <w:i/>
          <w:iCs/>
          <w:noProof/>
          <w:sz w:val="18"/>
          <w:szCs w:val="18"/>
          <w:lang w:val="es-DO"/>
        </w:rPr>
        <w:t>Fuente: Oficina de Libre Acceso a la Información</w:t>
      </w:r>
    </w:p>
    <w:p w14:paraId="13CBA869" w14:textId="6404CFE7" w:rsidR="003B2462" w:rsidRPr="00F06D9C" w:rsidRDefault="003B2462" w:rsidP="00756335">
      <w:pPr>
        <w:keepNext/>
        <w:keepLines/>
        <w:numPr>
          <w:ilvl w:val="1"/>
          <w:numId w:val="1"/>
        </w:numPr>
        <w:spacing w:before="240" w:after="0" w:line="360" w:lineRule="auto"/>
        <w:ind w:left="0" w:hanging="450"/>
        <w:jc w:val="both"/>
        <w:outlineLvl w:val="0"/>
        <w:rPr>
          <w:rFonts w:eastAsiaTheme="majorEastAsia"/>
          <w:b/>
          <w:spacing w:val="0"/>
          <w:szCs w:val="28"/>
          <w:lang w:val="es-DO"/>
        </w:rPr>
      </w:pPr>
      <w:bookmarkStart w:id="59" w:name="_Toc217050906"/>
      <w:r w:rsidRPr="00F06D9C">
        <w:rPr>
          <w:rFonts w:eastAsiaTheme="majorEastAsia"/>
          <w:b/>
          <w:spacing w:val="0"/>
          <w:szCs w:val="28"/>
          <w:lang w:val="es-DO"/>
        </w:rPr>
        <w:t>Resultados mediciones del portal de transparencia</w:t>
      </w:r>
      <w:bookmarkEnd w:id="59"/>
    </w:p>
    <w:p w14:paraId="4E6C9ACD" w14:textId="0BE38A4D" w:rsidR="003B2462" w:rsidRPr="00310D52" w:rsidRDefault="003B2462" w:rsidP="00756335">
      <w:pPr>
        <w:spacing w:line="360" w:lineRule="auto"/>
        <w:jc w:val="both"/>
        <w:rPr>
          <w:rFonts w:eastAsia="Calibri"/>
          <w:noProof/>
          <w:lang w:val="es-DO"/>
        </w:rPr>
      </w:pPr>
      <w:r w:rsidRPr="00310D52">
        <w:rPr>
          <w:rFonts w:eastAsia="Calibri"/>
          <w:noProof/>
          <w:lang w:val="es-DO"/>
        </w:rPr>
        <w:t>Durante el 2025, las mediciones del portal de transparencia reflejaron un promedio general de cumplimiento de 98.34%, con calificaciones mensuales que se mantuvieron consistentemente por encima del 95%. Este desempeño permitió obtener un reconocimiento institucional por parte de la Dirección General de ética e Integridad Gubernamental (DIGEIG) por el alto nivel de cumplimiento de la Ley 200-04 y la calidad de la información publicada en el portal.</w:t>
      </w:r>
    </w:p>
    <w:p w14:paraId="2D4FFBD0" w14:textId="77777777" w:rsidR="00896841" w:rsidRPr="00310D52" w:rsidRDefault="00896841" w:rsidP="00756335">
      <w:pPr>
        <w:spacing w:line="360" w:lineRule="auto"/>
        <w:jc w:val="both"/>
        <w:rPr>
          <w:rFonts w:eastAsia="Calibri"/>
          <w:noProof/>
          <w:lang w:val="es-DO"/>
        </w:rPr>
      </w:pPr>
    </w:p>
    <w:p w14:paraId="30636688" w14:textId="02B67916" w:rsidR="003B2462" w:rsidRPr="00310D52" w:rsidRDefault="003B2462" w:rsidP="00756335">
      <w:pPr>
        <w:spacing w:line="360" w:lineRule="auto"/>
        <w:jc w:val="both"/>
        <w:rPr>
          <w:rFonts w:eastAsia="Calibri"/>
          <w:noProof/>
          <w:lang w:val="es-DO"/>
        </w:rPr>
      </w:pPr>
      <w:r w:rsidRPr="00310D52">
        <w:rPr>
          <w:rFonts w:eastAsia="Calibri"/>
          <w:noProof/>
          <w:lang w:val="es-DO"/>
        </w:rPr>
        <w:t xml:space="preserve">Con base en la estabilidad registrada durante los primeros nueve meses del año y en el comportamiento histórico de la institución, se proyecta que para octubre, noviembre y diciembre la calificación del Portal de Transparencia se mantenga dentro del rango observado, con resultados estimados entre 98% y 99%. </w:t>
      </w:r>
    </w:p>
    <w:p w14:paraId="5BADA7F3" w14:textId="70613024" w:rsidR="003B2462" w:rsidRPr="00310D52" w:rsidRDefault="003B2462" w:rsidP="00756335">
      <w:pPr>
        <w:spacing w:line="360" w:lineRule="auto"/>
        <w:jc w:val="both"/>
        <w:rPr>
          <w:rFonts w:eastAsia="Calibri"/>
          <w:noProof/>
          <w:lang w:val="es-DO"/>
        </w:rPr>
      </w:pPr>
      <w:r w:rsidRPr="00310D52">
        <w:rPr>
          <w:rFonts w:eastAsia="Calibri"/>
          <w:noProof/>
          <w:lang w:val="es-DO"/>
        </w:rPr>
        <w:t>Como parte de las acciones de mejora, se prioriza el fortalecimiento del control interno sobre los plazos de actualización, capacitar al personal responsable sobre los lineamientos de la Ley 200-04 y optimizar la coordinación interdepartamental.</w:t>
      </w:r>
    </w:p>
    <w:p w14:paraId="6F30C1E8" w14:textId="31937266" w:rsidR="003B2462" w:rsidRPr="00310D52" w:rsidRDefault="003B2462" w:rsidP="00756335">
      <w:pPr>
        <w:spacing w:line="360" w:lineRule="auto"/>
        <w:jc w:val="both"/>
        <w:rPr>
          <w:rFonts w:eastAsia="Calibri"/>
          <w:noProof/>
          <w:lang w:val="es-DO"/>
        </w:rPr>
      </w:pPr>
      <w:r w:rsidRPr="00310D52">
        <w:rPr>
          <w:rFonts w:eastAsia="Calibri"/>
          <w:noProof/>
          <w:lang w:val="es-DO"/>
        </w:rPr>
        <w:t>La calificación por cumplimiento portal de pransparencia por mes en este 2025 fue la siguiente:</w:t>
      </w:r>
    </w:p>
    <w:tbl>
      <w:tblPr>
        <w:tblW w:w="5507" w:type="dxa"/>
        <w:tblInd w:w="80" w:type="dxa"/>
        <w:tblLook w:val="04A0" w:firstRow="1" w:lastRow="0" w:firstColumn="1" w:lastColumn="0" w:noHBand="0" w:noVBand="1"/>
      </w:tblPr>
      <w:tblGrid>
        <w:gridCol w:w="2877"/>
        <w:gridCol w:w="2630"/>
      </w:tblGrid>
      <w:tr w:rsidR="00310D52" w:rsidRPr="00310D52" w14:paraId="2605028D" w14:textId="77777777" w:rsidTr="00B33830">
        <w:trPr>
          <w:trHeight w:val="400"/>
        </w:trPr>
        <w:tc>
          <w:tcPr>
            <w:tcW w:w="2877" w:type="dxa"/>
            <w:tcBorders>
              <w:top w:val="single" w:sz="8" w:space="0" w:color="auto"/>
              <w:left w:val="single" w:sz="8" w:space="0" w:color="auto"/>
              <w:bottom w:val="nil"/>
              <w:right w:val="single" w:sz="4" w:space="0" w:color="auto"/>
            </w:tcBorders>
            <w:shd w:val="clear" w:color="auto" w:fill="011C50"/>
            <w:vAlign w:val="center"/>
            <w:hideMark/>
          </w:tcPr>
          <w:p w14:paraId="4267DB47" w14:textId="77777777" w:rsidR="003B2462" w:rsidRPr="00D0435C" w:rsidRDefault="003B2462" w:rsidP="00756335">
            <w:pPr>
              <w:spacing w:after="0" w:line="360" w:lineRule="auto"/>
              <w:jc w:val="center"/>
              <w:rPr>
                <w:rFonts w:eastAsia="Times New Roman"/>
                <w:b/>
                <w:bCs/>
                <w:color w:val="FFFFFF" w:themeColor="background1"/>
                <w:spacing w:val="0"/>
                <w:lang w:val="es-DO"/>
              </w:rPr>
            </w:pPr>
            <w:r w:rsidRPr="00D0435C">
              <w:rPr>
                <w:rFonts w:eastAsia="Times New Roman"/>
                <w:b/>
                <w:bCs/>
                <w:color w:val="FFFFFF" w:themeColor="background1"/>
                <w:spacing w:val="0"/>
                <w:lang w:val="es-DO"/>
              </w:rPr>
              <w:t>Periodo evaluado</w:t>
            </w:r>
          </w:p>
        </w:tc>
        <w:tc>
          <w:tcPr>
            <w:tcW w:w="2630" w:type="dxa"/>
            <w:tcBorders>
              <w:top w:val="single" w:sz="8" w:space="0" w:color="auto"/>
              <w:left w:val="nil"/>
              <w:bottom w:val="nil"/>
              <w:right w:val="single" w:sz="4" w:space="0" w:color="auto"/>
            </w:tcBorders>
            <w:shd w:val="clear" w:color="auto" w:fill="011C50"/>
            <w:vAlign w:val="center"/>
            <w:hideMark/>
          </w:tcPr>
          <w:p w14:paraId="2554170D" w14:textId="77777777" w:rsidR="003B2462" w:rsidRPr="00D0435C" w:rsidRDefault="003B2462" w:rsidP="00756335">
            <w:pPr>
              <w:spacing w:after="0" w:line="360" w:lineRule="auto"/>
              <w:jc w:val="center"/>
              <w:rPr>
                <w:rFonts w:eastAsia="Times New Roman"/>
                <w:b/>
                <w:bCs/>
                <w:color w:val="FFFFFF" w:themeColor="background1"/>
                <w:spacing w:val="0"/>
                <w:lang w:val="es-DO"/>
              </w:rPr>
            </w:pPr>
            <w:r w:rsidRPr="00D0435C">
              <w:rPr>
                <w:rFonts w:eastAsia="Times New Roman"/>
                <w:b/>
                <w:bCs/>
                <w:color w:val="FFFFFF" w:themeColor="background1"/>
                <w:spacing w:val="0"/>
                <w:lang w:val="es-DO"/>
              </w:rPr>
              <w:t>Calificación obtenida</w:t>
            </w:r>
          </w:p>
        </w:tc>
      </w:tr>
      <w:tr w:rsidR="00310D52" w:rsidRPr="00310D52" w14:paraId="199CBD40" w14:textId="77777777" w:rsidTr="00B33830">
        <w:trPr>
          <w:trHeight w:val="400"/>
        </w:trPr>
        <w:tc>
          <w:tcPr>
            <w:tcW w:w="2877" w:type="dxa"/>
            <w:tcBorders>
              <w:top w:val="nil"/>
              <w:left w:val="single" w:sz="8" w:space="0" w:color="auto"/>
              <w:bottom w:val="single" w:sz="4" w:space="0" w:color="auto"/>
              <w:right w:val="single" w:sz="4" w:space="0" w:color="auto"/>
            </w:tcBorders>
            <w:hideMark/>
          </w:tcPr>
          <w:p w14:paraId="293F90DF"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Enero</w:t>
            </w:r>
          </w:p>
        </w:tc>
        <w:tc>
          <w:tcPr>
            <w:tcW w:w="2630" w:type="dxa"/>
            <w:tcBorders>
              <w:top w:val="nil"/>
              <w:left w:val="nil"/>
              <w:bottom w:val="single" w:sz="4" w:space="0" w:color="auto"/>
              <w:right w:val="single" w:sz="4" w:space="0" w:color="auto"/>
            </w:tcBorders>
          </w:tcPr>
          <w:p w14:paraId="06A596F4"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98.63%</w:t>
            </w:r>
          </w:p>
        </w:tc>
      </w:tr>
      <w:tr w:rsidR="00310D52" w:rsidRPr="00310D52" w14:paraId="5E3E1901" w14:textId="77777777" w:rsidTr="00B33830">
        <w:trPr>
          <w:trHeight w:val="400"/>
        </w:trPr>
        <w:tc>
          <w:tcPr>
            <w:tcW w:w="2877" w:type="dxa"/>
            <w:tcBorders>
              <w:top w:val="nil"/>
              <w:left w:val="single" w:sz="8" w:space="0" w:color="auto"/>
              <w:bottom w:val="single" w:sz="4" w:space="0" w:color="auto"/>
              <w:right w:val="single" w:sz="4" w:space="0" w:color="auto"/>
            </w:tcBorders>
            <w:hideMark/>
          </w:tcPr>
          <w:p w14:paraId="2D14F2FA"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Febrero</w:t>
            </w:r>
          </w:p>
        </w:tc>
        <w:tc>
          <w:tcPr>
            <w:tcW w:w="2630" w:type="dxa"/>
            <w:tcBorders>
              <w:top w:val="nil"/>
              <w:left w:val="nil"/>
              <w:bottom w:val="single" w:sz="4" w:space="0" w:color="auto"/>
              <w:right w:val="single" w:sz="4" w:space="0" w:color="auto"/>
            </w:tcBorders>
          </w:tcPr>
          <w:p w14:paraId="17BA398A"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95.51%</w:t>
            </w:r>
          </w:p>
        </w:tc>
      </w:tr>
      <w:tr w:rsidR="00310D52" w:rsidRPr="00310D52" w14:paraId="0B2B9324" w14:textId="77777777" w:rsidTr="00B33830">
        <w:trPr>
          <w:trHeight w:val="400"/>
        </w:trPr>
        <w:tc>
          <w:tcPr>
            <w:tcW w:w="2877" w:type="dxa"/>
            <w:tcBorders>
              <w:top w:val="nil"/>
              <w:left w:val="single" w:sz="8" w:space="0" w:color="auto"/>
              <w:bottom w:val="single" w:sz="4" w:space="0" w:color="auto"/>
              <w:right w:val="single" w:sz="4" w:space="0" w:color="auto"/>
            </w:tcBorders>
            <w:hideMark/>
          </w:tcPr>
          <w:p w14:paraId="0F522C35"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Marzo</w:t>
            </w:r>
          </w:p>
        </w:tc>
        <w:tc>
          <w:tcPr>
            <w:tcW w:w="2630" w:type="dxa"/>
            <w:tcBorders>
              <w:top w:val="nil"/>
              <w:left w:val="nil"/>
              <w:bottom w:val="single" w:sz="4" w:space="0" w:color="auto"/>
              <w:right w:val="single" w:sz="4" w:space="0" w:color="auto"/>
            </w:tcBorders>
          </w:tcPr>
          <w:p w14:paraId="5E76B5DC"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99.17%</w:t>
            </w:r>
          </w:p>
        </w:tc>
      </w:tr>
      <w:tr w:rsidR="00310D52" w:rsidRPr="00310D52" w14:paraId="43E6026C" w14:textId="77777777" w:rsidTr="00B33830">
        <w:trPr>
          <w:trHeight w:val="400"/>
        </w:trPr>
        <w:tc>
          <w:tcPr>
            <w:tcW w:w="2877" w:type="dxa"/>
            <w:tcBorders>
              <w:top w:val="nil"/>
              <w:left w:val="single" w:sz="8" w:space="0" w:color="auto"/>
              <w:bottom w:val="single" w:sz="4" w:space="0" w:color="auto"/>
              <w:right w:val="single" w:sz="4" w:space="0" w:color="auto"/>
            </w:tcBorders>
            <w:hideMark/>
          </w:tcPr>
          <w:p w14:paraId="21B873DE"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Abril</w:t>
            </w:r>
          </w:p>
        </w:tc>
        <w:tc>
          <w:tcPr>
            <w:tcW w:w="2630" w:type="dxa"/>
            <w:tcBorders>
              <w:top w:val="nil"/>
              <w:left w:val="nil"/>
              <w:bottom w:val="single" w:sz="4" w:space="0" w:color="auto"/>
              <w:right w:val="single" w:sz="4" w:space="0" w:color="auto"/>
            </w:tcBorders>
          </w:tcPr>
          <w:p w14:paraId="3C41D06F"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98.80%</w:t>
            </w:r>
          </w:p>
        </w:tc>
      </w:tr>
      <w:tr w:rsidR="00310D52" w:rsidRPr="00310D52" w14:paraId="35098E10" w14:textId="77777777" w:rsidTr="00B33830">
        <w:trPr>
          <w:trHeight w:val="400"/>
        </w:trPr>
        <w:tc>
          <w:tcPr>
            <w:tcW w:w="2877" w:type="dxa"/>
            <w:tcBorders>
              <w:top w:val="nil"/>
              <w:left w:val="single" w:sz="8" w:space="0" w:color="auto"/>
              <w:bottom w:val="single" w:sz="4" w:space="0" w:color="auto"/>
              <w:right w:val="single" w:sz="4" w:space="0" w:color="auto"/>
            </w:tcBorders>
          </w:tcPr>
          <w:p w14:paraId="69F7C9BD"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Mayo</w:t>
            </w:r>
          </w:p>
        </w:tc>
        <w:tc>
          <w:tcPr>
            <w:tcW w:w="2630" w:type="dxa"/>
            <w:tcBorders>
              <w:top w:val="nil"/>
              <w:left w:val="nil"/>
              <w:bottom w:val="single" w:sz="4" w:space="0" w:color="auto"/>
              <w:right w:val="single" w:sz="4" w:space="0" w:color="auto"/>
            </w:tcBorders>
          </w:tcPr>
          <w:p w14:paraId="62035610"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97.72%</w:t>
            </w:r>
          </w:p>
        </w:tc>
      </w:tr>
      <w:tr w:rsidR="00310D52" w:rsidRPr="00310D52" w14:paraId="0074C446" w14:textId="77777777" w:rsidTr="00B33830">
        <w:trPr>
          <w:trHeight w:val="400"/>
        </w:trPr>
        <w:tc>
          <w:tcPr>
            <w:tcW w:w="2877" w:type="dxa"/>
            <w:tcBorders>
              <w:top w:val="nil"/>
              <w:left w:val="single" w:sz="8" w:space="0" w:color="auto"/>
              <w:bottom w:val="single" w:sz="4" w:space="0" w:color="auto"/>
              <w:right w:val="single" w:sz="4" w:space="0" w:color="auto"/>
            </w:tcBorders>
          </w:tcPr>
          <w:p w14:paraId="4A9BC504"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Junio</w:t>
            </w:r>
          </w:p>
        </w:tc>
        <w:tc>
          <w:tcPr>
            <w:tcW w:w="2630" w:type="dxa"/>
            <w:tcBorders>
              <w:top w:val="nil"/>
              <w:left w:val="nil"/>
              <w:bottom w:val="single" w:sz="4" w:space="0" w:color="auto"/>
              <w:right w:val="single" w:sz="4" w:space="0" w:color="auto"/>
            </w:tcBorders>
          </w:tcPr>
          <w:p w14:paraId="54E2160D"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97.68%</w:t>
            </w:r>
          </w:p>
        </w:tc>
      </w:tr>
      <w:tr w:rsidR="00310D52" w:rsidRPr="00310D52" w14:paraId="365B6AE2" w14:textId="77777777" w:rsidTr="00B33830">
        <w:trPr>
          <w:trHeight w:val="400"/>
        </w:trPr>
        <w:tc>
          <w:tcPr>
            <w:tcW w:w="2877" w:type="dxa"/>
            <w:tcBorders>
              <w:top w:val="nil"/>
              <w:left w:val="single" w:sz="8" w:space="0" w:color="auto"/>
              <w:bottom w:val="single" w:sz="4" w:space="0" w:color="auto"/>
              <w:right w:val="single" w:sz="4" w:space="0" w:color="auto"/>
            </w:tcBorders>
          </w:tcPr>
          <w:p w14:paraId="1A9A52DA"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Julio</w:t>
            </w:r>
          </w:p>
        </w:tc>
        <w:tc>
          <w:tcPr>
            <w:tcW w:w="2630" w:type="dxa"/>
            <w:tcBorders>
              <w:top w:val="nil"/>
              <w:left w:val="nil"/>
              <w:bottom w:val="single" w:sz="4" w:space="0" w:color="auto"/>
              <w:right w:val="single" w:sz="4" w:space="0" w:color="auto"/>
            </w:tcBorders>
          </w:tcPr>
          <w:p w14:paraId="2D692920"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99.24%</w:t>
            </w:r>
          </w:p>
        </w:tc>
      </w:tr>
      <w:tr w:rsidR="00310D52" w:rsidRPr="00310D52" w14:paraId="70144A64" w14:textId="77777777" w:rsidTr="00B33830">
        <w:trPr>
          <w:trHeight w:val="400"/>
        </w:trPr>
        <w:tc>
          <w:tcPr>
            <w:tcW w:w="2877" w:type="dxa"/>
            <w:tcBorders>
              <w:top w:val="nil"/>
              <w:left w:val="single" w:sz="8" w:space="0" w:color="auto"/>
              <w:bottom w:val="single" w:sz="4" w:space="0" w:color="auto"/>
              <w:right w:val="single" w:sz="4" w:space="0" w:color="auto"/>
            </w:tcBorders>
          </w:tcPr>
          <w:p w14:paraId="6C202F69"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Agosto</w:t>
            </w:r>
          </w:p>
        </w:tc>
        <w:tc>
          <w:tcPr>
            <w:tcW w:w="2630" w:type="dxa"/>
            <w:tcBorders>
              <w:top w:val="nil"/>
              <w:left w:val="nil"/>
              <w:bottom w:val="single" w:sz="4" w:space="0" w:color="auto"/>
              <w:right w:val="single" w:sz="4" w:space="0" w:color="auto"/>
            </w:tcBorders>
          </w:tcPr>
          <w:p w14:paraId="29C7C66F"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99.42%</w:t>
            </w:r>
          </w:p>
        </w:tc>
      </w:tr>
      <w:tr w:rsidR="00310D52" w:rsidRPr="00310D52" w14:paraId="7BC3082F" w14:textId="77777777" w:rsidTr="00B33830">
        <w:trPr>
          <w:trHeight w:val="400"/>
        </w:trPr>
        <w:tc>
          <w:tcPr>
            <w:tcW w:w="2877" w:type="dxa"/>
            <w:tcBorders>
              <w:top w:val="nil"/>
              <w:left w:val="single" w:sz="8" w:space="0" w:color="auto"/>
              <w:bottom w:val="single" w:sz="4" w:space="0" w:color="auto"/>
              <w:right w:val="single" w:sz="4" w:space="0" w:color="auto"/>
            </w:tcBorders>
          </w:tcPr>
          <w:p w14:paraId="5576D5C3" w14:textId="77777777"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Septiembre</w:t>
            </w:r>
          </w:p>
        </w:tc>
        <w:tc>
          <w:tcPr>
            <w:tcW w:w="2630" w:type="dxa"/>
            <w:tcBorders>
              <w:top w:val="nil"/>
              <w:left w:val="nil"/>
              <w:bottom w:val="single" w:sz="4" w:space="0" w:color="auto"/>
              <w:right w:val="single" w:sz="4" w:space="0" w:color="auto"/>
            </w:tcBorders>
          </w:tcPr>
          <w:p w14:paraId="4AF3885C" w14:textId="77777777" w:rsidR="003B2462" w:rsidRPr="00310D52" w:rsidRDefault="003B2462" w:rsidP="00756335">
            <w:pPr>
              <w:spacing w:after="0" w:line="360" w:lineRule="auto"/>
              <w:jc w:val="center"/>
              <w:rPr>
                <w:rFonts w:eastAsia="Times New Roman"/>
                <w:spacing w:val="0"/>
                <w:lang w:val="es-DO"/>
              </w:rPr>
            </w:pPr>
            <w:r w:rsidRPr="00310D52">
              <w:rPr>
                <w:rFonts w:eastAsia="Times New Roman"/>
                <w:spacing w:val="0"/>
                <w:lang w:val="es-DO"/>
              </w:rPr>
              <w:t>98.91%</w:t>
            </w:r>
          </w:p>
        </w:tc>
      </w:tr>
      <w:tr w:rsidR="00310D52" w:rsidRPr="00310D52" w14:paraId="06CBD378" w14:textId="77777777" w:rsidTr="00B33830">
        <w:trPr>
          <w:trHeight w:val="400"/>
        </w:trPr>
        <w:tc>
          <w:tcPr>
            <w:tcW w:w="2877" w:type="dxa"/>
            <w:tcBorders>
              <w:top w:val="nil"/>
              <w:left w:val="single" w:sz="8" w:space="0" w:color="auto"/>
              <w:bottom w:val="single" w:sz="4" w:space="0" w:color="auto"/>
              <w:right w:val="single" w:sz="4" w:space="0" w:color="auto"/>
            </w:tcBorders>
          </w:tcPr>
          <w:p w14:paraId="041E0051" w14:textId="3E47BE88" w:rsidR="003B2462" w:rsidRPr="00310D52" w:rsidRDefault="003B2462" w:rsidP="00756335">
            <w:pPr>
              <w:spacing w:after="0" w:line="360" w:lineRule="auto"/>
              <w:jc w:val="both"/>
              <w:rPr>
                <w:rFonts w:eastAsia="Times New Roman"/>
                <w:spacing w:val="0"/>
                <w:lang w:val="es-DO"/>
              </w:rPr>
            </w:pPr>
            <w:r w:rsidRPr="00310D52">
              <w:rPr>
                <w:rFonts w:eastAsia="Times New Roman"/>
                <w:spacing w:val="0"/>
                <w:lang w:val="es-DO"/>
              </w:rPr>
              <w:t>Octubre</w:t>
            </w:r>
          </w:p>
        </w:tc>
        <w:tc>
          <w:tcPr>
            <w:tcW w:w="2630" w:type="dxa"/>
            <w:tcBorders>
              <w:top w:val="nil"/>
              <w:left w:val="nil"/>
              <w:bottom w:val="single" w:sz="4" w:space="0" w:color="auto"/>
              <w:right w:val="single" w:sz="4" w:space="0" w:color="auto"/>
            </w:tcBorders>
            <w:vAlign w:val="center"/>
          </w:tcPr>
          <w:p w14:paraId="0DFEE60A" w14:textId="143E8A2E" w:rsidR="003B2462" w:rsidRPr="00310D52" w:rsidRDefault="002E0ED0" w:rsidP="00756335">
            <w:pPr>
              <w:spacing w:after="0" w:line="360" w:lineRule="auto"/>
              <w:jc w:val="center"/>
              <w:rPr>
                <w:rFonts w:eastAsia="Times New Roman"/>
                <w:spacing w:val="0"/>
                <w:lang w:val="es-DO"/>
              </w:rPr>
            </w:pPr>
            <w:r w:rsidRPr="00310D52">
              <w:rPr>
                <w:rFonts w:eastAsia="Times New Roman"/>
                <w:spacing w:val="0"/>
                <w:lang w:val="es-DO"/>
              </w:rPr>
              <w:t>99.79%</w:t>
            </w:r>
          </w:p>
        </w:tc>
      </w:tr>
      <w:tr w:rsidR="00310D52" w:rsidRPr="00310D52" w14:paraId="4922A2D3" w14:textId="77777777" w:rsidTr="00B33830">
        <w:trPr>
          <w:trHeight w:val="400"/>
        </w:trPr>
        <w:tc>
          <w:tcPr>
            <w:tcW w:w="2877" w:type="dxa"/>
            <w:tcBorders>
              <w:top w:val="nil"/>
              <w:left w:val="single" w:sz="8" w:space="0" w:color="auto"/>
              <w:bottom w:val="single" w:sz="4" w:space="0" w:color="auto"/>
              <w:right w:val="single" w:sz="4" w:space="0" w:color="auto"/>
            </w:tcBorders>
            <w:shd w:val="clear" w:color="auto" w:fill="011C50"/>
            <w:vAlign w:val="center"/>
            <w:hideMark/>
          </w:tcPr>
          <w:p w14:paraId="547C6128" w14:textId="77777777" w:rsidR="003B2462" w:rsidRPr="00D0435C" w:rsidRDefault="003B2462" w:rsidP="00756335">
            <w:pPr>
              <w:spacing w:after="0" w:line="360" w:lineRule="auto"/>
              <w:jc w:val="center"/>
              <w:rPr>
                <w:rFonts w:eastAsia="Times New Roman"/>
                <w:b/>
                <w:bCs/>
                <w:color w:val="FFFFFF" w:themeColor="background1"/>
                <w:spacing w:val="0"/>
                <w:lang w:val="es-DO"/>
              </w:rPr>
            </w:pPr>
            <w:r w:rsidRPr="00D0435C">
              <w:rPr>
                <w:rFonts w:eastAsia="Times New Roman"/>
                <w:b/>
                <w:bCs/>
                <w:color w:val="FFFFFF" w:themeColor="background1"/>
                <w:spacing w:val="0"/>
                <w:lang w:val="es-DO"/>
              </w:rPr>
              <w:t>Promedio General</w:t>
            </w:r>
          </w:p>
        </w:tc>
        <w:tc>
          <w:tcPr>
            <w:tcW w:w="2630"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42A82F12" w14:textId="5BE65212" w:rsidR="003B2462" w:rsidRPr="00D0435C" w:rsidRDefault="002E0ED0" w:rsidP="00756335">
            <w:pPr>
              <w:spacing w:after="0" w:line="360" w:lineRule="auto"/>
              <w:jc w:val="center"/>
              <w:rPr>
                <w:rFonts w:eastAsia="Times New Roman"/>
                <w:b/>
                <w:bCs/>
                <w:color w:val="FFFFFF" w:themeColor="background1"/>
                <w:spacing w:val="0"/>
                <w:lang w:val="es-DO"/>
              </w:rPr>
            </w:pPr>
            <w:r w:rsidRPr="00D0435C">
              <w:rPr>
                <w:rFonts w:eastAsia="Times New Roman"/>
                <w:b/>
                <w:bCs/>
                <w:color w:val="FFFFFF" w:themeColor="background1"/>
                <w:spacing w:val="0"/>
                <w:lang w:val="es-DO"/>
              </w:rPr>
              <w:t>98.49</w:t>
            </w:r>
            <w:r w:rsidR="003B2462" w:rsidRPr="00D0435C">
              <w:rPr>
                <w:rFonts w:eastAsia="Times New Roman"/>
                <w:b/>
                <w:bCs/>
                <w:color w:val="FFFFFF" w:themeColor="background1"/>
                <w:spacing w:val="0"/>
                <w:lang w:val="es-DO"/>
              </w:rPr>
              <w:t>%</w:t>
            </w:r>
          </w:p>
        </w:tc>
      </w:tr>
    </w:tbl>
    <w:p w14:paraId="6C645186" w14:textId="1D0445B6" w:rsidR="003B2462" w:rsidRPr="00310D52" w:rsidRDefault="003B2462" w:rsidP="00756335">
      <w:pPr>
        <w:spacing w:line="360" w:lineRule="auto"/>
        <w:jc w:val="both"/>
        <w:rPr>
          <w:rFonts w:eastAsia="Calibri"/>
          <w:i/>
          <w:iCs/>
          <w:noProof/>
          <w:sz w:val="18"/>
          <w:szCs w:val="18"/>
          <w:lang w:val="es-DO"/>
        </w:rPr>
      </w:pPr>
      <w:r w:rsidRPr="00310D52">
        <w:rPr>
          <w:rFonts w:eastAsia="Calibri"/>
          <w:i/>
          <w:iCs/>
          <w:noProof/>
          <w:sz w:val="20"/>
          <w:szCs w:val="20"/>
          <w:lang w:val="es-DO"/>
        </w:rPr>
        <w:t>Fuente: Oficina de Libre Acceso a la Información</w:t>
      </w:r>
    </w:p>
    <w:p w14:paraId="7827010A" w14:textId="77777777" w:rsidR="003B2462" w:rsidRPr="00310D52" w:rsidRDefault="003B2462" w:rsidP="003B2462">
      <w:pPr>
        <w:spacing w:line="360" w:lineRule="auto"/>
        <w:jc w:val="both"/>
        <w:rPr>
          <w:rFonts w:eastAsia="Calibri"/>
          <w:noProof/>
          <w:lang w:val="es-DO"/>
        </w:rPr>
      </w:pPr>
    </w:p>
    <w:p w14:paraId="74E47913" w14:textId="77777777" w:rsidR="003B2462" w:rsidRPr="00310D52" w:rsidRDefault="003B2462" w:rsidP="003B2462">
      <w:pPr>
        <w:spacing w:line="360" w:lineRule="auto"/>
        <w:jc w:val="both"/>
        <w:rPr>
          <w:rFonts w:eastAsia="Calibri"/>
          <w:noProof/>
          <w:lang w:val="es-DO"/>
        </w:rPr>
      </w:pPr>
    </w:p>
    <w:p w14:paraId="7F0A0919" w14:textId="77777777" w:rsidR="0043570D" w:rsidRPr="00310D52" w:rsidRDefault="0043570D" w:rsidP="00265A48">
      <w:pPr>
        <w:spacing w:line="360" w:lineRule="auto"/>
        <w:jc w:val="both"/>
        <w:rPr>
          <w:rFonts w:eastAsia="Calibri"/>
          <w:noProof/>
          <w:lang w:val="es-DO"/>
        </w:rPr>
      </w:pPr>
    </w:p>
    <w:p w14:paraId="06A827E3" w14:textId="77777777" w:rsidR="00485B71" w:rsidRPr="00310D52" w:rsidRDefault="00485B71" w:rsidP="00756335">
      <w:pPr>
        <w:pStyle w:val="Ttulo1"/>
        <w:rPr>
          <w:rFonts w:cs="Times New Roman"/>
          <w:color w:val="767171"/>
          <w:lang w:val="es-DO"/>
        </w:rPr>
      </w:pPr>
      <w:bookmarkStart w:id="60" w:name="_Toc217050907"/>
      <w:r w:rsidRPr="00310D52">
        <w:rPr>
          <w:rFonts w:cs="Times New Roman"/>
          <w:color w:val="767171"/>
          <w:lang w:val="es-DO"/>
        </w:rPr>
        <w:lastRenderedPageBreak/>
        <w:t>PROYECCIONES AL PRÓXIMO AÑO</w:t>
      </w:r>
      <w:bookmarkEnd w:id="60"/>
    </w:p>
    <w:p w14:paraId="7C0ED659" w14:textId="77777777" w:rsidR="00485B71" w:rsidRPr="00310D52" w:rsidRDefault="00485B71" w:rsidP="00756335">
      <w:pPr>
        <w:spacing w:line="360" w:lineRule="auto"/>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310D52" w:rsidRDefault="00485B71" w:rsidP="00756335">
      <w:pPr>
        <w:spacing w:line="360" w:lineRule="auto"/>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63AA2B9D" w14:textId="77777777" w:rsidR="00485B71" w:rsidRPr="00310D52" w:rsidRDefault="00485B71" w:rsidP="00756335">
      <w:pPr>
        <w:spacing w:line="360" w:lineRule="auto"/>
        <w:jc w:val="both"/>
        <w:rPr>
          <w:rFonts w:eastAsia="Calibri"/>
          <w:lang w:val="es-DO"/>
        </w:rPr>
      </w:pPr>
    </w:p>
    <w:p w14:paraId="35F2CF72" w14:textId="56552B2D" w:rsidR="00C336E5" w:rsidRPr="00310D52" w:rsidRDefault="00C336E5" w:rsidP="00756335">
      <w:pPr>
        <w:pStyle w:val="Prrafodelista"/>
        <w:numPr>
          <w:ilvl w:val="0"/>
          <w:numId w:val="27"/>
        </w:numPr>
        <w:spacing w:line="360" w:lineRule="auto"/>
        <w:jc w:val="both"/>
        <w:rPr>
          <w:rFonts w:eastAsia="Calibri"/>
          <w:noProof/>
          <w:lang w:val="es-DO"/>
        </w:rPr>
      </w:pPr>
      <w:r w:rsidRPr="00310D52">
        <w:rPr>
          <w:rFonts w:eastAsia="Calibri"/>
          <w:noProof/>
          <w:lang w:val="es-DO"/>
        </w:rPr>
        <w:t>Expandir la cobertura de los servicios de atención prehospitalaria y traslado sanitario del sistema 9-1-1 a las provincias que aún no cuentan con el servicio (Bahoruco, Independencia, Elias Piña, Dajabon, Santiago Rodriguez y Monte Cristi).</w:t>
      </w:r>
    </w:p>
    <w:p w14:paraId="4AE0FE21" w14:textId="77777777" w:rsidR="00C336E5" w:rsidRPr="00310D52" w:rsidRDefault="00C336E5" w:rsidP="00756335">
      <w:pPr>
        <w:pStyle w:val="Prrafodelista"/>
        <w:numPr>
          <w:ilvl w:val="0"/>
          <w:numId w:val="27"/>
        </w:numPr>
        <w:spacing w:line="360" w:lineRule="auto"/>
        <w:jc w:val="both"/>
        <w:rPr>
          <w:rFonts w:eastAsia="Calibri"/>
          <w:noProof/>
          <w:lang w:val="es-DO"/>
        </w:rPr>
      </w:pPr>
      <w:r w:rsidRPr="00310D52">
        <w:rPr>
          <w:rFonts w:eastAsia="Calibri"/>
          <w:noProof/>
          <w:lang w:val="es-DO"/>
        </w:rPr>
        <w:t>Mejorar las condiciones básicas e infraestructurales para crear un entorno confortable y motivador que promueva la fidelización del personal y la eficiencia en los servicios.</w:t>
      </w:r>
    </w:p>
    <w:p w14:paraId="6A4B4CA9" w14:textId="77777777" w:rsidR="003E092F" w:rsidRPr="00310D52" w:rsidRDefault="003E092F" w:rsidP="00756335">
      <w:pPr>
        <w:pStyle w:val="Prrafodelista"/>
        <w:numPr>
          <w:ilvl w:val="0"/>
          <w:numId w:val="27"/>
        </w:numPr>
        <w:spacing w:line="360" w:lineRule="auto"/>
        <w:jc w:val="both"/>
        <w:rPr>
          <w:rFonts w:eastAsia="Calibri"/>
          <w:noProof/>
          <w:lang w:val="es-DO"/>
        </w:rPr>
      </w:pPr>
      <w:bookmarkStart w:id="61" w:name="_Hlk216791748"/>
      <w:r w:rsidRPr="00310D52">
        <w:rPr>
          <w:rFonts w:eastAsia="Calibri"/>
          <w:noProof/>
          <w:lang w:val="es-DO"/>
        </w:rPr>
        <w:t>Fortalecer la red de referencia y contrarreferencia del CRUE, consolidando la articulación entre los centros de salud y los servicios de atención extrahospitalaria para garantizar traslados oportunos y una adecuada continuidad del cuidado.</w:t>
      </w:r>
    </w:p>
    <w:p w14:paraId="09BD8869" w14:textId="45E4AC0B" w:rsidR="003E092F" w:rsidRPr="00310D52" w:rsidRDefault="003E092F" w:rsidP="00756335">
      <w:pPr>
        <w:pStyle w:val="Prrafodelista"/>
        <w:numPr>
          <w:ilvl w:val="0"/>
          <w:numId w:val="27"/>
        </w:numPr>
        <w:spacing w:line="360" w:lineRule="auto"/>
        <w:jc w:val="both"/>
        <w:rPr>
          <w:rFonts w:eastAsia="Calibri"/>
          <w:noProof/>
          <w:lang w:val="es-DO"/>
        </w:rPr>
      </w:pPr>
      <w:r w:rsidRPr="00310D52">
        <w:rPr>
          <w:rFonts w:eastAsia="Calibri"/>
          <w:noProof/>
          <w:lang w:val="es-DO"/>
        </w:rPr>
        <w:t>Potenciar el uso de herramientas tecnológicas, mediante la incorporación de aplicaciones, sistemas de geolocalización (GPS) y plataformas digitales que permitan optimizar el despacho, el seguimiento de unidades y la toma de decisiones en tiempo real.</w:t>
      </w:r>
    </w:p>
    <w:p w14:paraId="37338B8E" w14:textId="48969DAF" w:rsidR="003E092F" w:rsidRPr="00310D52" w:rsidRDefault="003E092F" w:rsidP="00756335">
      <w:pPr>
        <w:pStyle w:val="Prrafodelista"/>
        <w:numPr>
          <w:ilvl w:val="0"/>
          <w:numId w:val="27"/>
        </w:numPr>
        <w:spacing w:line="360" w:lineRule="auto"/>
        <w:jc w:val="both"/>
        <w:rPr>
          <w:rFonts w:eastAsia="Calibri"/>
          <w:noProof/>
          <w:lang w:val="es-DO"/>
        </w:rPr>
      </w:pPr>
      <w:r w:rsidRPr="00310D52">
        <w:rPr>
          <w:rFonts w:eastAsia="Calibri"/>
          <w:noProof/>
          <w:lang w:val="es-DO"/>
        </w:rPr>
        <w:t>Impulsar la capacitación continua del personal del CRUE, enfocada en el fortalecimiento de competencias técnicas, clínicas y operativas, alineadas a estándares nacionales e internacionales.</w:t>
      </w:r>
    </w:p>
    <w:p w14:paraId="5ED42046" w14:textId="4F7DA91E" w:rsidR="003E092F" w:rsidRPr="00310D52" w:rsidRDefault="003E092F" w:rsidP="00756335">
      <w:pPr>
        <w:pStyle w:val="Prrafodelista"/>
        <w:numPr>
          <w:ilvl w:val="0"/>
          <w:numId w:val="27"/>
        </w:numPr>
        <w:spacing w:line="360" w:lineRule="auto"/>
        <w:jc w:val="both"/>
        <w:rPr>
          <w:rFonts w:eastAsia="Calibri"/>
          <w:noProof/>
          <w:lang w:val="es-DO"/>
        </w:rPr>
      </w:pPr>
      <w:r w:rsidRPr="00310D52">
        <w:rPr>
          <w:rFonts w:eastAsia="Calibri"/>
          <w:noProof/>
          <w:lang w:val="es-DO"/>
        </w:rPr>
        <w:t>Desarrollar y consolidar indicadores de calidad y desempeño, que permitan medir la oportunidad, eficiencia y efectividad de los servicios coordinados por el CRUE, promoviendo la mejora continua y la rendición de cuentas.</w:t>
      </w:r>
    </w:p>
    <w:p w14:paraId="2B1AF7B2" w14:textId="77777777" w:rsidR="00271134" w:rsidRPr="00310D52" w:rsidRDefault="00271134" w:rsidP="00756335">
      <w:pPr>
        <w:pStyle w:val="Prrafodelista"/>
        <w:numPr>
          <w:ilvl w:val="0"/>
          <w:numId w:val="27"/>
        </w:numPr>
        <w:spacing w:line="360" w:lineRule="auto"/>
        <w:jc w:val="both"/>
        <w:rPr>
          <w:rFonts w:eastAsia="Calibri"/>
          <w:noProof/>
          <w:lang w:val="es-DO"/>
        </w:rPr>
      </w:pPr>
      <w:r w:rsidRPr="00310D52">
        <w:rPr>
          <w:rFonts w:eastAsia="Calibri"/>
          <w:noProof/>
          <w:lang w:val="es-DO"/>
        </w:rPr>
        <w:lastRenderedPageBreak/>
        <w:t>Seguir con el desarrollo de un sistema de monitoreo continuo y eficaz para supervisar las actividades y servicios , promoviendo una cultura de mejora y eficiencia en la atencion brindada.</w:t>
      </w:r>
    </w:p>
    <w:p w14:paraId="449D1F7C" w14:textId="77777777" w:rsidR="00271134" w:rsidRPr="00310D52" w:rsidRDefault="00271134" w:rsidP="00756335">
      <w:pPr>
        <w:pStyle w:val="Prrafodelista"/>
        <w:numPr>
          <w:ilvl w:val="0"/>
          <w:numId w:val="27"/>
        </w:numPr>
        <w:spacing w:line="360" w:lineRule="auto"/>
        <w:jc w:val="both"/>
        <w:rPr>
          <w:rFonts w:eastAsia="Calibri"/>
          <w:noProof/>
          <w:lang w:val="es-DO"/>
        </w:rPr>
      </w:pPr>
      <w:r w:rsidRPr="00310D52">
        <w:rPr>
          <w:rFonts w:eastAsia="Calibri"/>
          <w:noProof/>
          <w:lang w:val="es-DO"/>
        </w:rPr>
        <w:t>Disponer de un sistema de información que recoja un conjunto mínimo de indicadores de actividad y calidad que permita, a través del Benchmarking entre los diferentes servicios, estudiar las áreas de mejora de cada uno de ellos.</w:t>
      </w:r>
    </w:p>
    <w:p w14:paraId="155F7682" w14:textId="77777777" w:rsidR="00271134" w:rsidRPr="00310D52" w:rsidRDefault="00271134" w:rsidP="00756335">
      <w:pPr>
        <w:pStyle w:val="Prrafodelista"/>
        <w:spacing w:line="360" w:lineRule="auto"/>
        <w:jc w:val="both"/>
        <w:rPr>
          <w:rFonts w:eastAsia="Calibri"/>
          <w:noProof/>
          <w:lang w:val="es-DO"/>
        </w:rPr>
      </w:pPr>
    </w:p>
    <w:bookmarkEnd w:id="61"/>
    <w:p w14:paraId="41A43AF7" w14:textId="77777777" w:rsidR="003E00B8" w:rsidRPr="00310D52" w:rsidRDefault="003E00B8" w:rsidP="00756335">
      <w:pPr>
        <w:spacing w:line="360" w:lineRule="auto"/>
        <w:jc w:val="both"/>
        <w:rPr>
          <w:rFonts w:eastAsia="Calibri"/>
          <w:noProof/>
          <w:lang w:val="es-DO"/>
        </w:rPr>
      </w:pPr>
    </w:p>
    <w:p w14:paraId="330F3888" w14:textId="77777777" w:rsidR="00695622" w:rsidRPr="00310D52" w:rsidRDefault="00695622" w:rsidP="00756335">
      <w:pPr>
        <w:rPr>
          <w:lang w:val="es-DO"/>
        </w:rPr>
      </w:pPr>
    </w:p>
    <w:p w14:paraId="7D1C4D40" w14:textId="77777777" w:rsidR="00B224A9" w:rsidRPr="00310D52" w:rsidRDefault="00B224A9" w:rsidP="00B224A9">
      <w:pPr>
        <w:rPr>
          <w:lang w:val="es-DO"/>
        </w:rPr>
      </w:pPr>
    </w:p>
    <w:p w14:paraId="5DB7DBF1" w14:textId="77777777" w:rsidR="00B224A9" w:rsidRPr="00310D52" w:rsidRDefault="00B224A9" w:rsidP="00B224A9">
      <w:pPr>
        <w:rPr>
          <w:lang w:val="es-DO"/>
        </w:rPr>
      </w:pPr>
    </w:p>
    <w:p w14:paraId="7876D20A" w14:textId="77777777" w:rsidR="00B224A9" w:rsidRPr="00310D52" w:rsidRDefault="00B224A9" w:rsidP="00B224A9">
      <w:pPr>
        <w:rPr>
          <w:lang w:val="es-DO"/>
        </w:rPr>
      </w:pPr>
    </w:p>
    <w:p w14:paraId="1101FB1D" w14:textId="77777777" w:rsidR="00B224A9" w:rsidRPr="00310D52" w:rsidRDefault="00B224A9" w:rsidP="00B224A9">
      <w:pPr>
        <w:rPr>
          <w:lang w:val="es-DO"/>
        </w:rPr>
      </w:pPr>
    </w:p>
    <w:p w14:paraId="118FB4FA" w14:textId="77777777" w:rsidR="00B224A9" w:rsidRPr="00310D52" w:rsidRDefault="00B224A9" w:rsidP="00B224A9">
      <w:pPr>
        <w:rPr>
          <w:lang w:val="es-DO"/>
        </w:rPr>
      </w:pPr>
    </w:p>
    <w:p w14:paraId="1DABAB2F" w14:textId="77777777" w:rsidR="00B224A9" w:rsidRPr="00310D52" w:rsidRDefault="00B224A9" w:rsidP="00B224A9">
      <w:pPr>
        <w:rPr>
          <w:lang w:val="es-DO"/>
        </w:rPr>
      </w:pPr>
    </w:p>
    <w:p w14:paraId="7E33D443" w14:textId="77777777" w:rsidR="00B224A9" w:rsidRPr="00310D52" w:rsidRDefault="00B224A9" w:rsidP="00B224A9">
      <w:pPr>
        <w:rPr>
          <w:lang w:val="es-DO"/>
        </w:rPr>
      </w:pPr>
    </w:p>
    <w:p w14:paraId="622F3351" w14:textId="77777777" w:rsidR="00B224A9" w:rsidRPr="00310D52" w:rsidRDefault="00B224A9" w:rsidP="00B224A9">
      <w:pPr>
        <w:rPr>
          <w:lang w:val="es-DO"/>
        </w:rPr>
      </w:pPr>
    </w:p>
    <w:p w14:paraId="26AE0806" w14:textId="77777777" w:rsidR="00B224A9" w:rsidRPr="00310D52" w:rsidRDefault="00B224A9" w:rsidP="00B224A9">
      <w:pPr>
        <w:rPr>
          <w:lang w:val="es-DO"/>
        </w:rPr>
      </w:pPr>
    </w:p>
    <w:p w14:paraId="46B7B76F" w14:textId="77777777" w:rsidR="00B224A9" w:rsidRPr="00310D52" w:rsidRDefault="00B224A9" w:rsidP="00B224A9">
      <w:pPr>
        <w:rPr>
          <w:lang w:val="es-DO"/>
        </w:rPr>
      </w:pPr>
    </w:p>
    <w:p w14:paraId="091A3A72" w14:textId="77777777" w:rsidR="00B224A9" w:rsidRPr="00310D52" w:rsidRDefault="00B224A9" w:rsidP="00B224A9">
      <w:pPr>
        <w:rPr>
          <w:lang w:val="es-DO"/>
        </w:rPr>
      </w:pPr>
    </w:p>
    <w:p w14:paraId="2BF44DA7" w14:textId="77777777" w:rsidR="00B224A9" w:rsidRPr="00310D52" w:rsidRDefault="00B224A9" w:rsidP="00B224A9">
      <w:pPr>
        <w:rPr>
          <w:lang w:val="es-DO"/>
        </w:rPr>
      </w:pPr>
    </w:p>
    <w:p w14:paraId="6817358E" w14:textId="77777777" w:rsidR="00B224A9" w:rsidRPr="00310D52" w:rsidRDefault="00B224A9" w:rsidP="00B224A9">
      <w:pPr>
        <w:rPr>
          <w:lang w:val="es-DO"/>
        </w:rPr>
      </w:pPr>
    </w:p>
    <w:p w14:paraId="70946C51" w14:textId="77777777" w:rsidR="00B224A9" w:rsidRPr="00310D52" w:rsidRDefault="00B224A9" w:rsidP="00B224A9">
      <w:pPr>
        <w:rPr>
          <w:lang w:val="es-DO"/>
        </w:rPr>
      </w:pPr>
    </w:p>
    <w:p w14:paraId="385C10A7" w14:textId="77777777" w:rsidR="00B224A9" w:rsidRPr="00310D52" w:rsidRDefault="00B224A9" w:rsidP="00B224A9">
      <w:pPr>
        <w:rPr>
          <w:lang w:val="es-DO"/>
        </w:rPr>
      </w:pPr>
    </w:p>
    <w:p w14:paraId="3EE7E0A6" w14:textId="77777777" w:rsidR="00B224A9" w:rsidRPr="00310D52" w:rsidRDefault="00B224A9" w:rsidP="00B224A9">
      <w:pPr>
        <w:rPr>
          <w:lang w:val="es-DO"/>
        </w:rPr>
      </w:pPr>
    </w:p>
    <w:p w14:paraId="2E91F00C" w14:textId="77777777" w:rsidR="00B224A9" w:rsidRPr="00310D52" w:rsidRDefault="00B224A9" w:rsidP="00B224A9">
      <w:pPr>
        <w:rPr>
          <w:lang w:val="es-DO"/>
        </w:rPr>
        <w:sectPr w:rsidR="00B224A9" w:rsidRPr="00310D52" w:rsidSect="008B458A">
          <w:headerReference w:type="default" r:id="rId49"/>
          <w:footerReference w:type="default" r:id="rId50"/>
          <w:type w:val="continuous"/>
          <w:pgSz w:w="12240" w:h="15840"/>
          <w:pgMar w:top="1440" w:right="2160" w:bottom="1440" w:left="2160" w:header="720" w:footer="720" w:gutter="0"/>
          <w:pgNumType w:start="1"/>
          <w:cols w:space="720"/>
          <w:docGrid w:linePitch="360"/>
        </w:sectPr>
      </w:pPr>
    </w:p>
    <w:p w14:paraId="10DE8845" w14:textId="48ACAEAF" w:rsidR="00485B71" w:rsidRPr="00310D52" w:rsidRDefault="009870D7" w:rsidP="00485B71">
      <w:pPr>
        <w:pStyle w:val="Ttulo1"/>
        <w:rPr>
          <w:rFonts w:cs="Times New Roman"/>
          <w:color w:val="767171"/>
          <w:lang w:val="es-DO"/>
        </w:rPr>
      </w:pPr>
      <w:bookmarkStart w:id="62" w:name="_Toc217050908"/>
      <w:r w:rsidRPr="00310D52">
        <w:rPr>
          <w:rFonts w:cs="Times New Roman"/>
          <w:color w:val="767171"/>
          <w:lang w:val="es-DO"/>
        </w:rPr>
        <w:lastRenderedPageBreak/>
        <w:t>ANEXOS</w:t>
      </w:r>
      <w:bookmarkEnd w:id="62"/>
      <w:r w:rsidRPr="00310D52">
        <w:rPr>
          <w:rFonts w:cs="Times New Roman"/>
          <w:color w:val="767171"/>
          <w:lang w:val="es-DO"/>
        </w:rPr>
        <w:t xml:space="preserve"> </w:t>
      </w:r>
    </w:p>
    <w:p w14:paraId="441E6667" w14:textId="77777777" w:rsidR="00485B71" w:rsidRPr="00310D52" w:rsidRDefault="00485B71" w:rsidP="00485B71">
      <w:pPr>
        <w:jc w:val="both"/>
        <w:rPr>
          <w:rFonts w:eastAsia="Calibri"/>
          <w:sz w:val="18"/>
          <w:lang w:val="es-DO"/>
        </w:rPr>
      </w:pPr>
      <w:r w:rsidRPr="00310D52">
        <w:rPr>
          <w:rFonts w:eastAsia="Calibri"/>
          <w:noProof/>
          <w:sz w:val="18"/>
          <w:lang w:val="es-DO" w:eastAsia="es-DO"/>
        </w:rPr>
        <mc:AlternateContent>
          <mc:Choice Requires="wps">
            <w:drawing>
              <wp:anchor distT="0" distB="0" distL="114300" distR="114300" simplePos="0" relativeHeight="251736064" behindDoc="0" locked="0" layoutInCell="1" allowOverlap="1" wp14:anchorId="72F28ECC" wp14:editId="603683EA">
                <wp:simplePos x="0" y="0"/>
                <wp:positionH relativeFrom="margin">
                  <wp:align>center</wp:align>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8B583"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307318B9" w14:textId="04DD3F2D" w:rsidR="00485B71" w:rsidRPr="00310D52" w:rsidRDefault="00485B71" w:rsidP="00695622">
      <w:pPr>
        <w:jc w:val="center"/>
        <w:rPr>
          <w:rFonts w:eastAsia="Calibri"/>
          <w:szCs w:val="36"/>
          <w:lang w:val="es-DO"/>
        </w:rPr>
      </w:pPr>
      <w:r w:rsidRPr="00310D52">
        <w:rPr>
          <w:rFonts w:eastAsia="Calibri"/>
          <w:szCs w:val="36"/>
          <w:lang w:val="es-DO"/>
        </w:rPr>
        <w:t xml:space="preserve">Memoria </w:t>
      </w:r>
      <w:r w:rsidR="009547F0" w:rsidRPr="00310D52">
        <w:rPr>
          <w:rFonts w:eastAsia="Calibri"/>
          <w:szCs w:val="36"/>
          <w:lang w:val="es-DO"/>
        </w:rPr>
        <w:t>I</w:t>
      </w:r>
      <w:r w:rsidRPr="00310D52">
        <w:rPr>
          <w:rFonts w:eastAsia="Calibri"/>
          <w:szCs w:val="36"/>
          <w:lang w:val="es-DO"/>
        </w:rPr>
        <w:t xml:space="preserve">nstitucional </w:t>
      </w:r>
      <w:r w:rsidR="007471AC" w:rsidRPr="00310D52">
        <w:rPr>
          <w:rFonts w:eastAsia="Calibri"/>
          <w:szCs w:val="36"/>
          <w:lang w:val="es-DO"/>
        </w:rPr>
        <w:t>202</w:t>
      </w:r>
      <w:r w:rsidR="0051332F" w:rsidRPr="00310D52">
        <w:rPr>
          <w:rFonts w:eastAsia="Calibri"/>
          <w:szCs w:val="36"/>
          <w:lang w:val="es-DO"/>
        </w:rPr>
        <w:t>5</w:t>
      </w:r>
    </w:p>
    <w:p w14:paraId="4A09A8D8" w14:textId="77777777" w:rsidR="00B224A9" w:rsidRPr="00310D52" w:rsidRDefault="00B224A9" w:rsidP="004263F5">
      <w:pPr>
        <w:rPr>
          <w:rFonts w:eastAsia="Calibri"/>
          <w:szCs w:val="36"/>
          <w:lang w:val="es-DO"/>
        </w:rPr>
      </w:pPr>
    </w:p>
    <w:p w14:paraId="3F7B4248" w14:textId="610B2D7F" w:rsidR="00695622" w:rsidRPr="00F06D9C" w:rsidRDefault="00996181" w:rsidP="004D6EA1">
      <w:pPr>
        <w:pStyle w:val="Prrafodelista"/>
        <w:numPr>
          <w:ilvl w:val="0"/>
          <w:numId w:val="30"/>
        </w:numPr>
        <w:spacing w:line="360" w:lineRule="auto"/>
        <w:ind w:left="450"/>
        <w:rPr>
          <w:b/>
          <w:bCs/>
          <w:lang w:val="es-DO"/>
        </w:rPr>
      </w:pPr>
      <w:r w:rsidRPr="00F06D9C">
        <w:rPr>
          <w:b/>
          <w:bCs/>
          <w:lang w:val="es-DO"/>
        </w:rPr>
        <w:t>Matriz de Logros Relevantes</w:t>
      </w:r>
    </w:p>
    <w:tbl>
      <w:tblPr>
        <w:tblpPr w:leftFromText="141" w:rightFromText="141" w:vertAnchor="page" w:horzAnchor="margin" w:tblpY="4036"/>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644"/>
        <w:gridCol w:w="810"/>
        <w:gridCol w:w="810"/>
        <w:gridCol w:w="810"/>
        <w:gridCol w:w="810"/>
        <w:gridCol w:w="810"/>
        <w:gridCol w:w="720"/>
        <w:gridCol w:w="630"/>
        <w:gridCol w:w="630"/>
        <w:gridCol w:w="630"/>
        <w:gridCol w:w="630"/>
        <w:gridCol w:w="720"/>
        <w:gridCol w:w="810"/>
      </w:tblGrid>
      <w:tr w:rsidR="00310D52" w:rsidRPr="00310D52" w14:paraId="1195E7C7" w14:textId="77777777" w:rsidTr="004D6EA1">
        <w:trPr>
          <w:trHeight w:val="437"/>
        </w:trPr>
        <w:tc>
          <w:tcPr>
            <w:tcW w:w="1781" w:type="dxa"/>
            <w:tcBorders>
              <w:bottom w:val="single" w:sz="4" w:space="0" w:color="auto"/>
            </w:tcBorders>
            <w:shd w:val="clear" w:color="auto" w:fill="011C50"/>
            <w:tcMar>
              <w:top w:w="0" w:type="dxa"/>
              <w:left w:w="70" w:type="dxa"/>
              <w:bottom w:w="0" w:type="dxa"/>
              <w:right w:w="70" w:type="dxa"/>
            </w:tcMar>
            <w:vAlign w:val="center"/>
            <w:hideMark/>
          </w:tcPr>
          <w:p w14:paraId="4480302D"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Producto / servicio</w:t>
            </w:r>
          </w:p>
        </w:tc>
        <w:tc>
          <w:tcPr>
            <w:tcW w:w="644" w:type="dxa"/>
            <w:tcBorders>
              <w:bottom w:val="single" w:sz="4" w:space="0" w:color="auto"/>
            </w:tcBorders>
            <w:shd w:val="clear" w:color="auto" w:fill="011C50"/>
            <w:tcMar>
              <w:top w:w="0" w:type="dxa"/>
              <w:left w:w="70" w:type="dxa"/>
              <w:bottom w:w="0" w:type="dxa"/>
              <w:right w:w="70" w:type="dxa"/>
            </w:tcMar>
            <w:vAlign w:val="center"/>
            <w:hideMark/>
          </w:tcPr>
          <w:p w14:paraId="04C4F4EF"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Ene</w:t>
            </w:r>
          </w:p>
        </w:tc>
        <w:tc>
          <w:tcPr>
            <w:tcW w:w="810" w:type="dxa"/>
            <w:tcBorders>
              <w:bottom w:val="single" w:sz="4" w:space="0" w:color="auto"/>
            </w:tcBorders>
            <w:shd w:val="clear" w:color="auto" w:fill="011C50"/>
            <w:tcMar>
              <w:top w:w="0" w:type="dxa"/>
              <w:left w:w="70" w:type="dxa"/>
              <w:bottom w:w="0" w:type="dxa"/>
              <w:right w:w="70" w:type="dxa"/>
            </w:tcMar>
            <w:vAlign w:val="center"/>
            <w:hideMark/>
          </w:tcPr>
          <w:p w14:paraId="12F52C59"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Feb</w:t>
            </w:r>
          </w:p>
        </w:tc>
        <w:tc>
          <w:tcPr>
            <w:tcW w:w="810" w:type="dxa"/>
            <w:tcBorders>
              <w:bottom w:val="single" w:sz="4" w:space="0" w:color="auto"/>
            </w:tcBorders>
            <w:shd w:val="clear" w:color="auto" w:fill="011C50"/>
            <w:tcMar>
              <w:top w:w="0" w:type="dxa"/>
              <w:left w:w="70" w:type="dxa"/>
              <w:bottom w:w="0" w:type="dxa"/>
              <w:right w:w="70" w:type="dxa"/>
            </w:tcMar>
            <w:vAlign w:val="center"/>
            <w:hideMark/>
          </w:tcPr>
          <w:p w14:paraId="62B31CA9"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Mar</w:t>
            </w:r>
          </w:p>
        </w:tc>
        <w:tc>
          <w:tcPr>
            <w:tcW w:w="810" w:type="dxa"/>
            <w:tcBorders>
              <w:bottom w:val="single" w:sz="4" w:space="0" w:color="auto"/>
            </w:tcBorders>
            <w:shd w:val="clear" w:color="auto" w:fill="011C50"/>
            <w:tcMar>
              <w:top w:w="0" w:type="dxa"/>
              <w:left w:w="70" w:type="dxa"/>
              <w:bottom w:w="0" w:type="dxa"/>
              <w:right w:w="70" w:type="dxa"/>
            </w:tcMar>
            <w:vAlign w:val="center"/>
            <w:hideMark/>
          </w:tcPr>
          <w:p w14:paraId="0C5F606E"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Abr</w:t>
            </w:r>
          </w:p>
        </w:tc>
        <w:tc>
          <w:tcPr>
            <w:tcW w:w="810" w:type="dxa"/>
            <w:tcBorders>
              <w:bottom w:val="single" w:sz="4" w:space="0" w:color="auto"/>
            </w:tcBorders>
            <w:shd w:val="clear" w:color="auto" w:fill="011C50"/>
            <w:tcMar>
              <w:top w:w="0" w:type="dxa"/>
              <w:left w:w="70" w:type="dxa"/>
              <w:bottom w:w="0" w:type="dxa"/>
              <w:right w:w="70" w:type="dxa"/>
            </w:tcMar>
            <w:vAlign w:val="center"/>
            <w:hideMark/>
          </w:tcPr>
          <w:p w14:paraId="4203180E"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May</w:t>
            </w:r>
          </w:p>
        </w:tc>
        <w:tc>
          <w:tcPr>
            <w:tcW w:w="810" w:type="dxa"/>
            <w:tcBorders>
              <w:bottom w:val="single" w:sz="4" w:space="0" w:color="auto"/>
            </w:tcBorders>
            <w:shd w:val="clear" w:color="auto" w:fill="011C50"/>
            <w:tcMar>
              <w:top w:w="0" w:type="dxa"/>
              <w:left w:w="70" w:type="dxa"/>
              <w:bottom w:w="0" w:type="dxa"/>
              <w:right w:w="70" w:type="dxa"/>
            </w:tcMar>
            <w:vAlign w:val="center"/>
            <w:hideMark/>
          </w:tcPr>
          <w:p w14:paraId="0BBE9E7E" w14:textId="77777777" w:rsidR="004D6EA1" w:rsidRPr="00D0435C" w:rsidRDefault="004D6EA1" w:rsidP="004D6EA1">
            <w:pPr>
              <w:pStyle w:val="xxmsonormal"/>
              <w:spacing w:line="360" w:lineRule="auto"/>
              <w:jc w:val="center"/>
              <w:rPr>
                <w:rFonts w:ascii="Times New Roman" w:hAnsi="Times New Roman" w:cs="Times New Roman"/>
                <w:color w:val="FFFFFF" w:themeColor="background1"/>
                <w:sz w:val="18"/>
                <w:szCs w:val="18"/>
              </w:rPr>
            </w:pPr>
            <w:r w:rsidRPr="00D0435C">
              <w:rPr>
                <w:rFonts w:ascii="Times New Roman" w:hAnsi="Times New Roman" w:cs="Times New Roman"/>
                <w:b/>
                <w:bCs/>
                <w:color w:val="FFFFFF" w:themeColor="background1"/>
                <w:sz w:val="18"/>
                <w:szCs w:val="18"/>
                <w:lang w:val="es-ES"/>
              </w:rPr>
              <w:t>Jun</w:t>
            </w:r>
          </w:p>
        </w:tc>
        <w:tc>
          <w:tcPr>
            <w:tcW w:w="720" w:type="dxa"/>
            <w:shd w:val="clear" w:color="auto" w:fill="011C50"/>
            <w:vAlign w:val="center"/>
          </w:tcPr>
          <w:p w14:paraId="2AD2ED3D"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Jul</w:t>
            </w:r>
          </w:p>
        </w:tc>
        <w:tc>
          <w:tcPr>
            <w:tcW w:w="630" w:type="dxa"/>
            <w:shd w:val="clear" w:color="auto" w:fill="011C50"/>
            <w:vAlign w:val="center"/>
          </w:tcPr>
          <w:p w14:paraId="78E4101A"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Ago</w:t>
            </w:r>
          </w:p>
        </w:tc>
        <w:tc>
          <w:tcPr>
            <w:tcW w:w="630" w:type="dxa"/>
            <w:shd w:val="clear" w:color="auto" w:fill="011C50"/>
            <w:vAlign w:val="center"/>
          </w:tcPr>
          <w:p w14:paraId="604AB891"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Sep</w:t>
            </w:r>
          </w:p>
        </w:tc>
        <w:tc>
          <w:tcPr>
            <w:tcW w:w="630" w:type="dxa"/>
            <w:shd w:val="clear" w:color="auto" w:fill="011C50"/>
            <w:vAlign w:val="center"/>
          </w:tcPr>
          <w:p w14:paraId="2D978E16"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Oct</w:t>
            </w:r>
          </w:p>
        </w:tc>
        <w:tc>
          <w:tcPr>
            <w:tcW w:w="630" w:type="dxa"/>
            <w:shd w:val="clear" w:color="auto" w:fill="011C50"/>
            <w:vAlign w:val="center"/>
          </w:tcPr>
          <w:p w14:paraId="2A329BB0"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Nov</w:t>
            </w:r>
          </w:p>
        </w:tc>
        <w:tc>
          <w:tcPr>
            <w:tcW w:w="720" w:type="dxa"/>
            <w:shd w:val="clear" w:color="auto" w:fill="011C50"/>
            <w:vAlign w:val="center"/>
          </w:tcPr>
          <w:p w14:paraId="728B8387"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Dic</w:t>
            </w:r>
          </w:p>
        </w:tc>
        <w:tc>
          <w:tcPr>
            <w:tcW w:w="810" w:type="dxa"/>
            <w:shd w:val="clear" w:color="auto" w:fill="011C50"/>
            <w:vAlign w:val="center"/>
          </w:tcPr>
          <w:p w14:paraId="6D41D504" w14:textId="77777777" w:rsidR="004D6EA1" w:rsidRPr="00D0435C" w:rsidRDefault="004D6EA1" w:rsidP="004D6EA1">
            <w:pPr>
              <w:pStyle w:val="xxmsonormal"/>
              <w:spacing w:line="360" w:lineRule="auto"/>
              <w:jc w:val="center"/>
              <w:rPr>
                <w:rFonts w:ascii="Times New Roman" w:hAnsi="Times New Roman" w:cs="Times New Roman"/>
                <w:b/>
                <w:bCs/>
                <w:color w:val="FFFFFF" w:themeColor="background1"/>
                <w:sz w:val="18"/>
                <w:szCs w:val="18"/>
                <w:lang w:val="es-ES"/>
              </w:rPr>
            </w:pPr>
            <w:r w:rsidRPr="00D0435C">
              <w:rPr>
                <w:rFonts w:ascii="Times New Roman" w:hAnsi="Times New Roman" w:cs="Times New Roman"/>
                <w:b/>
                <w:bCs/>
                <w:color w:val="FFFFFF" w:themeColor="background1"/>
                <w:sz w:val="18"/>
                <w:szCs w:val="18"/>
                <w:lang w:val="es-ES"/>
              </w:rPr>
              <w:t xml:space="preserve">Total </w:t>
            </w:r>
          </w:p>
        </w:tc>
      </w:tr>
      <w:tr w:rsidR="00310D52" w:rsidRPr="00310D52" w14:paraId="7367C8F5" w14:textId="77777777" w:rsidTr="004D6EA1">
        <w:trPr>
          <w:trHeight w:val="710"/>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E9715E" w14:textId="77777777" w:rsidR="004D6EA1" w:rsidRPr="00310D52" w:rsidRDefault="004D6EA1" w:rsidP="004D6EA1">
            <w:pPr>
              <w:pStyle w:val="xxmsonormal"/>
              <w:spacing w:line="360" w:lineRule="auto"/>
              <w:jc w:val="center"/>
              <w:rPr>
                <w:rFonts w:ascii="Times New Roman" w:hAnsi="Times New Roman" w:cs="Times New Roman"/>
                <w:color w:val="767171"/>
                <w:sz w:val="18"/>
                <w:szCs w:val="18"/>
              </w:rPr>
            </w:pPr>
            <w:r w:rsidRPr="00310D52">
              <w:rPr>
                <w:rFonts w:ascii="Times New Roman" w:eastAsia="Times New Roman" w:hAnsi="Times New Roman" w:cs="Times New Roman"/>
                <w:color w:val="767171"/>
                <w:sz w:val="18"/>
                <w:szCs w:val="18"/>
              </w:rPr>
              <w:t>03-Población que accede a servicios de atención prehospitalaria</w:t>
            </w:r>
          </w:p>
        </w:tc>
        <w:tc>
          <w:tcPr>
            <w:tcW w:w="6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AF0635"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47,904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8DD7AE"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43,201</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97D912"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48,216</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6F5D7C"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41,422</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22A19"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44,962</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F5E8EE"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42,251</w:t>
            </w:r>
          </w:p>
        </w:tc>
        <w:tc>
          <w:tcPr>
            <w:tcW w:w="720" w:type="dxa"/>
            <w:vAlign w:val="center"/>
          </w:tcPr>
          <w:p w14:paraId="3CF5E95F"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44,160</w:t>
            </w:r>
          </w:p>
        </w:tc>
        <w:tc>
          <w:tcPr>
            <w:tcW w:w="630" w:type="dxa"/>
            <w:vAlign w:val="center"/>
          </w:tcPr>
          <w:p w14:paraId="4106C577"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46,050</w:t>
            </w:r>
          </w:p>
        </w:tc>
        <w:tc>
          <w:tcPr>
            <w:tcW w:w="630" w:type="dxa"/>
            <w:vAlign w:val="center"/>
          </w:tcPr>
          <w:p w14:paraId="3BD24BE9"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44,603</w:t>
            </w:r>
          </w:p>
        </w:tc>
        <w:tc>
          <w:tcPr>
            <w:tcW w:w="630" w:type="dxa"/>
            <w:vAlign w:val="center"/>
          </w:tcPr>
          <w:p w14:paraId="0DB6EFC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46,124</w:t>
            </w:r>
          </w:p>
        </w:tc>
        <w:tc>
          <w:tcPr>
            <w:tcW w:w="630" w:type="dxa"/>
            <w:vAlign w:val="center"/>
          </w:tcPr>
          <w:p w14:paraId="3E197FBB"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47,390</w:t>
            </w:r>
          </w:p>
        </w:tc>
        <w:tc>
          <w:tcPr>
            <w:tcW w:w="720" w:type="dxa"/>
            <w:vAlign w:val="center"/>
          </w:tcPr>
          <w:p w14:paraId="73460BFC"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51,653</w:t>
            </w:r>
          </w:p>
        </w:tc>
        <w:tc>
          <w:tcPr>
            <w:tcW w:w="810" w:type="dxa"/>
            <w:vAlign w:val="center"/>
          </w:tcPr>
          <w:p w14:paraId="6146C7B1" w14:textId="77777777" w:rsidR="004D6EA1" w:rsidRPr="00310D52" w:rsidRDefault="004D6EA1" w:rsidP="004D6EA1">
            <w:pPr>
              <w:pStyle w:val="xxmsonormal"/>
              <w:spacing w:line="360" w:lineRule="auto"/>
              <w:jc w:val="center"/>
              <w:rPr>
                <w:rFonts w:ascii="Times New Roman" w:eastAsia="Times New Roman" w:hAnsi="Times New Roman" w:cs="Times New Roman"/>
                <w:b/>
                <w:bCs/>
                <w:color w:val="767171"/>
                <w:sz w:val="18"/>
                <w:szCs w:val="18"/>
              </w:rPr>
            </w:pPr>
            <w:r w:rsidRPr="00310D52">
              <w:rPr>
                <w:rFonts w:ascii="Times New Roman" w:eastAsia="Times New Roman" w:hAnsi="Times New Roman" w:cs="Times New Roman"/>
                <w:b/>
                <w:bCs/>
                <w:color w:val="767171"/>
                <w:sz w:val="18"/>
                <w:szCs w:val="18"/>
              </w:rPr>
              <w:t>547,936</w:t>
            </w:r>
          </w:p>
        </w:tc>
      </w:tr>
      <w:tr w:rsidR="00310D52" w:rsidRPr="00310D52" w14:paraId="416D87A3" w14:textId="77777777" w:rsidTr="004D6EA1">
        <w:trPr>
          <w:trHeight w:val="188"/>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956247" w14:textId="77777777" w:rsidR="004D6EA1" w:rsidRPr="00310D52" w:rsidRDefault="004D6EA1" w:rsidP="004D6EA1">
            <w:pPr>
              <w:pStyle w:val="xxmsonormal"/>
              <w:spacing w:line="360" w:lineRule="auto"/>
              <w:jc w:val="center"/>
              <w:rPr>
                <w:rFonts w:ascii="Times New Roman" w:hAnsi="Times New Roman" w:cs="Times New Roman"/>
                <w:color w:val="767171"/>
                <w:sz w:val="18"/>
                <w:szCs w:val="18"/>
              </w:rPr>
            </w:pPr>
            <w:r w:rsidRPr="00310D52">
              <w:rPr>
                <w:rFonts w:ascii="Times New Roman" w:eastAsia="Times New Roman" w:hAnsi="Times New Roman" w:cs="Times New Roman"/>
                <w:color w:val="767171"/>
                <w:sz w:val="18"/>
                <w:szCs w:val="18"/>
              </w:rPr>
              <w:t>Inversión producto (RD$)</w:t>
            </w:r>
          </w:p>
        </w:tc>
        <w:tc>
          <w:tcPr>
            <w:tcW w:w="6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E8209F"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0.00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386414"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202,677,565.44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6437D2"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171,147,915.05</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BE4423"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180,316,024.06</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48CC2E"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111,144,596.57</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CDD5E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174,880,562.69</w:t>
            </w:r>
          </w:p>
        </w:tc>
        <w:tc>
          <w:tcPr>
            <w:tcW w:w="720" w:type="dxa"/>
            <w:vAlign w:val="center"/>
          </w:tcPr>
          <w:p w14:paraId="0593ECEB"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106,094,004.74</w:t>
            </w:r>
          </w:p>
        </w:tc>
        <w:tc>
          <w:tcPr>
            <w:tcW w:w="630" w:type="dxa"/>
            <w:vAlign w:val="center"/>
          </w:tcPr>
          <w:p w14:paraId="16F4995D"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112,803,921.41</w:t>
            </w:r>
          </w:p>
        </w:tc>
        <w:tc>
          <w:tcPr>
            <w:tcW w:w="630" w:type="dxa"/>
            <w:vAlign w:val="center"/>
          </w:tcPr>
          <w:p w14:paraId="40AC3BC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93,618,435.67</w:t>
            </w:r>
          </w:p>
        </w:tc>
        <w:tc>
          <w:tcPr>
            <w:tcW w:w="630" w:type="dxa"/>
            <w:vAlign w:val="center"/>
          </w:tcPr>
          <w:p w14:paraId="2A7E4DEF"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51,894,139.06</w:t>
            </w:r>
          </w:p>
        </w:tc>
        <w:tc>
          <w:tcPr>
            <w:tcW w:w="630" w:type="dxa"/>
            <w:vAlign w:val="center"/>
          </w:tcPr>
          <w:p w14:paraId="4A80A157"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27,668,340.83</w:t>
            </w:r>
          </w:p>
        </w:tc>
        <w:tc>
          <w:tcPr>
            <w:tcW w:w="720" w:type="dxa"/>
            <w:vAlign w:val="center"/>
          </w:tcPr>
          <w:p w14:paraId="43BA6670"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116,526,256.20</w:t>
            </w:r>
          </w:p>
        </w:tc>
        <w:tc>
          <w:tcPr>
            <w:tcW w:w="810" w:type="dxa"/>
            <w:vAlign w:val="center"/>
          </w:tcPr>
          <w:p w14:paraId="60F8BCBD" w14:textId="77777777" w:rsidR="004D6EA1" w:rsidRPr="00310D52" w:rsidRDefault="004D6EA1" w:rsidP="004D6EA1">
            <w:pPr>
              <w:pStyle w:val="xxmsonormal"/>
              <w:spacing w:line="360" w:lineRule="auto"/>
              <w:jc w:val="center"/>
              <w:rPr>
                <w:rFonts w:ascii="Times New Roman" w:eastAsia="Times New Roman" w:hAnsi="Times New Roman" w:cs="Times New Roman"/>
                <w:b/>
                <w:bCs/>
                <w:color w:val="767171"/>
                <w:sz w:val="18"/>
                <w:szCs w:val="18"/>
              </w:rPr>
            </w:pPr>
            <w:r w:rsidRPr="00310D52">
              <w:rPr>
                <w:rFonts w:ascii="Times New Roman" w:eastAsia="Times New Roman" w:hAnsi="Times New Roman" w:cs="Times New Roman"/>
                <w:b/>
                <w:bCs/>
                <w:color w:val="767171"/>
                <w:sz w:val="18"/>
                <w:szCs w:val="18"/>
              </w:rPr>
              <w:t>1,348,771,761.72</w:t>
            </w:r>
          </w:p>
        </w:tc>
      </w:tr>
      <w:tr w:rsidR="00310D52" w:rsidRPr="00310D52" w14:paraId="44EA1A1A" w14:textId="77777777" w:rsidTr="004D6EA1">
        <w:trPr>
          <w:trHeight w:val="710"/>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F93E0D" w14:textId="77777777" w:rsidR="004D6EA1" w:rsidRPr="00310D52" w:rsidRDefault="004D6EA1" w:rsidP="004D6EA1">
            <w:pPr>
              <w:pStyle w:val="xxmsonormal"/>
              <w:spacing w:line="360" w:lineRule="auto"/>
              <w:jc w:val="center"/>
              <w:rPr>
                <w:rFonts w:ascii="Times New Roman" w:hAnsi="Times New Roman" w:cs="Times New Roman"/>
                <w:color w:val="767171"/>
                <w:sz w:val="18"/>
                <w:szCs w:val="18"/>
              </w:rPr>
            </w:pPr>
            <w:r w:rsidRPr="00310D52">
              <w:rPr>
                <w:rFonts w:ascii="Times New Roman" w:eastAsia="Times New Roman" w:hAnsi="Times New Roman" w:cs="Times New Roman"/>
                <w:color w:val="767171"/>
                <w:sz w:val="18"/>
                <w:szCs w:val="18"/>
              </w:rPr>
              <w:t>04-Población que accede a servicios de atención interhospitalario y traslado sanitario</w:t>
            </w:r>
          </w:p>
        </w:tc>
        <w:tc>
          <w:tcPr>
            <w:tcW w:w="6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CE3749"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5,983</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2BDF10"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4,834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191FE3"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5,791</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E90E5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5,294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83FBB"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5,583</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11A2C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5,269</w:t>
            </w:r>
          </w:p>
        </w:tc>
        <w:tc>
          <w:tcPr>
            <w:tcW w:w="720" w:type="dxa"/>
            <w:vAlign w:val="center"/>
          </w:tcPr>
          <w:p w14:paraId="1C9E8ED3"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5,805</w:t>
            </w:r>
          </w:p>
        </w:tc>
        <w:tc>
          <w:tcPr>
            <w:tcW w:w="630" w:type="dxa"/>
            <w:vAlign w:val="center"/>
          </w:tcPr>
          <w:p w14:paraId="09DA0907"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5,470</w:t>
            </w:r>
          </w:p>
        </w:tc>
        <w:tc>
          <w:tcPr>
            <w:tcW w:w="630" w:type="dxa"/>
            <w:vAlign w:val="center"/>
          </w:tcPr>
          <w:p w14:paraId="0C98FE64"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4,730</w:t>
            </w:r>
          </w:p>
        </w:tc>
        <w:tc>
          <w:tcPr>
            <w:tcW w:w="630" w:type="dxa"/>
            <w:vAlign w:val="center"/>
          </w:tcPr>
          <w:p w14:paraId="6463FDEF"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4,877</w:t>
            </w:r>
          </w:p>
        </w:tc>
        <w:tc>
          <w:tcPr>
            <w:tcW w:w="630" w:type="dxa"/>
            <w:vAlign w:val="center"/>
          </w:tcPr>
          <w:p w14:paraId="6B119379"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5,683</w:t>
            </w:r>
          </w:p>
        </w:tc>
        <w:tc>
          <w:tcPr>
            <w:tcW w:w="720" w:type="dxa"/>
            <w:vAlign w:val="center"/>
          </w:tcPr>
          <w:p w14:paraId="1C5382CB"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5,967</w:t>
            </w:r>
          </w:p>
        </w:tc>
        <w:tc>
          <w:tcPr>
            <w:tcW w:w="810" w:type="dxa"/>
            <w:vAlign w:val="center"/>
          </w:tcPr>
          <w:p w14:paraId="4ACD66B5" w14:textId="77777777" w:rsidR="004D6EA1" w:rsidRPr="00310D52" w:rsidRDefault="004D6EA1" w:rsidP="004D6EA1">
            <w:pPr>
              <w:pStyle w:val="xxmsonormal"/>
              <w:spacing w:line="360" w:lineRule="auto"/>
              <w:jc w:val="center"/>
              <w:rPr>
                <w:rFonts w:ascii="Times New Roman" w:eastAsia="Times New Roman" w:hAnsi="Times New Roman" w:cs="Times New Roman"/>
                <w:b/>
                <w:bCs/>
                <w:color w:val="767171"/>
                <w:sz w:val="18"/>
                <w:szCs w:val="18"/>
              </w:rPr>
            </w:pPr>
            <w:r w:rsidRPr="00310D52">
              <w:rPr>
                <w:rFonts w:ascii="Times New Roman" w:eastAsia="Times New Roman" w:hAnsi="Times New Roman" w:cs="Times New Roman"/>
                <w:b/>
                <w:bCs/>
                <w:color w:val="767171"/>
                <w:sz w:val="18"/>
                <w:szCs w:val="18"/>
              </w:rPr>
              <w:t>65,286</w:t>
            </w:r>
          </w:p>
        </w:tc>
      </w:tr>
      <w:tr w:rsidR="00310D52" w:rsidRPr="00310D52" w14:paraId="06B5E9D9" w14:textId="77777777" w:rsidTr="004D6EA1">
        <w:trPr>
          <w:trHeight w:val="503"/>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F823F2" w14:textId="77777777" w:rsidR="004D6EA1" w:rsidRPr="00310D52" w:rsidRDefault="004D6EA1" w:rsidP="004D6EA1">
            <w:pPr>
              <w:pStyle w:val="xxmsonormal"/>
              <w:spacing w:line="360" w:lineRule="auto"/>
              <w:jc w:val="center"/>
              <w:rPr>
                <w:rFonts w:ascii="Times New Roman" w:hAnsi="Times New Roman" w:cs="Times New Roman"/>
                <w:color w:val="767171"/>
                <w:sz w:val="18"/>
                <w:szCs w:val="18"/>
              </w:rPr>
            </w:pPr>
            <w:r w:rsidRPr="00310D52">
              <w:rPr>
                <w:rFonts w:ascii="Times New Roman" w:eastAsia="Times New Roman" w:hAnsi="Times New Roman" w:cs="Times New Roman"/>
                <w:color w:val="767171"/>
                <w:sz w:val="18"/>
                <w:szCs w:val="18"/>
              </w:rPr>
              <w:t>Inversión producto (RD$)</w:t>
            </w:r>
          </w:p>
        </w:tc>
        <w:tc>
          <w:tcPr>
            <w:tcW w:w="6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87E636"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0.00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9783A8"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15,335,441.35</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A275EE"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148,753,698.09</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32A9E"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15,707,901.62</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6AC50"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9,150,694.61</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9D6CC0"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10,441,308.87</w:t>
            </w:r>
          </w:p>
        </w:tc>
        <w:tc>
          <w:tcPr>
            <w:tcW w:w="720" w:type="dxa"/>
            <w:vAlign w:val="center"/>
          </w:tcPr>
          <w:p w14:paraId="3761ECF9"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2,047,056.71</w:t>
            </w:r>
          </w:p>
        </w:tc>
        <w:tc>
          <w:tcPr>
            <w:tcW w:w="630" w:type="dxa"/>
            <w:vAlign w:val="center"/>
          </w:tcPr>
          <w:p w14:paraId="42CCE386"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3,538,721.16</w:t>
            </w:r>
          </w:p>
        </w:tc>
        <w:tc>
          <w:tcPr>
            <w:tcW w:w="630" w:type="dxa"/>
            <w:vAlign w:val="center"/>
          </w:tcPr>
          <w:p w14:paraId="49416811"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261,130,357.81</w:t>
            </w:r>
          </w:p>
        </w:tc>
        <w:tc>
          <w:tcPr>
            <w:tcW w:w="630" w:type="dxa"/>
            <w:vAlign w:val="center"/>
          </w:tcPr>
          <w:p w14:paraId="6D422C97"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43,179,231.14</w:t>
            </w:r>
          </w:p>
        </w:tc>
        <w:tc>
          <w:tcPr>
            <w:tcW w:w="630" w:type="dxa"/>
            <w:vAlign w:val="center"/>
          </w:tcPr>
          <w:p w14:paraId="1EB58396"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40,727,086.43</w:t>
            </w:r>
          </w:p>
        </w:tc>
        <w:tc>
          <w:tcPr>
            <w:tcW w:w="720" w:type="dxa"/>
            <w:vAlign w:val="center"/>
          </w:tcPr>
          <w:p w14:paraId="3485C62B" w14:textId="77777777" w:rsidR="004D6EA1" w:rsidRPr="00310D52" w:rsidRDefault="004D6EA1" w:rsidP="004D6EA1">
            <w:pPr>
              <w:pStyle w:val="xxmsonormal"/>
              <w:spacing w:line="360" w:lineRule="auto"/>
              <w:jc w:val="center"/>
              <w:rPr>
                <w:rFonts w:ascii="Times New Roman" w:eastAsia="Times New Roman" w:hAnsi="Times New Roman" w:cs="Times New Roman"/>
                <w:color w:val="767171"/>
                <w:sz w:val="18"/>
                <w:szCs w:val="18"/>
              </w:rPr>
            </w:pPr>
            <w:r w:rsidRPr="00310D52">
              <w:rPr>
                <w:rFonts w:ascii="Times New Roman" w:eastAsia="Times New Roman" w:hAnsi="Times New Roman" w:cs="Times New Roman"/>
                <w:color w:val="767171"/>
                <w:sz w:val="18"/>
                <w:szCs w:val="18"/>
              </w:rPr>
              <w:t>25,886,776.94</w:t>
            </w:r>
          </w:p>
        </w:tc>
        <w:tc>
          <w:tcPr>
            <w:tcW w:w="810" w:type="dxa"/>
            <w:vAlign w:val="center"/>
          </w:tcPr>
          <w:p w14:paraId="0B102DB3" w14:textId="77777777" w:rsidR="004D6EA1" w:rsidRPr="00310D52" w:rsidRDefault="004D6EA1" w:rsidP="004D6EA1">
            <w:pPr>
              <w:pStyle w:val="xxmsonormal"/>
              <w:spacing w:line="360" w:lineRule="auto"/>
              <w:jc w:val="center"/>
              <w:rPr>
                <w:rFonts w:ascii="Times New Roman" w:eastAsia="Times New Roman" w:hAnsi="Times New Roman" w:cs="Times New Roman"/>
                <w:b/>
                <w:bCs/>
                <w:color w:val="767171"/>
                <w:sz w:val="18"/>
                <w:szCs w:val="18"/>
              </w:rPr>
            </w:pPr>
            <w:r w:rsidRPr="00310D52">
              <w:rPr>
                <w:rFonts w:ascii="Times New Roman" w:eastAsia="Times New Roman" w:hAnsi="Times New Roman" w:cs="Times New Roman"/>
                <w:b/>
                <w:bCs/>
                <w:color w:val="767171"/>
                <w:sz w:val="18"/>
                <w:szCs w:val="18"/>
              </w:rPr>
              <w:t>575,898,274.73</w:t>
            </w:r>
          </w:p>
        </w:tc>
      </w:tr>
    </w:tbl>
    <w:p w14:paraId="59949DF4" w14:textId="6696CB1B" w:rsidR="004D6EA1" w:rsidRPr="00310D52" w:rsidRDefault="004D6EA1" w:rsidP="004D6EA1">
      <w:pPr>
        <w:spacing w:line="360" w:lineRule="auto"/>
        <w:rPr>
          <w:i/>
          <w:iCs/>
          <w:sz w:val="18"/>
          <w:szCs w:val="18"/>
          <w:lang w:val="es-DO"/>
        </w:rPr>
        <w:sectPr w:rsidR="004D6EA1" w:rsidRPr="00310D52" w:rsidSect="004D6EA1">
          <w:footerReference w:type="default" r:id="rId51"/>
          <w:pgSz w:w="15840" w:h="12240" w:orient="landscape"/>
          <w:pgMar w:top="1440" w:right="2160" w:bottom="1440" w:left="2160" w:header="720" w:footer="720" w:gutter="0"/>
          <w:cols w:space="720"/>
          <w:docGrid w:linePitch="360"/>
        </w:sectPr>
      </w:pPr>
      <w:r w:rsidRPr="00310D52">
        <w:rPr>
          <w:i/>
          <w:iCs/>
          <w:sz w:val="18"/>
          <w:szCs w:val="18"/>
          <w:lang w:val="es-DO"/>
        </w:rPr>
        <w:t>Fuente: SIGEF</w:t>
      </w:r>
    </w:p>
    <w:p w14:paraId="677D36CF" w14:textId="737FFDC7" w:rsidR="00E165D8" w:rsidRPr="00F06D9C" w:rsidRDefault="00E165D8" w:rsidP="00E165D8">
      <w:pPr>
        <w:pStyle w:val="Prrafodelista"/>
        <w:numPr>
          <w:ilvl w:val="0"/>
          <w:numId w:val="30"/>
        </w:numPr>
        <w:ind w:left="450"/>
        <w:rPr>
          <w:b/>
          <w:bCs/>
          <w:lang w:val="es-DO"/>
        </w:rPr>
      </w:pPr>
      <w:r w:rsidRPr="00F06D9C">
        <w:rPr>
          <w:b/>
          <w:bCs/>
          <w:lang w:val="es-DO"/>
        </w:rPr>
        <w:lastRenderedPageBreak/>
        <w:t xml:space="preserve">Matriz de Ejecución </w:t>
      </w:r>
      <w:r w:rsidR="00B224A9" w:rsidRPr="00F06D9C">
        <w:rPr>
          <w:b/>
          <w:bCs/>
          <w:lang w:val="es-DO"/>
        </w:rPr>
        <w:t xml:space="preserve">Presupuestaria. </w:t>
      </w:r>
    </w:p>
    <w:p w14:paraId="1054DF02" w14:textId="77777777" w:rsidR="00B224A9" w:rsidRPr="00310D52" w:rsidRDefault="00B224A9" w:rsidP="00B224A9">
      <w:pPr>
        <w:pStyle w:val="Prrafodelista"/>
        <w:ind w:left="450"/>
        <w:rPr>
          <w:b/>
          <w:bCs/>
          <w:sz w:val="28"/>
          <w:szCs w:val="28"/>
          <w:lang w:val="es-DO"/>
        </w:rPr>
      </w:pPr>
    </w:p>
    <w:tbl>
      <w:tblPr>
        <w:tblW w:w="0" w:type="auto"/>
        <w:tblLook w:val="04A0" w:firstRow="1" w:lastRow="0" w:firstColumn="1" w:lastColumn="0" w:noHBand="0" w:noVBand="1"/>
      </w:tblPr>
      <w:tblGrid>
        <w:gridCol w:w="1141"/>
        <w:gridCol w:w="1236"/>
        <w:gridCol w:w="1305"/>
        <w:gridCol w:w="1305"/>
        <w:gridCol w:w="934"/>
        <w:gridCol w:w="873"/>
        <w:gridCol w:w="1106"/>
      </w:tblGrid>
      <w:tr w:rsidR="00310D52" w:rsidRPr="00310D52" w14:paraId="7C5D7A57" w14:textId="77777777" w:rsidTr="00074F31">
        <w:trPr>
          <w:trHeight w:val="637"/>
        </w:trPr>
        <w:tc>
          <w:tcPr>
            <w:tcW w:w="1070" w:type="dxa"/>
            <w:tcBorders>
              <w:top w:val="single" w:sz="8" w:space="0" w:color="auto"/>
              <w:left w:val="single" w:sz="8" w:space="0" w:color="auto"/>
              <w:bottom w:val="single" w:sz="8" w:space="0" w:color="000000"/>
              <w:right w:val="single" w:sz="8" w:space="0" w:color="auto"/>
            </w:tcBorders>
            <w:shd w:val="clear" w:color="auto" w:fill="011C50"/>
            <w:vAlign w:val="center"/>
            <w:hideMark/>
          </w:tcPr>
          <w:p w14:paraId="35812494"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Código Programa / Subprograma</w:t>
            </w:r>
          </w:p>
        </w:tc>
        <w:tc>
          <w:tcPr>
            <w:tcW w:w="1307" w:type="dxa"/>
            <w:tcBorders>
              <w:top w:val="single" w:sz="8" w:space="0" w:color="auto"/>
              <w:left w:val="single" w:sz="8" w:space="0" w:color="auto"/>
              <w:bottom w:val="single" w:sz="8" w:space="0" w:color="000000"/>
              <w:right w:val="single" w:sz="8" w:space="0" w:color="auto"/>
            </w:tcBorders>
            <w:shd w:val="clear" w:color="auto" w:fill="011C50"/>
            <w:vAlign w:val="center"/>
            <w:hideMark/>
          </w:tcPr>
          <w:p w14:paraId="3665043A"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Nombre del Programa</w:t>
            </w:r>
          </w:p>
        </w:tc>
        <w:tc>
          <w:tcPr>
            <w:tcW w:w="1305" w:type="dxa"/>
            <w:tcBorders>
              <w:top w:val="single" w:sz="8" w:space="0" w:color="auto"/>
              <w:left w:val="single" w:sz="8" w:space="0" w:color="auto"/>
              <w:bottom w:val="single" w:sz="8" w:space="0" w:color="000000"/>
              <w:right w:val="single" w:sz="8" w:space="0" w:color="auto"/>
            </w:tcBorders>
            <w:shd w:val="clear" w:color="auto" w:fill="011C50"/>
            <w:vAlign w:val="center"/>
            <w:hideMark/>
          </w:tcPr>
          <w:p w14:paraId="5C600354" w14:textId="791C5082"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Asignación presupuestaria (RD$)</w:t>
            </w:r>
          </w:p>
        </w:tc>
        <w:tc>
          <w:tcPr>
            <w:tcW w:w="0" w:type="auto"/>
            <w:tcBorders>
              <w:top w:val="single" w:sz="8" w:space="0" w:color="auto"/>
              <w:left w:val="nil"/>
              <w:right w:val="single" w:sz="8" w:space="0" w:color="auto"/>
            </w:tcBorders>
            <w:shd w:val="clear" w:color="auto" w:fill="011C50"/>
            <w:vAlign w:val="center"/>
            <w:hideMark/>
          </w:tcPr>
          <w:p w14:paraId="720D7AC8"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 xml:space="preserve">Ejecución </w:t>
            </w:r>
          </w:p>
          <w:p w14:paraId="6A6C9AAF" w14:textId="0A2C3056"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 xml:space="preserve"> (RD$)</w:t>
            </w:r>
          </w:p>
        </w:tc>
        <w:tc>
          <w:tcPr>
            <w:tcW w:w="0" w:type="auto"/>
            <w:tcBorders>
              <w:top w:val="single" w:sz="8" w:space="0" w:color="auto"/>
              <w:left w:val="single" w:sz="8" w:space="0" w:color="auto"/>
              <w:bottom w:val="single" w:sz="8" w:space="0" w:color="000000"/>
              <w:right w:val="single" w:sz="8" w:space="0" w:color="auto"/>
            </w:tcBorders>
            <w:shd w:val="clear" w:color="auto" w:fill="011C50"/>
            <w:vAlign w:val="center"/>
            <w:hideMark/>
          </w:tcPr>
          <w:p w14:paraId="63771E5D"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Cantidad de Productos Generados por Programa</w:t>
            </w:r>
          </w:p>
        </w:tc>
        <w:tc>
          <w:tcPr>
            <w:tcW w:w="0" w:type="auto"/>
            <w:tcBorders>
              <w:top w:val="single" w:sz="8" w:space="0" w:color="auto"/>
              <w:left w:val="single" w:sz="8" w:space="0" w:color="auto"/>
              <w:bottom w:val="single" w:sz="8" w:space="0" w:color="000000"/>
              <w:right w:val="single" w:sz="8" w:space="0" w:color="auto"/>
            </w:tcBorders>
            <w:shd w:val="clear" w:color="auto" w:fill="011C50"/>
            <w:vAlign w:val="center"/>
            <w:hideMark/>
          </w:tcPr>
          <w:p w14:paraId="6BD4BA1D"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Índice de Ejecución %</w:t>
            </w:r>
          </w:p>
        </w:tc>
        <w:tc>
          <w:tcPr>
            <w:tcW w:w="0" w:type="auto"/>
            <w:tcBorders>
              <w:top w:val="single" w:sz="8" w:space="0" w:color="auto"/>
              <w:left w:val="single" w:sz="8" w:space="0" w:color="auto"/>
              <w:bottom w:val="single" w:sz="8" w:space="0" w:color="000000"/>
              <w:right w:val="single" w:sz="8" w:space="0" w:color="auto"/>
            </w:tcBorders>
            <w:shd w:val="clear" w:color="auto" w:fill="011C50"/>
            <w:vAlign w:val="center"/>
            <w:hideMark/>
          </w:tcPr>
          <w:p w14:paraId="5AF4CCB1" w14:textId="77777777" w:rsidR="00B24E6C" w:rsidRPr="00D0435C" w:rsidRDefault="00B24E6C" w:rsidP="00B24E6C">
            <w:pPr>
              <w:spacing w:after="0" w:line="24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Participación ejecución por programa (%)</w:t>
            </w:r>
          </w:p>
        </w:tc>
      </w:tr>
      <w:tr w:rsidR="00310D52" w:rsidRPr="00310D52" w14:paraId="6C75B102" w14:textId="77777777" w:rsidTr="00074F31">
        <w:trPr>
          <w:trHeight w:val="142"/>
        </w:trPr>
        <w:tc>
          <w:tcPr>
            <w:tcW w:w="1070" w:type="dxa"/>
            <w:tcBorders>
              <w:top w:val="nil"/>
              <w:left w:val="single" w:sz="8" w:space="0" w:color="auto"/>
              <w:bottom w:val="single" w:sz="8" w:space="0" w:color="auto"/>
              <w:right w:val="single" w:sz="8" w:space="0" w:color="auto"/>
            </w:tcBorders>
            <w:noWrap/>
            <w:vAlign w:val="center"/>
            <w:hideMark/>
          </w:tcPr>
          <w:p w14:paraId="32432E13" w14:textId="77777777" w:rsidR="00D53BB6"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14</w:t>
            </w:r>
          </w:p>
        </w:tc>
        <w:tc>
          <w:tcPr>
            <w:tcW w:w="1307" w:type="dxa"/>
            <w:tcBorders>
              <w:top w:val="nil"/>
              <w:left w:val="nil"/>
              <w:bottom w:val="single" w:sz="8" w:space="0" w:color="auto"/>
              <w:right w:val="single" w:sz="8" w:space="0" w:color="auto"/>
            </w:tcBorders>
            <w:vAlign w:val="center"/>
            <w:hideMark/>
          </w:tcPr>
          <w:p w14:paraId="564B6FA2" w14:textId="77777777" w:rsidR="00D53BB6"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Atención de Emergencias Médicas</w:t>
            </w:r>
          </w:p>
        </w:tc>
        <w:tc>
          <w:tcPr>
            <w:tcW w:w="1305" w:type="dxa"/>
            <w:tcBorders>
              <w:top w:val="nil"/>
              <w:left w:val="nil"/>
              <w:bottom w:val="single" w:sz="8" w:space="0" w:color="auto"/>
              <w:right w:val="single" w:sz="8" w:space="0" w:color="auto"/>
            </w:tcBorders>
            <w:noWrap/>
            <w:vAlign w:val="center"/>
            <w:hideMark/>
          </w:tcPr>
          <w:p w14:paraId="270686CD" w14:textId="29AE0FA3" w:rsidR="00D53BB6" w:rsidRPr="00310D52" w:rsidRDefault="00D53BB6"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7,256,831,790.00</w:t>
            </w:r>
          </w:p>
        </w:tc>
        <w:tc>
          <w:tcPr>
            <w:tcW w:w="0" w:type="auto"/>
            <w:tcBorders>
              <w:top w:val="nil"/>
              <w:left w:val="nil"/>
              <w:bottom w:val="single" w:sz="8" w:space="0" w:color="auto"/>
              <w:right w:val="single" w:sz="8" w:space="0" w:color="auto"/>
            </w:tcBorders>
            <w:noWrap/>
            <w:vAlign w:val="center"/>
            <w:hideMark/>
          </w:tcPr>
          <w:p w14:paraId="406E1DFF" w14:textId="6762B07C" w:rsidR="00D53BB6" w:rsidRPr="00310D52" w:rsidRDefault="00D53BB6"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7,108,560,293.31</w:t>
            </w:r>
          </w:p>
        </w:tc>
        <w:tc>
          <w:tcPr>
            <w:tcW w:w="0" w:type="auto"/>
            <w:tcBorders>
              <w:top w:val="nil"/>
              <w:left w:val="nil"/>
              <w:bottom w:val="single" w:sz="8" w:space="0" w:color="auto"/>
              <w:right w:val="single" w:sz="8" w:space="0" w:color="auto"/>
            </w:tcBorders>
            <w:noWrap/>
            <w:vAlign w:val="center"/>
            <w:hideMark/>
          </w:tcPr>
          <w:p w14:paraId="5B8189F7" w14:textId="77777777" w:rsidR="00D53BB6"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2</w:t>
            </w:r>
          </w:p>
        </w:tc>
        <w:tc>
          <w:tcPr>
            <w:tcW w:w="0" w:type="auto"/>
            <w:tcBorders>
              <w:top w:val="nil"/>
              <w:left w:val="nil"/>
              <w:bottom w:val="single" w:sz="8" w:space="0" w:color="auto"/>
              <w:right w:val="single" w:sz="8" w:space="0" w:color="auto"/>
            </w:tcBorders>
            <w:noWrap/>
            <w:vAlign w:val="center"/>
          </w:tcPr>
          <w:p w14:paraId="1396A9C4" w14:textId="47F84973" w:rsidR="00D53BB6"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98%</w:t>
            </w:r>
          </w:p>
        </w:tc>
        <w:tc>
          <w:tcPr>
            <w:tcW w:w="0" w:type="auto"/>
            <w:tcBorders>
              <w:top w:val="nil"/>
              <w:left w:val="nil"/>
              <w:bottom w:val="single" w:sz="8" w:space="0" w:color="auto"/>
              <w:right w:val="single" w:sz="8" w:space="0" w:color="auto"/>
            </w:tcBorders>
            <w:noWrap/>
            <w:vAlign w:val="center"/>
          </w:tcPr>
          <w:p w14:paraId="15FB804C" w14:textId="7A21A2E0" w:rsidR="00D53BB6"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100%</w:t>
            </w:r>
          </w:p>
        </w:tc>
      </w:tr>
      <w:tr w:rsidR="00310D52" w:rsidRPr="00310D52" w14:paraId="173CF506" w14:textId="77777777" w:rsidTr="004D6EA1">
        <w:trPr>
          <w:trHeight w:val="358"/>
        </w:trPr>
        <w:tc>
          <w:tcPr>
            <w:tcW w:w="1070" w:type="dxa"/>
            <w:tcBorders>
              <w:top w:val="nil"/>
              <w:left w:val="single" w:sz="8" w:space="0" w:color="auto"/>
              <w:bottom w:val="single" w:sz="8" w:space="0" w:color="auto"/>
              <w:right w:val="single" w:sz="8" w:space="0" w:color="auto"/>
            </w:tcBorders>
            <w:noWrap/>
            <w:vAlign w:val="center"/>
            <w:hideMark/>
          </w:tcPr>
          <w:p w14:paraId="7A148BEA"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1</w:t>
            </w:r>
          </w:p>
        </w:tc>
        <w:tc>
          <w:tcPr>
            <w:tcW w:w="1307" w:type="dxa"/>
            <w:tcBorders>
              <w:top w:val="nil"/>
              <w:left w:val="nil"/>
              <w:bottom w:val="single" w:sz="8" w:space="0" w:color="auto"/>
              <w:right w:val="single" w:sz="8" w:space="0" w:color="auto"/>
            </w:tcBorders>
            <w:vAlign w:val="center"/>
            <w:hideMark/>
          </w:tcPr>
          <w:p w14:paraId="01488952"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Acciones Comunes P14</w:t>
            </w:r>
          </w:p>
        </w:tc>
        <w:tc>
          <w:tcPr>
            <w:tcW w:w="1305" w:type="dxa"/>
            <w:tcBorders>
              <w:top w:val="nil"/>
              <w:left w:val="nil"/>
              <w:bottom w:val="single" w:sz="8" w:space="0" w:color="auto"/>
              <w:right w:val="single" w:sz="8" w:space="0" w:color="auto"/>
            </w:tcBorders>
            <w:noWrap/>
            <w:vAlign w:val="center"/>
            <w:hideMark/>
          </w:tcPr>
          <w:p w14:paraId="56C8C543"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5,135,687,842.00</w:t>
            </w:r>
          </w:p>
        </w:tc>
        <w:tc>
          <w:tcPr>
            <w:tcW w:w="0" w:type="auto"/>
            <w:tcBorders>
              <w:top w:val="nil"/>
              <w:left w:val="nil"/>
              <w:bottom w:val="single" w:sz="8" w:space="0" w:color="auto"/>
              <w:right w:val="single" w:sz="8" w:space="0" w:color="auto"/>
            </w:tcBorders>
            <w:noWrap/>
            <w:vAlign w:val="center"/>
            <w:hideMark/>
          </w:tcPr>
          <w:p w14:paraId="6F447733"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5,326,303,290.00</w:t>
            </w:r>
          </w:p>
        </w:tc>
        <w:tc>
          <w:tcPr>
            <w:tcW w:w="0" w:type="auto"/>
            <w:tcBorders>
              <w:top w:val="nil"/>
              <w:left w:val="nil"/>
              <w:bottom w:val="single" w:sz="8" w:space="0" w:color="auto"/>
              <w:right w:val="single" w:sz="8" w:space="0" w:color="auto"/>
            </w:tcBorders>
            <w:noWrap/>
            <w:vAlign w:val="center"/>
            <w:hideMark/>
          </w:tcPr>
          <w:p w14:paraId="309DDF5B" w14:textId="1B38DA72" w:rsidR="00B24E6C" w:rsidRPr="00310D52" w:rsidRDefault="00F06D9C" w:rsidP="00074F31">
            <w:pPr>
              <w:spacing w:after="0" w:line="360" w:lineRule="auto"/>
              <w:jc w:val="center"/>
              <w:rPr>
                <w:rFonts w:eastAsia="Times New Roman"/>
                <w:spacing w:val="0"/>
                <w:sz w:val="20"/>
                <w:szCs w:val="20"/>
                <w:lang w:val="es-DO"/>
              </w:rPr>
            </w:pPr>
            <w:r>
              <w:rPr>
                <w:rFonts w:eastAsia="Times New Roman"/>
                <w:spacing w:val="0"/>
                <w:sz w:val="20"/>
                <w:szCs w:val="20"/>
                <w:lang w:val="es-DO"/>
              </w:rPr>
              <w:t>1</w:t>
            </w:r>
          </w:p>
        </w:tc>
        <w:tc>
          <w:tcPr>
            <w:tcW w:w="0" w:type="auto"/>
            <w:tcBorders>
              <w:top w:val="nil"/>
              <w:left w:val="nil"/>
              <w:bottom w:val="single" w:sz="8" w:space="0" w:color="auto"/>
              <w:right w:val="single" w:sz="8" w:space="0" w:color="auto"/>
            </w:tcBorders>
            <w:noWrap/>
            <w:vAlign w:val="center"/>
            <w:hideMark/>
          </w:tcPr>
          <w:p w14:paraId="338E7B67"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104%</w:t>
            </w:r>
          </w:p>
        </w:tc>
        <w:tc>
          <w:tcPr>
            <w:tcW w:w="0" w:type="auto"/>
            <w:tcBorders>
              <w:top w:val="nil"/>
              <w:left w:val="nil"/>
              <w:bottom w:val="single" w:sz="8" w:space="0" w:color="auto"/>
              <w:right w:val="single" w:sz="8" w:space="0" w:color="auto"/>
            </w:tcBorders>
            <w:noWrap/>
            <w:vAlign w:val="center"/>
            <w:hideMark/>
          </w:tcPr>
          <w:p w14:paraId="7C20F3FC" w14:textId="61B88435"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7</w:t>
            </w:r>
            <w:r w:rsidR="00D53BB6" w:rsidRPr="00310D52">
              <w:rPr>
                <w:rFonts w:eastAsia="Times New Roman"/>
                <w:spacing w:val="0"/>
                <w:sz w:val="20"/>
                <w:szCs w:val="20"/>
                <w:lang w:val="es-DO"/>
              </w:rPr>
              <w:t>4.92</w:t>
            </w:r>
            <w:r w:rsidRPr="00310D52">
              <w:rPr>
                <w:rFonts w:eastAsia="Times New Roman"/>
                <w:spacing w:val="0"/>
                <w:sz w:val="20"/>
                <w:szCs w:val="20"/>
                <w:lang w:val="es-DO"/>
              </w:rPr>
              <w:t>%</w:t>
            </w:r>
          </w:p>
        </w:tc>
      </w:tr>
      <w:tr w:rsidR="00310D52" w:rsidRPr="00310D52" w14:paraId="41B4BA19" w14:textId="77777777" w:rsidTr="004D6EA1">
        <w:trPr>
          <w:trHeight w:val="637"/>
        </w:trPr>
        <w:tc>
          <w:tcPr>
            <w:tcW w:w="1070" w:type="dxa"/>
            <w:tcBorders>
              <w:top w:val="nil"/>
              <w:left w:val="single" w:sz="8" w:space="0" w:color="auto"/>
              <w:bottom w:val="single" w:sz="8" w:space="0" w:color="auto"/>
              <w:right w:val="single" w:sz="8" w:space="0" w:color="auto"/>
            </w:tcBorders>
            <w:noWrap/>
            <w:vAlign w:val="center"/>
            <w:hideMark/>
          </w:tcPr>
          <w:p w14:paraId="18909F01"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3</w:t>
            </w:r>
          </w:p>
        </w:tc>
        <w:tc>
          <w:tcPr>
            <w:tcW w:w="1307" w:type="dxa"/>
            <w:tcBorders>
              <w:top w:val="nil"/>
              <w:left w:val="nil"/>
              <w:bottom w:val="single" w:sz="8" w:space="0" w:color="auto"/>
              <w:right w:val="single" w:sz="8" w:space="0" w:color="auto"/>
            </w:tcBorders>
            <w:vAlign w:val="center"/>
            <w:hideMark/>
          </w:tcPr>
          <w:p w14:paraId="7F30A933"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Población que accede a servicios de atención prehospitalaria</w:t>
            </w:r>
          </w:p>
        </w:tc>
        <w:tc>
          <w:tcPr>
            <w:tcW w:w="1305" w:type="dxa"/>
            <w:tcBorders>
              <w:top w:val="nil"/>
              <w:left w:val="nil"/>
              <w:bottom w:val="single" w:sz="8" w:space="0" w:color="auto"/>
              <w:right w:val="single" w:sz="8" w:space="0" w:color="auto"/>
            </w:tcBorders>
            <w:noWrap/>
            <w:vAlign w:val="center"/>
            <w:hideMark/>
          </w:tcPr>
          <w:p w14:paraId="08D80071"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1,484,529,899.00</w:t>
            </w:r>
          </w:p>
        </w:tc>
        <w:tc>
          <w:tcPr>
            <w:tcW w:w="0" w:type="auto"/>
            <w:tcBorders>
              <w:top w:val="nil"/>
              <w:left w:val="nil"/>
              <w:bottom w:val="single" w:sz="8" w:space="0" w:color="auto"/>
              <w:right w:val="single" w:sz="8" w:space="0" w:color="auto"/>
            </w:tcBorders>
            <w:noWrap/>
            <w:vAlign w:val="center"/>
            <w:hideMark/>
          </w:tcPr>
          <w:p w14:paraId="6195ACB7"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1,232,245,505.52</w:t>
            </w:r>
          </w:p>
        </w:tc>
        <w:tc>
          <w:tcPr>
            <w:tcW w:w="0" w:type="auto"/>
            <w:tcBorders>
              <w:top w:val="nil"/>
              <w:left w:val="nil"/>
              <w:bottom w:val="single" w:sz="8" w:space="0" w:color="auto"/>
              <w:right w:val="single" w:sz="8" w:space="0" w:color="auto"/>
            </w:tcBorders>
            <w:noWrap/>
            <w:vAlign w:val="center"/>
          </w:tcPr>
          <w:p w14:paraId="460FD520" w14:textId="5F936B02" w:rsidR="00B24E6C" w:rsidRPr="00310D52" w:rsidRDefault="00F06D9C" w:rsidP="00074F31">
            <w:pPr>
              <w:spacing w:after="0" w:line="360" w:lineRule="auto"/>
              <w:jc w:val="center"/>
              <w:rPr>
                <w:rFonts w:eastAsia="Times New Roman"/>
                <w:spacing w:val="0"/>
                <w:sz w:val="20"/>
                <w:szCs w:val="20"/>
                <w:lang w:val="es-DO"/>
              </w:rPr>
            </w:pPr>
            <w:r>
              <w:rPr>
                <w:rFonts w:eastAsia="Times New Roman"/>
                <w:spacing w:val="0"/>
                <w:sz w:val="20"/>
                <w:szCs w:val="20"/>
                <w:lang w:val="es-DO"/>
              </w:rPr>
              <w:t>1</w:t>
            </w:r>
          </w:p>
        </w:tc>
        <w:tc>
          <w:tcPr>
            <w:tcW w:w="0" w:type="auto"/>
            <w:tcBorders>
              <w:top w:val="nil"/>
              <w:left w:val="nil"/>
              <w:bottom w:val="single" w:sz="8" w:space="0" w:color="auto"/>
              <w:right w:val="single" w:sz="8" w:space="0" w:color="auto"/>
            </w:tcBorders>
            <w:noWrap/>
            <w:vAlign w:val="center"/>
            <w:hideMark/>
          </w:tcPr>
          <w:p w14:paraId="687014FF"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83%</w:t>
            </w:r>
          </w:p>
        </w:tc>
        <w:tc>
          <w:tcPr>
            <w:tcW w:w="0" w:type="auto"/>
            <w:tcBorders>
              <w:top w:val="nil"/>
              <w:left w:val="nil"/>
              <w:bottom w:val="single" w:sz="8" w:space="0" w:color="auto"/>
              <w:right w:val="single" w:sz="8" w:space="0" w:color="auto"/>
            </w:tcBorders>
            <w:noWrap/>
            <w:vAlign w:val="center"/>
            <w:hideMark/>
          </w:tcPr>
          <w:p w14:paraId="2EE27BD1" w14:textId="510CA291"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17</w:t>
            </w:r>
            <w:r w:rsidR="00D53BB6" w:rsidRPr="00310D52">
              <w:rPr>
                <w:rFonts w:eastAsia="Times New Roman"/>
                <w:spacing w:val="0"/>
                <w:sz w:val="20"/>
                <w:szCs w:val="20"/>
                <w:lang w:val="es-DO"/>
              </w:rPr>
              <w:t>.33</w:t>
            </w:r>
            <w:r w:rsidRPr="00310D52">
              <w:rPr>
                <w:rFonts w:eastAsia="Times New Roman"/>
                <w:spacing w:val="0"/>
                <w:sz w:val="20"/>
                <w:szCs w:val="20"/>
                <w:lang w:val="es-DO"/>
              </w:rPr>
              <w:t>%</w:t>
            </w:r>
          </w:p>
        </w:tc>
      </w:tr>
      <w:tr w:rsidR="00310D52" w:rsidRPr="00310D52" w14:paraId="254A59D7" w14:textId="77777777" w:rsidTr="00074F31">
        <w:trPr>
          <w:trHeight w:val="853"/>
        </w:trPr>
        <w:tc>
          <w:tcPr>
            <w:tcW w:w="1070" w:type="dxa"/>
            <w:tcBorders>
              <w:top w:val="nil"/>
              <w:left w:val="single" w:sz="8" w:space="0" w:color="auto"/>
              <w:bottom w:val="single" w:sz="8" w:space="0" w:color="auto"/>
              <w:right w:val="single" w:sz="8" w:space="0" w:color="auto"/>
            </w:tcBorders>
            <w:noWrap/>
            <w:vAlign w:val="center"/>
            <w:hideMark/>
          </w:tcPr>
          <w:p w14:paraId="4D541B43"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4</w:t>
            </w:r>
          </w:p>
        </w:tc>
        <w:tc>
          <w:tcPr>
            <w:tcW w:w="1307" w:type="dxa"/>
            <w:tcBorders>
              <w:top w:val="nil"/>
              <w:left w:val="nil"/>
              <w:bottom w:val="single" w:sz="8" w:space="0" w:color="auto"/>
              <w:right w:val="single" w:sz="8" w:space="0" w:color="auto"/>
            </w:tcBorders>
            <w:vAlign w:val="center"/>
            <w:hideMark/>
          </w:tcPr>
          <w:p w14:paraId="2EA6AC70"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Población que accede a servicios de atención interhospitalario y traslado sanitario</w:t>
            </w:r>
          </w:p>
        </w:tc>
        <w:tc>
          <w:tcPr>
            <w:tcW w:w="1305" w:type="dxa"/>
            <w:tcBorders>
              <w:top w:val="nil"/>
              <w:left w:val="nil"/>
              <w:bottom w:val="single" w:sz="8" w:space="0" w:color="auto"/>
              <w:right w:val="single" w:sz="8" w:space="0" w:color="auto"/>
            </w:tcBorders>
            <w:noWrap/>
            <w:vAlign w:val="center"/>
            <w:hideMark/>
          </w:tcPr>
          <w:p w14:paraId="4B320906"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636,614,049.00</w:t>
            </w:r>
          </w:p>
        </w:tc>
        <w:tc>
          <w:tcPr>
            <w:tcW w:w="0" w:type="auto"/>
            <w:tcBorders>
              <w:top w:val="nil"/>
              <w:left w:val="nil"/>
              <w:bottom w:val="single" w:sz="8" w:space="0" w:color="auto"/>
              <w:right w:val="single" w:sz="8" w:space="0" w:color="auto"/>
            </w:tcBorders>
            <w:noWrap/>
            <w:vAlign w:val="center"/>
            <w:hideMark/>
          </w:tcPr>
          <w:p w14:paraId="5990F7D5" w14:textId="77777777" w:rsidR="00B24E6C" w:rsidRPr="00310D52" w:rsidRDefault="00B24E6C" w:rsidP="00074F31">
            <w:pPr>
              <w:spacing w:after="0" w:line="360" w:lineRule="auto"/>
              <w:jc w:val="right"/>
              <w:rPr>
                <w:rFonts w:eastAsia="Times New Roman"/>
                <w:spacing w:val="0"/>
                <w:sz w:val="20"/>
                <w:szCs w:val="20"/>
                <w:lang w:val="es-DO"/>
              </w:rPr>
            </w:pPr>
            <w:r w:rsidRPr="00310D52">
              <w:rPr>
                <w:rFonts w:eastAsia="Times New Roman"/>
                <w:spacing w:val="0"/>
                <w:sz w:val="20"/>
                <w:szCs w:val="20"/>
                <w:lang w:val="es-DO"/>
              </w:rPr>
              <w:t>550,011,497.79</w:t>
            </w:r>
          </w:p>
        </w:tc>
        <w:tc>
          <w:tcPr>
            <w:tcW w:w="0" w:type="auto"/>
            <w:tcBorders>
              <w:top w:val="nil"/>
              <w:left w:val="nil"/>
              <w:bottom w:val="single" w:sz="8" w:space="0" w:color="auto"/>
              <w:right w:val="single" w:sz="8" w:space="0" w:color="auto"/>
            </w:tcBorders>
            <w:noWrap/>
            <w:vAlign w:val="center"/>
          </w:tcPr>
          <w:p w14:paraId="29807940" w14:textId="18CF9767" w:rsidR="00B24E6C" w:rsidRPr="00310D52" w:rsidRDefault="00F06D9C" w:rsidP="00074F31">
            <w:pPr>
              <w:spacing w:after="0" w:line="360" w:lineRule="auto"/>
              <w:jc w:val="center"/>
              <w:rPr>
                <w:rFonts w:eastAsia="Times New Roman"/>
                <w:spacing w:val="0"/>
                <w:sz w:val="20"/>
                <w:szCs w:val="20"/>
                <w:lang w:val="es-DO"/>
              </w:rPr>
            </w:pPr>
            <w:r>
              <w:rPr>
                <w:rFonts w:eastAsia="Times New Roman"/>
                <w:spacing w:val="0"/>
                <w:sz w:val="20"/>
                <w:szCs w:val="20"/>
                <w:lang w:val="es-DO"/>
              </w:rPr>
              <w:t>1</w:t>
            </w:r>
          </w:p>
        </w:tc>
        <w:tc>
          <w:tcPr>
            <w:tcW w:w="0" w:type="auto"/>
            <w:tcBorders>
              <w:top w:val="nil"/>
              <w:left w:val="nil"/>
              <w:bottom w:val="single" w:sz="8" w:space="0" w:color="auto"/>
              <w:right w:val="single" w:sz="8" w:space="0" w:color="auto"/>
            </w:tcBorders>
            <w:noWrap/>
            <w:vAlign w:val="center"/>
            <w:hideMark/>
          </w:tcPr>
          <w:p w14:paraId="40B8620B" w14:textId="77777777" w:rsidR="00B24E6C" w:rsidRPr="00310D52" w:rsidRDefault="00B24E6C"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86%</w:t>
            </w:r>
          </w:p>
        </w:tc>
        <w:tc>
          <w:tcPr>
            <w:tcW w:w="0" w:type="auto"/>
            <w:tcBorders>
              <w:top w:val="nil"/>
              <w:left w:val="nil"/>
              <w:bottom w:val="single" w:sz="8" w:space="0" w:color="auto"/>
              <w:right w:val="single" w:sz="8" w:space="0" w:color="auto"/>
            </w:tcBorders>
            <w:noWrap/>
            <w:vAlign w:val="center"/>
            <w:hideMark/>
          </w:tcPr>
          <w:p w14:paraId="7C961902" w14:textId="360D95AE" w:rsidR="00B24E6C" w:rsidRPr="00310D52" w:rsidRDefault="00D53BB6" w:rsidP="00074F31">
            <w:pPr>
              <w:spacing w:after="0" w:line="360" w:lineRule="auto"/>
              <w:jc w:val="center"/>
              <w:rPr>
                <w:rFonts w:eastAsia="Times New Roman"/>
                <w:spacing w:val="0"/>
                <w:sz w:val="20"/>
                <w:szCs w:val="20"/>
                <w:lang w:val="es-DO"/>
              </w:rPr>
            </w:pPr>
            <w:r w:rsidRPr="00310D52">
              <w:rPr>
                <w:rFonts w:eastAsia="Times New Roman"/>
                <w:spacing w:val="0"/>
                <w:sz w:val="20"/>
                <w:szCs w:val="20"/>
                <w:lang w:val="es-DO"/>
              </w:rPr>
              <w:t>7.74</w:t>
            </w:r>
            <w:r w:rsidR="00B24E6C" w:rsidRPr="00310D52">
              <w:rPr>
                <w:rFonts w:eastAsia="Times New Roman"/>
                <w:spacing w:val="0"/>
                <w:sz w:val="20"/>
                <w:szCs w:val="20"/>
                <w:lang w:val="es-DO"/>
              </w:rPr>
              <w:t>%</w:t>
            </w:r>
          </w:p>
        </w:tc>
      </w:tr>
      <w:tr w:rsidR="00310D52" w:rsidRPr="00310D52" w14:paraId="42BA748A" w14:textId="77777777" w:rsidTr="00434602">
        <w:trPr>
          <w:trHeight w:val="60"/>
        </w:trPr>
        <w:tc>
          <w:tcPr>
            <w:tcW w:w="2377" w:type="dxa"/>
            <w:gridSpan w:val="2"/>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3065472D" w14:textId="77777777" w:rsidR="00B24E6C" w:rsidRPr="00D0435C" w:rsidRDefault="00B24E6C" w:rsidP="00074F31">
            <w:pPr>
              <w:spacing w:after="0" w:line="36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Totales</w:t>
            </w:r>
          </w:p>
        </w:tc>
        <w:tc>
          <w:tcPr>
            <w:tcW w:w="1305" w:type="dxa"/>
            <w:tcBorders>
              <w:top w:val="nil"/>
              <w:left w:val="nil"/>
              <w:bottom w:val="single" w:sz="8" w:space="0" w:color="auto"/>
              <w:right w:val="single" w:sz="8" w:space="0" w:color="auto"/>
            </w:tcBorders>
            <w:shd w:val="clear" w:color="auto" w:fill="011C50"/>
            <w:noWrap/>
            <w:vAlign w:val="center"/>
            <w:hideMark/>
          </w:tcPr>
          <w:p w14:paraId="38685A6C" w14:textId="77777777" w:rsidR="00B24E6C" w:rsidRPr="00D0435C" w:rsidRDefault="00B24E6C" w:rsidP="00074F31">
            <w:pPr>
              <w:spacing w:after="0" w:line="36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7,256,831,790.00</w:t>
            </w:r>
          </w:p>
        </w:tc>
        <w:tc>
          <w:tcPr>
            <w:tcW w:w="0" w:type="auto"/>
            <w:tcBorders>
              <w:top w:val="nil"/>
              <w:left w:val="nil"/>
              <w:bottom w:val="single" w:sz="8" w:space="0" w:color="auto"/>
              <w:right w:val="single" w:sz="8" w:space="0" w:color="auto"/>
            </w:tcBorders>
            <w:shd w:val="clear" w:color="auto" w:fill="011C50"/>
            <w:noWrap/>
            <w:vAlign w:val="center"/>
            <w:hideMark/>
          </w:tcPr>
          <w:p w14:paraId="1661A93E" w14:textId="77777777" w:rsidR="00B24E6C" w:rsidRPr="00D0435C" w:rsidRDefault="00B24E6C" w:rsidP="00074F31">
            <w:pPr>
              <w:spacing w:after="0" w:line="36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7,108,560,293.31</w:t>
            </w:r>
          </w:p>
        </w:tc>
        <w:tc>
          <w:tcPr>
            <w:tcW w:w="0" w:type="auto"/>
            <w:tcBorders>
              <w:top w:val="nil"/>
              <w:left w:val="nil"/>
              <w:bottom w:val="single" w:sz="8" w:space="0" w:color="auto"/>
              <w:right w:val="single" w:sz="8" w:space="0" w:color="auto"/>
            </w:tcBorders>
            <w:shd w:val="clear" w:color="auto" w:fill="011C50"/>
            <w:noWrap/>
            <w:vAlign w:val="center"/>
            <w:hideMark/>
          </w:tcPr>
          <w:p w14:paraId="3BA6785B" w14:textId="77777777" w:rsidR="00B24E6C" w:rsidRPr="00D0435C" w:rsidRDefault="00B24E6C" w:rsidP="00074F31">
            <w:pPr>
              <w:spacing w:after="0" w:line="36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 </w:t>
            </w:r>
          </w:p>
        </w:tc>
        <w:tc>
          <w:tcPr>
            <w:tcW w:w="0" w:type="auto"/>
            <w:tcBorders>
              <w:top w:val="nil"/>
              <w:left w:val="nil"/>
              <w:bottom w:val="single" w:sz="8" w:space="0" w:color="auto"/>
              <w:right w:val="single" w:sz="8" w:space="0" w:color="auto"/>
            </w:tcBorders>
            <w:shd w:val="clear" w:color="auto" w:fill="011C50"/>
            <w:noWrap/>
            <w:vAlign w:val="center"/>
            <w:hideMark/>
          </w:tcPr>
          <w:p w14:paraId="7C6403D0" w14:textId="77777777" w:rsidR="00B24E6C" w:rsidRPr="00D0435C" w:rsidRDefault="00B24E6C" w:rsidP="00074F31">
            <w:pPr>
              <w:spacing w:after="0" w:line="360" w:lineRule="auto"/>
              <w:jc w:val="center"/>
              <w:rPr>
                <w:rFonts w:eastAsia="Times New Roman"/>
                <w:b/>
                <w:bCs/>
                <w:color w:val="FFFFFF" w:themeColor="background1"/>
                <w:spacing w:val="0"/>
                <w:sz w:val="20"/>
                <w:szCs w:val="20"/>
                <w:lang w:val="es-DO"/>
              </w:rPr>
            </w:pPr>
            <w:r w:rsidRPr="00D0435C">
              <w:rPr>
                <w:rFonts w:eastAsia="Times New Roman"/>
                <w:b/>
                <w:bCs/>
                <w:color w:val="FFFFFF" w:themeColor="background1"/>
                <w:spacing w:val="0"/>
                <w:sz w:val="20"/>
                <w:szCs w:val="20"/>
                <w:lang w:val="es-DO"/>
              </w:rPr>
              <w:t>98%</w:t>
            </w:r>
          </w:p>
        </w:tc>
        <w:tc>
          <w:tcPr>
            <w:tcW w:w="0" w:type="auto"/>
            <w:tcBorders>
              <w:top w:val="nil"/>
              <w:left w:val="nil"/>
              <w:bottom w:val="single" w:sz="8" w:space="0" w:color="auto"/>
              <w:right w:val="single" w:sz="8" w:space="0" w:color="auto"/>
            </w:tcBorders>
            <w:shd w:val="clear" w:color="auto" w:fill="011C50"/>
            <w:noWrap/>
            <w:vAlign w:val="center"/>
            <w:hideMark/>
          </w:tcPr>
          <w:p w14:paraId="23F32AB7" w14:textId="77777777" w:rsidR="00B24E6C" w:rsidRPr="00D0435C" w:rsidRDefault="00B24E6C" w:rsidP="00074F31">
            <w:pPr>
              <w:spacing w:after="0" w:line="360" w:lineRule="auto"/>
              <w:jc w:val="center"/>
              <w:rPr>
                <w:rFonts w:eastAsia="Times New Roman"/>
                <w:color w:val="FFFFFF" w:themeColor="background1"/>
                <w:spacing w:val="0"/>
                <w:sz w:val="20"/>
                <w:szCs w:val="20"/>
                <w:lang w:val="es-DO"/>
              </w:rPr>
            </w:pPr>
            <w:r w:rsidRPr="00D0435C">
              <w:rPr>
                <w:rFonts w:eastAsia="Times New Roman"/>
                <w:color w:val="FFFFFF" w:themeColor="background1"/>
                <w:spacing w:val="0"/>
                <w:sz w:val="20"/>
                <w:szCs w:val="20"/>
                <w:lang w:val="es-DO"/>
              </w:rPr>
              <w:t> </w:t>
            </w:r>
          </w:p>
        </w:tc>
      </w:tr>
    </w:tbl>
    <w:p w14:paraId="1DA58DC9" w14:textId="77777777" w:rsidR="00434602" w:rsidRPr="00310D52" w:rsidRDefault="00434602" w:rsidP="00074F31">
      <w:pPr>
        <w:spacing w:line="360" w:lineRule="auto"/>
        <w:rPr>
          <w:i/>
          <w:iCs/>
          <w:sz w:val="18"/>
          <w:szCs w:val="18"/>
          <w:lang w:val="es-DO"/>
        </w:rPr>
      </w:pPr>
    </w:p>
    <w:p w14:paraId="51230A12" w14:textId="4A1B8AB8" w:rsidR="00B24E6C" w:rsidRPr="00310D52" w:rsidRDefault="00B24E6C" w:rsidP="00074F31">
      <w:pPr>
        <w:spacing w:line="360" w:lineRule="auto"/>
        <w:rPr>
          <w:i/>
          <w:iCs/>
          <w:sz w:val="18"/>
          <w:szCs w:val="18"/>
          <w:lang w:val="es-DO"/>
        </w:rPr>
      </w:pPr>
      <w:r w:rsidRPr="00310D52">
        <w:rPr>
          <w:i/>
          <w:iCs/>
          <w:sz w:val="18"/>
          <w:szCs w:val="18"/>
          <w:lang w:val="es-DO"/>
        </w:rPr>
        <w:t>Fuente: SIGEF</w:t>
      </w:r>
    </w:p>
    <w:p w14:paraId="1CF19F5E" w14:textId="77777777" w:rsidR="00B24E6C" w:rsidRPr="00310D52" w:rsidRDefault="00B24E6C" w:rsidP="00B24E6C">
      <w:pPr>
        <w:rPr>
          <w:sz w:val="18"/>
          <w:szCs w:val="18"/>
          <w:lang w:val="es-DO"/>
        </w:rPr>
      </w:pPr>
    </w:p>
    <w:p w14:paraId="041B4E7C" w14:textId="77777777" w:rsidR="00B24E6C" w:rsidRPr="00310D52" w:rsidRDefault="00B24E6C" w:rsidP="00B24E6C">
      <w:pPr>
        <w:rPr>
          <w:sz w:val="18"/>
          <w:szCs w:val="18"/>
          <w:lang w:val="es-DO"/>
        </w:rPr>
      </w:pPr>
    </w:p>
    <w:p w14:paraId="0E06EB5F" w14:textId="77777777" w:rsidR="00B224A9" w:rsidRPr="00310D52" w:rsidRDefault="00B224A9" w:rsidP="00B24E6C">
      <w:pPr>
        <w:rPr>
          <w:sz w:val="18"/>
          <w:szCs w:val="18"/>
          <w:lang w:val="es-DO"/>
        </w:rPr>
      </w:pPr>
    </w:p>
    <w:p w14:paraId="6737FF05" w14:textId="77777777" w:rsidR="00B224A9" w:rsidRPr="00310D52" w:rsidRDefault="00B224A9" w:rsidP="00B24E6C">
      <w:pPr>
        <w:rPr>
          <w:sz w:val="18"/>
          <w:szCs w:val="18"/>
          <w:lang w:val="es-DO"/>
        </w:rPr>
      </w:pPr>
    </w:p>
    <w:p w14:paraId="0F694112" w14:textId="2F6DFA8D" w:rsidR="00B24E6C" w:rsidRPr="00F06D9C" w:rsidRDefault="00B24E6C" w:rsidP="00B24E6C">
      <w:pPr>
        <w:pStyle w:val="Prrafodelista"/>
        <w:numPr>
          <w:ilvl w:val="0"/>
          <w:numId w:val="30"/>
        </w:numPr>
        <w:ind w:left="450"/>
        <w:rPr>
          <w:b/>
          <w:bCs/>
          <w:lang w:val="es-DO"/>
        </w:rPr>
      </w:pPr>
      <w:r w:rsidRPr="00F06D9C">
        <w:rPr>
          <w:b/>
          <w:bCs/>
          <w:lang w:val="es-DO"/>
        </w:rPr>
        <w:lastRenderedPageBreak/>
        <w:t>Matriz de Principales Indicadores del POA.</w:t>
      </w:r>
    </w:p>
    <w:p w14:paraId="3A1869A4" w14:textId="77777777" w:rsidR="00B224A9" w:rsidRPr="00310D52" w:rsidRDefault="00B224A9" w:rsidP="00B224A9">
      <w:pPr>
        <w:pStyle w:val="Prrafodelista"/>
        <w:ind w:left="450"/>
        <w:rPr>
          <w:b/>
          <w:bCs/>
          <w:sz w:val="28"/>
          <w:szCs w:val="28"/>
          <w:lang w:val="es-DO"/>
        </w:rPr>
      </w:pPr>
    </w:p>
    <w:tbl>
      <w:tblPr>
        <w:tblW w:w="0" w:type="auto"/>
        <w:tblLayout w:type="fixed"/>
        <w:tblLook w:val="04A0" w:firstRow="1" w:lastRow="0" w:firstColumn="1" w:lastColumn="0" w:noHBand="0" w:noVBand="1"/>
      </w:tblPr>
      <w:tblGrid>
        <w:gridCol w:w="448"/>
        <w:gridCol w:w="627"/>
        <w:gridCol w:w="1440"/>
        <w:gridCol w:w="1890"/>
        <w:gridCol w:w="720"/>
        <w:gridCol w:w="720"/>
        <w:gridCol w:w="630"/>
        <w:gridCol w:w="630"/>
        <w:gridCol w:w="805"/>
      </w:tblGrid>
      <w:tr w:rsidR="00310D52" w:rsidRPr="00310D52" w14:paraId="56F82C88" w14:textId="77777777" w:rsidTr="00275786">
        <w:trPr>
          <w:trHeight w:val="70"/>
        </w:trPr>
        <w:tc>
          <w:tcPr>
            <w:tcW w:w="44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BCF0AB6" w14:textId="002D752C"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No</w:t>
            </w:r>
            <w:r w:rsidR="00074F31" w:rsidRPr="00D0435C">
              <w:rPr>
                <w:rFonts w:eastAsia="Times New Roman"/>
                <w:b/>
                <w:bCs/>
                <w:color w:val="FFFFFF" w:themeColor="background1"/>
                <w:spacing w:val="0"/>
                <w:sz w:val="18"/>
                <w:szCs w:val="18"/>
                <w:lang w:val="es-DO"/>
              </w:rPr>
              <w:t>.</w:t>
            </w:r>
          </w:p>
        </w:tc>
        <w:tc>
          <w:tcPr>
            <w:tcW w:w="627" w:type="dxa"/>
            <w:tcBorders>
              <w:top w:val="single" w:sz="4" w:space="0" w:color="auto"/>
              <w:left w:val="nil"/>
              <w:bottom w:val="single" w:sz="4" w:space="0" w:color="auto"/>
              <w:right w:val="single" w:sz="4" w:space="0" w:color="auto"/>
            </w:tcBorders>
            <w:shd w:val="clear" w:color="000000" w:fill="002060"/>
            <w:vAlign w:val="center"/>
            <w:hideMark/>
          </w:tcPr>
          <w:p w14:paraId="40DAB2AC"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Área</w:t>
            </w:r>
          </w:p>
        </w:tc>
        <w:tc>
          <w:tcPr>
            <w:tcW w:w="1440" w:type="dxa"/>
            <w:tcBorders>
              <w:top w:val="single" w:sz="4" w:space="0" w:color="auto"/>
              <w:left w:val="nil"/>
              <w:bottom w:val="single" w:sz="4" w:space="0" w:color="auto"/>
              <w:right w:val="single" w:sz="4" w:space="0" w:color="auto"/>
            </w:tcBorders>
            <w:shd w:val="clear" w:color="000000" w:fill="002060"/>
            <w:vAlign w:val="center"/>
            <w:hideMark/>
          </w:tcPr>
          <w:p w14:paraId="2105400F"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Producto</w:t>
            </w:r>
          </w:p>
        </w:tc>
        <w:tc>
          <w:tcPr>
            <w:tcW w:w="1890" w:type="dxa"/>
            <w:tcBorders>
              <w:top w:val="single" w:sz="4" w:space="0" w:color="auto"/>
              <w:left w:val="nil"/>
              <w:bottom w:val="nil"/>
              <w:right w:val="single" w:sz="4" w:space="0" w:color="auto"/>
            </w:tcBorders>
            <w:shd w:val="clear" w:color="000000" w:fill="002060"/>
            <w:vAlign w:val="center"/>
            <w:hideMark/>
          </w:tcPr>
          <w:p w14:paraId="6177558A"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Nombre del Indicador</w:t>
            </w:r>
          </w:p>
        </w:tc>
        <w:tc>
          <w:tcPr>
            <w:tcW w:w="720" w:type="dxa"/>
            <w:tcBorders>
              <w:top w:val="single" w:sz="4" w:space="0" w:color="auto"/>
              <w:left w:val="nil"/>
              <w:bottom w:val="single" w:sz="4" w:space="0" w:color="auto"/>
              <w:right w:val="single" w:sz="4" w:space="0" w:color="auto"/>
            </w:tcBorders>
            <w:shd w:val="clear" w:color="000000" w:fill="002060"/>
            <w:vAlign w:val="center"/>
            <w:hideMark/>
          </w:tcPr>
          <w:p w14:paraId="3A198406"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Frecuencia</w:t>
            </w:r>
          </w:p>
        </w:tc>
        <w:tc>
          <w:tcPr>
            <w:tcW w:w="720" w:type="dxa"/>
            <w:tcBorders>
              <w:top w:val="single" w:sz="4" w:space="0" w:color="auto"/>
              <w:left w:val="nil"/>
              <w:bottom w:val="single" w:sz="4" w:space="0" w:color="auto"/>
              <w:right w:val="single" w:sz="4" w:space="0" w:color="auto"/>
            </w:tcBorders>
            <w:shd w:val="clear" w:color="000000" w:fill="002060"/>
            <w:vAlign w:val="center"/>
            <w:hideMark/>
          </w:tcPr>
          <w:p w14:paraId="7FEA9B70"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Línea Base</w:t>
            </w:r>
          </w:p>
        </w:tc>
        <w:tc>
          <w:tcPr>
            <w:tcW w:w="630" w:type="dxa"/>
            <w:tcBorders>
              <w:top w:val="single" w:sz="4" w:space="0" w:color="auto"/>
              <w:left w:val="nil"/>
              <w:bottom w:val="single" w:sz="4" w:space="0" w:color="auto"/>
              <w:right w:val="single" w:sz="4" w:space="0" w:color="auto"/>
            </w:tcBorders>
            <w:shd w:val="clear" w:color="000000" w:fill="002060"/>
            <w:vAlign w:val="center"/>
            <w:hideMark/>
          </w:tcPr>
          <w:p w14:paraId="665A1FE8"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Meta</w:t>
            </w:r>
          </w:p>
        </w:tc>
        <w:tc>
          <w:tcPr>
            <w:tcW w:w="630" w:type="dxa"/>
            <w:tcBorders>
              <w:top w:val="single" w:sz="4" w:space="0" w:color="auto"/>
              <w:left w:val="nil"/>
              <w:bottom w:val="single" w:sz="4" w:space="0" w:color="auto"/>
              <w:right w:val="single" w:sz="4" w:space="0" w:color="auto"/>
            </w:tcBorders>
            <w:shd w:val="clear" w:color="000000" w:fill="002060"/>
            <w:vAlign w:val="center"/>
            <w:hideMark/>
          </w:tcPr>
          <w:p w14:paraId="2A86E9D0"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Resultado</w:t>
            </w:r>
          </w:p>
        </w:tc>
        <w:tc>
          <w:tcPr>
            <w:tcW w:w="805" w:type="dxa"/>
            <w:tcBorders>
              <w:top w:val="single" w:sz="4" w:space="0" w:color="auto"/>
              <w:left w:val="nil"/>
              <w:bottom w:val="single" w:sz="4" w:space="0" w:color="auto"/>
              <w:right w:val="single" w:sz="4" w:space="0" w:color="auto"/>
            </w:tcBorders>
            <w:shd w:val="clear" w:color="000000" w:fill="002060"/>
            <w:vAlign w:val="center"/>
            <w:hideMark/>
          </w:tcPr>
          <w:p w14:paraId="14C4A4EF" w14:textId="77777777" w:rsidR="000E1E4E" w:rsidRPr="00D0435C" w:rsidRDefault="000E1E4E" w:rsidP="00756335">
            <w:pPr>
              <w:spacing w:after="0" w:line="360" w:lineRule="auto"/>
              <w:jc w:val="center"/>
              <w:rPr>
                <w:rFonts w:eastAsia="Times New Roman"/>
                <w:b/>
                <w:bCs/>
                <w:color w:val="FFFFFF" w:themeColor="background1"/>
                <w:spacing w:val="0"/>
                <w:sz w:val="18"/>
                <w:szCs w:val="18"/>
                <w:lang w:val="es-DO"/>
              </w:rPr>
            </w:pPr>
            <w:r w:rsidRPr="00D0435C">
              <w:rPr>
                <w:rFonts w:eastAsia="Times New Roman"/>
                <w:b/>
                <w:bCs/>
                <w:color w:val="FFFFFF" w:themeColor="background1"/>
                <w:spacing w:val="0"/>
                <w:sz w:val="18"/>
                <w:szCs w:val="18"/>
                <w:lang w:val="es-DO"/>
              </w:rPr>
              <w:t>Porcentaje de Avance</w:t>
            </w:r>
          </w:p>
        </w:tc>
      </w:tr>
      <w:tr w:rsidR="00310D52" w:rsidRPr="00310D52" w14:paraId="225CA6BE" w14:textId="77777777" w:rsidTr="00756335">
        <w:trPr>
          <w:trHeight w:val="188"/>
        </w:trPr>
        <w:tc>
          <w:tcPr>
            <w:tcW w:w="448" w:type="dxa"/>
            <w:tcBorders>
              <w:top w:val="nil"/>
              <w:left w:val="single" w:sz="4" w:space="0" w:color="auto"/>
              <w:bottom w:val="single" w:sz="4" w:space="0" w:color="auto"/>
              <w:right w:val="single" w:sz="4" w:space="0" w:color="auto"/>
            </w:tcBorders>
            <w:noWrap/>
            <w:vAlign w:val="center"/>
            <w:hideMark/>
          </w:tcPr>
          <w:p w14:paraId="09D130B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1</w:t>
            </w:r>
          </w:p>
        </w:tc>
        <w:tc>
          <w:tcPr>
            <w:tcW w:w="627" w:type="dxa"/>
            <w:tcBorders>
              <w:top w:val="nil"/>
              <w:left w:val="nil"/>
              <w:bottom w:val="single" w:sz="4" w:space="0" w:color="auto"/>
              <w:right w:val="single" w:sz="4" w:space="0" w:color="auto"/>
            </w:tcBorders>
            <w:vAlign w:val="center"/>
            <w:hideMark/>
          </w:tcPr>
          <w:p w14:paraId="394728D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DGE</w:t>
            </w:r>
          </w:p>
        </w:tc>
        <w:tc>
          <w:tcPr>
            <w:tcW w:w="1440" w:type="dxa"/>
            <w:tcBorders>
              <w:top w:val="nil"/>
              <w:left w:val="nil"/>
              <w:bottom w:val="single" w:sz="4" w:space="0" w:color="auto"/>
              <w:right w:val="single" w:sz="4" w:space="0" w:color="auto"/>
            </w:tcBorders>
            <w:noWrap/>
            <w:vAlign w:val="center"/>
            <w:hideMark/>
          </w:tcPr>
          <w:p w14:paraId="79F573D9"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Servicios de Atención Prehospitalaria</w:t>
            </w:r>
          </w:p>
        </w:tc>
        <w:tc>
          <w:tcPr>
            <w:tcW w:w="1890" w:type="dxa"/>
            <w:tcBorders>
              <w:top w:val="single" w:sz="4" w:space="0" w:color="auto"/>
              <w:left w:val="nil"/>
              <w:bottom w:val="single" w:sz="4" w:space="0" w:color="auto"/>
              <w:right w:val="single" w:sz="4" w:space="0" w:color="auto"/>
            </w:tcBorders>
            <w:noWrap/>
            <w:vAlign w:val="center"/>
            <w:hideMark/>
          </w:tcPr>
          <w:p w14:paraId="586A463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Atenciones Prehospitalarias</w:t>
            </w:r>
          </w:p>
        </w:tc>
        <w:tc>
          <w:tcPr>
            <w:tcW w:w="720" w:type="dxa"/>
            <w:tcBorders>
              <w:top w:val="nil"/>
              <w:left w:val="nil"/>
              <w:bottom w:val="single" w:sz="4" w:space="0" w:color="auto"/>
              <w:right w:val="single" w:sz="4" w:space="0" w:color="auto"/>
            </w:tcBorders>
            <w:noWrap/>
            <w:vAlign w:val="center"/>
            <w:hideMark/>
          </w:tcPr>
          <w:p w14:paraId="0013911C"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Trimestral</w:t>
            </w:r>
          </w:p>
        </w:tc>
        <w:tc>
          <w:tcPr>
            <w:tcW w:w="720" w:type="dxa"/>
            <w:tcBorders>
              <w:top w:val="nil"/>
              <w:left w:val="nil"/>
              <w:bottom w:val="single" w:sz="4" w:space="0" w:color="auto"/>
              <w:right w:val="single" w:sz="4" w:space="0" w:color="auto"/>
            </w:tcBorders>
            <w:noWrap/>
            <w:vAlign w:val="center"/>
            <w:hideMark/>
          </w:tcPr>
          <w:p w14:paraId="09B28158"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540,637</w:t>
            </w:r>
          </w:p>
        </w:tc>
        <w:tc>
          <w:tcPr>
            <w:tcW w:w="630" w:type="dxa"/>
            <w:tcBorders>
              <w:top w:val="nil"/>
              <w:left w:val="nil"/>
              <w:bottom w:val="single" w:sz="4" w:space="0" w:color="auto"/>
              <w:right w:val="single" w:sz="4" w:space="0" w:color="auto"/>
            </w:tcBorders>
            <w:noWrap/>
            <w:vAlign w:val="center"/>
            <w:hideMark/>
          </w:tcPr>
          <w:p w14:paraId="2018B9D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605,513</w:t>
            </w:r>
          </w:p>
        </w:tc>
        <w:tc>
          <w:tcPr>
            <w:tcW w:w="630" w:type="dxa"/>
            <w:tcBorders>
              <w:top w:val="nil"/>
              <w:left w:val="nil"/>
              <w:bottom w:val="single" w:sz="4" w:space="0" w:color="auto"/>
              <w:right w:val="single" w:sz="4" w:space="0" w:color="auto"/>
            </w:tcBorders>
            <w:vAlign w:val="center"/>
            <w:hideMark/>
          </w:tcPr>
          <w:p w14:paraId="6F9EC01F"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547,936</w:t>
            </w:r>
          </w:p>
        </w:tc>
        <w:tc>
          <w:tcPr>
            <w:tcW w:w="805" w:type="dxa"/>
            <w:tcBorders>
              <w:top w:val="nil"/>
              <w:left w:val="nil"/>
              <w:bottom w:val="single" w:sz="4" w:space="0" w:color="auto"/>
              <w:right w:val="single" w:sz="4" w:space="0" w:color="auto"/>
            </w:tcBorders>
            <w:vAlign w:val="center"/>
            <w:hideMark/>
          </w:tcPr>
          <w:p w14:paraId="383D4A6A"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90%</w:t>
            </w:r>
          </w:p>
        </w:tc>
      </w:tr>
      <w:tr w:rsidR="00310D52" w:rsidRPr="00310D52" w14:paraId="71A3EBEF" w14:textId="77777777" w:rsidTr="00275786">
        <w:trPr>
          <w:trHeight w:val="70"/>
        </w:trPr>
        <w:tc>
          <w:tcPr>
            <w:tcW w:w="448" w:type="dxa"/>
            <w:tcBorders>
              <w:top w:val="nil"/>
              <w:left w:val="single" w:sz="4" w:space="0" w:color="auto"/>
              <w:bottom w:val="single" w:sz="4" w:space="0" w:color="auto"/>
              <w:right w:val="single" w:sz="4" w:space="0" w:color="auto"/>
            </w:tcBorders>
            <w:noWrap/>
            <w:vAlign w:val="center"/>
            <w:hideMark/>
          </w:tcPr>
          <w:p w14:paraId="57757F85"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2</w:t>
            </w:r>
          </w:p>
        </w:tc>
        <w:tc>
          <w:tcPr>
            <w:tcW w:w="627" w:type="dxa"/>
            <w:tcBorders>
              <w:top w:val="nil"/>
              <w:left w:val="nil"/>
              <w:bottom w:val="single" w:sz="4" w:space="0" w:color="auto"/>
              <w:right w:val="single" w:sz="4" w:space="0" w:color="auto"/>
            </w:tcBorders>
            <w:vAlign w:val="center"/>
            <w:hideMark/>
          </w:tcPr>
          <w:p w14:paraId="51A9E98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DGE</w:t>
            </w:r>
          </w:p>
        </w:tc>
        <w:tc>
          <w:tcPr>
            <w:tcW w:w="1440" w:type="dxa"/>
            <w:tcBorders>
              <w:top w:val="nil"/>
              <w:left w:val="nil"/>
              <w:bottom w:val="single" w:sz="4" w:space="0" w:color="auto"/>
              <w:right w:val="single" w:sz="4" w:space="0" w:color="auto"/>
            </w:tcBorders>
            <w:noWrap/>
            <w:vAlign w:val="center"/>
            <w:hideMark/>
          </w:tcPr>
          <w:p w14:paraId="7E6FF20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Servicios de Atención Interhospitalaria</w:t>
            </w:r>
          </w:p>
        </w:tc>
        <w:tc>
          <w:tcPr>
            <w:tcW w:w="1890" w:type="dxa"/>
            <w:tcBorders>
              <w:top w:val="nil"/>
              <w:left w:val="nil"/>
              <w:bottom w:val="single" w:sz="4" w:space="0" w:color="auto"/>
              <w:right w:val="single" w:sz="4" w:space="0" w:color="auto"/>
            </w:tcBorders>
            <w:noWrap/>
            <w:vAlign w:val="center"/>
            <w:hideMark/>
          </w:tcPr>
          <w:p w14:paraId="27A59DB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Traslados Sanitarios</w:t>
            </w:r>
          </w:p>
        </w:tc>
        <w:tc>
          <w:tcPr>
            <w:tcW w:w="720" w:type="dxa"/>
            <w:tcBorders>
              <w:top w:val="nil"/>
              <w:left w:val="nil"/>
              <w:bottom w:val="single" w:sz="4" w:space="0" w:color="auto"/>
              <w:right w:val="single" w:sz="4" w:space="0" w:color="auto"/>
            </w:tcBorders>
            <w:noWrap/>
            <w:vAlign w:val="center"/>
            <w:hideMark/>
          </w:tcPr>
          <w:p w14:paraId="179F2F0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Trimestral</w:t>
            </w:r>
          </w:p>
        </w:tc>
        <w:tc>
          <w:tcPr>
            <w:tcW w:w="720" w:type="dxa"/>
            <w:tcBorders>
              <w:top w:val="nil"/>
              <w:left w:val="nil"/>
              <w:bottom w:val="single" w:sz="4" w:space="0" w:color="auto"/>
              <w:right w:val="single" w:sz="4" w:space="0" w:color="auto"/>
            </w:tcBorders>
            <w:noWrap/>
            <w:vAlign w:val="center"/>
            <w:hideMark/>
          </w:tcPr>
          <w:p w14:paraId="50DAC01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36,862</w:t>
            </w:r>
          </w:p>
        </w:tc>
        <w:tc>
          <w:tcPr>
            <w:tcW w:w="630" w:type="dxa"/>
            <w:tcBorders>
              <w:top w:val="nil"/>
              <w:left w:val="nil"/>
              <w:bottom w:val="single" w:sz="4" w:space="0" w:color="auto"/>
              <w:right w:val="single" w:sz="4" w:space="0" w:color="auto"/>
            </w:tcBorders>
            <w:noWrap/>
            <w:vAlign w:val="center"/>
            <w:hideMark/>
          </w:tcPr>
          <w:p w14:paraId="7308B2F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55,293</w:t>
            </w:r>
          </w:p>
        </w:tc>
        <w:tc>
          <w:tcPr>
            <w:tcW w:w="630" w:type="dxa"/>
            <w:tcBorders>
              <w:top w:val="nil"/>
              <w:left w:val="nil"/>
              <w:bottom w:val="single" w:sz="4" w:space="0" w:color="auto"/>
              <w:right w:val="single" w:sz="4" w:space="0" w:color="auto"/>
            </w:tcBorders>
            <w:vAlign w:val="center"/>
            <w:hideMark/>
          </w:tcPr>
          <w:p w14:paraId="2FC74BF5"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65,286</w:t>
            </w:r>
          </w:p>
        </w:tc>
        <w:tc>
          <w:tcPr>
            <w:tcW w:w="805" w:type="dxa"/>
            <w:tcBorders>
              <w:top w:val="nil"/>
              <w:left w:val="nil"/>
              <w:bottom w:val="single" w:sz="4" w:space="0" w:color="auto"/>
              <w:right w:val="single" w:sz="4" w:space="0" w:color="auto"/>
            </w:tcBorders>
            <w:vAlign w:val="center"/>
            <w:hideMark/>
          </w:tcPr>
          <w:p w14:paraId="0BB9CAC0"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118%</w:t>
            </w:r>
          </w:p>
        </w:tc>
      </w:tr>
      <w:tr w:rsidR="00310D52" w:rsidRPr="00310D52" w14:paraId="6DB96087" w14:textId="77777777" w:rsidTr="00756335">
        <w:trPr>
          <w:trHeight w:val="1592"/>
        </w:trPr>
        <w:tc>
          <w:tcPr>
            <w:tcW w:w="448" w:type="dxa"/>
            <w:tcBorders>
              <w:top w:val="nil"/>
              <w:left w:val="single" w:sz="4" w:space="0" w:color="auto"/>
              <w:bottom w:val="single" w:sz="4" w:space="0" w:color="auto"/>
              <w:right w:val="single" w:sz="4" w:space="0" w:color="auto"/>
            </w:tcBorders>
            <w:noWrap/>
            <w:vAlign w:val="center"/>
            <w:hideMark/>
          </w:tcPr>
          <w:p w14:paraId="389F14E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3</w:t>
            </w:r>
          </w:p>
        </w:tc>
        <w:tc>
          <w:tcPr>
            <w:tcW w:w="627" w:type="dxa"/>
            <w:tcBorders>
              <w:top w:val="nil"/>
              <w:left w:val="nil"/>
              <w:bottom w:val="single" w:sz="4" w:space="0" w:color="auto"/>
              <w:right w:val="single" w:sz="4" w:space="0" w:color="auto"/>
            </w:tcBorders>
            <w:vAlign w:val="center"/>
            <w:hideMark/>
          </w:tcPr>
          <w:p w14:paraId="49F1BD1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DGE</w:t>
            </w:r>
          </w:p>
        </w:tc>
        <w:tc>
          <w:tcPr>
            <w:tcW w:w="1440" w:type="dxa"/>
            <w:tcBorders>
              <w:top w:val="nil"/>
              <w:left w:val="nil"/>
              <w:bottom w:val="single" w:sz="4" w:space="0" w:color="auto"/>
              <w:right w:val="single" w:sz="4" w:space="0" w:color="auto"/>
            </w:tcBorders>
            <w:noWrap/>
            <w:vAlign w:val="center"/>
            <w:hideMark/>
          </w:tcPr>
          <w:p w14:paraId="59F090D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Lesionados en Accidentes de tránsito reciben servicio de atención prehospitalaria</w:t>
            </w:r>
          </w:p>
        </w:tc>
        <w:tc>
          <w:tcPr>
            <w:tcW w:w="1890" w:type="dxa"/>
            <w:tcBorders>
              <w:top w:val="nil"/>
              <w:left w:val="nil"/>
              <w:bottom w:val="single" w:sz="4" w:space="0" w:color="auto"/>
              <w:right w:val="single" w:sz="4" w:space="0" w:color="auto"/>
            </w:tcBorders>
            <w:noWrap/>
            <w:vAlign w:val="center"/>
            <w:hideMark/>
          </w:tcPr>
          <w:p w14:paraId="7CF0A439"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Cantidad de pacientes atendidos en las unidades de emergencias con lesiones por accidentes de tránsito en las regiones priorizadas.</w:t>
            </w:r>
          </w:p>
        </w:tc>
        <w:tc>
          <w:tcPr>
            <w:tcW w:w="720" w:type="dxa"/>
            <w:tcBorders>
              <w:top w:val="nil"/>
              <w:left w:val="nil"/>
              <w:bottom w:val="single" w:sz="4" w:space="0" w:color="auto"/>
              <w:right w:val="single" w:sz="4" w:space="0" w:color="auto"/>
            </w:tcBorders>
            <w:noWrap/>
            <w:vAlign w:val="center"/>
            <w:hideMark/>
          </w:tcPr>
          <w:p w14:paraId="36D91A0A"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Trimestral</w:t>
            </w:r>
          </w:p>
        </w:tc>
        <w:tc>
          <w:tcPr>
            <w:tcW w:w="720" w:type="dxa"/>
            <w:tcBorders>
              <w:top w:val="nil"/>
              <w:left w:val="nil"/>
              <w:bottom w:val="single" w:sz="4" w:space="0" w:color="auto"/>
              <w:right w:val="single" w:sz="4" w:space="0" w:color="auto"/>
            </w:tcBorders>
            <w:noWrap/>
            <w:vAlign w:val="center"/>
            <w:hideMark/>
          </w:tcPr>
          <w:p w14:paraId="41C8CADF"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70,335</w:t>
            </w:r>
          </w:p>
        </w:tc>
        <w:tc>
          <w:tcPr>
            <w:tcW w:w="630" w:type="dxa"/>
            <w:tcBorders>
              <w:top w:val="nil"/>
              <w:left w:val="nil"/>
              <w:bottom w:val="single" w:sz="4" w:space="0" w:color="auto"/>
              <w:right w:val="single" w:sz="4" w:space="0" w:color="auto"/>
            </w:tcBorders>
            <w:noWrap/>
            <w:vAlign w:val="center"/>
            <w:hideMark/>
          </w:tcPr>
          <w:p w14:paraId="4F1BB3AA"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76,362</w:t>
            </w:r>
          </w:p>
        </w:tc>
        <w:tc>
          <w:tcPr>
            <w:tcW w:w="630" w:type="dxa"/>
            <w:tcBorders>
              <w:top w:val="nil"/>
              <w:left w:val="nil"/>
              <w:bottom w:val="single" w:sz="4" w:space="0" w:color="auto"/>
              <w:right w:val="single" w:sz="4" w:space="0" w:color="auto"/>
            </w:tcBorders>
            <w:vAlign w:val="center"/>
            <w:hideMark/>
          </w:tcPr>
          <w:p w14:paraId="74C854C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89,044</w:t>
            </w:r>
          </w:p>
        </w:tc>
        <w:tc>
          <w:tcPr>
            <w:tcW w:w="805" w:type="dxa"/>
            <w:tcBorders>
              <w:top w:val="nil"/>
              <w:left w:val="nil"/>
              <w:bottom w:val="single" w:sz="4" w:space="0" w:color="auto"/>
              <w:right w:val="single" w:sz="4" w:space="0" w:color="auto"/>
            </w:tcBorders>
            <w:vAlign w:val="center"/>
            <w:hideMark/>
          </w:tcPr>
          <w:p w14:paraId="44683B57"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117%</w:t>
            </w:r>
          </w:p>
        </w:tc>
      </w:tr>
      <w:tr w:rsidR="00310D52" w:rsidRPr="00310D52" w14:paraId="0EE3AD29" w14:textId="77777777" w:rsidTr="00756335">
        <w:trPr>
          <w:trHeight w:val="720"/>
        </w:trPr>
        <w:tc>
          <w:tcPr>
            <w:tcW w:w="448" w:type="dxa"/>
            <w:tcBorders>
              <w:top w:val="nil"/>
              <w:left w:val="single" w:sz="4" w:space="0" w:color="auto"/>
              <w:bottom w:val="single" w:sz="4" w:space="0" w:color="auto"/>
              <w:right w:val="single" w:sz="4" w:space="0" w:color="auto"/>
            </w:tcBorders>
            <w:noWrap/>
            <w:vAlign w:val="center"/>
            <w:hideMark/>
          </w:tcPr>
          <w:p w14:paraId="7BB918C5"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4</w:t>
            </w:r>
          </w:p>
        </w:tc>
        <w:tc>
          <w:tcPr>
            <w:tcW w:w="627" w:type="dxa"/>
            <w:tcBorders>
              <w:top w:val="nil"/>
              <w:left w:val="nil"/>
              <w:bottom w:val="single" w:sz="4" w:space="0" w:color="auto"/>
              <w:right w:val="single" w:sz="4" w:space="0" w:color="auto"/>
            </w:tcBorders>
            <w:vAlign w:val="center"/>
            <w:hideMark/>
          </w:tcPr>
          <w:p w14:paraId="06F835F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GRD</w:t>
            </w:r>
          </w:p>
        </w:tc>
        <w:tc>
          <w:tcPr>
            <w:tcW w:w="1440" w:type="dxa"/>
            <w:tcBorders>
              <w:top w:val="nil"/>
              <w:left w:val="nil"/>
              <w:bottom w:val="single" w:sz="4" w:space="0" w:color="auto"/>
              <w:right w:val="single" w:sz="4" w:space="0" w:color="auto"/>
            </w:tcBorders>
            <w:noWrap/>
            <w:vAlign w:val="center"/>
            <w:hideMark/>
          </w:tcPr>
          <w:p w14:paraId="7B3B8DC3"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Programa de capacitación desarrollado</w:t>
            </w:r>
          </w:p>
        </w:tc>
        <w:tc>
          <w:tcPr>
            <w:tcW w:w="1890" w:type="dxa"/>
            <w:tcBorders>
              <w:top w:val="nil"/>
              <w:left w:val="nil"/>
              <w:bottom w:val="single" w:sz="4" w:space="0" w:color="auto"/>
              <w:right w:val="single" w:sz="4" w:space="0" w:color="auto"/>
            </w:tcBorders>
            <w:noWrap/>
            <w:vAlign w:val="center"/>
            <w:hideMark/>
          </w:tcPr>
          <w:p w14:paraId="36BA58C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 xml:space="preserve">Porcentaje de cumplimiento del programa de capacitación </w:t>
            </w:r>
          </w:p>
        </w:tc>
        <w:tc>
          <w:tcPr>
            <w:tcW w:w="720" w:type="dxa"/>
            <w:tcBorders>
              <w:top w:val="nil"/>
              <w:left w:val="nil"/>
              <w:bottom w:val="single" w:sz="4" w:space="0" w:color="auto"/>
              <w:right w:val="single" w:sz="4" w:space="0" w:color="auto"/>
            </w:tcBorders>
            <w:noWrap/>
            <w:vAlign w:val="center"/>
            <w:hideMark/>
          </w:tcPr>
          <w:p w14:paraId="25ED2D6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Semestral</w:t>
            </w:r>
          </w:p>
        </w:tc>
        <w:tc>
          <w:tcPr>
            <w:tcW w:w="720" w:type="dxa"/>
            <w:tcBorders>
              <w:top w:val="nil"/>
              <w:left w:val="nil"/>
              <w:bottom w:val="single" w:sz="4" w:space="0" w:color="auto"/>
              <w:right w:val="single" w:sz="4" w:space="0" w:color="auto"/>
            </w:tcBorders>
            <w:noWrap/>
            <w:vAlign w:val="center"/>
            <w:hideMark/>
          </w:tcPr>
          <w:p w14:paraId="16F3911A"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N/D</w:t>
            </w:r>
          </w:p>
        </w:tc>
        <w:tc>
          <w:tcPr>
            <w:tcW w:w="630" w:type="dxa"/>
            <w:tcBorders>
              <w:top w:val="nil"/>
              <w:left w:val="nil"/>
              <w:bottom w:val="single" w:sz="4" w:space="0" w:color="auto"/>
              <w:right w:val="single" w:sz="4" w:space="0" w:color="auto"/>
            </w:tcBorders>
            <w:noWrap/>
            <w:vAlign w:val="center"/>
            <w:hideMark/>
          </w:tcPr>
          <w:p w14:paraId="19124D44"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100%</w:t>
            </w:r>
          </w:p>
        </w:tc>
        <w:tc>
          <w:tcPr>
            <w:tcW w:w="630" w:type="dxa"/>
            <w:tcBorders>
              <w:top w:val="nil"/>
              <w:left w:val="nil"/>
              <w:bottom w:val="single" w:sz="4" w:space="0" w:color="auto"/>
              <w:right w:val="single" w:sz="4" w:space="0" w:color="auto"/>
            </w:tcBorders>
            <w:vAlign w:val="center"/>
            <w:hideMark/>
          </w:tcPr>
          <w:p w14:paraId="6E2AF3B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100%</w:t>
            </w:r>
          </w:p>
        </w:tc>
        <w:tc>
          <w:tcPr>
            <w:tcW w:w="805" w:type="dxa"/>
            <w:tcBorders>
              <w:top w:val="nil"/>
              <w:left w:val="nil"/>
              <w:bottom w:val="single" w:sz="4" w:space="0" w:color="auto"/>
              <w:right w:val="single" w:sz="4" w:space="0" w:color="auto"/>
            </w:tcBorders>
            <w:vAlign w:val="center"/>
            <w:hideMark/>
          </w:tcPr>
          <w:p w14:paraId="00D53876"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100%</w:t>
            </w:r>
          </w:p>
        </w:tc>
      </w:tr>
      <w:tr w:rsidR="00310D52" w:rsidRPr="00310D52" w14:paraId="0480F330" w14:textId="77777777" w:rsidTr="00756335">
        <w:trPr>
          <w:trHeight w:val="70"/>
        </w:trPr>
        <w:tc>
          <w:tcPr>
            <w:tcW w:w="448" w:type="dxa"/>
            <w:tcBorders>
              <w:top w:val="nil"/>
              <w:left w:val="single" w:sz="4" w:space="0" w:color="auto"/>
              <w:bottom w:val="single" w:sz="4" w:space="0" w:color="auto"/>
              <w:right w:val="single" w:sz="4" w:space="0" w:color="auto"/>
            </w:tcBorders>
            <w:noWrap/>
            <w:vAlign w:val="center"/>
            <w:hideMark/>
          </w:tcPr>
          <w:p w14:paraId="4F76AA6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5</w:t>
            </w:r>
          </w:p>
        </w:tc>
        <w:tc>
          <w:tcPr>
            <w:tcW w:w="627" w:type="dxa"/>
            <w:vMerge w:val="restart"/>
            <w:tcBorders>
              <w:top w:val="nil"/>
              <w:left w:val="single" w:sz="4" w:space="0" w:color="auto"/>
              <w:bottom w:val="single" w:sz="4" w:space="0" w:color="auto"/>
              <w:right w:val="single" w:sz="4" w:space="0" w:color="auto"/>
            </w:tcBorders>
            <w:vAlign w:val="center"/>
            <w:hideMark/>
          </w:tcPr>
          <w:p w14:paraId="167412B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GRD</w:t>
            </w:r>
          </w:p>
        </w:tc>
        <w:tc>
          <w:tcPr>
            <w:tcW w:w="1440" w:type="dxa"/>
            <w:vMerge w:val="restart"/>
            <w:tcBorders>
              <w:top w:val="nil"/>
              <w:left w:val="single" w:sz="4" w:space="0" w:color="auto"/>
              <w:bottom w:val="single" w:sz="4" w:space="0" w:color="auto"/>
              <w:right w:val="single" w:sz="4" w:space="0" w:color="auto"/>
            </w:tcBorders>
            <w:noWrap/>
            <w:vAlign w:val="center"/>
            <w:hideMark/>
          </w:tcPr>
          <w:p w14:paraId="7DFEB7D1"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Preparación y Respuesta a Emergencias de Salud Pública y Desastres coordinadas</w:t>
            </w:r>
          </w:p>
        </w:tc>
        <w:tc>
          <w:tcPr>
            <w:tcW w:w="1890" w:type="dxa"/>
            <w:tcBorders>
              <w:top w:val="nil"/>
              <w:left w:val="nil"/>
              <w:bottom w:val="single" w:sz="4" w:space="0" w:color="auto"/>
              <w:right w:val="single" w:sz="4" w:space="0" w:color="auto"/>
            </w:tcBorders>
            <w:noWrap/>
            <w:vAlign w:val="center"/>
            <w:hideMark/>
          </w:tcPr>
          <w:p w14:paraId="2FDEB5C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Planes de respuesta ante Emergencias de Salud Pública y Desastres Naturales elaborados.</w:t>
            </w:r>
          </w:p>
        </w:tc>
        <w:tc>
          <w:tcPr>
            <w:tcW w:w="720" w:type="dxa"/>
            <w:tcBorders>
              <w:top w:val="nil"/>
              <w:left w:val="nil"/>
              <w:bottom w:val="single" w:sz="4" w:space="0" w:color="auto"/>
              <w:right w:val="single" w:sz="4" w:space="0" w:color="auto"/>
            </w:tcBorders>
            <w:noWrap/>
            <w:vAlign w:val="center"/>
            <w:hideMark/>
          </w:tcPr>
          <w:p w14:paraId="0DEF651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Semestral</w:t>
            </w:r>
          </w:p>
        </w:tc>
        <w:tc>
          <w:tcPr>
            <w:tcW w:w="720" w:type="dxa"/>
            <w:tcBorders>
              <w:top w:val="nil"/>
              <w:left w:val="nil"/>
              <w:bottom w:val="single" w:sz="4" w:space="0" w:color="auto"/>
              <w:right w:val="single" w:sz="4" w:space="0" w:color="auto"/>
            </w:tcBorders>
            <w:noWrap/>
            <w:vAlign w:val="center"/>
            <w:hideMark/>
          </w:tcPr>
          <w:p w14:paraId="3405CAC5"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0</w:t>
            </w:r>
          </w:p>
        </w:tc>
        <w:tc>
          <w:tcPr>
            <w:tcW w:w="630" w:type="dxa"/>
            <w:tcBorders>
              <w:top w:val="nil"/>
              <w:left w:val="nil"/>
              <w:bottom w:val="single" w:sz="4" w:space="0" w:color="auto"/>
              <w:right w:val="single" w:sz="4" w:space="0" w:color="auto"/>
            </w:tcBorders>
            <w:noWrap/>
            <w:vAlign w:val="center"/>
            <w:hideMark/>
          </w:tcPr>
          <w:p w14:paraId="5D40AFDF"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3</w:t>
            </w:r>
          </w:p>
        </w:tc>
        <w:tc>
          <w:tcPr>
            <w:tcW w:w="630" w:type="dxa"/>
            <w:tcBorders>
              <w:top w:val="nil"/>
              <w:left w:val="nil"/>
              <w:bottom w:val="single" w:sz="4" w:space="0" w:color="auto"/>
              <w:right w:val="single" w:sz="4" w:space="0" w:color="auto"/>
            </w:tcBorders>
            <w:vAlign w:val="center"/>
            <w:hideMark/>
          </w:tcPr>
          <w:p w14:paraId="15A7E2B8"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7</w:t>
            </w:r>
          </w:p>
        </w:tc>
        <w:tc>
          <w:tcPr>
            <w:tcW w:w="805" w:type="dxa"/>
            <w:tcBorders>
              <w:top w:val="nil"/>
              <w:left w:val="nil"/>
              <w:bottom w:val="single" w:sz="4" w:space="0" w:color="auto"/>
              <w:right w:val="single" w:sz="4" w:space="0" w:color="auto"/>
            </w:tcBorders>
            <w:vAlign w:val="center"/>
            <w:hideMark/>
          </w:tcPr>
          <w:p w14:paraId="64B1651D"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233%</w:t>
            </w:r>
          </w:p>
        </w:tc>
      </w:tr>
      <w:tr w:rsidR="00310D52" w:rsidRPr="00310D52" w14:paraId="78BEA988" w14:textId="77777777" w:rsidTr="00275786">
        <w:trPr>
          <w:trHeight w:val="70"/>
        </w:trPr>
        <w:tc>
          <w:tcPr>
            <w:tcW w:w="448" w:type="dxa"/>
            <w:tcBorders>
              <w:top w:val="nil"/>
              <w:left w:val="single" w:sz="4" w:space="0" w:color="auto"/>
              <w:bottom w:val="single" w:sz="4" w:space="0" w:color="auto"/>
              <w:right w:val="single" w:sz="4" w:space="0" w:color="auto"/>
            </w:tcBorders>
            <w:noWrap/>
            <w:vAlign w:val="center"/>
            <w:hideMark/>
          </w:tcPr>
          <w:p w14:paraId="61FE304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6</w:t>
            </w:r>
          </w:p>
        </w:tc>
        <w:tc>
          <w:tcPr>
            <w:tcW w:w="627" w:type="dxa"/>
            <w:vMerge/>
            <w:tcBorders>
              <w:top w:val="nil"/>
              <w:left w:val="single" w:sz="4" w:space="0" w:color="auto"/>
              <w:bottom w:val="single" w:sz="4" w:space="0" w:color="auto"/>
              <w:right w:val="single" w:sz="4" w:space="0" w:color="auto"/>
            </w:tcBorders>
            <w:vAlign w:val="center"/>
            <w:hideMark/>
          </w:tcPr>
          <w:p w14:paraId="6F8E3A2D" w14:textId="77777777" w:rsidR="000E1E4E" w:rsidRPr="00310D52" w:rsidRDefault="000E1E4E" w:rsidP="00756335">
            <w:pPr>
              <w:spacing w:after="0" w:line="360" w:lineRule="auto"/>
              <w:jc w:val="both"/>
              <w:rPr>
                <w:rFonts w:eastAsia="Times New Roman"/>
                <w:spacing w:val="0"/>
                <w:sz w:val="18"/>
                <w:szCs w:val="18"/>
                <w:lang w:val="es-DO"/>
              </w:rPr>
            </w:pPr>
          </w:p>
        </w:tc>
        <w:tc>
          <w:tcPr>
            <w:tcW w:w="1440" w:type="dxa"/>
            <w:vMerge/>
            <w:tcBorders>
              <w:top w:val="nil"/>
              <w:left w:val="single" w:sz="4" w:space="0" w:color="auto"/>
              <w:bottom w:val="single" w:sz="4" w:space="0" w:color="auto"/>
              <w:right w:val="single" w:sz="4" w:space="0" w:color="auto"/>
            </w:tcBorders>
            <w:vAlign w:val="center"/>
            <w:hideMark/>
          </w:tcPr>
          <w:p w14:paraId="3E5AC742" w14:textId="77777777" w:rsidR="000E1E4E" w:rsidRPr="00310D52" w:rsidRDefault="000E1E4E" w:rsidP="00756335">
            <w:pPr>
              <w:spacing w:after="0" w:line="360" w:lineRule="auto"/>
              <w:jc w:val="both"/>
              <w:rPr>
                <w:rFonts w:eastAsia="Times New Roman"/>
                <w:spacing w:val="0"/>
                <w:sz w:val="18"/>
                <w:szCs w:val="18"/>
                <w:lang w:val="es-DO"/>
              </w:rPr>
            </w:pPr>
          </w:p>
        </w:tc>
        <w:tc>
          <w:tcPr>
            <w:tcW w:w="1890" w:type="dxa"/>
            <w:tcBorders>
              <w:top w:val="nil"/>
              <w:left w:val="nil"/>
              <w:bottom w:val="single" w:sz="4" w:space="0" w:color="auto"/>
              <w:right w:val="single" w:sz="4" w:space="0" w:color="auto"/>
            </w:tcBorders>
            <w:noWrap/>
            <w:vAlign w:val="center"/>
            <w:hideMark/>
          </w:tcPr>
          <w:p w14:paraId="3B9B130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Número de simulacros realizados</w:t>
            </w:r>
          </w:p>
        </w:tc>
        <w:tc>
          <w:tcPr>
            <w:tcW w:w="720" w:type="dxa"/>
            <w:tcBorders>
              <w:top w:val="nil"/>
              <w:left w:val="nil"/>
              <w:bottom w:val="single" w:sz="4" w:space="0" w:color="auto"/>
              <w:right w:val="single" w:sz="4" w:space="0" w:color="auto"/>
            </w:tcBorders>
            <w:noWrap/>
            <w:vAlign w:val="center"/>
            <w:hideMark/>
          </w:tcPr>
          <w:p w14:paraId="4734FA0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Anual</w:t>
            </w:r>
          </w:p>
        </w:tc>
        <w:tc>
          <w:tcPr>
            <w:tcW w:w="720" w:type="dxa"/>
            <w:tcBorders>
              <w:top w:val="nil"/>
              <w:left w:val="nil"/>
              <w:bottom w:val="single" w:sz="4" w:space="0" w:color="auto"/>
              <w:right w:val="single" w:sz="4" w:space="0" w:color="auto"/>
            </w:tcBorders>
            <w:noWrap/>
            <w:vAlign w:val="center"/>
            <w:hideMark/>
          </w:tcPr>
          <w:p w14:paraId="5668071A"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0</w:t>
            </w:r>
          </w:p>
        </w:tc>
        <w:tc>
          <w:tcPr>
            <w:tcW w:w="630" w:type="dxa"/>
            <w:tcBorders>
              <w:top w:val="nil"/>
              <w:left w:val="nil"/>
              <w:bottom w:val="single" w:sz="4" w:space="0" w:color="auto"/>
              <w:right w:val="single" w:sz="4" w:space="0" w:color="auto"/>
            </w:tcBorders>
            <w:noWrap/>
            <w:vAlign w:val="center"/>
            <w:hideMark/>
          </w:tcPr>
          <w:p w14:paraId="6FE54B41"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1</w:t>
            </w:r>
          </w:p>
        </w:tc>
        <w:tc>
          <w:tcPr>
            <w:tcW w:w="630" w:type="dxa"/>
            <w:tcBorders>
              <w:top w:val="nil"/>
              <w:left w:val="nil"/>
              <w:bottom w:val="single" w:sz="4" w:space="0" w:color="auto"/>
              <w:right w:val="single" w:sz="4" w:space="0" w:color="auto"/>
            </w:tcBorders>
            <w:vAlign w:val="center"/>
            <w:hideMark/>
          </w:tcPr>
          <w:p w14:paraId="4A850283"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1</w:t>
            </w:r>
          </w:p>
        </w:tc>
        <w:tc>
          <w:tcPr>
            <w:tcW w:w="805" w:type="dxa"/>
            <w:tcBorders>
              <w:top w:val="nil"/>
              <w:left w:val="nil"/>
              <w:bottom w:val="single" w:sz="4" w:space="0" w:color="auto"/>
              <w:right w:val="single" w:sz="4" w:space="0" w:color="auto"/>
            </w:tcBorders>
            <w:vAlign w:val="center"/>
            <w:hideMark/>
          </w:tcPr>
          <w:p w14:paraId="6BBE25D7"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100%</w:t>
            </w:r>
          </w:p>
        </w:tc>
      </w:tr>
      <w:tr w:rsidR="00310D52" w:rsidRPr="00310D52" w14:paraId="33234302" w14:textId="77777777" w:rsidTr="00756335">
        <w:trPr>
          <w:trHeight w:val="188"/>
        </w:trPr>
        <w:tc>
          <w:tcPr>
            <w:tcW w:w="448" w:type="dxa"/>
            <w:tcBorders>
              <w:top w:val="nil"/>
              <w:left w:val="single" w:sz="4" w:space="0" w:color="auto"/>
              <w:bottom w:val="single" w:sz="4" w:space="0" w:color="auto"/>
              <w:right w:val="single" w:sz="4" w:space="0" w:color="auto"/>
            </w:tcBorders>
            <w:noWrap/>
            <w:vAlign w:val="center"/>
            <w:hideMark/>
          </w:tcPr>
          <w:p w14:paraId="457AAD22" w14:textId="1CDDE90E" w:rsidR="000E1E4E" w:rsidRPr="00310D52" w:rsidRDefault="00275786"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7</w:t>
            </w:r>
          </w:p>
        </w:tc>
        <w:tc>
          <w:tcPr>
            <w:tcW w:w="627" w:type="dxa"/>
            <w:tcBorders>
              <w:top w:val="nil"/>
              <w:left w:val="nil"/>
              <w:bottom w:val="single" w:sz="4" w:space="0" w:color="auto"/>
              <w:right w:val="single" w:sz="4" w:space="0" w:color="auto"/>
            </w:tcBorders>
            <w:vAlign w:val="center"/>
            <w:hideMark/>
          </w:tcPr>
          <w:p w14:paraId="0E50CC65"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CER</w:t>
            </w:r>
          </w:p>
        </w:tc>
        <w:tc>
          <w:tcPr>
            <w:tcW w:w="1440" w:type="dxa"/>
            <w:tcBorders>
              <w:top w:val="nil"/>
              <w:left w:val="nil"/>
              <w:bottom w:val="single" w:sz="4" w:space="0" w:color="auto"/>
              <w:right w:val="single" w:sz="4" w:space="0" w:color="auto"/>
            </w:tcBorders>
            <w:vAlign w:val="center"/>
            <w:hideMark/>
          </w:tcPr>
          <w:p w14:paraId="4CBDE667"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Mecanismo de respuesta y triaje activado mediante la gestión y coordinación con la red pública de salud</w:t>
            </w:r>
          </w:p>
        </w:tc>
        <w:tc>
          <w:tcPr>
            <w:tcW w:w="1890" w:type="dxa"/>
            <w:tcBorders>
              <w:top w:val="nil"/>
              <w:left w:val="nil"/>
              <w:bottom w:val="single" w:sz="4" w:space="0" w:color="auto"/>
              <w:right w:val="single" w:sz="4" w:space="0" w:color="auto"/>
            </w:tcBorders>
            <w:noWrap/>
            <w:vAlign w:val="center"/>
            <w:hideMark/>
          </w:tcPr>
          <w:p w14:paraId="2C3CE199"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Mesas de coordinación interinstitucional creadas.</w:t>
            </w:r>
          </w:p>
        </w:tc>
        <w:tc>
          <w:tcPr>
            <w:tcW w:w="720" w:type="dxa"/>
            <w:tcBorders>
              <w:top w:val="nil"/>
              <w:left w:val="nil"/>
              <w:bottom w:val="single" w:sz="4" w:space="0" w:color="auto"/>
              <w:right w:val="single" w:sz="4" w:space="0" w:color="auto"/>
            </w:tcBorders>
            <w:noWrap/>
            <w:vAlign w:val="center"/>
            <w:hideMark/>
          </w:tcPr>
          <w:p w14:paraId="36A77ECD"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Semestral</w:t>
            </w:r>
          </w:p>
        </w:tc>
        <w:tc>
          <w:tcPr>
            <w:tcW w:w="720" w:type="dxa"/>
            <w:tcBorders>
              <w:top w:val="nil"/>
              <w:left w:val="nil"/>
              <w:bottom w:val="single" w:sz="4" w:space="0" w:color="auto"/>
              <w:right w:val="single" w:sz="4" w:space="0" w:color="auto"/>
            </w:tcBorders>
            <w:noWrap/>
            <w:vAlign w:val="center"/>
            <w:hideMark/>
          </w:tcPr>
          <w:p w14:paraId="52B85E9B"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2</w:t>
            </w:r>
          </w:p>
        </w:tc>
        <w:tc>
          <w:tcPr>
            <w:tcW w:w="630" w:type="dxa"/>
            <w:tcBorders>
              <w:top w:val="nil"/>
              <w:left w:val="nil"/>
              <w:bottom w:val="single" w:sz="4" w:space="0" w:color="auto"/>
              <w:right w:val="single" w:sz="4" w:space="0" w:color="auto"/>
            </w:tcBorders>
            <w:noWrap/>
            <w:vAlign w:val="center"/>
            <w:hideMark/>
          </w:tcPr>
          <w:p w14:paraId="06123BE0"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6</w:t>
            </w:r>
          </w:p>
        </w:tc>
        <w:tc>
          <w:tcPr>
            <w:tcW w:w="630" w:type="dxa"/>
            <w:tcBorders>
              <w:top w:val="nil"/>
              <w:left w:val="nil"/>
              <w:bottom w:val="single" w:sz="4" w:space="0" w:color="auto"/>
              <w:right w:val="single" w:sz="4" w:space="0" w:color="auto"/>
            </w:tcBorders>
            <w:vAlign w:val="center"/>
            <w:hideMark/>
          </w:tcPr>
          <w:p w14:paraId="048FB282" w14:textId="77777777" w:rsidR="000E1E4E" w:rsidRPr="00310D52" w:rsidRDefault="000E1E4E" w:rsidP="00756335">
            <w:pPr>
              <w:spacing w:after="0" w:line="360" w:lineRule="auto"/>
              <w:jc w:val="both"/>
              <w:rPr>
                <w:rFonts w:eastAsia="Times New Roman"/>
                <w:spacing w:val="0"/>
                <w:sz w:val="18"/>
                <w:szCs w:val="18"/>
                <w:lang w:val="es-DO"/>
              </w:rPr>
            </w:pPr>
            <w:r w:rsidRPr="00310D52">
              <w:rPr>
                <w:rFonts w:eastAsia="Times New Roman"/>
                <w:spacing w:val="0"/>
                <w:sz w:val="18"/>
                <w:szCs w:val="18"/>
                <w:lang w:val="es-DO"/>
              </w:rPr>
              <w:t>6</w:t>
            </w:r>
          </w:p>
        </w:tc>
        <w:tc>
          <w:tcPr>
            <w:tcW w:w="805" w:type="dxa"/>
            <w:tcBorders>
              <w:top w:val="nil"/>
              <w:left w:val="nil"/>
              <w:bottom w:val="single" w:sz="4" w:space="0" w:color="auto"/>
              <w:right w:val="single" w:sz="4" w:space="0" w:color="auto"/>
            </w:tcBorders>
            <w:vAlign w:val="center"/>
            <w:hideMark/>
          </w:tcPr>
          <w:p w14:paraId="17BFC633" w14:textId="77777777" w:rsidR="000E1E4E" w:rsidRPr="00310D52" w:rsidRDefault="000E1E4E" w:rsidP="00756335">
            <w:pPr>
              <w:spacing w:after="0" w:line="360" w:lineRule="auto"/>
              <w:jc w:val="both"/>
              <w:rPr>
                <w:rFonts w:eastAsia="Times New Roman"/>
                <w:b/>
                <w:bCs/>
                <w:spacing w:val="0"/>
                <w:sz w:val="18"/>
                <w:szCs w:val="18"/>
                <w:lang w:val="es-DO"/>
              </w:rPr>
            </w:pPr>
            <w:r w:rsidRPr="00310D52">
              <w:rPr>
                <w:rFonts w:eastAsia="Times New Roman"/>
                <w:b/>
                <w:bCs/>
                <w:spacing w:val="0"/>
                <w:sz w:val="18"/>
                <w:szCs w:val="18"/>
                <w:lang w:val="es-DO"/>
              </w:rPr>
              <w:t>100%</w:t>
            </w:r>
          </w:p>
        </w:tc>
      </w:tr>
    </w:tbl>
    <w:p w14:paraId="435C1A9D" w14:textId="016C147C" w:rsidR="000E1E4E" w:rsidRPr="00310D52" w:rsidRDefault="000E1E4E" w:rsidP="00756335">
      <w:pPr>
        <w:spacing w:line="360" w:lineRule="auto"/>
        <w:jc w:val="both"/>
        <w:rPr>
          <w:i/>
          <w:iCs/>
          <w:sz w:val="18"/>
          <w:szCs w:val="18"/>
          <w:lang w:val="es-DO"/>
        </w:rPr>
      </w:pPr>
      <w:r w:rsidRPr="00310D52">
        <w:rPr>
          <w:i/>
          <w:iCs/>
          <w:sz w:val="18"/>
          <w:szCs w:val="18"/>
          <w:lang w:val="es-DO"/>
        </w:rPr>
        <w:t>Fuente: Planificación y Desarrollo</w:t>
      </w:r>
    </w:p>
    <w:p w14:paraId="1C752A76" w14:textId="77777777" w:rsidR="000E1E4E" w:rsidRPr="00310D52" w:rsidRDefault="000E1E4E" w:rsidP="004D6EA1">
      <w:pPr>
        <w:rPr>
          <w:b/>
          <w:bCs/>
          <w:lang w:val="es-DO"/>
        </w:rPr>
        <w:sectPr w:rsidR="000E1E4E" w:rsidRPr="00310D52" w:rsidSect="004D6EA1">
          <w:pgSz w:w="12240" w:h="15840"/>
          <w:pgMar w:top="1440" w:right="2160" w:bottom="1440" w:left="2160" w:header="720" w:footer="720" w:gutter="0"/>
          <w:cols w:space="720"/>
          <w:docGrid w:linePitch="360"/>
        </w:sectPr>
      </w:pPr>
    </w:p>
    <w:p w14:paraId="48BC99BB" w14:textId="2BBF5D14" w:rsidR="000E1E4E" w:rsidRPr="00F06D9C" w:rsidRDefault="000E1E4E" w:rsidP="000E1E4E">
      <w:pPr>
        <w:pStyle w:val="Prrafodelista"/>
        <w:numPr>
          <w:ilvl w:val="0"/>
          <w:numId w:val="30"/>
        </w:numPr>
        <w:ind w:left="450"/>
        <w:rPr>
          <w:b/>
          <w:bCs/>
          <w:lang w:val="es-DO"/>
        </w:rPr>
      </w:pPr>
      <w:r w:rsidRPr="00F06D9C">
        <w:rPr>
          <w:b/>
          <w:bCs/>
          <w:lang w:val="es-DO"/>
        </w:rPr>
        <w:lastRenderedPageBreak/>
        <w:t>Resumen del Plan de Compras</w:t>
      </w:r>
    </w:p>
    <w:tbl>
      <w:tblPr>
        <w:tblW w:w="7165" w:type="dxa"/>
        <w:jc w:val="center"/>
        <w:tblCellMar>
          <w:left w:w="70" w:type="dxa"/>
          <w:right w:w="70" w:type="dxa"/>
        </w:tblCellMar>
        <w:tblLook w:val="04A0" w:firstRow="1" w:lastRow="0" w:firstColumn="1" w:lastColumn="0" w:noHBand="0" w:noVBand="1"/>
      </w:tblPr>
      <w:tblGrid>
        <w:gridCol w:w="3880"/>
        <w:gridCol w:w="3285"/>
      </w:tblGrid>
      <w:tr w:rsidR="00310D52" w:rsidRPr="00310D52" w14:paraId="2F78E437" w14:textId="77777777" w:rsidTr="004D6EA1">
        <w:trPr>
          <w:trHeight w:val="80"/>
          <w:jc w:val="center"/>
        </w:trPr>
        <w:tc>
          <w:tcPr>
            <w:tcW w:w="3880" w:type="dxa"/>
            <w:tcBorders>
              <w:top w:val="nil"/>
              <w:left w:val="nil"/>
              <w:bottom w:val="nil"/>
              <w:right w:val="nil"/>
            </w:tcBorders>
            <w:shd w:val="clear" w:color="000000" w:fill="FFFFFF"/>
            <w:noWrap/>
            <w:vAlign w:val="bottom"/>
            <w:hideMark/>
          </w:tcPr>
          <w:p w14:paraId="46CE895B"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 </w:t>
            </w:r>
          </w:p>
        </w:tc>
        <w:tc>
          <w:tcPr>
            <w:tcW w:w="3285" w:type="dxa"/>
            <w:tcBorders>
              <w:top w:val="nil"/>
              <w:left w:val="nil"/>
              <w:bottom w:val="nil"/>
              <w:right w:val="nil"/>
            </w:tcBorders>
            <w:shd w:val="clear" w:color="000000" w:fill="FFFFFF"/>
            <w:noWrap/>
            <w:vAlign w:val="bottom"/>
            <w:hideMark/>
          </w:tcPr>
          <w:p w14:paraId="7C78559A"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 </w:t>
            </w:r>
          </w:p>
        </w:tc>
      </w:tr>
      <w:tr w:rsidR="00310D52" w:rsidRPr="00310D52" w14:paraId="33FD7A4B" w14:textId="77777777" w:rsidTr="004D6EA1">
        <w:trPr>
          <w:trHeight w:val="60"/>
          <w:jc w:val="center"/>
        </w:trPr>
        <w:tc>
          <w:tcPr>
            <w:tcW w:w="7165"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4BD7E1C7" w14:textId="77777777" w:rsidR="000E1E4E" w:rsidRPr="00310D52" w:rsidRDefault="000E1E4E" w:rsidP="00F7527F">
            <w:pPr>
              <w:spacing w:after="0" w:line="240" w:lineRule="auto"/>
              <w:jc w:val="center"/>
              <w:rPr>
                <w:rFonts w:eastAsia="Times New Roman"/>
                <w:b/>
                <w:bCs/>
                <w:sz w:val="18"/>
                <w:szCs w:val="18"/>
                <w:lang w:val="es-DO" w:eastAsia="es-DO"/>
              </w:rPr>
            </w:pPr>
            <w:r w:rsidRPr="00310D52">
              <w:rPr>
                <w:rFonts w:eastAsia="Times New Roman"/>
                <w:b/>
                <w:bCs/>
                <w:sz w:val="18"/>
                <w:szCs w:val="18"/>
                <w:lang w:val="es-DO" w:eastAsia="es-DO"/>
              </w:rPr>
              <w:t>DATOS DE CABECERA PACC</w:t>
            </w:r>
          </w:p>
        </w:tc>
      </w:tr>
      <w:tr w:rsidR="00310D52" w:rsidRPr="00310D52" w14:paraId="068C97B4" w14:textId="77777777" w:rsidTr="004D6EA1">
        <w:trPr>
          <w:trHeight w:val="120"/>
          <w:jc w:val="center"/>
        </w:trPr>
        <w:tc>
          <w:tcPr>
            <w:tcW w:w="3880" w:type="dxa"/>
            <w:tcBorders>
              <w:top w:val="nil"/>
              <w:left w:val="single" w:sz="8" w:space="0" w:color="auto"/>
              <w:bottom w:val="single" w:sz="8" w:space="0" w:color="E7E6E6"/>
              <w:right w:val="nil"/>
            </w:tcBorders>
            <w:shd w:val="clear" w:color="000000" w:fill="FFFFFF"/>
            <w:vAlign w:val="center"/>
            <w:hideMark/>
          </w:tcPr>
          <w:p w14:paraId="1E495169"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Monto estimado total</w:t>
            </w:r>
          </w:p>
        </w:tc>
        <w:tc>
          <w:tcPr>
            <w:tcW w:w="3285" w:type="dxa"/>
            <w:tcBorders>
              <w:top w:val="nil"/>
              <w:left w:val="nil"/>
              <w:bottom w:val="single" w:sz="8" w:space="0" w:color="E7E6E6"/>
              <w:right w:val="single" w:sz="8" w:space="0" w:color="auto"/>
            </w:tcBorders>
            <w:noWrap/>
            <w:vAlign w:val="center"/>
            <w:hideMark/>
          </w:tcPr>
          <w:p w14:paraId="7DC4EB87"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$2,078,573,456.04 </w:t>
            </w:r>
          </w:p>
        </w:tc>
      </w:tr>
      <w:tr w:rsidR="00310D52" w:rsidRPr="00310D52" w14:paraId="637E39D3"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5AA47907"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Monto total contratado</w:t>
            </w:r>
          </w:p>
        </w:tc>
        <w:tc>
          <w:tcPr>
            <w:tcW w:w="3285" w:type="dxa"/>
            <w:tcBorders>
              <w:top w:val="nil"/>
              <w:left w:val="nil"/>
              <w:bottom w:val="single" w:sz="8" w:space="0" w:color="E7E6E6"/>
              <w:right w:val="single" w:sz="8" w:space="0" w:color="auto"/>
            </w:tcBorders>
            <w:noWrap/>
            <w:vAlign w:val="center"/>
            <w:hideMark/>
          </w:tcPr>
          <w:p w14:paraId="72C3FAED"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$1,785,197,829.00 </w:t>
            </w:r>
          </w:p>
        </w:tc>
      </w:tr>
      <w:tr w:rsidR="00310D52" w:rsidRPr="00310D52" w14:paraId="41877018" w14:textId="77777777" w:rsidTr="004D6EA1">
        <w:trPr>
          <w:trHeight w:val="127"/>
          <w:jc w:val="center"/>
        </w:trPr>
        <w:tc>
          <w:tcPr>
            <w:tcW w:w="3880" w:type="dxa"/>
            <w:tcBorders>
              <w:top w:val="nil"/>
              <w:left w:val="single" w:sz="8" w:space="0" w:color="auto"/>
              <w:bottom w:val="single" w:sz="8" w:space="0" w:color="E7E6E6"/>
              <w:right w:val="nil"/>
            </w:tcBorders>
            <w:shd w:val="clear" w:color="000000" w:fill="FFFFFF"/>
            <w:vAlign w:val="center"/>
            <w:hideMark/>
          </w:tcPr>
          <w:p w14:paraId="7C7D4ADC"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Cantidad de procesos registrados</w:t>
            </w:r>
          </w:p>
        </w:tc>
        <w:tc>
          <w:tcPr>
            <w:tcW w:w="3285" w:type="dxa"/>
            <w:tcBorders>
              <w:top w:val="nil"/>
              <w:left w:val="nil"/>
              <w:bottom w:val="single" w:sz="8" w:space="0" w:color="E7E6E6"/>
              <w:right w:val="single" w:sz="8" w:space="0" w:color="auto"/>
            </w:tcBorders>
            <w:shd w:val="clear" w:color="000000" w:fill="FFFFFF"/>
            <w:vAlign w:val="center"/>
            <w:hideMark/>
          </w:tcPr>
          <w:p w14:paraId="6DADD9BF"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39</w:t>
            </w:r>
          </w:p>
        </w:tc>
      </w:tr>
      <w:tr w:rsidR="00310D52" w:rsidRPr="00310D52" w14:paraId="45C11846"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03E41E5E"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Capítulo</w:t>
            </w:r>
          </w:p>
        </w:tc>
        <w:tc>
          <w:tcPr>
            <w:tcW w:w="3285" w:type="dxa"/>
            <w:tcBorders>
              <w:top w:val="nil"/>
              <w:left w:val="nil"/>
              <w:bottom w:val="single" w:sz="8" w:space="0" w:color="E7E6E6"/>
              <w:right w:val="single" w:sz="8" w:space="0" w:color="auto"/>
            </w:tcBorders>
            <w:shd w:val="clear" w:color="000000" w:fill="FFFFFF"/>
            <w:vAlign w:val="center"/>
            <w:hideMark/>
          </w:tcPr>
          <w:p w14:paraId="616DA0DD"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5180</w:t>
            </w:r>
          </w:p>
        </w:tc>
      </w:tr>
      <w:tr w:rsidR="00310D52" w:rsidRPr="00310D52" w14:paraId="76C454A1" w14:textId="77777777" w:rsidTr="004D6EA1">
        <w:trPr>
          <w:trHeight w:val="150"/>
          <w:jc w:val="center"/>
        </w:trPr>
        <w:tc>
          <w:tcPr>
            <w:tcW w:w="3880" w:type="dxa"/>
            <w:tcBorders>
              <w:top w:val="nil"/>
              <w:left w:val="single" w:sz="8" w:space="0" w:color="auto"/>
              <w:bottom w:val="single" w:sz="8" w:space="0" w:color="E7E6E6"/>
              <w:right w:val="nil"/>
            </w:tcBorders>
            <w:shd w:val="clear" w:color="000000" w:fill="FFFFFF"/>
            <w:vAlign w:val="center"/>
            <w:hideMark/>
          </w:tcPr>
          <w:p w14:paraId="1BCD150A"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Subcapítulo</w:t>
            </w:r>
          </w:p>
        </w:tc>
        <w:tc>
          <w:tcPr>
            <w:tcW w:w="3285" w:type="dxa"/>
            <w:tcBorders>
              <w:top w:val="nil"/>
              <w:left w:val="nil"/>
              <w:bottom w:val="single" w:sz="8" w:space="0" w:color="E7E6E6"/>
              <w:right w:val="single" w:sz="8" w:space="0" w:color="auto"/>
            </w:tcBorders>
            <w:shd w:val="clear" w:color="000000" w:fill="FFFFFF"/>
            <w:vAlign w:val="center"/>
            <w:hideMark/>
          </w:tcPr>
          <w:p w14:paraId="25ACF1C8"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01</w:t>
            </w:r>
          </w:p>
        </w:tc>
      </w:tr>
      <w:tr w:rsidR="00310D52" w:rsidRPr="00310D52" w14:paraId="5E14C38C"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64EF8F8F"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Unidad ejecutora</w:t>
            </w:r>
          </w:p>
        </w:tc>
        <w:tc>
          <w:tcPr>
            <w:tcW w:w="3285" w:type="dxa"/>
            <w:tcBorders>
              <w:top w:val="nil"/>
              <w:left w:val="nil"/>
              <w:bottom w:val="single" w:sz="8" w:space="0" w:color="E7E6E6"/>
              <w:right w:val="single" w:sz="8" w:space="0" w:color="auto"/>
            </w:tcBorders>
            <w:shd w:val="clear" w:color="000000" w:fill="FFFFFF"/>
            <w:vAlign w:val="center"/>
            <w:hideMark/>
          </w:tcPr>
          <w:p w14:paraId="5563508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0016</w:t>
            </w:r>
          </w:p>
        </w:tc>
      </w:tr>
      <w:tr w:rsidR="00310D52" w:rsidRPr="00F06D9C" w14:paraId="73728C9E" w14:textId="77777777" w:rsidTr="004D6EA1">
        <w:trPr>
          <w:trHeight w:val="619"/>
          <w:jc w:val="center"/>
        </w:trPr>
        <w:tc>
          <w:tcPr>
            <w:tcW w:w="3880" w:type="dxa"/>
            <w:tcBorders>
              <w:top w:val="nil"/>
              <w:left w:val="single" w:sz="8" w:space="0" w:color="auto"/>
              <w:bottom w:val="single" w:sz="8" w:space="0" w:color="E7E6E6"/>
              <w:right w:val="nil"/>
            </w:tcBorders>
            <w:shd w:val="clear" w:color="000000" w:fill="FFFFFF"/>
            <w:vAlign w:val="center"/>
            <w:hideMark/>
          </w:tcPr>
          <w:p w14:paraId="5D9ECBC4"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Unidad de compra</w:t>
            </w:r>
          </w:p>
        </w:tc>
        <w:tc>
          <w:tcPr>
            <w:tcW w:w="3285" w:type="dxa"/>
            <w:tcBorders>
              <w:top w:val="nil"/>
              <w:left w:val="nil"/>
              <w:bottom w:val="single" w:sz="8" w:space="0" w:color="E7E6E6"/>
              <w:right w:val="single" w:sz="8" w:space="0" w:color="auto"/>
            </w:tcBorders>
            <w:shd w:val="clear" w:color="000000" w:fill="FFFFFF"/>
            <w:vAlign w:val="center"/>
            <w:hideMark/>
          </w:tcPr>
          <w:p w14:paraId="2FFC0C59"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Dirección de Servicios de Atención a Emergencias Extrahospitalarias</w:t>
            </w:r>
          </w:p>
        </w:tc>
      </w:tr>
      <w:tr w:rsidR="00310D52" w:rsidRPr="00310D52" w14:paraId="40FA39AD" w14:textId="77777777" w:rsidTr="004D6EA1">
        <w:trPr>
          <w:trHeight w:val="109"/>
          <w:jc w:val="center"/>
        </w:trPr>
        <w:tc>
          <w:tcPr>
            <w:tcW w:w="3880" w:type="dxa"/>
            <w:tcBorders>
              <w:top w:val="nil"/>
              <w:left w:val="single" w:sz="8" w:space="0" w:color="auto"/>
              <w:bottom w:val="single" w:sz="8" w:space="0" w:color="E7E6E6"/>
              <w:right w:val="nil"/>
            </w:tcBorders>
            <w:shd w:val="clear" w:color="000000" w:fill="FFFFFF"/>
            <w:vAlign w:val="center"/>
            <w:hideMark/>
          </w:tcPr>
          <w:p w14:paraId="0C8984E2"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Año fiscal</w:t>
            </w:r>
          </w:p>
        </w:tc>
        <w:tc>
          <w:tcPr>
            <w:tcW w:w="3285" w:type="dxa"/>
            <w:tcBorders>
              <w:top w:val="nil"/>
              <w:left w:val="nil"/>
              <w:bottom w:val="single" w:sz="8" w:space="0" w:color="E7E6E6"/>
              <w:right w:val="single" w:sz="8" w:space="0" w:color="auto"/>
            </w:tcBorders>
            <w:shd w:val="clear" w:color="000000" w:fill="FFFFFF"/>
            <w:vAlign w:val="center"/>
            <w:hideMark/>
          </w:tcPr>
          <w:p w14:paraId="12BB92C5"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2025</w:t>
            </w:r>
          </w:p>
        </w:tc>
      </w:tr>
      <w:tr w:rsidR="00310D52" w:rsidRPr="00310D52" w14:paraId="493EF978" w14:textId="77777777" w:rsidTr="004D6EA1">
        <w:trPr>
          <w:trHeight w:val="60"/>
          <w:jc w:val="center"/>
        </w:trPr>
        <w:tc>
          <w:tcPr>
            <w:tcW w:w="3880" w:type="dxa"/>
            <w:tcBorders>
              <w:top w:val="nil"/>
              <w:left w:val="single" w:sz="8" w:space="0" w:color="auto"/>
              <w:bottom w:val="nil"/>
              <w:right w:val="nil"/>
            </w:tcBorders>
            <w:shd w:val="clear" w:color="000000" w:fill="FFFFFF"/>
            <w:vAlign w:val="center"/>
            <w:hideMark/>
          </w:tcPr>
          <w:p w14:paraId="5A837ED5"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Fecha aprobación</w:t>
            </w:r>
          </w:p>
        </w:tc>
        <w:tc>
          <w:tcPr>
            <w:tcW w:w="3285" w:type="dxa"/>
            <w:tcBorders>
              <w:top w:val="nil"/>
              <w:left w:val="nil"/>
              <w:bottom w:val="nil"/>
              <w:right w:val="single" w:sz="8" w:space="0" w:color="auto"/>
            </w:tcBorders>
            <w:vAlign w:val="center"/>
            <w:hideMark/>
          </w:tcPr>
          <w:p w14:paraId="01A59B2F" w14:textId="5D0AE013"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30 de noviembre</w:t>
            </w:r>
          </w:p>
        </w:tc>
      </w:tr>
      <w:tr w:rsidR="00310D52" w:rsidRPr="00F06D9C" w14:paraId="50D37A59" w14:textId="77777777" w:rsidTr="004D6EA1">
        <w:trPr>
          <w:trHeight w:val="60"/>
          <w:jc w:val="center"/>
        </w:trPr>
        <w:tc>
          <w:tcPr>
            <w:tcW w:w="7165"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0FF54E8F" w14:textId="77777777" w:rsidR="000E1E4E" w:rsidRPr="00310D52" w:rsidRDefault="000E1E4E" w:rsidP="00F7527F">
            <w:pPr>
              <w:spacing w:after="0" w:line="240" w:lineRule="auto"/>
              <w:jc w:val="center"/>
              <w:rPr>
                <w:rFonts w:eastAsia="Times New Roman"/>
                <w:b/>
                <w:bCs/>
                <w:sz w:val="18"/>
                <w:szCs w:val="18"/>
                <w:lang w:val="es-DO" w:eastAsia="es-DO"/>
              </w:rPr>
            </w:pPr>
            <w:r w:rsidRPr="00310D52">
              <w:rPr>
                <w:rFonts w:eastAsia="Times New Roman"/>
                <w:b/>
                <w:bCs/>
                <w:sz w:val="18"/>
                <w:szCs w:val="18"/>
                <w:lang w:val="es-DO" w:eastAsia="es-DO"/>
              </w:rPr>
              <w:t>MONTOS ESTIMADOS SEGÚN OBJETO DE CONTRATACIÓN</w:t>
            </w:r>
          </w:p>
        </w:tc>
      </w:tr>
      <w:tr w:rsidR="00310D52" w:rsidRPr="00310D52" w14:paraId="2B12F0A3" w14:textId="77777777" w:rsidTr="004D6EA1">
        <w:trPr>
          <w:trHeight w:val="164"/>
          <w:jc w:val="center"/>
        </w:trPr>
        <w:tc>
          <w:tcPr>
            <w:tcW w:w="3880" w:type="dxa"/>
            <w:tcBorders>
              <w:top w:val="nil"/>
              <w:left w:val="single" w:sz="8" w:space="0" w:color="auto"/>
              <w:bottom w:val="single" w:sz="8" w:space="0" w:color="E7E6E6"/>
              <w:right w:val="nil"/>
            </w:tcBorders>
            <w:shd w:val="clear" w:color="000000" w:fill="FFFFFF"/>
            <w:vAlign w:val="center"/>
            <w:hideMark/>
          </w:tcPr>
          <w:p w14:paraId="5C097D39"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Bienes</w:t>
            </w:r>
          </w:p>
        </w:tc>
        <w:tc>
          <w:tcPr>
            <w:tcW w:w="3285" w:type="dxa"/>
            <w:tcBorders>
              <w:top w:val="nil"/>
              <w:left w:val="nil"/>
              <w:bottom w:val="single" w:sz="8" w:space="0" w:color="E7E6E6"/>
              <w:right w:val="single" w:sz="8" w:space="0" w:color="auto"/>
            </w:tcBorders>
            <w:noWrap/>
            <w:vAlign w:val="center"/>
            <w:hideMark/>
          </w:tcPr>
          <w:p w14:paraId="7315EC30"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$607,345,626.00 </w:t>
            </w:r>
          </w:p>
        </w:tc>
      </w:tr>
      <w:tr w:rsidR="00310D52" w:rsidRPr="00310D52" w14:paraId="7792F1CD"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10A67928"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Obras</w:t>
            </w:r>
          </w:p>
        </w:tc>
        <w:tc>
          <w:tcPr>
            <w:tcW w:w="3285" w:type="dxa"/>
            <w:tcBorders>
              <w:top w:val="nil"/>
              <w:left w:val="nil"/>
              <w:bottom w:val="single" w:sz="8" w:space="0" w:color="E7E6E6"/>
              <w:right w:val="single" w:sz="8" w:space="0" w:color="auto"/>
            </w:tcBorders>
            <w:noWrap/>
            <w:vAlign w:val="center"/>
            <w:hideMark/>
          </w:tcPr>
          <w:p w14:paraId="5D82A223"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6B99C658"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5B53448D"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Servicios</w:t>
            </w:r>
          </w:p>
        </w:tc>
        <w:tc>
          <w:tcPr>
            <w:tcW w:w="3285" w:type="dxa"/>
            <w:tcBorders>
              <w:top w:val="nil"/>
              <w:left w:val="nil"/>
              <w:bottom w:val="single" w:sz="8" w:space="0" w:color="E7E6E6"/>
              <w:right w:val="single" w:sz="8" w:space="0" w:color="auto"/>
            </w:tcBorders>
            <w:noWrap/>
            <w:vAlign w:val="center"/>
            <w:hideMark/>
          </w:tcPr>
          <w:p w14:paraId="2479B176"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$1,177,852,203.00 </w:t>
            </w:r>
          </w:p>
        </w:tc>
      </w:tr>
      <w:tr w:rsidR="00310D52" w:rsidRPr="00310D52" w14:paraId="1B397671"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055B0CF1"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Servicios: consultoría</w:t>
            </w:r>
          </w:p>
        </w:tc>
        <w:tc>
          <w:tcPr>
            <w:tcW w:w="3285" w:type="dxa"/>
            <w:tcBorders>
              <w:top w:val="nil"/>
              <w:left w:val="nil"/>
              <w:bottom w:val="single" w:sz="8" w:space="0" w:color="E7E6E6"/>
              <w:right w:val="single" w:sz="8" w:space="0" w:color="auto"/>
            </w:tcBorders>
            <w:noWrap/>
            <w:vAlign w:val="center"/>
            <w:hideMark/>
          </w:tcPr>
          <w:p w14:paraId="110C2D7B"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6587EEA0"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06818DB8"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Servicios: consultoría basada en la calidad de los servicios</w:t>
            </w:r>
          </w:p>
        </w:tc>
        <w:tc>
          <w:tcPr>
            <w:tcW w:w="3285" w:type="dxa"/>
            <w:tcBorders>
              <w:top w:val="nil"/>
              <w:left w:val="nil"/>
              <w:bottom w:val="single" w:sz="8" w:space="0" w:color="E7E6E6"/>
              <w:right w:val="single" w:sz="8" w:space="0" w:color="auto"/>
            </w:tcBorders>
            <w:shd w:val="clear" w:color="000000" w:fill="FFFFFF"/>
            <w:vAlign w:val="center"/>
            <w:hideMark/>
          </w:tcPr>
          <w:p w14:paraId="332675F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F06D9C" w14:paraId="15B89EDC" w14:textId="77777777" w:rsidTr="004D6EA1">
        <w:trPr>
          <w:trHeight w:val="317"/>
          <w:jc w:val="center"/>
        </w:trPr>
        <w:tc>
          <w:tcPr>
            <w:tcW w:w="7165" w:type="dxa"/>
            <w:gridSpan w:val="2"/>
            <w:tcBorders>
              <w:top w:val="single" w:sz="8" w:space="0" w:color="E7E6E6"/>
              <w:left w:val="single" w:sz="8" w:space="0" w:color="auto"/>
              <w:bottom w:val="single" w:sz="8" w:space="0" w:color="auto"/>
              <w:right w:val="single" w:sz="8" w:space="0" w:color="000000"/>
            </w:tcBorders>
            <w:shd w:val="clear" w:color="auto" w:fill="D9D9D9"/>
            <w:vAlign w:val="center"/>
            <w:hideMark/>
          </w:tcPr>
          <w:p w14:paraId="2ADA59ED" w14:textId="77777777" w:rsidR="000E1E4E" w:rsidRPr="00310D52" w:rsidRDefault="000E1E4E" w:rsidP="00F7527F">
            <w:pPr>
              <w:spacing w:after="0" w:line="240" w:lineRule="auto"/>
              <w:jc w:val="center"/>
              <w:rPr>
                <w:rFonts w:eastAsia="Times New Roman"/>
                <w:b/>
                <w:bCs/>
                <w:sz w:val="18"/>
                <w:szCs w:val="18"/>
                <w:lang w:val="es-DO" w:eastAsia="es-DO"/>
              </w:rPr>
            </w:pPr>
            <w:r w:rsidRPr="00310D52">
              <w:rPr>
                <w:rFonts w:eastAsia="Times New Roman"/>
                <w:b/>
                <w:bCs/>
                <w:sz w:val="18"/>
                <w:szCs w:val="18"/>
                <w:lang w:val="es-DO" w:eastAsia="es-DO"/>
              </w:rPr>
              <w:t>MONTOS ESTIMADOS SEGÚN CLASIFICACIÓN MIPYMES</w:t>
            </w:r>
          </w:p>
        </w:tc>
      </w:tr>
      <w:tr w:rsidR="00310D52" w:rsidRPr="00310D52" w14:paraId="568043F2"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66B31584"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MiPymes</w:t>
            </w:r>
          </w:p>
        </w:tc>
        <w:tc>
          <w:tcPr>
            <w:tcW w:w="3285" w:type="dxa"/>
            <w:tcBorders>
              <w:top w:val="nil"/>
              <w:left w:val="nil"/>
              <w:bottom w:val="single" w:sz="8" w:space="0" w:color="E7E6E6"/>
              <w:right w:val="single" w:sz="8" w:space="0" w:color="auto"/>
            </w:tcBorders>
            <w:noWrap/>
            <w:vAlign w:val="center"/>
            <w:hideMark/>
          </w:tcPr>
          <w:p w14:paraId="7F4D609C"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$339,573,730.00 </w:t>
            </w:r>
          </w:p>
        </w:tc>
      </w:tr>
      <w:tr w:rsidR="00310D52" w:rsidRPr="00310D52" w14:paraId="3936584A" w14:textId="77777777" w:rsidTr="004D6EA1">
        <w:trPr>
          <w:trHeight w:val="68"/>
          <w:jc w:val="center"/>
        </w:trPr>
        <w:tc>
          <w:tcPr>
            <w:tcW w:w="3880" w:type="dxa"/>
            <w:tcBorders>
              <w:top w:val="nil"/>
              <w:left w:val="single" w:sz="8" w:space="0" w:color="auto"/>
              <w:bottom w:val="single" w:sz="8" w:space="0" w:color="E7E6E6"/>
              <w:right w:val="nil"/>
            </w:tcBorders>
            <w:shd w:val="clear" w:color="000000" w:fill="FFFFFF"/>
            <w:vAlign w:val="center"/>
            <w:hideMark/>
          </w:tcPr>
          <w:p w14:paraId="11BB7DBF"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MiPymes mujer</w:t>
            </w:r>
          </w:p>
        </w:tc>
        <w:tc>
          <w:tcPr>
            <w:tcW w:w="3285" w:type="dxa"/>
            <w:tcBorders>
              <w:top w:val="nil"/>
              <w:left w:val="nil"/>
              <w:bottom w:val="single" w:sz="8" w:space="0" w:color="E7E6E6"/>
              <w:right w:val="single" w:sz="8" w:space="0" w:color="auto"/>
            </w:tcBorders>
            <w:noWrap/>
            <w:vAlign w:val="center"/>
            <w:hideMark/>
          </w:tcPr>
          <w:p w14:paraId="60D3D24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$124,304,024.00 </w:t>
            </w:r>
          </w:p>
        </w:tc>
      </w:tr>
      <w:tr w:rsidR="00310D52" w:rsidRPr="00310D52" w14:paraId="3DC22487"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4E5E3B3"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No MiPymes</w:t>
            </w:r>
          </w:p>
        </w:tc>
        <w:tc>
          <w:tcPr>
            <w:tcW w:w="3285" w:type="dxa"/>
            <w:tcBorders>
              <w:top w:val="nil"/>
              <w:left w:val="nil"/>
              <w:bottom w:val="single" w:sz="8" w:space="0" w:color="E7E6E6"/>
              <w:right w:val="single" w:sz="8" w:space="0" w:color="auto"/>
            </w:tcBorders>
            <w:noWrap/>
            <w:vAlign w:val="center"/>
            <w:hideMark/>
          </w:tcPr>
          <w:p w14:paraId="325D3B8B"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$1,321,320,075.00 </w:t>
            </w:r>
          </w:p>
        </w:tc>
      </w:tr>
      <w:tr w:rsidR="00310D52" w:rsidRPr="00F06D9C" w14:paraId="0E77C8E7" w14:textId="77777777" w:rsidTr="004D6EA1">
        <w:trPr>
          <w:trHeight w:val="60"/>
          <w:jc w:val="center"/>
        </w:trPr>
        <w:tc>
          <w:tcPr>
            <w:tcW w:w="7165" w:type="dxa"/>
            <w:gridSpan w:val="2"/>
            <w:tcBorders>
              <w:top w:val="single" w:sz="8" w:space="0" w:color="E7E6E6"/>
              <w:left w:val="single" w:sz="8" w:space="0" w:color="auto"/>
              <w:bottom w:val="single" w:sz="8" w:space="0" w:color="auto"/>
              <w:right w:val="single" w:sz="8" w:space="0" w:color="000000"/>
            </w:tcBorders>
            <w:shd w:val="clear" w:color="auto" w:fill="D9D9D9"/>
            <w:vAlign w:val="center"/>
            <w:hideMark/>
          </w:tcPr>
          <w:p w14:paraId="5C00317F" w14:textId="77777777" w:rsidR="000E1E4E" w:rsidRPr="00310D52" w:rsidRDefault="000E1E4E" w:rsidP="00F7527F">
            <w:pPr>
              <w:spacing w:after="0" w:line="240" w:lineRule="auto"/>
              <w:jc w:val="center"/>
              <w:rPr>
                <w:rFonts w:eastAsia="Times New Roman"/>
                <w:b/>
                <w:bCs/>
                <w:sz w:val="18"/>
                <w:szCs w:val="18"/>
                <w:lang w:val="es-DO" w:eastAsia="es-DO"/>
              </w:rPr>
            </w:pPr>
            <w:r w:rsidRPr="00310D52">
              <w:rPr>
                <w:rFonts w:eastAsia="Times New Roman"/>
                <w:b/>
                <w:bCs/>
                <w:sz w:val="18"/>
                <w:szCs w:val="18"/>
                <w:lang w:val="es-DO" w:eastAsia="es-DO"/>
              </w:rPr>
              <w:t>MONTOS ESTIMADOS SEGÚN TIPO DE PROCEDIMIENTO</w:t>
            </w:r>
          </w:p>
        </w:tc>
      </w:tr>
      <w:tr w:rsidR="00310D52" w:rsidRPr="00310D52" w14:paraId="04695CA5" w14:textId="77777777" w:rsidTr="004D6EA1">
        <w:trPr>
          <w:trHeight w:val="105"/>
          <w:jc w:val="center"/>
        </w:trPr>
        <w:tc>
          <w:tcPr>
            <w:tcW w:w="3880" w:type="dxa"/>
            <w:tcBorders>
              <w:top w:val="nil"/>
              <w:left w:val="single" w:sz="8" w:space="0" w:color="auto"/>
              <w:bottom w:val="single" w:sz="8" w:space="0" w:color="E7E6E6"/>
              <w:right w:val="nil"/>
            </w:tcBorders>
            <w:shd w:val="clear" w:color="000000" w:fill="FFFFFF"/>
            <w:vAlign w:val="center"/>
            <w:hideMark/>
          </w:tcPr>
          <w:p w14:paraId="246311BF"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Compras por debajo del umbral</w:t>
            </w:r>
          </w:p>
        </w:tc>
        <w:tc>
          <w:tcPr>
            <w:tcW w:w="3285" w:type="dxa"/>
            <w:tcBorders>
              <w:top w:val="nil"/>
              <w:left w:val="nil"/>
              <w:bottom w:val="single" w:sz="8" w:space="0" w:color="E7E6E6"/>
              <w:right w:val="single" w:sz="8" w:space="0" w:color="auto"/>
            </w:tcBorders>
            <w:noWrap/>
            <w:vAlign w:val="center"/>
            <w:hideMark/>
          </w:tcPr>
          <w:p w14:paraId="07AC9F56"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$11,270,641.00 </w:t>
            </w:r>
          </w:p>
        </w:tc>
      </w:tr>
      <w:tr w:rsidR="00310D52" w:rsidRPr="00310D52" w14:paraId="4D9BF41A"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5913D478"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Compra menor</w:t>
            </w:r>
          </w:p>
        </w:tc>
        <w:tc>
          <w:tcPr>
            <w:tcW w:w="3285" w:type="dxa"/>
            <w:tcBorders>
              <w:top w:val="nil"/>
              <w:left w:val="nil"/>
              <w:bottom w:val="single" w:sz="8" w:space="0" w:color="E7E6E6"/>
              <w:right w:val="single" w:sz="8" w:space="0" w:color="auto"/>
            </w:tcBorders>
            <w:noWrap/>
            <w:vAlign w:val="center"/>
            <w:hideMark/>
          </w:tcPr>
          <w:p w14:paraId="68CAF81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$12,799,771.00 </w:t>
            </w:r>
          </w:p>
        </w:tc>
      </w:tr>
      <w:tr w:rsidR="00310D52" w:rsidRPr="00310D52" w14:paraId="2FC39150"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2F0654E"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Comparación de precios</w:t>
            </w:r>
          </w:p>
        </w:tc>
        <w:tc>
          <w:tcPr>
            <w:tcW w:w="3285" w:type="dxa"/>
            <w:tcBorders>
              <w:top w:val="nil"/>
              <w:left w:val="nil"/>
              <w:bottom w:val="single" w:sz="8" w:space="0" w:color="E7E6E6"/>
              <w:right w:val="single" w:sz="8" w:space="0" w:color="auto"/>
            </w:tcBorders>
            <w:noWrap/>
            <w:vAlign w:val="center"/>
            <w:hideMark/>
          </w:tcPr>
          <w:p w14:paraId="0B6B55B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$14,673,150.00 </w:t>
            </w:r>
          </w:p>
        </w:tc>
      </w:tr>
      <w:tr w:rsidR="00310D52" w:rsidRPr="00310D52" w14:paraId="7984DA56"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CAA895E"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Licitación pública</w:t>
            </w:r>
          </w:p>
        </w:tc>
        <w:tc>
          <w:tcPr>
            <w:tcW w:w="3285" w:type="dxa"/>
            <w:tcBorders>
              <w:top w:val="nil"/>
              <w:left w:val="nil"/>
              <w:bottom w:val="single" w:sz="8" w:space="0" w:color="E7E6E6"/>
              <w:right w:val="single" w:sz="8" w:space="0" w:color="auto"/>
            </w:tcBorders>
            <w:noWrap/>
            <w:vAlign w:val="center"/>
            <w:hideMark/>
          </w:tcPr>
          <w:p w14:paraId="3564DD26"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$1,576,860,183.00 </w:t>
            </w:r>
          </w:p>
        </w:tc>
      </w:tr>
      <w:tr w:rsidR="00310D52" w:rsidRPr="00310D52" w14:paraId="7692DA0C"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8B905C8"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Licitación pública internacional</w:t>
            </w:r>
          </w:p>
        </w:tc>
        <w:tc>
          <w:tcPr>
            <w:tcW w:w="3285" w:type="dxa"/>
            <w:tcBorders>
              <w:top w:val="nil"/>
              <w:left w:val="nil"/>
              <w:bottom w:val="single" w:sz="8" w:space="0" w:color="E7E6E6"/>
              <w:right w:val="single" w:sz="8" w:space="0" w:color="auto"/>
            </w:tcBorders>
            <w:noWrap/>
            <w:vAlign w:val="center"/>
            <w:hideMark/>
          </w:tcPr>
          <w:p w14:paraId="6D1FC343"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754B30DF"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AC3F02C"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Licitación restringida</w:t>
            </w:r>
          </w:p>
        </w:tc>
        <w:tc>
          <w:tcPr>
            <w:tcW w:w="3285" w:type="dxa"/>
            <w:tcBorders>
              <w:top w:val="nil"/>
              <w:left w:val="nil"/>
              <w:bottom w:val="single" w:sz="8" w:space="0" w:color="E7E6E6"/>
              <w:right w:val="single" w:sz="8" w:space="0" w:color="auto"/>
            </w:tcBorders>
            <w:noWrap/>
            <w:vAlign w:val="center"/>
            <w:hideMark/>
          </w:tcPr>
          <w:p w14:paraId="49E1C4E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46E11998"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609ED73E"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Sorteo de obras</w:t>
            </w:r>
          </w:p>
        </w:tc>
        <w:tc>
          <w:tcPr>
            <w:tcW w:w="3285" w:type="dxa"/>
            <w:tcBorders>
              <w:top w:val="nil"/>
              <w:left w:val="nil"/>
              <w:bottom w:val="single" w:sz="8" w:space="0" w:color="E7E6E6"/>
              <w:right w:val="single" w:sz="8" w:space="0" w:color="auto"/>
            </w:tcBorders>
            <w:noWrap/>
            <w:vAlign w:val="center"/>
            <w:hideMark/>
          </w:tcPr>
          <w:p w14:paraId="48B445A8"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7FE11F9E"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449FB4B6"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Excepción - bienes o servicios con exclusividad</w:t>
            </w:r>
          </w:p>
        </w:tc>
        <w:tc>
          <w:tcPr>
            <w:tcW w:w="3285" w:type="dxa"/>
            <w:tcBorders>
              <w:top w:val="nil"/>
              <w:left w:val="nil"/>
              <w:bottom w:val="single" w:sz="8" w:space="0" w:color="E7E6E6"/>
              <w:right w:val="single" w:sz="8" w:space="0" w:color="auto"/>
            </w:tcBorders>
            <w:noWrap/>
            <w:vAlign w:val="center"/>
            <w:hideMark/>
          </w:tcPr>
          <w:p w14:paraId="3DE47173"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24F19065"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7A86DE3D"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Excepción - construcción, instalación o adquisición de oficinas para el servicio exterior</w:t>
            </w:r>
          </w:p>
        </w:tc>
        <w:tc>
          <w:tcPr>
            <w:tcW w:w="3285" w:type="dxa"/>
            <w:tcBorders>
              <w:top w:val="nil"/>
              <w:left w:val="nil"/>
              <w:bottom w:val="single" w:sz="8" w:space="0" w:color="E7E6E6"/>
              <w:right w:val="single" w:sz="8" w:space="0" w:color="auto"/>
            </w:tcBorders>
            <w:noWrap/>
            <w:vAlign w:val="center"/>
            <w:hideMark/>
          </w:tcPr>
          <w:p w14:paraId="2308D574"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4E55C270" w14:textId="77777777" w:rsidTr="004D6EA1">
        <w:trPr>
          <w:trHeight w:val="88"/>
          <w:jc w:val="center"/>
        </w:trPr>
        <w:tc>
          <w:tcPr>
            <w:tcW w:w="3880" w:type="dxa"/>
            <w:tcBorders>
              <w:top w:val="nil"/>
              <w:left w:val="single" w:sz="8" w:space="0" w:color="auto"/>
              <w:bottom w:val="single" w:sz="8" w:space="0" w:color="E7E6E6"/>
              <w:right w:val="nil"/>
            </w:tcBorders>
            <w:shd w:val="clear" w:color="000000" w:fill="FFFFFF"/>
            <w:vAlign w:val="center"/>
            <w:hideMark/>
          </w:tcPr>
          <w:p w14:paraId="623D3095"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Excepción - contratación de publicidad a través de medios de comunicación social</w:t>
            </w:r>
          </w:p>
        </w:tc>
        <w:tc>
          <w:tcPr>
            <w:tcW w:w="3285" w:type="dxa"/>
            <w:tcBorders>
              <w:top w:val="nil"/>
              <w:left w:val="nil"/>
              <w:bottom w:val="single" w:sz="8" w:space="0" w:color="E7E6E6"/>
              <w:right w:val="single" w:sz="8" w:space="0" w:color="auto"/>
            </w:tcBorders>
            <w:noWrap/>
            <w:vAlign w:val="center"/>
            <w:hideMark/>
          </w:tcPr>
          <w:p w14:paraId="607D9F51"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63C032CE" w14:textId="77777777" w:rsidTr="004D6EA1">
        <w:trPr>
          <w:trHeight w:val="423"/>
          <w:jc w:val="center"/>
        </w:trPr>
        <w:tc>
          <w:tcPr>
            <w:tcW w:w="3880" w:type="dxa"/>
            <w:tcBorders>
              <w:top w:val="nil"/>
              <w:left w:val="single" w:sz="8" w:space="0" w:color="auto"/>
              <w:bottom w:val="single" w:sz="8" w:space="0" w:color="E7E6E6"/>
              <w:right w:val="nil"/>
            </w:tcBorders>
            <w:shd w:val="clear" w:color="000000" w:fill="FFFFFF"/>
            <w:vAlign w:val="center"/>
            <w:hideMark/>
          </w:tcPr>
          <w:p w14:paraId="4B111EA0"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Excepción - obras científicas, técnicas, artísticas, o restauración de monumentos históricos</w:t>
            </w:r>
          </w:p>
        </w:tc>
        <w:tc>
          <w:tcPr>
            <w:tcW w:w="3285" w:type="dxa"/>
            <w:tcBorders>
              <w:top w:val="nil"/>
              <w:left w:val="nil"/>
              <w:bottom w:val="single" w:sz="8" w:space="0" w:color="E7E6E6"/>
              <w:right w:val="single" w:sz="8" w:space="0" w:color="auto"/>
            </w:tcBorders>
            <w:noWrap/>
            <w:vAlign w:val="center"/>
            <w:hideMark/>
          </w:tcPr>
          <w:p w14:paraId="6AD0B517"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310D52" w14:paraId="715E3D41" w14:textId="77777777" w:rsidTr="004D6EA1">
        <w:trPr>
          <w:trHeight w:val="60"/>
          <w:jc w:val="center"/>
        </w:trPr>
        <w:tc>
          <w:tcPr>
            <w:tcW w:w="3880" w:type="dxa"/>
            <w:tcBorders>
              <w:top w:val="nil"/>
              <w:left w:val="single" w:sz="8" w:space="0" w:color="auto"/>
              <w:bottom w:val="single" w:sz="8" w:space="0" w:color="E7E6E6"/>
              <w:right w:val="nil"/>
            </w:tcBorders>
            <w:shd w:val="clear" w:color="000000" w:fill="FFFFFF"/>
            <w:vAlign w:val="center"/>
            <w:hideMark/>
          </w:tcPr>
          <w:p w14:paraId="5F6A07FD"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Excepción - proveedor único</w:t>
            </w:r>
          </w:p>
        </w:tc>
        <w:tc>
          <w:tcPr>
            <w:tcW w:w="3285" w:type="dxa"/>
            <w:tcBorders>
              <w:top w:val="nil"/>
              <w:left w:val="nil"/>
              <w:bottom w:val="single" w:sz="8" w:space="0" w:color="E7E6E6"/>
              <w:right w:val="single" w:sz="8" w:space="0" w:color="auto"/>
            </w:tcBorders>
            <w:noWrap/>
            <w:vAlign w:val="center"/>
            <w:hideMark/>
          </w:tcPr>
          <w:p w14:paraId="01C1581F"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$90,321,624.00 </w:t>
            </w:r>
          </w:p>
        </w:tc>
      </w:tr>
      <w:tr w:rsidR="00310D52" w:rsidRPr="00310D52" w14:paraId="4DD35ABD" w14:textId="77777777" w:rsidTr="004D6EA1">
        <w:trPr>
          <w:trHeight w:val="178"/>
          <w:jc w:val="center"/>
        </w:trPr>
        <w:tc>
          <w:tcPr>
            <w:tcW w:w="3880" w:type="dxa"/>
            <w:tcBorders>
              <w:top w:val="nil"/>
              <w:left w:val="single" w:sz="8" w:space="0" w:color="auto"/>
              <w:bottom w:val="single" w:sz="8" w:space="0" w:color="E7E6E6"/>
              <w:right w:val="nil"/>
            </w:tcBorders>
            <w:shd w:val="clear" w:color="000000" w:fill="FFFFFF"/>
            <w:vAlign w:val="center"/>
            <w:hideMark/>
          </w:tcPr>
          <w:p w14:paraId="4760D5F5"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Subasta Inversa</w:t>
            </w:r>
          </w:p>
        </w:tc>
        <w:tc>
          <w:tcPr>
            <w:tcW w:w="3285" w:type="dxa"/>
            <w:tcBorders>
              <w:top w:val="nil"/>
              <w:left w:val="nil"/>
              <w:bottom w:val="single" w:sz="8" w:space="0" w:color="E7E6E6"/>
              <w:right w:val="single" w:sz="8" w:space="0" w:color="auto"/>
            </w:tcBorders>
            <w:noWrap/>
            <w:vAlign w:val="center"/>
            <w:hideMark/>
          </w:tcPr>
          <w:p w14:paraId="68FD05C6"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 xml:space="preserve">$79,272,460.00 </w:t>
            </w:r>
          </w:p>
        </w:tc>
      </w:tr>
      <w:tr w:rsidR="00310D52" w:rsidRPr="00310D52" w14:paraId="66437031" w14:textId="77777777" w:rsidTr="004D6EA1">
        <w:trPr>
          <w:trHeight w:val="60"/>
          <w:jc w:val="center"/>
        </w:trPr>
        <w:tc>
          <w:tcPr>
            <w:tcW w:w="3880" w:type="dxa"/>
            <w:tcBorders>
              <w:top w:val="nil"/>
              <w:left w:val="single" w:sz="8" w:space="0" w:color="auto"/>
              <w:bottom w:val="single" w:sz="8" w:space="0" w:color="auto"/>
              <w:right w:val="nil"/>
            </w:tcBorders>
            <w:shd w:val="clear" w:color="000000" w:fill="FFFFFF"/>
            <w:vAlign w:val="center"/>
            <w:hideMark/>
          </w:tcPr>
          <w:p w14:paraId="404CEE62" w14:textId="77777777" w:rsidR="000E1E4E" w:rsidRPr="00310D52" w:rsidRDefault="000E1E4E" w:rsidP="00F7527F">
            <w:pPr>
              <w:spacing w:after="0" w:line="240" w:lineRule="auto"/>
              <w:rPr>
                <w:rFonts w:eastAsia="Times New Roman"/>
                <w:sz w:val="18"/>
                <w:szCs w:val="18"/>
                <w:lang w:val="es-DO" w:eastAsia="es-DO"/>
              </w:rPr>
            </w:pPr>
            <w:r w:rsidRPr="00310D52">
              <w:rPr>
                <w:rFonts w:eastAsia="Times New Roman"/>
                <w:sz w:val="18"/>
                <w:szCs w:val="18"/>
                <w:lang w:val="es-DO" w:eastAsia="es-DO"/>
              </w:rPr>
              <w:t>Compra y contratación de combustible</w:t>
            </w:r>
          </w:p>
        </w:tc>
        <w:tc>
          <w:tcPr>
            <w:tcW w:w="3285" w:type="dxa"/>
            <w:tcBorders>
              <w:top w:val="nil"/>
              <w:left w:val="nil"/>
              <w:bottom w:val="single" w:sz="8" w:space="0" w:color="E7E6E6"/>
              <w:right w:val="single" w:sz="8" w:space="0" w:color="auto"/>
            </w:tcBorders>
            <w:noWrap/>
            <w:vAlign w:val="center"/>
            <w:hideMark/>
          </w:tcPr>
          <w:p w14:paraId="62620AC1" w14:textId="77777777" w:rsidR="000E1E4E" w:rsidRPr="00310D52" w:rsidRDefault="000E1E4E" w:rsidP="00F7527F">
            <w:pPr>
              <w:spacing w:after="0" w:line="240" w:lineRule="auto"/>
              <w:jc w:val="right"/>
              <w:rPr>
                <w:rFonts w:eastAsia="Times New Roman"/>
                <w:sz w:val="18"/>
                <w:szCs w:val="18"/>
                <w:lang w:val="es-DO" w:eastAsia="es-DO"/>
              </w:rPr>
            </w:pPr>
            <w:r w:rsidRPr="00310D52">
              <w:rPr>
                <w:rFonts w:eastAsia="Times New Roman"/>
                <w:sz w:val="18"/>
                <w:szCs w:val="18"/>
                <w:lang w:val="es-DO" w:eastAsia="es-DO"/>
              </w:rPr>
              <w:t>N/A</w:t>
            </w:r>
          </w:p>
        </w:tc>
      </w:tr>
      <w:tr w:rsidR="00310D52" w:rsidRPr="00F06D9C" w14:paraId="19CDCF6D" w14:textId="77777777" w:rsidTr="004D6EA1">
        <w:trPr>
          <w:trHeight w:val="302"/>
          <w:jc w:val="center"/>
        </w:trPr>
        <w:tc>
          <w:tcPr>
            <w:tcW w:w="7165" w:type="dxa"/>
            <w:gridSpan w:val="2"/>
            <w:tcBorders>
              <w:top w:val="single" w:sz="8" w:space="0" w:color="auto"/>
              <w:left w:val="nil"/>
              <w:bottom w:val="nil"/>
              <w:right w:val="nil"/>
            </w:tcBorders>
            <w:shd w:val="clear" w:color="000000" w:fill="FFFFFF"/>
            <w:noWrap/>
            <w:vAlign w:val="center"/>
            <w:hideMark/>
          </w:tcPr>
          <w:p w14:paraId="508FAD54" w14:textId="77777777" w:rsidR="000E1E4E" w:rsidRPr="00310D52" w:rsidRDefault="000E1E4E" w:rsidP="00F7527F">
            <w:pPr>
              <w:spacing w:after="0" w:line="240" w:lineRule="auto"/>
              <w:rPr>
                <w:rFonts w:eastAsia="Times New Roman"/>
                <w:i/>
                <w:iCs/>
                <w:sz w:val="18"/>
                <w:szCs w:val="18"/>
                <w:lang w:val="es-DO" w:eastAsia="es-DO"/>
              </w:rPr>
            </w:pPr>
          </w:p>
          <w:p w14:paraId="4433FF16" w14:textId="1828CCED" w:rsidR="000E1E4E" w:rsidRPr="00310D52" w:rsidRDefault="000E1E4E" w:rsidP="00F7527F">
            <w:pPr>
              <w:spacing w:after="0" w:line="240" w:lineRule="auto"/>
              <w:rPr>
                <w:rFonts w:eastAsia="Times New Roman"/>
                <w:i/>
                <w:iCs/>
                <w:sz w:val="18"/>
                <w:szCs w:val="18"/>
                <w:lang w:val="es-DO" w:eastAsia="es-DO"/>
              </w:rPr>
            </w:pPr>
            <w:r w:rsidRPr="00310D52">
              <w:rPr>
                <w:rFonts w:eastAsia="Times New Roman"/>
                <w:i/>
                <w:iCs/>
                <w:sz w:val="18"/>
                <w:szCs w:val="18"/>
                <w:lang w:val="es-DO" w:eastAsia="es-DO"/>
              </w:rPr>
              <w:t>Fuente: Elaborada en base a las informaciones del Sistema Electrónico de Contrataciones Públicas</w:t>
            </w:r>
          </w:p>
        </w:tc>
      </w:tr>
    </w:tbl>
    <w:p w14:paraId="49ECBCC8" w14:textId="77777777" w:rsidR="000E1E4E" w:rsidRPr="00310D52" w:rsidRDefault="000E1E4E" w:rsidP="000E1E4E">
      <w:pPr>
        <w:rPr>
          <w:sz w:val="18"/>
          <w:szCs w:val="18"/>
          <w:lang w:val="es-DO"/>
        </w:rPr>
      </w:pPr>
    </w:p>
    <w:p w14:paraId="338FE67E" w14:textId="77777777" w:rsidR="000E1E4E" w:rsidRPr="00310D52" w:rsidRDefault="000E1E4E" w:rsidP="000E1E4E">
      <w:pPr>
        <w:rPr>
          <w:sz w:val="18"/>
          <w:szCs w:val="18"/>
          <w:lang w:val="es-DO"/>
        </w:rPr>
      </w:pPr>
    </w:p>
    <w:p w14:paraId="7B17C1A8" w14:textId="77777777" w:rsidR="000E1E4E" w:rsidRPr="00310D52" w:rsidRDefault="000E1E4E" w:rsidP="000E1E4E">
      <w:pPr>
        <w:rPr>
          <w:sz w:val="18"/>
          <w:szCs w:val="18"/>
          <w:lang w:val="es-DO"/>
        </w:rPr>
      </w:pPr>
    </w:p>
    <w:p w14:paraId="0E51922B" w14:textId="77777777" w:rsidR="000E1E4E" w:rsidRPr="00F06D9C" w:rsidRDefault="000E1E4E" w:rsidP="000E1E4E">
      <w:pPr>
        <w:pStyle w:val="Prrafodelista"/>
        <w:numPr>
          <w:ilvl w:val="0"/>
          <w:numId w:val="30"/>
        </w:numPr>
        <w:ind w:left="450"/>
        <w:rPr>
          <w:b/>
          <w:bCs/>
          <w:lang w:val="es-DO"/>
        </w:rPr>
      </w:pPr>
      <w:r w:rsidRPr="00F06D9C">
        <w:rPr>
          <w:b/>
          <w:bCs/>
          <w:lang w:val="es-DO"/>
        </w:rPr>
        <w:lastRenderedPageBreak/>
        <w:t>Asistencias Prehospitalarias por mes/provincia</w:t>
      </w:r>
    </w:p>
    <w:p w14:paraId="4FEB3B5F" w14:textId="0F17C1B2" w:rsidR="000E1E4E" w:rsidRPr="00310D52" w:rsidRDefault="00434602" w:rsidP="000E1E4E">
      <w:pPr>
        <w:rPr>
          <w:sz w:val="18"/>
          <w:szCs w:val="18"/>
          <w:lang w:val="es-DO"/>
        </w:rPr>
      </w:pPr>
      <w:r w:rsidRPr="00310D52">
        <w:rPr>
          <w:sz w:val="18"/>
          <w:szCs w:val="18"/>
          <w:lang w:val="es-DO"/>
        </w:rPr>
        <w:object w:dxaOrig="16421" w:dyaOrig="9819" w14:anchorId="49FC0E0C">
          <v:shape id="_x0000_i1039" type="#_x0000_t75" style="width:391.8pt;height:483pt" o:ole="">
            <v:imagedata r:id="rId52" o:title=""/>
          </v:shape>
          <o:OLEObject Type="Embed" ProgID="Excel.Sheet.12" ShapeID="_x0000_i1039" DrawAspect="Content" ObjectID="_1827944971" r:id="rId53"/>
        </w:object>
      </w:r>
    </w:p>
    <w:p w14:paraId="2A00AD4E" w14:textId="77777777" w:rsidR="000E1E4E" w:rsidRPr="00310D52" w:rsidRDefault="000E1E4E" w:rsidP="000E1E4E">
      <w:pPr>
        <w:spacing w:after="0" w:line="240" w:lineRule="auto"/>
        <w:rPr>
          <w:rFonts w:eastAsia="Times New Roman"/>
          <w:i/>
          <w:iCs/>
          <w:sz w:val="18"/>
          <w:szCs w:val="18"/>
          <w:lang w:val="es-DO" w:eastAsia="es-DO"/>
        </w:rPr>
      </w:pPr>
      <w:r w:rsidRPr="00310D52">
        <w:rPr>
          <w:rFonts w:eastAsia="Times New Roman"/>
          <w:i/>
          <w:iCs/>
          <w:sz w:val="18"/>
          <w:szCs w:val="18"/>
          <w:lang w:val="es-DO" w:eastAsia="es-DO"/>
        </w:rPr>
        <w:t>Fuente: Departamento de Gestión de Extrahospitalaria</w:t>
      </w:r>
    </w:p>
    <w:p w14:paraId="789C94AD" w14:textId="77777777" w:rsidR="000E1E4E" w:rsidRPr="00310D52" w:rsidRDefault="000E1E4E" w:rsidP="000E1E4E">
      <w:pPr>
        <w:rPr>
          <w:sz w:val="18"/>
          <w:szCs w:val="18"/>
          <w:lang w:val="es-DO"/>
        </w:rPr>
      </w:pPr>
    </w:p>
    <w:p w14:paraId="101EB917" w14:textId="77777777" w:rsidR="000E1E4E" w:rsidRPr="00310D52" w:rsidRDefault="000E1E4E" w:rsidP="000E1E4E">
      <w:pPr>
        <w:rPr>
          <w:sz w:val="18"/>
          <w:szCs w:val="18"/>
          <w:lang w:val="es-DO"/>
        </w:rPr>
      </w:pPr>
    </w:p>
    <w:p w14:paraId="32173C3E" w14:textId="77777777" w:rsidR="000E1E4E" w:rsidRPr="00310D52" w:rsidRDefault="000E1E4E" w:rsidP="000E1E4E">
      <w:pPr>
        <w:rPr>
          <w:sz w:val="18"/>
          <w:szCs w:val="18"/>
          <w:lang w:val="es-DO"/>
        </w:rPr>
      </w:pPr>
    </w:p>
    <w:p w14:paraId="7AB77513" w14:textId="77777777" w:rsidR="000E1E4E" w:rsidRPr="00310D52" w:rsidRDefault="000E1E4E" w:rsidP="000E1E4E">
      <w:pPr>
        <w:rPr>
          <w:sz w:val="18"/>
          <w:szCs w:val="18"/>
          <w:lang w:val="es-DO"/>
        </w:rPr>
      </w:pPr>
    </w:p>
    <w:p w14:paraId="1776F9BB" w14:textId="77777777" w:rsidR="000E1E4E" w:rsidRPr="00310D52" w:rsidRDefault="000E1E4E" w:rsidP="000E1E4E">
      <w:pPr>
        <w:rPr>
          <w:sz w:val="18"/>
          <w:szCs w:val="18"/>
          <w:lang w:val="es-DO"/>
        </w:rPr>
      </w:pPr>
    </w:p>
    <w:p w14:paraId="0CD02D01" w14:textId="77777777" w:rsidR="000E1E4E" w:rsidRPr="00310D52" w:rsidRDefault="000E1E4E" w:rsidP="000E1E4E">
      <w:pPr>
        <w:rPr>
          <w:sz w:val="18"/>
          <w:szCs w:val="18"/>
          <w:lang w:val="es-DO"/>
        </w:rPr>
      </w:pPr>
    </w:p>
    <w:p w14:paraId="562879DA" w14:textId="2D43A14E" w:rsidR="000E1E4E" w:rsidRPr="00F06D9C" w:rsidRDefault="000E1E4E" w:rsidP="000E1E4E">
      <w:pPr>
        <w:pStyle w:val="Prrafodelista"/>
        <w:numPr>
          <w:ilvl w:val="0"/>
          <w:numId w:val="30"/>
        </w:numPr>
        <w:ind w:left="450"/>
        <w:rPr>
          <w:b/>
          <w:bCs/>
          <w:lang w:val="es-DO"/>
        </w:rPr>
      </w:pPr>
      <w:bookmarkStart w:id="63" w:name="_Toc172110858"/>
      <w:r w:rsidRPr="00F06D9C">
        <w:rPr>
          <w:b/>
          <w:bCs/>
          <w:lang w:val="es-DO"/>
        </w:rPr>
        <w:lastRenderedPageBreak/>
        <w:t>Traslados Prehospitalarios por mes/provincia</w:t>
      </w:r>
      <w:bookmarkEnd w:id="63"/>
    </w:p>
    <w:p w14:paraId="2883ED42" w14:textId="5EA43A64" w:rsidR="000E1E4E" w:rsidRPr="00310D52" w:rsidRDefault="00434602" w:rsidP="000E1E4E">
      <w:pPr>
        <w:rPr>
          <w:sz w:val="18"/>
          <w:szCs w:val="18"/>
          <w:lang w:val="es-DO"/>
        </w:rPr>
      </w:pPr>
      <w:r w:rsidRPr="00310D52">
        <w:rPr>
          <w:sz w:val="18"/>
          <w:szCs w:val="18"/>
          <w:lang w:val="es-DO"/>
        </w:rPr>
        <w:object w:dxaOrig="15388" w:dyaOrig="9005" w14:anchorId="4B6A3337">
          <v:shape id="_x0000_i1040" type="#_x0000_t75" style="width:388.8pt;height:489.6pt" o:ole="">
            <v:imagedata r:id="rId54" o:title=""/>
          </v:shape>
          <o:OLEObject Type="Embed" ProgID="Excel.Sheet.12" ShapeID="_x0000_i1040" DrawAspect="Content" ObjectID="_1827944972" r:id="rId55"/>
        </w:object>
      </w:r>
    </w:p>
    <w:p w14:paraId="0A021A26" w14:textId="77777777" w:rsidR="001F160D" w:rsidRPr="00310D52" w:rsidRDefault="001F160D" w:rsidP="001F160D">
      <w:pPr>
        <w:spacing w:after="0" w:line="240" w:lineRule="auto"/>
        <w:rPr>
          <w:rFonts w:eastAsia="Times New Roman"/>
          <w:i/>
          <w:iCs/>
          <w:sz w:val="18"/>
          <w:szCs w:val="18"/>
          <w:lang w:val="es-DO" w:eastAsia="es-DO"/>
        </w:rPr>
      </w:pPr>
      <w:r w:rsidRPr="00310D52">
        <w:rPr>
          <w:rFonts w:eastAsia="Times New Roman"/>
          <w:i/>
          <w:iCs/>
          <w:sz w:val="18"/>
          <w:szCs w:val="18"/>
          <w:lang w:val="es-DO" w:eastAsia="es-DO"/>
        </w:rPr>
        <w:t>Fuente: Departamento de Gestión de Extrahospitalaria</w:t>
      </w:r>
    </w:p>
    <w:p w14:paraId="4001395A" w14:textId="77777777" w:rsidR="001F160D" w:rsidRPr="00310D52" w:rsidRDefault="001F160D" w:rsidP="000E1E4E">
      <w:pPr>
        <w:rPr>
          <w:sz w:val="18"/>
          <w:szCs w:val="18"/>
          <w:lang w:val="es-DO"/>
        </w:rPr>
      </w:pPr>
    </w:p>
    <w:p w14:paraId="7D853554" w14:textId="77777777" w:rsidR="001F160D" w:rsidRPr="00310D52" w:rsidRDefault="001F160D" w:rsidP="000E1E4E">
      <w:pPr>
        <w:rPr>
          <w:sz w:val="18"/>
          <w:szCs w:val="18"/>
          <w:lang w:val="es-DO"/>
        </w:rPr>
      </w:pPr>
    </w:p>
    <w:p w14:paraId="3163D486" w14:textId="77777777" w:rsidR="001F160D" w:rsidRPr="00310D52" w:rsidRDefault="001F160D" w:rsidP="000E1E4E">
      <w:pPr>
        <w:rPr>
          <w:sz w:val="18"/>
          <w:szCs w:val="18"/>
          <w:lang w:val="es-DO"/>
        </w:rPr>
      </w:pPr>
    </w:p>
    <w:p w14:paraId="7F81B34C" w14:textId="77777777" w:rsidR="001F160D" w:rsidRPr="00310D52" w:rsidRDefault="001F160D" w:rsidP="000E1E4E">
      <w:pPr>
        <w:rPr>
          <w:sz w:val="18"/>
          <w:szCs w:val="18"/>
          <w:lang w:val="es-DO"/>
        </w:rPr>
      </w:pPr>
    </w:p>
    <w:p w14:paraId="7B1E51AC" w14:textId="77777777" w:rsidR="001F160D" w:rsidRPr="00310D52" w:rsidRDefault="001F160D" w:rsidP="000E1E4E">
      <w:pPr>
        <w:rPr>
          <w:sz w:val="18"/>
          <w:szCs w:val="18"/>
          <w:lang w:val="es-DO"/>
        </w:rPr>
      </w:pPr>
    </w:p>
    <w:p w14:paraId="31EBBEC3" w14:textId="77777777" w:rsidR="001F160D" w:rsidRPr="00310D52" w:rsidRDefault="001F160D" w:rsidP="000E1E4E">
      <w:pPr>
        <w:rPr>
          <w:sz w:val="18"/>
          <w:szCs w:val="18"/>
          <w:lang w:val="es-DO"/>
        </w:rPr>
      </w:pPr>
    </w:p>
    <w:p w14:paraId="359F5239" w14:textId="77777777" w:rsidR="001F160D" w:rsidRPr="00310D52" w:rsidRDefault="001F160D" w:rsidP="000E1E4E">
      <w:pPr>
        <w:rPr>
          <w:sz w:val="18"/>
          <w:szCs w:val="18"/>
          <w:lang w:val="es-DO"/>
        </w:rPr>
      </w:pPr>
    </w:p>
    <w:p w14:paraId="3FC77687" w14:textId="77777777" w:rsidR="001F160D" w:rsidRPr="00F06D9C" w:rsidRDefault="001F160D" w:rsidP="001F160D">
      <w:pPr>
        <w:pStyle w:val="Prrafodelista"/>
        <w:numPr>
          <w:ilvl w:val="0"/>
          <w:numId w:val="30"/>
        </w:numPr>
        <w:ind w:left="450"/>
        <w:rPr>
          <w:b/>
          <w:bCs/>
          <w:lang w:val="es-DO"/>
        </w:rPr>
      </w:pPr>
      <w:r w:rsidRPr="00F06D9C">
        <w:rPr>
          <w:b/>
          <w:bCs/>
          <w:lang w:val="es-DO"/>
        </w:rPr>
        <w:t>Asistencias Interhospitalarias por mes/provincia</w:t>
      </w:r>
    </w:p>
    <w:p w14:paraId="236DDC14" w14:textId="6DFA15F9" w:rsidR="001F160D" w:rsidRPr="00310D52" w:rsidRDefault="00434602" w:rsidP="000E1E4E">
      <w:pPr>
        <w:rPr>
          <w:sz w:val="18"/>
          <w:szCs w:val="18"/>
          <w:lang w:val="es-DO"/>
        </w:rPr>
      </w:pPr>
      <w:r w:rsidRPr="00310D52">
        <w:rPr>
          <w:sz w:val="18"/>
          <w:szCs w:val="18"/>
          <w:lang w:val="es-DO"/>
        </w:rPr>
        <w:object w:dxaOrig="15300" w:dyaOrig="10081" w14:anchorId="224249EE">
          <v:shape id="_x0000_i1041" type="#_x0000_t75" style="width:390pt;height:7in" o:ole="">
            <v:imagedata r:id="rId56" o:title=""/>
          </v:shape>
          <o:OLEObject Type="Embed" ProgID="Excel.Sheet.12" ShapeID="_x0000_i1041" DrawAspect="Content" ObjectID="_1827944973" r:id="rId57"/>
        </w:object>
      </w:r>
    </w:p>
    <w:p w14:paraId="7B53244F" w14:textId="77777777" w:rsidR="001F160D" w:rsidRPr="00310D52" w:rsidRDefault="001F160D" w:rsidP="001F160D">
      <w:pPr>
        <w:spacing w:after="0" w:line="240" w:lineRule="auto"/>
        <w:rPr>
          <w:rFonts w:eastAsia="Times New Roman"/>
          <w:i/>
          <w:iCs/>
          <w:sz w:val="18"/>
          <w:szCs w:val="18"/>
          <w:lang w:val="es-DO" w:eastAsia="es-DO"/>
        </w:rPr>
      </w:pPr>
      <w:r w:rsidRPr="00310D52">
        <w:rPr>
          <w:rFonts w:eastAsia="Times New Roman"/>
          <w:i/>
          <w:iCs/>
          <w:sz w:val="18"/>
          <w:szCs w:val="18"/>
          <w:lang w:val="es-DO" w:eastAsia="es-DO"/>
        </w:rPr>
        <w:t>Fuente: Departamento de Gestión de Extrahospitalaria</w:t>
      </w:r>
    </w:p>
    <w:p w14:paraId="00BA04B4" w14:textId="77777777" w:rsidR="001F160D" w:rsidRPr="00310D52" w:rsidRDefault="001F160D" w:rsidP="000E1E4E">
      <w:pPr>
        <w:rPr>
          <w:sz w:val="18"/>
          <w:szCs w:val="18"/>
          <w:lang w:val="es-DO"/>
        </w:rPr>
      </w:pPr>
    </w:p>
    <w:p w14:paraId="263BB3AC" w14:textId="77777777" w:rsidR="001F160D" w:rsidRPr="00310D52" w:rsidRDefault="001F160D" w:rsidP="000E1E4E">
      <w:pPr>
        <w:rPr>
          <w:sz w:val="18"/>
          <w:szCs w:val="18"/>
          <w:lang w:val="es-DO"/>
        </w:rPr>
      </w:pPr>
    </w:p>
    <w:p w14:paraId="0BF916D6" w14:textId="77777777" w:rsidR="001F160D" w:rsidRPr="00310D52" w:rsidRDefault="001F160D" w:rsidP="000E1E4E">
      <w:pPr>
        <w:rPr>
          <w:sz w:val="18"/>
          <w:szCs w:val="18"/>
          <w:lang w:val="es-DO"/>
        </w:rPr>
      </w:pPr>
    </w:p>
    <w:p w14:paraId="266F31C7" w14:textId="19B2A08B" w:rsidR="001F160D" w:rsidRPr="00F06D9C" w:rsidRDefault="001F160D" w:rsidP="001F160D">
      <w:pPr>
        <w:pStyle w:val="Prrafodelista"/>
        <w:numPr>
          <w:ilvl w:val="0"/>
          <w:numId w:val="30"/>
        </w:numPr>
        <w:ind w:left="450"/>
        <w:rPr>
          <w:b/>
          <w:bCs/>
          <w:lang w:val="es-DO"/>
        </w:rPr>
      </w:pPr>
      <w:r w:rsidRPr="00F06D9C">
        <w:rPr>
          <w:b/>
          <w:bCs/>
          <w:lang w:val="es-DO"/>
        </w:rPr>
        <w:lastRenderedPageBreak/>
        <w:t>Monitoreo POA</w:t>
      </w:r>
    </w:p>
    <w:p w14:paraId="5D81F05C" w14:textId="77777777" w:rsidR="001F160D" w:rsidRPr="00310D52" w:rsidRDefault="001F160D" w:rsidP="001F160D">
      <w:pPr>
        <w:pStyle w:val="Prrafodelista"/>
        <w:ind w:left="450"/>
        <w:rPr>
          <w:b/>
          <w:bCs/>
          <w:sz w:val="28"/>
          <w:szCs w:val="28"/>
          <w:lang w:val="es-DO"/>
        </w:rPr>
      </w:pPr>
    </w:p>
    <w:p w14:paraId="550E1644" w14:textId="04505039" w:rsidR="001F160D" w:rsidRPr="00310D52" w:rsidRDefault="001F160D" w:rsidP="001F160D">
      <w:pPr>
        <w:pStyle w:val="Prrafodelista"/>
        <w:ind w:left="450"/>
        <w:rPr>
          <w:b/>
          <w:bCs/>
          <w:sz w:val="28"/>
          <w:szCs w:val="28"/>
          <w:lang w:val="es-DO"/>
        </w:rPr>
      </w:pPr>
      <w:r w:rsidRPr="00310D52">
        <w:rPr>
          <w:b/>
          <w:bCs/>
          <w:sz w:val="28"/>
          <w:szCs w:val="28"/>
          <w:lang w:val="es-DO"/>
        </w:rPr>
        <w:object w:dxaOrig="3734" w:dyaOrig="2091" w14:anchorId="20BC9A0F">
          <v:shape id="_x0000_i1042" type="#_x0000_t75" style="width:229.2pt;height:128.4pt" o:ole="">
            <v:imagedata r:id="rId58" o:title=""/>
          </v:shape>
          <o:OLEObject Type="Embed" ProgID="Excel.Sheet.12" ShapeID="_x0000_i1042" DrawAspect="Content" ObjectID="_1827944974" r:id="rId59"/>
        </w:object>
      </w:r>
    </w:p>
    <w:p w14:paraId="7D488E0E" w14:textId="77777777" w:rsidR="001F160D" w:rsidRPr="00310D52" w:rsidRDefault="001F160D" w:rsidP="001F160D">
      <w:pPr>
        <w:ind w:firstLine="450"/>
        <w:rPr>
          <w:i/>
          <w:iCs/>
          <w:sz w:val="18"/>
          <w:szCs w:val="18"/>
          <w:lang w:val="es-DO"/>
        </w:rPr>
      </w:pPr>
      <w:r w:rsidRPr="00310D52">
        <w:rPr>
          <w:i/>
          <w:iCs/>
          <w:sz w:val="18"/>
          <w:szCs w:val="18"/>
          <w:lang w:val="es-DO"/>
        </w:rPr>
        <w:t>Fuente: Planificación y Desarrollo</w:t>
      </w:r>
    </w:p>
    <w:p w14:paraId="36F55848" w14:textId="77777777" w:rsidR="001F160D" w:rsidRPr="00310D52" w:rsidRDefault="001F160D" w:rsidP="001F160D">
      <w:pPr>
        <w:pStyle w:val="Prrafodelista"/>
        <w:ind w:left="450"/>
        <w:rPr>
          <w:b/>
          <w:bCs/>
          <w:sz w:val="28"/>
          <w:szCs w:val="28"/>
          <w:lang w:val="es-DO"/>
        </w:rPr>
      </w:pPr>
    </w:p>
    <w:p w14:paraId="55BD4923" w14:textId="65837502" w:rsidR="001F160D" w:rsidRPr="00F06D9C" w:rsidRDefault="00C7392F" w:rsidP="00460952">
      <w:pPr>
        <w:pStyle w:val="Prrafodelista"/>
        <w:numPr>
          <w:ilvl w:val="0"/>
          <w:numId w:val="30"/>
        </w:numPr>
        <w:ind w:left="450"/>
        <w:rPr>
          <w:b/>
          <w:bCs/>
          <w:lang w:val="es-DO"/>
        </w:rPr>
      </w:pPr>
      <w:r w:rsidRPr="00F06D9C">
        <w:rPr>
          <w:b/>
          <w:bCs/>
          <w:lang w:val="es-DO"/>
        </w:rPr>
        <w:t xml:space="preserve">Siglas y </w:t>
      </w:r>
      <w:r w:rsidR="00460952" w:rsidRPr="00F06D9C">
        <w:rPr>
          <w:b/>
          <w:bCs/>
          <w:lang w:val="es-DO"/>
        </w:rPr>
        <w:t>Definiciones</w:t>
      </w:r>
    </w:p>
    <w:p w14:paraId="6F30B6D4" w14:textId="77777777" w:rsidR="00460952" w:rsidRPr="00310D52" w:rsidRDefault="00460952" w:rsidP="00460952">
      <w:pPr>
        <w:pStyle w:val="Prrafodelista"/>
        <w:ind w:left="450"/>
        <w:rPr>
          <w:b/>
          <w:bCs/>
          <w:sz w:val="28"/>
          <w:szCs w:val="28"/>
          <w:lang w:val="es-DO"/>
        </w:rPr>
      </w:pPr>
    </w:p>
    <w:p w14:paraId="7F3E0A6C" w14:textId="0A048ADF"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9-1-1:</w:t>
      </w:r>
      <w:r w:rsidRPr="00310D52">
        <w:rPr>
          <w:rFonts w:eastAsia="Calibri"/>
          <w:noProof/>
          <w:lang w:val="es-DO"/>
        </w:rPr>
        <w:t xml:space="preserve"> Sistema Nacional de Atención a Emergencias y Seguridad</w:t>
      </w:r>
      <w:r w:rsidR="004A62D6" w:rsidRPr="00310D52">
        <w:rPr>
          <w:rFonts w:eastAsia="Calibri"/>
          <w:noProof/>
          <w:lang w:val="es-DO"/>
        </w:rPr>
        <w:t>.</w:t>
      </w:r>
    </w:p>
    <w:p w14:paraId="75B81CC6" w14:textId="6B5045F4"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CRUE</w:t>
      </w:r>
      <w:r w:rsidRPr="00310D52">
        <w:rPr>
          <w:rFonts w:eastAsia="Calibri"/>
          <w:noProof/>
          <w:lang w:val="es-DO"/>
        </w:rPr>
        <w:t>: Centro Regulador de Urgencias y Emergencias</w:t>
      </w:r>
      <w:r w:rsidR="004A62D6" w:rsidRPr="00310D52">
        <w:rPr>
          <w:rFonts w:eastAsia="Calibri"/>
          <w:noProof/>
          <w:lang w:val="es-DO"/>
        </w:rPr>
        <w:t>.</w:t>
      </w:r>
    </w:p>
    <w:p w14:paraId="3334C27B" w14:textId="0198A3A5"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DAEH</w:t>
      </w:r>
      <w:r w:rsidRPr="00310D52">
        <w:rPr>
          <w:rFonts w:eastAsia="Calibri"/>
          <w:noProof/>
          <w:lang w:val="es-DO"/>
        </w:rPr>
        <w:t>: Dirección de Servicios de Atención a Emergencias Extrahospitalarias</w:t>
      </w:r>
      <w:r w:rsidR="004A62D6" w:rsidRPr="00310D52">
        <w:rPr>
          <w:rFonts w:eastAsia="Calibri"/>
          <w:noProof/>
          <w:lang w:val="es-DO"/>
        </w:rPr>
        <w:t>.</w:t>
      </w:r>
    </w:p>
    <w:p w14:paraId="503B6BB0" w14:textId="27D6D062" w:rsidR="003133C2" w:rsidRPr="00310D52" w:rsidRDefault="003133C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Georreferenciación</w:t>
      </w:r>
      <w:r w:rsidRPr="00310D52">
        <w:rPr>
          <w:rFonts w:eastAsia="Calibri"/>
          <w:noProof/>
          <w:lang w:val="es-DO"/>
        </w:rPr>
        <w:t>: Proceso mediante el cual se asignan coordenadas geográficas a un evento, incidente o recurso, permitiendo su localización precisa dentro del territorio.</w:t>
      </w:r>
    </w:p>
    <w:p w14:paraId="6EF00B33" w14:textId="57CAAA1C"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MSP</w:t>
      </w:r>
      <w:r w:rsidRPr="00310D52">
        <w:rPr>
          <w:rFonts w:eastAsia="Calibri"/>
          <w:noProof/>
          <w:lang w:val="es-DO"/>
        </w:rPr>
        <w:t>: Ministerio de Salud Pública</w:t>
      </w:r>
      <w:r w:rsidR="004A62D6" w:rsidRPr="00310D52">
        <w:rPr>
          <w:rFonts w:eastAsia="Calibri"/>
          <w:noProof/>
          <w:lang w:val="es-DO"/>
        </w:rPr>
        <w:t>.</w:t>
      </w:r>
    </w:p>
    <w:p w14:paraId="09EAA682" w14:textId="14ECE4B8"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N/D:</w:t>
      </w:r>
      <w:r w:rsidRPr="00310D52">
        <w:rPr>
          <w:rFonts w:eastAsia="Calibri"/>
          <w:noProof/>
          <w:lang w:val="es-DO"/>
        </w:rPr>
        <w:t xml:space="preserve"> No disponible</w:t>
      </w:r>
      <w:r w:rsidR="004A62D6" w:rsidRPr="00310D52">
        <w:rPr>
          <w:rFonts w:eastAsia="Calibri"/>
          <w:noProof/>
          <w:lang w:val="es-DO"/>
        </w:rPr>
        <w:t>.</w:t>
      </w:r>
    </w:p>
    <w:p w14:paraId="76AAEDDF" w14:textId="667C9EEF" w:rsidR="004A62D6" w:rsidRPr="00310D52" w:rsidRDefault="004A62D6"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Preposición:</w:t>
      </w:r>
      <w:r w:rsidRPr="00310D52">
        <w:rPr>
          <w:rFonts w:eastAsia="Calibri"/>
          <w:noProof/>
          <w:lang w:val="es-DO"/>
        </w:rPr>
        <w:t xml:space="preserve"> Ubicación geográfica previamente establecida de manera estratégica para el posicionamiento de ambulancias y unidades de respuesta, con el objetivo de optimizar los tiempos de atención y mejorar la cobertura del servicio.</w:t>
      </w:r>
    </w:p>
    <w:p w14:paraId="358C8414" w14:textId="5F0F1F0A"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QRS</w:t>
      </w:r>
      <w:r w:rsidRPr="00310D52">
        <w:rPr>
          <w:rFonts w:eastAsia="Calibri"/>
          <w:noProof/>
          <w:lang w:val="es-DO"/>
        </w:rPr>
        <w:t>: Quejas, Reclamos y Sugerencias</w:t>
      </w:r>
      <w:r w:rsidR="004A62D6" w:rsidRPr="00310D52">
        <w:rPr>
          <w:rFonts w:eastAsia="Calibri"/>
          <w:noProof/>
          <w:lang w:val="es-DO"/>
        </w:rPr>
        <w:t>.</w:t>
      </w:r>
    </w:p>
    <w:p w14:paraId="6AB3D678" w14:textId="6226A550"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RCP</w:t>
      </w:r>
      <w:r w:rsidRPr="00310D52">
        <w:rPr>
          <w:rFonts w:eastAsia="Calibri"/>
          <w:noProof/>
          <w:lang w:val="es-DO"/>
        </w:rPr>
        <w:t>: Reanimación Cardiopulmonar</w:t>
      </w:r>
      <w:r w:rsidR="004A62D6" w:rsidRPr="00310D52">
        <w:rPr>
          <w:rFonts w:eastAsia="Calibri"/>
          <w:noProof/>
          <w:lang w:val="es-DO"/>
        </w:rPr>
        <w:t>.</w:t>
      </w:r>
    </w:p>
    <w:p w14:paraId="51717E79" w14:textId="57668BFA"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SISMAP</w:t>
      </w:r>
      <w:r w:rsidRPr="00310D52">
        <w:rPr>
          <w:rFonts w:eastAsia="Calibri"/>
          <w:noProof/>
          <w:lang w:val="es-DO"/>
        </w:rPr>
        <w:t>: Sistema de Monitoreo de la Administración Pública</w:t>
      </w:r>
      <w:r w:rsidR="004A62D6" w:rsidRPr="00310D52">
        <w:rPr>
          <w:rFonts w:eastAsia="Calibri"/>
          <w:noProof/>
          <w:lang w:val="es-DO"/>
        </w:rPr>
        <w:t>.</w:t>
      </w:r>
    </w:p>
    <w:p w14:paraId="37A60422" w14:textId="1414C9F8" w:rsidR="00460952" w:rsidRPr="00310D52" w:rsidRDefault="00460952" w:rsidP="00460952">
      <w:pPr>
        <w:pStyle w:val="Prrafodelista"/>
        <w:numPr>
          <w:ilvl w:val="0"/>
          <w:numId w:val="33"/>
        </w:numPr>
        <w:spacing w:line="360" w:lineRule="auto"/>
        <w:jc w:val="both"/>
        <w:rPr>
          <w:rFonts w:eastAsia="Calibri"/>
          <w:noProof/>
          <w:lang w:val="es-DO"/>
        </w:rPr>
      </w:pPr>
      <w:r w:rsidRPr="00310D52">
        <w:rPr>
          <w:rFonts w:eastAsia="Calibri"/>
          <w:b/>
          <w:bCs/>
          <w:noProof/>
          <w:lang w:val="es-DO"/>
        </w:rPr>
        <w:t>URI</w:t>
      </w:r>
      <w:r w:rsidRPr="00310D52">
        <w:rPr>
          <w:rFonts w:eastAsia="Calibri"/>
          <w:noProof/>
          <w:lang w:val="es-DO"/>
        </w:rPr>
        <w:t>: Unidades de Respuesta Inmediata</w:t>
      </w:r>
      <w:r w:rsidR="004A62D6" w:rsidRPr="00310D52">
        <w:rPr>
          <w:rFonts w:eastAsia="Calibri"/>
          <w:noProof/>
          <w:lang w:val="es-DO"/>
        </w:rPr>
        <w:t>.</w:t>
      </w:r>
    </w:p>
    <w:sectPr w:rsidR="00460952" w:rsidRPr="00310D52" w:rsidSect="000E1E4E">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6861" w14:textId="77777777" w:rsidR="002C4A36" w:rsidRDefault="002C4A36" w:rsidP="00E84651">
      <w:pPr>
        <w:spacing w:after="0" w:line="240" w:lineRule="auto"/>
      </w:pPr>
      <w:r>
        <w:separator/>
      </w:r>
    </w:p>
  </w:endnote>
  <w:endnote w:type="continuationSeparator" w:id="0">
    <w:p w14:paraId="2027CB49" w14:textId="77777777" w:rsidR="002C4A36" w:rsidRDefault="002C4A3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84881329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64AB0201"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80EEE">
          <w:rPr>
            <w:noProof/>
            <w:color w:val="7F7F7F" w:themeColor="text1" w:themeTint="80"/>
          </w:rPr>
          <w:t>11</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88556"/>
      <w:docPartObj>
        <w:docPartGallery w:val="Page Numbers (Bottom of Page)"/>
        <w:docPartUnique/>
      </w:docPartObj>
    </w:sdtPr>
    <w:sdtEndPr>
      <w:rPr>
        <w:noProof/>
      </w:rPr>
    </w:sdtEndPr>
    <w:sdtContent>
      <w:p w14:paraId="3BB4ED3A" w14:textId="77777777" w:rsidR="00E165D8" w:rsidRDefault="00E165D8" w:rsidP="0021106F">
        <w:pPr>
          <w:pStyle w:val="Piedepgina"/>
          <w:jc w:val="center"/>
        </w:pPr>
        <w:r>
          <w:rPr>
            <w:noProof/>
            <w:lang w:val="es-DO" w:eastAsia="es-DO"/>
          </w:rPr>
          <w:drawing>
            <wp:anchor distT="0" distB="0" distL="114300" distR="114300" simplePos="0" relativeHeight="251660288" behindDoc="0" locked="0" layoutInCell="1" allowOverlap="1" wp14:anchorId="4A190AD3" wp14:editId="3DC12F06">
              <wp:simplePos x="0" y="0"/>
              <wp:positionH relativeFrom="column">
                <wp:posOffset>1060792</wp:posOffset>
              </wp:positionH>
              <wp:positionV relativeFrom="paragraph">
                <wp:posOffset>-121920</wp:posOffset>
              </wp:positionV>
              <wp:extent cx="2995930" cy="408305"/>
              <wp:effectExtent l="0" t="0" r="0" b="0"/>
              <wp:wrapSquare wrapText="bothSides"/>
              <wp:docPr id="100920495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6FD9AFF" w14:textId="77777777" w:rsidR="00E165D8" w:rsidRDefault="00E165D8" w:rsidP="0021106F">
        <w:pPr>
          <w:pStyle w:val="Piedepgina"/>
          <w:jc w:val="center"/>
          <w:rPr>
            <w:color w:val="7F7F7F" w:themeColor="text1" w:themeTint="80"/>
          </w:rPr>
        </w:pPr>
      </w:p>
      <w:p w14:paraId="6A2FE2B4" w14:textId="77777777" w:rsidR="00E165D8" w:rsidRDefault="00E165D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7EDC" w14:textId="77777777" w:rsidR="002C4A36" w:rsidRDefault="002C4A36" w:rsidP="00E84651">
      <w:pPr>
        <w:spacing w:after="0" w:line="240" w:lineRule="auto"/>
      </w:pPr>
      <w:r>
        <w:separator/>
      </w:r>
    </w:p>
  </w:footnote>
  <w:footnote w:type="continuationSeparator" w:id="0">
    <w:p w14:paraId="54F926CE" w14:textId="77777777" w:rsidR="002C4A36" w:rsidRDefault="002C4A3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23B2"/>
    <w:multiLevelType w:val="hybridMultilevel"/>
    <w:tmpl w:val="377E61F8"/>
    <w:lvl w:ilvl="0" w:tplc="1CAE93F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67FA7"/>
    <w:multiLevelType w:val="hybridMultilevel"/>
    <w:tmpl w:val="018CC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E6C2D"/>
    <w:multiLevelType w:val="multilevel"/>
    <w:tmpl w:val="ED84798A"/>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2A20C05"/>
    <w:multiLevelType w:val="hybridMultilevel"/>
    <w:tmpl w:val="775A3B8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56B5165"/>
    <w:multiLevelType w:val="hybridMultilevel"/>
    <w:tmpl w:val="897E4994"/>
    <w:lvl w:ilvl="0" w:tplc="04090001">
      <w:start w:val="1"/>
      <w:numFmt w:val="bullet"/>
      <w:lvlText w:val=""/>
      <w:lvlJc w:val="left"/>
      <w:pPr>
        <w:ind w:left="720" w:hanging="360"/>
      </w:pPr>
      <w:rPr>
        <w:rFonts w:ascii="Symbol" w:hAnsi="Symbol" w:hint="default"/>
      </w:rPr>
    </w:lvl>
    <w:lvl w:ilvl="1" w:tplc="2AA0AC82">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92DBA"/>
    <w:multiLevelType w:val="hybridMultilevel"/>
    <w:tmpl w:val="D8CE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365F3"/>
    <w:multiLevelType w:val="hybridMultilevel"/>
    <w:tmpl w:val="F4CA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66043"/>
    <w:multiLevelType w:val="hybridMultilevel"/>
    <w:tmpl w:val="8D10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11E32"/>
    <w:multiLevelType w:val="hybridMultilevel"/>
    <w:tmpl w:val="17381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D3548"/>
    <w:multiLevelType w:val="multilevel"/>
    <w:tmpl w:val="F6C6A9A2"/>
    <w:lvl w:ilvl="0">
      <w:start w:val="1"/>
      <w:numFmt w:val="upperRoman"/>
      <w:lvlText w:val="%1."/>
      <w:lvlJc w:val="righ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0" w15:restartNumberingAfterBreak="0">
    <w:nsid w:val="2968363C"/>
    <w:multiLevelType w:val="hybridMultilevel"/>
    <w:tmpl w:val="AAAC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44B4C"/>
    <w:multiLevelType w:val="hybridMultilevel"/>
    <w:tmpl w:val="DC2C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CA1227"/>
    <w:multiLevelType w:val="hybridMultilevel"/>
    <w:tmpl w:val="44E0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C3B87"/>
    <w:multiLevelType w:val="hybridMultilevel"/>
    <w:tmpl w:val="FF32BD1A"/>
    <w:lvl w:ilvl="0" w:tplc="593CEF08">
      <w:start w:val="1"/>
      <w:numFmt w:val="lowerLetter"/>
      <w:lvlText w:val="%1)"/>
      <w:lvlJc w:val="left"/>
      <w:pPr>
        <w:ind w:left="450" w:hanging="360"/>
      </w:pPr>
      <w:rPr>
        <w:rFonts w:hint="default"/>
      </w:rPr>
    </w:lvl>
    <w:lvl w:ilvl="1" w:tplc="37BA4450">
      <w:numFmt w:val="bullet"/>
      <w:lvlText w:val="•"/>
      <w:lvlJc w:val="left"/>
      <w:pPr>
        <w:ind w:left="1530" w:hanging="720"/>
      </w:pPr>
      <w:rPr>
        <w:rFonts w:ascii="Times New Roman" w:eastAsiaTheme="minorHAnsi" w:hAnsi="Times New Roman" w:cs="Times New Roman"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713437"/>
    <w:multiLevelType w:val="hybridMultilevel"/>
    <w:tmpl w:val="E58CC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A61B0"/>
    <w:multiLevelType w:val="multilevel"/>
    <w:tmpl w:val="BCEC305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0A4267C"/>
    <w:multiLevelType w:val="hybridMultilevel"/>
    <w:tmpl w:val="201C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107F1"/>
    <w:multiLevelType w:val="hybridMultilevel"/>
    <w:tmpl w:val="C97084E6"/>
    <w:lvl w:ilvl="0" w:tplc="3DBA7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C22695"/>
    <w:multiLevelType w:val="hybridMultilevel"/>
    <w:tmpl w:val="C87C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D70641"/>
    <w:multiLevelType w:val="hybridMultilevel"/>
    <w:tmpl w:val="4A84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D5704"/>
    <w:multiLevelType w:val="hybridMultilevel"/>
    <w:tmpl w:val="0260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3E5C3E"/>
    <w:multiLevelType w:val="hybridMultilevel"/>
    <w:tmpl w:val="FADE9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8B4453"/>
    <w:multiLevelType w:val="hybridMultilevel"/>
    <w:tmpl w:val="D2627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17455"/>
    <w:multiLevelType w:val="hybridMultilevel"/>
    <w:tmpl w:val="873E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713B1"/>
    <w:multiLevelType w:val="hybridMultilevel"/>
    <w:tmpl w:val="421A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FA3EB1"/>
    <w:multiLevelType w:val="hybridMultilevel"/>
    <w:tmpl w:val="C97084E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B4B6B48"/>
    <w:multiLevelType w:val="hybridMultilevel"/>
    <w:tmpl w:val="458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642023"/>
    <w:multiLevelType w:val="hybridMultilevel"/>
    <w:tmpl w:val="50B4699A"/>
    <w:lvl w:ilvl="0" w:tplc="5328A8DA">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6F8F07E8"/>
    <w:multiLevelType w:val="hybridMultilevel"/>
    <w:tmpl w:val="ED7AED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A81FD5"/>
    <w:multiLevelType w:val="hybridMultilevel"/>
    <w:tmpl w:val="D964533C"/>
    <w:lvl w:ilvl="0" w:tplc="04090001">
      <w:start w:val="1"/>
      <w:numFmt w:val="bullet"/>
      <w:lvlText w:val=""/>
      <w:lvlJc w:val="left"/>
      <w:pPr>
        <w:ind w:left="720" w:hanging="360"/>
      </w:pPr>
      <w:rPr>
        <w:rFonts w:ascii="Symbol" w:hAnsi="Symbol" w:hint="default"/>
      </w:rPr>
    </w:lvl>
    <w:lvl w:ilvl="1" w:tplc="1EA62520">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E7562"/>
    <w:multiLevelType w:val="hybridMultilevel"/>
    <w:tmpl w:val="ECC87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04DDF"/>
    <w:multiLevelType w:val="hybridMultilevel"/>
    <w:tmpl w:val="5F68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A12A96"/>
    <w:multiLevelType w:val="multilevel"/>
    <w:tmpl w:val="A998CABE"/>
    <w:lvl w:ilvl="0">
      <w:start w:val="1"/>
      <w:numFmt w:val="upperRoman"/>
      <w:lvlText w:val="%1."/>
      <w:lvlJc w:val="right"/>
      <w:pPr>
        <w:ind w:left="720" w:hanging="360"/>
      </w:pPr>
    </w:lvl>
    <w:lvl w:ilvl="1">
      <w:start w:val="1"/>
      <w:numFmt w:val="decimal"/>
      <w:isLgl/>
      <w:lvlText w:val="%1.%2"/>
      <w:lvlJc w:val="left"/>
      <w:pPr>
        <w:ind w:left="735" w:hanging="37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97044571">
    <w:abstractNumId w:val="32"/>
  </w:num>
  <w:num w:numId="2" w16cid:durableId="224804192">
    <w:abstractNumId w:val="9"/>
  </w:num>
  <w:num w:numId="3" w16cid:durableId="382220998">
    <w:abstractNumId w:val="1"/>
  </w:num>
  <w:num w:numId="4" w16cid:durableId="1038119339">
    <w:abstractNumId w:val="28"/>
  </w:num>
  <w:num w:numId="5" w16cid:durableId="102463824">
    <w:abstractNumId w:val="18"/>
  </w:num>
  <w:num w:numId="6" w16cid:durableId="2030374745">
    <w:abstractNumId w:val="29"/>
  </w:num>
  <w:num w:numId="7" w16cid:durableId="1325862449">
    <w:abstractNumId w:val="8"/>
  </w:num>
  <w:num w:numId="8" w16cid:durableId="615721122">
    <w:abstractNumId w:val="0"/>
  </w:num>
  <w:num w:numId="9" w16cid:durableId="1187982410">
    <w:abstractNumId w:val="3"/>
  </w:num>
  <w:num w:numId="10" w16cid:durableId="1834955792">
    <w:abstractNumId w:val="15"/>
  </w:num>
  <w:num w:numId="11" w16cid:durableId="1303190681">
    <w:abstractNumId w:val="20"/>
  </w:num>
  <w:num w:numId="12" w16cid:durableId="431365247">
    <w:abstractNumId w:val="24"/>
  </w:num>
  <w:num w:numId="13" w16cid:durableId="412969579">
    <w:abstractNumId w:val="26"/>
  </w:num>
  <w:num w:numId="14" w16cid:durableId="295179842">
    <w:abstractNumId w:val="7"/>
  </w:num>
  <w:num w:numId="15" w16cid:durableId="1576625449">
    <w:abstractNumId w:val="4"/>
  </w:num>
  <w:num w:numId="16" w16cid:durableId="1009676528">
    <w:abstractNumId w:val="30"/>
  </w:num>
  <w:num w:numId="17" w16cid:durableId="14308155">
    <w:abstractNumId w:val="2"/>
  </w:num>
  <w:num w:numId="18" w16cid:durableId="772432599">
    <w:abstractNumId w:val="13"/>
  </w:num>
  <w:num w:numId="19" w16cid:durableId="2111046936">
    <w:abstractNumId w:val="10"/>
  </w:num>
  <w:num w:numId="20" w16cid:durableId="1758476717">
    <w:abstractNumId w:val="22"/>
  </w:num>
  <w:num w:numId="21" w16cid:durableId="757941086">
    <w:abstractNumId w:val="14"/>
  </w:num>
  <w:num w:numId="22" w16cid:durableId="845022409">
    <w:abstractNumId w:val="16"/>
  </w:num>
  <w:num w:numId="23" w16cid:durableId="1713072450">
    <w:abstractNumId w:val="21"/>
  </w:num>
  <w:num w:numId="24" w16cid:durableId="348799701">
    <w:abstractNumId w:val="12"/>
  </w:num>
  <w:num w:numId="25" w16cid:durableId="1072388076">
    <w:abstractNumId w:val="11"/>
  </w:num>
  <w:num w:numId="26" w16cid:durableId="1394355698">
    <w:abstractNumId w:val="31"/>
  </w:num>
  <w:num w:numId="27" w16cid:durableId="1054046134">
    <w:abstractNumId w:val="19"/>
  </w:num>
  <w:num w:numId="28" w16cid:durableId="1145050143">
    <w:abstractNumId w:val="5"/>
  </w:num>
  <w:num w:numId="29" w16cid:durableId="583956748">
    <w:abstractNumId w:val="6"/>
  </w:num>
  <w:num w:numId="30" w16cid:durableId="781150368">
    <w:abstractNumId w:val="17"/>
  </w:num>
  <w:num w:numId="31" w16cid:durableId="1256860355">
    <w:abstractNumId w:val="27"/>
  </w:num>
  <w:num w:numId="32" w16cid:durableId="1351177279">
    <w:abstractNumId w:val="25"/>
  </w:num>
  <w:num w:numId="33" w16cid:durableId="14204415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32423"/>
    <w:rsid w:val="000337AF"/>
    <w:rsid w:val="0003754F"/>
    <w:rsid w:val="00043D73"/>
    <w:rsid w:val="00044962"/>
    <w:rsid w:val="0005527B"/>
    <w:rsid w:val="0007427A"/>
    <w:rsid w:val="00074F31"/>
    <w:rsid w:val="000960E2"/>
    <w:rsid w:val="000E1E4E"/>
    <w:rsid w:val="000F38E8"/>
    <w:rsid w:val="00103C33"/>
    <w:rsid w:val="00105ABD"/>
    <w:rsid w:val="001075A7"/>
    <w:rsid w:val="00114F2A"/>
    <w:rsid w:val="001240D0"/>
    <w:rsid w:val="00125D46"/>
    <w:rsid w:val="00130158"/>
    <w:rsid w:val="001441F3"/>
    <w:rsid w:val="00166020"/>
    <w:rsid w:val="0017712E"/>
    <w:rsid w:val="00177191"/>
    <w:rsid w:val="0018699B"/>
    <w:rsid w:val="001935B1"/>
    <w:rsid w:val="0019602B"/>
    <w:rsid w:val="001A60AA"/>
    <w:rsid w:val="001B64C5"/>
    <w:rsid w:val="001D52D6"/>
    <w:rsid w:val="001D608D"/>
    <w:rsid w:val="001E07B9"/>
    <w:rsid w:val="001F160D"/>
    <w:rsid w:val="00200B6E"/>
    <w:rsid w:val="00204ADB"/>
    <w:rsid w:val="0021106F"/>
    <w:rsid w:val="00211E35"/>
    <w:rsid w:val="0021331F"/>
    <w:rsid w:val="00225C91"/>
    <w:rsid w:val="00233626"/>
    <w:rsid w:val="00243FED"/>
    <w:rsid w:val="0025779C"/>
    <w:rsid w:val="00265A48"/>
    <w:rsid w:val="00271134"/>
    <w:rsid w:val="00275786"/>
    <w:rsid w:val="002B4451"/>
    <w:rsid w:val="002B5F66"/>
    <w:rsid w:val="002B61DF"/>
    <w:rsid w:val="002C2566"/>
    <w:rsid w:val="002C4A36"/>
    <w:rsid w:val="002D0776"/>
    <w:rsid w:val="002E0ED0"/>
    <w:rsid w:val="002F2305"/>
    <w:rsid w:val="002F277C"/>
    <w:rsid w:val="00301DBD"/>
    <w:rsid w:val="00310D52"/>
    <w:rsid w:val="003133C2"/>
    <w:rsid w:val="003302B8"/>
    <w:rsid w:val="00330BBF"/>
    <w:rsid w:val="003310D1"/>
    <w:rsid w:val="00341A6A"/>
    <w:rsid w:val="0034224F"/>
    <w:rsid w:val="003427E3"/>
    <w:rsid w:val="0035429F"/>
    <w:rsid w:val="00355FE2"/>
    <w:rsid w:val="0035673A"/>
    <w:rsid w:val="00361AFD"/>
    <w:rsid w:val="00380E47"/>
    <w:rsid w:val="00380E7E"/>
    <w:rsid w:val="00380EEE"/>
    <w:rsid w:val="003848BB"/>
    <w:rsid w:val="003B15A3"/>
    <w:rsid w:val="003B2462"/>
    <w:rsid w:val="003C641F"/>
    <w:rsid w:val="003D28FB"/>
    <w:rsid w:val="003D6E9C"/>
    <w:rsid w:val="003E00B8"/>
    <w:rsid w:val="003E092F"/>
    <w:rsid w:val="003E7C79"/>
    <w:rsid w:val="003E7EAF"/>
    <w:rsid w:val="003F6D7B"/>
    <w:rsid w:val="00402B2C"/>
    <w:rsid w:val="00404843"/>
    <w:rsid w:val="004126E1"/>
    <w:rsid w:val="004218D4"/>
    <w:rsid w:val="00425CF6"/>
    <w:rsid w:val="004263F5"/>
    <w:rsid w:val="00434602"/>
    <w:rsid w:val="0043570D"/>
    <w:rsid w:val="0044106A"/>
    <w:rsid w:val="00443BFC"/>
    <w:rsid w:val="004510BC"/>
    <w:rsid w:val="004515D7"/>
    <w:rsid w:val="00457553"/>
    <w:rsid w:val="00460952"/>
    <w:rsid w:val="00460CDF"/>
    <w:rsid w:val="00463A18"/>
    <w:rsid w:val="0046718F"/>
    <w:rsid w:val="004671B7"/>
    <w:rsid w:val="00467EB5"/>
    <w:rsid w:val="00474BFE"/>
    <w:rsid w:val="00485B71"/>
    <w:rsid w:val="004A515E"/>
    <w:rsid w:val="004A62D6"/>
    <w:rsid w:val="004B088B"/>
    <w:rsid w:val="004B7FB2"/>
    <w:rsid w:val="004D6EA1"/>
    <w:rsid w:val="004E07DA"/>
    <w:rsid w:val="004E68B8"/>
    <w:rsid w:val="004F2DD5"/>
    <w:rsid w:val="00501C29"/>
    <w:rsid w:val="00504883"/>
    <w:rsid w:val="0051332F"/>
    <w:rsid w:val="005219FE"/>
    <w:rsid w:val="005273D1"/>
    <w:rsid w:val="0053732E"/>
    <w:rsid w:val="00540854"/>
    <w:rsid w:val="005421D6"/>
    <w:rsid w:val="00544419"/>
    <w:rsid w:val="00545797"/>
    <w:rsid w:val="00552DDE"/>
    <w:rsid w:val="00572D53"/>
    <w:rsid w:val="005805BA"/>
    <w:rsid w:val="005824A8"/>
    <w:rsid w:val="0058331C"/>
    <w:rsid w:val="0059591D"/>
    <w:rsid w:val="00595CEA"/>
    <w:rsid w:val="005A44A8"/>
    <w:rsid w:val="005B1419"/>
    <w:rsid w:val="005B1AED"/>
    <w:rsid w:val="005B472D"/>
    <w:rsid w:val="005B53BC"/>
    <w:rsid w:val="005C3D4D"/>
    <w:rsid w:val="005C548C"/>
    <w:rsid w:val="005C7C38"/>
    <w:rsid w:val="005D7B73"/>
    <w:rsid w:val="005E1340"/>
    <w:rsid w:val="005E1808"/>
    <w:rsid w:val="005F0554"/>
    <w:rsid w:val="005F72E4"/>
    <w:rsid w:val="0061095C"/>
    <w:rsid w:val="006144F5"/>
    <w:rsid w:val="0061460E"/>
    <w:rsid w:val="0061603D"/>
    <w:rsid w:val="006160B6"/>
    <w:rsid w:val="00631F6E"/>
    <w:rsid w:val="00644BF9"/>
    <w:rsid w:val="00644E29"/>
    <w:rsid w:val="00647D23"/>
    <w:rsid w:val="00654164"/>
    <w:rsid w:val="00654EFA"/>
    <w:rsid w:val="0065508E"/>
    <w:rsid w:val="0066103B"/>
    <w:rsid w:val="00665893"/>
    <w:rsid w:val="00675ED4"/>
    <w:rsid w:val="006854D2"/>
    <w:rsid w:val="00685A44"/>
    <w:rsid w:val="00695622"/>
    <w:rsid w:val="006B3D70"/>
    <w:rsid w:val="006B5802"/>
    <w:rsid w:val="006C7155"/>
    <w:rsid w:val="006D0B72"/>
    <w:rsid w:val="006D4D90"/>
    <w:rsid w:val="006D51B6"/>
    <w:rsid w:val="006E3F08"/>
    <w:rsid w:val="007014C7"/>
    <w:rsid w:val="007061AC"/>
    <w:rsid w:val="00714196"/>
    <w:rsid w:val="007471AC"/>
    <w:rsid w:val="00754FEB"/>
    <w:rsid w:val="00756335"/>
    <w:rsid w:val="007762DA"/>
    <w:rsid w:val="00781A65"/>
    <w:rsid w:val="00785E66"/>
    <w:rsid w:val="00786438"/>
    <w:rsid w:val="00786C60"/>
    <w:rsid w:val="00786C96"/>
    <w:rsid w:val="00790008"/>
    <w:rsid w:val="00795A16"/>
    <w:rsid w:val="00796C22"/>
    <w:rsid w:val="007A267B"/>
    <w:rsid w:val="007A3FF6"/>
    <w:rsid w:val="007C0E4F"/>
    <w:rsid w:val="007C6071"/>
    <w:rsid w:val="00815082"/>
    <w:rsid w:val="00821358"/>
    <w:rsid w:val="00827616"/>
    <w:rsid w:val="008358E8"/>
    <w:rsid w:val="00851FA4"/>
    <w:rsid w:val="00860389"/>
    <w:rsid w:val="008653B3"/>
    <w:rsid w:val="00870AD0"/>
    <w:rsid w:val="0087772C"/>
    <w:rsid w:val="00881874"/>
    <w:rsid w:val="0089273D"/>
    <w:rsid w:val="00896841"/>
    <w:rsid w:val="008A01B9"/>
    <w:rsid w:val="008B09FC"/>
    <w:rsid w:val="008B458A"/>
    <w:rsid w:val="008C22C6"/>
    <w:rsid w:val="008D7F4E"/>
    <w:rsid w:val="009000C6"/>
    <w:rsid w:val="00920A80"/>
    <w:rsid w:val="00924CA5"/>
    <w:rsid w:val="00927DBC"/>
    <w:rsid w:val="00935A73"/>
    <w:rsid w:val="0095071A"/>
    <w:rsid w:val="00951F9A"/>
    <w:rsid w:val="009547F0"/>
    <w:rsid w:val="009558E4"/>
    <w:rsid w:val="0096115E"/>
    <w:rsid w:val="00967739"/>
    <w:rsid w:val="0097291D"/>
    <w:rsid w:val="009870D7"/>
    <w:rsid w:val="0098786B"/>
    <w:rsid w:val="009904DB"/>
    <w:rsid w:val="00993F0B"/>
    <w:rsid w:val="00995128"/>
    <w:rsid w:val="00996181"/>
    <w:rsid w:val="009A466A"/>
    <w:rsid w:val="009B239B"/>
    <w:rsid w:val="009B7AB1"/>
    <w:rsid w:val="009C655C"/>
    <w:rsid w:val="009D1C47"/>
    <w:rsid w:val="009E6945"/>
    <w:rsid w:val="009F3509"/>
    <w:rsid w:val="009F3D54"/>
    <w:rsid w:val="00A009ED"/>
    <w:rsid w:val="00A04B5B"/>
    <w:rsid w:val="00A0618E"/>
    <w:rsid w:val="00A16B8C"/>
    <w:rsid w:val="00A30489"/>
    <w:rsid w:val="00A36629"/>
    <w:rsid w:val="00A44089"/>
    <w:rsid w:val="00A52ABC"/>
    <w:rsid w:val="00A55E73"/>
    <w:rsid w:val="00A623FD"/>
    <w:rsid w:val="00A630BC"/>
    <w:rsid w:val="00A63A00"/>
    <w:rsid w:val="00A72627"/>
    <w:rsid w:val="00AA606B"/>
    <w:rsid w:val="00AB26E6"/>
    <w:rsid w:val="00AB7AA1"/>
    <w:rsid w:val="00AC7FA6"/>
    <w:rsid w:val="00AD127A"/>
    <w:rsid w:val="00AD6032"/>
    <w:rsid w:val="00AE711E"/>
    <w:rsid w:val="00AF6ADF"/>
    <w:rsid w:val="00B16EF5"/>
    <w:rsid w:val="00B224A9"/>
    <w:rsid w:val="00B24E6C"/>
    <w:rsid w:val="00B33830"/>
    <w:rsid w:val="00B41770"/>
    <w:rsid w:val="00B45B38"/>
    <w:rsid w:val="00B56CA4"/>
    <w:rsid w:val="00B7531B"/>
    <w:rsid w:val="00B855FE"/>
    <w:rsid w:val="00B92191"/>
    <w:rsid w:val="00B943F3"/>
    <w:rsid w:val="00B960F8"/>
    <w:rsid w:val="00BA1634"/>
    <w:rsid w:val="00BA2267"/>
    <w:rsid w:val="00BA2A5A"/>
    <w:rsid w:val="00BA56DF"/>
    <w:rsid w:val="00BA6390"/>
    <w:rsid w:val="00BB7662"/>
    <w:rsid w:val="00BB7CE7"/>
    <w:rsid w:val="00BD0DA6"/>
    <w:rsid w:val="00BD6578"/>
    <w:rsid w:val="00BE2A5C"/>
    <w:rsid w:val="00BE2AB6"/>
    <w:rsid w:val="00BE3668"/>
    <w:rsid w:val="00BE44FB"/>
    <w:rsid w:val="00BF2CBD"/>
    <w:rsid w:val="00C0123A"/>
    <w:rsid w:val="00C02322"/>
    <w:rsid w:val="00C10543"/>
    <w:rsid w:val="00C16C52"/>
    <w:rsid w:val="00C21BBC"/>
    <w:rsid w:val="00C336E5"/>
    <w:rsid w:val="00C37700"/>
    <w:rsid w:val="00C46E6A"/>
    <w:rsid w:val="00C4768C"/>
    <w:rsid w:val="00C64CEF"/>
    <w:rsid w:val="00C666EC"/>
    <w:rsid w:val="00C7392F"/>
    <w:rsid w:val="00C8745C"/>
    <w:rsid w:val="00C92BF6"/>
    <w:rsid w:val="00CA20FF"/>
    <w:rsid w:val="00CA4CED"/>
    <w:rsid w:val="00CA6ABE"/>
    <w:rsid w:val="00CD0F92"/>
    <w:rsid w:val="00CD5BDF"/>
    <w:rsid w:val="00CD73A3"/>
    <w:rsid w:val="00CD7643"/>
    <w:rsid w:val="00CE0391"/>
    <w:rsid w:val="00CE0CFF"/>
    <w:rsid w:val="00CF6658"/>
    <w:rsid w:val="00D0435C"/>
    <w:rsid w:val="00D068A9"/>
    <w:rsid w:val="00D14D8B"/>
    <w:rsid w:val="00D16900"/>
    <w:rsid w:val="00D16EE8"/>
    <w:rsid w:val="00D2018B"/>
    <w:rsid w:val="00D21195"/>
    <w:rsid w:val="00D223FD"/>
    <w:rsid w:val="00D22567"/>
    <w:rsid w:val="00D23481"/>
    <w:rsid w:val="00D3227A"/>
    <w:rsid w:val="00D42ACE"/>
    <w:rsid w:val="00D4456C"/>
    <w:rsid w:val="00D53BB6"/>
    <w:rsid w:val="00D72826"/>
    <w:rsid w:val="00D744ED"/>
    <w:rsid w:val="00D75115"/>
    <w:rsid w:val="00D80041"/>
    <w:rsid w:val="00D87769"/>
    <w:rsid w:val="00D942C2"/>
    <w:rsid w:val="00D96EB7"/>
    <w:rsid w:val="00DA0BD4"/>
    <w:rsid w:val="00DA3488"/>
    <w:rsid w:val="00DA4D3F"/>
    <w:rsid w:val="00DB0BED"/>
    <w:rsid w:val="00DB12AA"/>
    <w:rsid w:val="00DC476D"/>
    <w:rsid w:val="00DF0B54"/>
    <w:rsid w:val="00E0379E"/>
    <w:rsid w:val="00E12DDE"/>
    <w:rsid w:val="00E14734"/>
    <w:rsid w:val="00E165D8"/>
    <w:rsid w:val="00E32842"/>
    <w:rsid w:val="00E334A5"/>
    <w:rsid w:val="00E41CDF"/>
    <w:rsid w:val="00E45AA9"/>
    <w:rsid w:val="00E51BBA"/>
    <w:rsid w:val="00E66418"/>
    <w:rsid w:val="00E739F8"/>
    <w:rsid w:val="00E77C13"/>
    <w:rsid w:val="00E80BF2"/>
    <w:rsid w:val="00E84651"/>
    <w:rsid w:val="00E952A5"/>
    <w:rsid w:val="00EA7793"/>
    <w:rsid w:val="00EC331E"/>
    <w:rsid w:val="00ED2048"/>
    <w:rsid w:val="00EE61E1"/>
    <w:rsid w:val="00EF18C4"/>
    <w:rsid w:val="00F01F85"/>
    <w:rsid w:val="00F06D9C"/>
    <w:rsid w:val="00F177DE"/>
    <w:rsid w:val="00F21DBA"/>
    <w:rsid w:val="00F23DCD"/>
    <w:rsid w:val="00F2744E"/>
    <w:rsid w:val="00F30ADF"/>
    <w:rsid w:val="00F36012"/>
    <w:rsid w:val="00F361A9"/>
    <w:rsid w:val="00F51498"/>
    <w:rsid w:val="00F54C80"/>
    <w:rsid w:val="00F56299"/>
    <w:rsid w:val="00F74112"/>
    <w:rsid w:val="00F75DF1"/>
    <w:rsid w:val="00F94808"/>
    <w:rsid w:val="00FA32FD"/>
    <w:rsid w:val="00FB03B0"/>
    <w:rsid w:val="00FB7EE3"/>
    <w:rsid w:val="00FE4589"/>
    <w:rsid w:val="00FF0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AB7AA1"/>
    <w:pPr>
      <w:ind w:left="720"/>
      <w:contextualSpacing/>
    </w:pPr>
  </w:style>
  <w:style w:type="table" w:styleId="Tablaconcuadrcula">
    <w:name w:val="Table Grid"/>
    <w:basedOn w:val="Tablanormal"/>
    <w:uiPriority w:val="39"/>
    <w:rsid w:val="0013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00F75DF1"/>
    <w:pPr>
      <w:spacing w:after="200" w:line="240" w:lineRule="auto"/>
    </w:pPr>
    <w:rPr>
      <w:i/>
      <w:iCs/>
      <w:color w:val="44546A" w:themeColor="text2"/>
      <w:sz w:val="18"/>
      <w:szCs w:val="18"/>
    </w:rPr>
  </w:style>
  <w:style w:type="paragraph" w:styleId="NormalWeb">
    <w:name w:val="Normal (Web)"/>
    <w:basedOn w:val="Normal"/>
    <w:uiPriority w:val="99"/>
    <w:semiHidden/>
    <w:unhideWhenUsed/>
    <w:rsid w:val="008653B3"/>
  </w:style>
  <w:style w:type="paragraph" w:customStyle="1" w:styleId="xxmsonormal">
    <w:name w:val="x_x_msonormal"/>
    <w:basedOn w:val="Normal"/>
    <w:rsid w:val="004263F5"/>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788111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package" Target="embeddings/Microsoft_Excel_Worksheet1.xlsx"/><Relationship Id="rId26" Type="http://schemas.openxmlformats.org/officeDocument/2006/relationships/package" Target="embeddings/Microsoft_Excel_Worksheet5.xlsx"/><Relationship Id="rId39" Type="http://schemas.openxmlformats.org/officeDocument/2006/relationships/image" Target="media/image19.png"/><Relationship Id="rId21" Type="http://schemas.openxmlformats.org/officeDocument/2006/relationships/image" Target="media/image9.emf"/><Relationship Id="rId34" Type="http://schemas.openxmlformats.org/officeDocument/2006/relationships/image" Target="media/image15.emf"/><Relationship Id="rId42" Type="http://schemas.openxmlformats.org/officeDocument/2006/relationships/image" Target="media/image21.emf"/><Relationship Id="rId47" Type="http://schemas.openxmlformats.org/officeDocument/2006/relationships/image" Target="media/image23.emf"/><Relationship Id="rId50" Type="http://schemas.openxmlformats.org/officeDocument/2006/relationships/footer" Target="footer2.xml"/><Relationship Id="rId55" Type="http://schemas.openxmlformats.org/officeDocument/2006/relationships/package" Target="embeddings/Microsoft_Excel_Worksheet16.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xlsx"/><Relationship Id="rId29" Type="http://schemas.openxmlformats.org/officeDocument/2006/relationships/package" Target="embeddings/Microsoft_Excel_Worksheet7.xlsx"/><Relationship Id="rId11" Type="http://schemas.openxmlformats.org/officeDocument/2006/relationships/image" Target="media/image4.jpeg"/><Relationship Id="rId24" Type="http://schemas.openxmlformats.org/officeDocument/2006/relationships/package" Target="embeddings/Microsoft_Excel_Worksheet4.xlsx"/><Relationship Id="rId32" Type="http://schemas.openxmlformats.org/officeDocument/2006/relationships/image" Target="media/image14.emf"/><Relationship Id="rId37" Type="http://schemas.openxmlformats.org/officeDocument/2006/relationships/image" Target="media/image17.png"/><Relationship Id="rId40" Type="http://schemas.openxmlformats.org/officeDocument/2006/relationships/image" Target="media/image20.emf"/><Relationship Id="rId45" Type="http://schemas.openxmlformats.org/officeDocument/2006/relationships/image" Target="media/image22.emf"/><Relationship Id="rId53" Type="http://schemas.openxmlformats.org/officeDocument/2006/relationships/package" Target="embeddings/Microsoft_Excel_Worksheet15.xlsx"/><Relationship Id="rId58" Type="http://schemas.openxmlformats.org/officeDocument/2006/relationships/image" Target="media/image28.emf"/><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emf"/><Relationship Id="rId14" Type="http://schemas.openxmlformats.org/officeDocument/2006/relationships/chart" Target="charts/chart1.xml"/><Relationship Id="rId22" Type="http://schemas.openxmlformats.org/officeDocument/2006/relationships/package" Target="embeddings/Microsoft_Excel_Worksheet3.xlsx"/><Relationship Id="rId27" Type="http://schemas.openxmlformats.org/officeDocument/2006/relationships/chart" Target="charts/chart2.xml"/><Relationship Id="rId30" Type="http://schemas.openxmlformats.org/officeDocument/2006/relationships/image" Target="media/image13.emf"/><Relationship Id="rId35" Type="http://schemas.openxmlformats.org/officeDocument/2006/relationships/package" Target="embeddings/Microsoft_Excel_Worksheet10.xlsx"/><Relationship Id="rId43" Type="http://schemas.openxmlformats.org/officeDocument/2006/relationships/package" Target="embeddings/Microsoft_Excel_Worksheet12.xlsx"/><Relationship Id="rId48" Type="http://schemas.openxmlformats.org/officeDocument/2006/relationships/package" Target="embeddings/Microsoft_Excel_Worksheet14.xlsx"/><Relationship Id="rId56" Type="http://schemas.openxmlformats.org/officeDocument/2006/relationships/image" Target="media/image27.emf"/><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package" Target="embeddings/Microsoft_Excel_Worksheet9.xlsx"/><Relationship Id="rId38" Type="http://schemas.openxmlformats.org/officeDocument/2006/relationships/image" Target="media/image18.png"/><Relationship Id="rId46" Type="http://schemas.openxmlformats.org/officeDocument/2006/relationships/package" Target="embeddings/Microsoft_Excel_Worksheet13.xlsx"/><Relationship Id="rId59" Type="http://schemas.openxmlformats.org/officeDocument/2006/relationships/package" Target="embeddings/Microsoft_Excel_Worksheet18.xlsx"/><Relationship Id="rId20" Type="http://schemas.openxmlformats.org/officeDocument/2006/relationships/package" Target="embeddings/Microsoft_Excel_Worksheet2.xlsx"/><Relationship Id="rId41" Type="http://schemas.openxmlformats.org/officeDocument/2006/relationships/package" Target="embeddings/Microsoft_Excel_Worksheet11.xlsx"/><Relationship Id="rId54"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image" Target="media/image12.emf"/><Relationship Id="rId36" Type="http://schemas.openxmlformats.org/officeDocument/2006/relationships/image" Target="media/image16.png"/><Relationship Id="rId49" Type="http://schemas.openxmlformats.org/officeDocument/2006/relationships/header" Target="header1.xml"/><Relationship Id="rId57" Type="http://schemas.openxmlformats.org/officeDocument/2006/relationships/package" Target="embeddings/Microsoft_Excel_Worksheet17.xlsx"/><Relationship Id="rId10" Type="http://schemas.openxmlformats.org/officeDocument/2006/relationships/image" Target="media/image3.png"/><Relationship Id="rId31" Type="http://schemas.openxmlformats.org/officeDocument/2006/relationships/package" Target="embeddings/Microsoft_Excel_Worksheet8.xlsx"/><Relationship Id="rId44" Type="http://schemas.openxmlformats.org/officeDocument/2006/relationships/chart" Target="charts/chart3.xml"/><Relationship Id="rId52" Type="http://schemas.openxmlformats.org/officeDocument/2006/relationships/image" Target="media/image25.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4.jpeg"/></Relationships>
</file>

<file path=word/_rels/footer3.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iomel.garcia\Downloads\Teimpo%20Ponderado%20x%20Semana%20oct24-nov25.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omel.garcia\Downloads\Data%20Analisis%202025%20DG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Hoja1!$C$5</c:f>
              <c:strCache>
                <c:ptCount val="1"/>
                <c:pt idx="0">
                  <c:v>Santo Domingo</c:v>
                </c:pt>
              </c:strCache>
            </c:strRef>
          </c:tx>
          <c:spPr>
            <a:ln w="31750" cap="rnd">
              <a:solidFill>
                <a:schemeClr val="accent1"/>
              </a:solidFill>
              <a:round/>
            </a:ln>
            <a:effectLst/>
          </c:spPr>
          <c:marker>
            <c:symbol val="none"/>
          </c:marker>
          <c:val>
            <c:numRef>
              <c:f>Hoja1!$C$12:$C$62</c:f>
            </c:numRef>
          </c:val>
          <c:smooth val="0"/>
          <c:extLst>
            <c:ext xmlns:c16="http://schemas.microsoft.com/office/drawing/2014/chart" uri="{C3380CC4-5D6E-409C-BE32-E72D297353CC}">
              <c16:uniqueId val="{00000000-A6A6-40C0-ADD1-4D7EE2DD6FB2}"/>
            </c:ext>
          </c:extLst>
        </c:ser>
        <c:ser>
          <c:idx val="1"/>
          <c:order val="1"/>
          <c:tx>
            <c:strRef>
              <c:f>Hoja1!$D$5</c:f>
              <c:strCache>
                <c:ptCount val="1"/>
                <c:pt idx="0">
                  <c:v> Zona Metro</c:v>
                </c:pt>
              </c:strCache>
            </c:strRef>
          </c:tx>
          <c:spPr>
            <a:ln w="31750" cap="rnd">
              <a:solidFill>
                <a:srgbClr val="011C50"/>
              </a:solidFill>
              <a:round/>
            </a:ln>
            <a:effectLst/>
          </c:spPr>
          <c:marker>
            <c:symbol val="none"/>
          </c:marker>
          <c:val>
            <c:numRef>
              <c:f>Hoja1!$D$12:$D$62</c:f>
              <c:numCache>
                <c:formatCode>h:mm:ss</c:formatCode>
                <c:ptCount val="51"/>
                <c:pt idx="0">
                  <c:v>1.4456018518518519E-2</c:v>
                </c:pt>
                <c:pt idx="1">
                  <c:v>1.425925925925926E-2</c:v>
                </c:pt>
                <c:pt idx="2">
                  <c:v>1.4178240740740741E-2</c:v>
                </c:pt>
                <c:pt idx="3">
                  <c:v>1.4201388888888888E-2</c:v>
                </c:pt>
                <c:pt idx="4">
                  <c:v>1.5185185185185185E-2</c:v>
                </c:pt>
                <c:pt idx="5">
                  <c:v>1.474537037037037E-2</c:v>
                </c:pt>
                <c:pt idx="6">
                  <c:v>1.4756944444444444E-2</c:v>
                </c:pt>
                <c:pt idx="7">
                  <c:v>1.4849537037037038E-2</c:v>
                </c:pt>
                <c:pt idx="8">
                  <c:v>1.4513888888888889E-2</c:v>
                </c:pt>
                <c:pt idx="9">
                  <c:v>1.3784722222222223E-2</c:v>
                </c:pt>
                <c:pt idx="10">
                  <c:v>1.3668981481481482E-2</c:v>
                </c:pt>
                <c:pt idx="11">
                  <c:v>1.2997685185185185E-2</c:v>
                </c:pt>
                <c:pt idx="12">
                  <c:v>1.2881944444444444E-2</c:v>
                </c:pt>
                <c:pt idx="13">
                  <c:v>1.3148148148148148E-2</c:v>
                </c:pt>
                <c:pt idx="14">
                  <c:v>1.2673611111111111E-2</c:v>
                </c:pt>
                <c:pt idx="15">
                  <c:v>1.2812499999999999E-2</c:v>
                </c:pt>
                <c:pt idx="16">
                  <c:v>1.2175925925925925E-2</c:v>
                </c:pt>
                <c:pt idx="17">
                  <c:v>1.1712962962962963E-2</c:v>
                </c:pt>
                <c:pt idx="18">
                  <c:v>1.1770833333333333E-2</c:v>
                </c:pt>
                <c:pt idx="19">
                  <c:v>1.2129629629629629E-2</c:v>
                </c:pt>
                <c:pt idx="20">
                  <c:v>1.2326388888888888E-2</c:v>
                </c:pt>
                <c:pt idx="21">
                  <c:v>1.2812499999999999E-2</c:v>
                </c:pt>
                <c:pt idx="22">
                  <c:v>1.2233796296296296E-2</c:v>
                </c:pt>
                <c:pt idx="23">
                  <c:v>1.2094907407407407E-2</c:v>
                </c:pt>
                <c:pt idx="24">
                  <c:v>1.1990740740740741E-2</c:v>
                </c:pt>
                <c:pt idx="25">
                  <c:v>1.1574074074074073E-2</c:v>
                </c:pt>
                <c:pt idx="26">
                  <c:v>1.1574074074074073E-2</c:v>
                </c:pt>
                <c:pt idx="27">
                  <c:v>1.1574074074074073E-2</c:v>
                </c:pt>
                <c:pt idx="28">
                  <c:v>1.1724537037037037E-2</c:v>
                </c:pt>
                <c:pt idx="29">
                  <c:v>1.1354166666666667E-2</c:v>
                </c:pt>
                <c:pt idx="30">
                  <c:v>1.1516203703703704E-2</c:v>
                </c:pt>
                <c:pt idx="31">
                  <c:v>1.1967592592592592E-2</c:v>
                </c:pt>
                <c:pt idx="32">
                  <c:v>1.1840277777777778E-2</c:v>
                </c:pt>
                <c:pt idx="33">
                  <c:v>1.1851851851851851E-2</c:v>
                </c:pt>
                <c:pt idx="34">
                  <c:v>1.2013888888888888E-2</c:v>
                </c:pt>
                <c:pt idx="35">
                  <c:v>1.2210648148148148E-2</c:v>
                </c:pt>
                <c:pt idx="36">
                  <c:v>1.2534722222222221E-2</c:v>
                </c:pt>
                <c:pt idx="37">
                  <c:v>1.3252314814814814E-2</c:v>
                </c:pt>
                <c:pt idx="38">
                  <c:v>1.2604166666666666E-2</c:v>
                </c:pt>
                <c:pt idx="39">
                  <c:v>1.2280092592592592E-2</c:v>
                </c:pt>
                <c:pt idx="40">
                  <c:v>1.2581018518518519E-2</c:v>
                </c:pt>
                <c:pt idx="41">
                  <c:v>1.2337962962962964E-2</c:v>
                </c:pt>
                <c:pt idx="42">
                  <c:v>1.1944444444444445E-2</c:v>
                </c:pt>
                <c:pt idx="43">
                  <c:v>1.2407407407407407E-2</c:v>
                </c:pt>
                <c:pt idx="44">
                  <c:v>1.2673611111111111E-2</c:v>
                </c:pt>
                <c:pt idx="45">
                  <c:v>1.2627314814814815E-2</c:v>
                </c:pt>
                <c:pt idx="46">
                  <c:v>1.2476851851851852E-2</c:v>
                </c:pt>
                <c:pt idx="47">
                  <c:v>1.1921296296296296E-2</c:v>
                </c:pt>
                <c:pt idx="48">
                  <c:v>1.2060185185185186E-2</c:v>
                </c:pt>
                <c:pt idx="49">
                  <c:v>1.2106481481481482E-2</c:v>
                </c:pt>
                <c:pt idx="50">
                  <c:v>1.2037037037037037E-2</c:v>
                </c:pt>
              </c:numCache>
            </c:numRef>
          </c:val>
          <c:smooth val="0"/>
          <c:extLst>
            <c:ext xmlns:c16="http://schemas.microsoft.com/office/drawing/2014/chart" uri="{C3380CC4-5D6E-409C-BE32-E72D297353CC}">
              <c16:uniqueId val="{00000001-A6A6-40C0-ADD1-4D7EE2DD6FB2}"/>
            </c:ext>
          </c:extLst>
        </c:ser>
        <c:dLbls>
          <c:showLegendKey val="0"/>
          <c:showVal val="0"/>
          <c:showCatName val="0"/>
          <c:showSerName val="0"/>
          <c:showPercent val="0"/>
          <c:showBubbleSize val="0"/>
        </c:dLbls>
        <c:smooth val="0"/>
        <c:axId val="1580118511"/>
        <c:axId val="1580116111"/>
      </c:lineChart>
      <c:catAx>
        <c:axId val="1580118511"/>
        <c:scaling>
          <c:orientation val="minMax"/>
        </c:scaling>
        <c:delete val="1"/>
        <c:axPos val="b"/>
        <c:majorTickMark val="out"/>
        <c:minorTickMark val="none"/>
        <c:tickLblPos val="nextTo"/>
        <c:crossAx val="1580116111"/>
        <c:crosses val="autoZero"/>
        <c:auto val="1"/>
        <c:lblAlgn val="ctr"/>
        <c:lblOffset val="100"/>
        <c:noMultiLvlLbl val="0"/>
      </c:catAx>
      <c:valAx>
        <c:axId val="1580116111"/>
        <c:scaling>
          <c:orientation val="minMax"/>
          <c:min val="8.0000000000000019E-3"/>
        </c:scaling>
        <c:delete val="0"/>
        <c:axPos val="l"/>
        <c:majorGridlines>
          <c:spPr>
            <a:ln w="9525" cap="flat" cmpd="sng" algn="ctr">
              <a:solidFill>
                <a:schemeClr val="tx2">
                  <a:lumMod val="15000"/>
                  <a:lumOff val="85000"/>
                </a:schemeClr>
              </a:solidFill>
              <a:round/>
            </a:ln>
            <a:effectLst/>
          </c:spPr>
        </c:majorGridlines>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158011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FINAN!$K$8:$K$10</c:f>
              <c:strCache>
                <c:ptCount val="3"/>
                <c:pt idx="0">
                  <c:v>MiPymes</c:v>
                </c:pt>
                <c:pt idx="1">
                  <c:v>MiPymes Mujer</c:v>
                </c:pt>
                <c:pt idx="2">
                  <c:v>No MiPymes</c:v>
                </c:pt>
              </c:strCache>
            </c:strRef>
          </c:cat>
          <c:val>
            <c:numRef>
              <c:f>FINAN!$L$8:$L$10</c:f>
              <c:numCache>
                <c:formatCode>#,##0.00</c:formatCode>
                <c:ptCount val="3"/>
                <c:pt idx="0">
                  <c:v>19.02</c:v>
                </c:pt>
                <c:pt idx="1">
                  <c:v>6.96</c:v>
                </c:pt>
                <c:pt idx="2">
                  <c:v>74.02</c:v>
                </c:pt>
              </c:numCache>
            </c:numRef>
          </c:val>
          <c:extLst>
            <c:ext xmlns:c16="http://schemas.microsoft.com/office/drawing/2014/chart" uri="{C3380CC4-5D6E-409C-BE32-E72D297353CC}">
              <c16:uniqueId val="{00000000-6CF5-408F-96FE-3B0AFF767B72}"/>
            </c:ext>
          </c:extLst>
        </c:ser>
        <c:dLbls>
          <c:dLblPos val="outEnd"/>
          <c:showLegendKey val="0"/>
          <c:showVal val="1"/>
          <c:showCatName val="0"/>
          <c:showSerName val="0"/>
          <c:showPercent val="0"/>
          <c:showBubbleSize val="0"/>
        </c:dLbls>
        <c:gapWidth val="219"/>
        <c:overlap val="-27"/>
        <c:axId val="1905515823"/>
        <c:axId val="1905517743"/>
      </c:barChart>
      <c:catAx>
        <c:axId val="1905515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1905517743"/>
        <c:crosses val="autoZero"/>
        <c:auto val="1"/>
        <c:lblAlgn val="ctr"/>
        <c:lblOffset val="100"/>
        <c:noMultiLvlLbl val="0"/>
      </c:catAx>
      <c:valAx>
        <c:axId val="19055177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5515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'!$A$4</c:f>
              <c:strCache>
                <c:ptCount val="1"/>
                <c:pt idx="0">
                  <c:v>Enero</c:v>
                </c:pt>
              </c:strCache>
            </c:strRef>
          </c:tx>
          <c:spPr>
            <a:solidFill>
              <a:srgbClr val="011C50"/>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'!$B$4:$E$4</c:f>
              <c:numCache>
                <c:formatCode>0%</c:formatCode>
                <c:ptCount val="4"/>
                <c:pt idx="0">
                  <c:v>0.85</c:v>
                </c:pt>
                <c:pt idx="1">
                  <c:v>0.72</c:v>
                </c:pt>
                <c:pt idx="2">
                  <c:v>0.89</c:v>
                </c:pt>
                <c:pt idx="3">
                  <c:v>0.94</c:v>
                </c:pt>
              </c:numCache>
            </c:numRef>
          </c:val>
          <c:extLst>
            <c:ext xmlns:c16="http://schemas.microsoft.com/office/drawing/2014/chart" uri="{C3380CC4-5D6E-409C-BE32-E72D297353CC}">
              <c16:uniqueId val="{00000000-84DB-4B37-87D4-4460C6FD0D0C}"/>
            </c:ext>
          </c:extLst>
        </c:ser>
        <c:ser>
          <c:idx val="1"/>
          <c:order val="1"/>
          <c:tx>
            <c:strRef>
              <c:f>'Satisfacción '!$A$5</c:f>
              <c:strCache>
                <c:ptCount val="1"/>
                <c:pt idx="0">
                  <c:v>Febrero</c:v>
                </c:pt>
              </c:strCache>
            </c:strRef>
          </c:tx>
          <c:spPr>
            <a:solidFill>
              <a:srgbClr val="D9D9D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'!$B$5:$E$5</c:f>
              <c:numCache>
                <c:formatCode>0%</c:formatCode>
                <c:ptCount val="4"/>
                <c:pt idx="0">
                  <c:v>0.86</c:v>
                </c:pt>
                <c:pt idx="1">
                  <c:v>0.71</c:v>
                </c:pt>
                <c:pt idx="2">
                  <c:v>0.9</c:v>
                </c:pt>
                <c:pt idx="3">
                  <c:v>0.94</c:v>
                </c:pt>
              </c:numCache>
            </c:numRef>
          </c:val>
          <c:extLst>
            <c:ext xmlns:c16="http://schemas.microsoft.com/office/drawing/2014/chart" uri="{C3380CC4-5D6E-409C-BE32-E72D297353CC}">
              <c16:uniqueId val="{00000001-84DB-4B37-87D4-4460C6FD0D0C}"/>
            </c:ext>
          </c:extLst>
        </c:ser>
        <c:ser>
          <c:idx val="2"/>
          <c:order val="2"/>
          <c:tx>
            <c:strRef>
              <c:f>'Satisfacción '!$A$6</c:f>
              <c:strCache>
                <c:ptCount val="1"/>
                <c:pt idx="0">
                  <c:v>Marzo</c:v>
                </c:pt>
              </c:strCache>
            </c:strRef>
          </c:tx>
          <c:spPr>
            <a:solidFill>
              <a:srgbClr val="436EBE"/>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'!$B$6:$E$6</c:f>
              <c:numCache>
                <c:formatCode>0%</c:formatCode>
                <c:ptCount val="4"/>
                <c:pt idx="0">
                  <c:v>0.89</c:v>
                </c:pt>
                <c:pt idx="1">
                  <c:v>0.75</c:v>
                </c:pt>
                <c:pt idx="2">
                  <c:v>0.91</c:v>
                </c:pt>
                <c:pt idx="3">
                  <c:v>0.95</c:v>
                </c:pt>
              </c:numCache>
            </c:numRef>
          </c:val>
          <c:extLst>
            <c:ext xmlns:c16="http://schemas.microsoft.com/office/drawing/2014/chart" uri="{C3380CC4-5D6E-409C-BE32-E72D297353CC}">
              <c16:uniqueId val="{00000002-84DB-4B37-87D4-4460C6FD0D0C}"/>
            </c:ext>
          </c:extLst>
        </c:ser>
        <c:ser>
          <c:idx val="3"/>
          <c:order val="3"/>
          <c:tx>
            <c:strRef>
              <c:f>'Satisfacción '!$A$7</c:f>
              <c:strCache>
                <c:ptCount val="1"/>
                <c:pt idx="0">
                  <c:v>Abril</c:v>
                </c:pt>
              </c:strCache>
            </c:strRef>
          </c:tx>
          <c:spPr>
            <a:solidFill>
              <a:srgbClr val="00ADDD"/>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'!$B$7:$E$7</c:f>
              <c:numCache>
                <c:formatCode>0%</c:formatCode>
                <c:ptCount val="4"/>
                <c:pt idx="0">
                  <c:v>0.9</c:v>
                </c:pt>
                <c:pt idx="1">
                  <c:v>0.78</c:v>
                </c:pt>
                <c:pt idx="2">
                  <c:v>0.91</c:v>
                </c:pt>
                <c:pt idx="3">
                  <c:v>0.96</c:v>
                </c:pt>
              </c:numCache>
            </c:numRef>
          </c:val>
          <c:extLst>
            <c:ext xmlns:c16="http://schemas.microsoft.com/office/drawing/2014/chart" uri="{C3380CC4-5D6E-409C-BE32-E72D297353CC}">
              <c16:uniqueId val="{00000003-84DB-4B37-87D4-4460C6FD0D0C}"/>
            </c:ext>
          </c:extLst>
        </c:ser>
        <c:ser>
          <c:idx val="4"/>
          <c:order val="4"/>
          <c:tx>
            <c:strRef>
              <c:f>'Satisfacción '!$A$8</c:f>
              <c:strCache>
                <c:ptCount val="1"/>
                <c:pt idx="0">
                  <c:v>Mayo</c:v>
                </c:pt>
              </c:strCache>
            </c:strRef>
          </c:tx>
          <c:spPr>
            <a:solidFill>
              <a:srgbClr val="7D858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'!$B$8:$E$8</c:f>
              <c:numCache>
                <c:formatCode>0%</c:formatCode>
                <c:ptCount val="4"/>
                <c:pt idx="0">
                  <c:v>0.9</c:v>
                </c:pt>
                <c:pt idx="1">
                  <c:v>0.74</c:v>
                </c:pt>
                <c:pt idx="2">
                  <c:v>0.9</c:v>
                </c:pt>
                <c:pt idx="3">
                  <c:v>0.95</c:v>
                </c:pt>
              </c:numCache>
            </c:numRef>
          </c:val>
          <c:extLst>
            <c:ext xmlns:c16="http://schemas.microsoft.com/office/drawing/2014/chart" uri="{C3380CC4-5D6E-409C-BE32-E72D297353CC}">
              <c16:uniqueId val="{00000004-84DB-4B37-87D4-4460C6FD0D0C}"/>
            </c:ext>
          </c:extLst>
        </c:ser>
        <c:ser>
          <c:idx val="5"/>
          <c:order val="5"/>
          <c:tx>
            <c:strRef>
              <c:f>'Satisfacción '!$A$9</c:f>
              <c:strCache>
                <c:ptCount val="1"/>
                <c:pt idx="0">
                  <c:v>Junio</c:v>
                </c:pt>
              </c:strCache>
            </c:strRef>
          </c:tx>
          <c:spPr>
            <a:solidFill>
              <a:srgbClr val="142F62"/>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'!$B$9:$E$9</c:f>
              <c:numCache>
                <c:formatCode>0%</c:formatCode>
                <c:ptCount val="4"/>
                <c:pt idx="0">
                  <c:v>0.88</c:v>
                </c:pt>
                <c:pt idx="1">
                  <c:v>0.75</c:v>
                </c:pt>
                <c:pt idx="2">
                  <c:v>0.89</c:v>
                </c:pt>
                <c:pt idx="3">
                  <c:v>0.94</c:v>
                </c:pt>
              </c:numCache>
            </c:numRef>
          </c:val>
          <c:extLst>
            <c:ext xmlns:c16="http://schemas.microsoft.com/office/drawing/2014/chart" uri="{C3380CC4-5D6E-409C-BE32-E72D297353CC}">
              <c16:uniqueId val="{00000005-84DB-4B37-87D4-4460C6FD0D0C}"/>
            </c:ext>
          </c:extLst>
        </c:ser>
        <c:ser>
          <c:idx val="6"/>
          <c:order val="6"/>
          <c:tx>
            <c:strRef>
              <c:f>'Satisfacción '!$A$10</c:f>
              <c:strCache>
                <c:ptCount val="1"/>
                <c:pt idx="0">
                  <c:v>Julio</c:v>
                </c:pt>
              </c:strCache>
            </c:strRef>
          </c:tx>
          <c:spPr>
            <a:solidFill>
              <a:srgbClr val="47A8EA"/>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'!$B$10:$E$10</c:f>
              <c:numCache>
                <c:formatCode>0%</c:formatCode>
                <c:ptCount val="4"/>
                <c:pt idx="0">
                  <c:v>0.89</c:v>
                </c:pt>
                <c:pt idx="1">
                  <c:v>0.75</c:v>
                </c:pt>
                <c:pt idx="2">
                  <c:v>0.91</c:v>
                </c:pt>
                <c:pt idx="3">
                  <c:v>0.97</c:v>
                </c:pt>
              </c:numCache>
            </c:numRef>
          </c:val>
          <c:extLst>
            <c:ext xmlns:c16="http://schemas.microsoft.com/office/drawing/2014/chart" uri="{C3380CC4-5D6E-409C-BE32-E72D297353CC}">
              <c16:uniqueId val="{00000006-84DB-4B37-87D4-4460C6FD0D0C}"/>
            </c:ext>
          </c:extLst>
        </c:ser>
        <c:ser>
          <c:idx val="7"/>
          <c:order val="7"/>
          <c:tx>
            <c:strRef>
              <c:f>'Satisfacción '!$A$11</c:f>
              <c:strCache>
                <c:ptCount val="1"/>
                <c:pt idx="0">
                  <c:v>Agosto</c:v>
                </c:pt>
              </c:strCache>
            </c:strRef>
          </c:tx>
          <c:spPr>
            <a:solidFill>
              <a:srgbClr val="FFDE59"/>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'!$B$11:$E$11</c:f>
              <c:numCache>
                <c:formatCode>0%</c:formatCode>
                <c:ptCount val="4"/>
                <c:pt idx="0">
                  <c:v>0.9</c:v>
                </c:pt>
                <c:pt idx="1">
                  <c:v>0.75</c:v>
                </c:pt>
                <c:pt idx="2">
                  <c:v>0.92</c:v>
                </c:pt>
                <c:pt idx="3">
                  <c:v>0.95</c:v>
                </c:pt>
              </c:numCache>
            </c:numRef>
          </c:val>
          <c:extLst>
            <c:ext xmlns:c16="http://schemas.microsoft.com/office/drawing/2014/chart" uri="{C3380CC4-5D6E-409C-BE32-E72D297353CC}">
              <c16:uniqueId val="{00000007-84DB-4B37-87D4-4460C6FD0D0C}"/>
            </c:ext>
          </c:extLst>
        </c:ser>
        <c:ser>
          <c:idx val="8"/>
          <c:order val="8"/>
          <c:tx>
            <c:strRef>
              <c:f>'Satisfacción '!$A$12</c:f>
              <c:strCache>
                <c:ptCount val="1"/>
                <c:pt idx="0">
                  <c:v>Septiembre</c:v>
                </c:pt>
              </c:strCache>
            </c:strRef>
          </c:tx>
          <c:spPr>
            <a:solidFill>
              <a:srgbClr val="EE2A24"/>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'!$B$12:$E$12</c:f>
              <c:numCache>
                <c:formatCode>0%</c:formatCode>
                <c:ptCount val="4"/>
                <c:pt idx="0">
                  <c:v>0.89</c:v>
                </c:pt>
                <c:pt idx="1">
                  <c:v>0.73</c:v>
                </c:pt>
                <c:pt idx="2">
                  <c:v>0.93</c:v>
                </c:pt>
                <c:pt idx="3">
                  <c:v>0.96</c:v>
                </c:pt>
              </c:numCache>
            </c:numRef>
          </c:val>
          <c:extLst>
            <c:ext xmlns:c16="http://schemas.microsoft.com/office/drawing/2014/chart" uri="{C3380CC4-5D6E-409C-BE32-E72D297353CC}">
              <c16:uniqueId val="{00000008-84DB-4B37-87D4-4460C6FD0D0C}"/>
            </c:ext>
          </c:extLst>
        </c:ser>
        <c:ser>
          <c:idx val="9"/>
          <c:order val="9"/>
          <c:tx>
            <c:strRef>
              <c:f>'Satisfacción '!$A$13</c:f>
              <c:strCache>
                <c:ptCount val="1"/>
                <c:pt idx="0">
                  <c:v>Octubre</c:v>
                </c:pt>
              </c:strCache>
            </c:strRef>
          </c:tx>
          <c:spPr>
            <a:solidFill>
              <a:srgbClr val="00ADDD"/>
            </a:solidFill>
            <a:ln>
              <a:noFill/>
            </a:ln>
            <a:effectLst/>
          </c:spPr>
          <c:invertIfNegative val="0"/>
          <c:cat>
            <c:strRef>
              <c:f>'Satisfacción '!$B$3:$E$3</c:f>
              <c:strCache>
                <c:ptCount val="4"/>
                <c:pt idx="0">
                  <c:v>Satisfacción Global</c:v>
                </c:pt>
                <c:pt idx="1">
                  <c:v>Velocidad Respuesta</c:v>
                </c:pt>
                <c:pt idx="2">
                  <c:v>Conoc. Respuesta</c:v>
                </c:pt>
                <c:pt idx="3">
                  <c:v>Trato Respuesta</c:v>
                </c:pt>
              </c:strCache>
            </c:strRef>
          </c:cat>
          <c:val>
            <c:numRef>
              <c:f>'Satisfacción '!$B$13:$E$13</c:f>
              <c:numCache>
                <c:formatCode>0%</c:formatCode>
                <c:ptCount val="4"/>
                <c:pt idx="0">
                  <c:v>0.9</c:v>
                </c:pt>
                <c:pt idx="1">
                  <c:v>0.76</c:v>
                </c:pt>
                <c:pt idx="2">
                  <c:v>0.91</c:v>
                </c:pt>
                <c:pt idx="3">
                  <c:v>0.96</c:v>
                </c:pt>
              </c:numCache>
            </c:numRef>
          </c:val>
          <c:extLst>
            <c:ext xmlns:c16="http://schemas.microsoft.com/office/drawing/2014/chart" uri="{C3380CC4-5D6E-409C-BE32-E72D297353CC}">
              <c16:uniqueId val="{00000009-84DB-4B37-87D4-4460C6FD0D0C}"/>
            </c:ext>
          </c:extLst>
        </c:ser>
        <c:dLbls>
          <c:showLegendKey val="0"/>
          <c:showVal val="0"/>
          <c:showCatName val="0"/>
          <c:showSerName val="0"/>
          <c:showPercent val="0"/>
          <c:showBubbleSize val="0"/>
        </c:dLbls>
        <c:gapWidth val="219"/>
        <c:overlap val="-27"/>
        <c:axId val="1388988112"/>
        <c:axId val="1388988592"/>
      </c:barChart>
      <c:catAx>
        <c:axId val="13889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8988592"/>
        <c:crosses val="autoZero"/>
        <c:auto val="1"/>
        <c:lblAlgn val="ctr"/>
        <c:lblOffset val="100"/>
        <c:noMultiLvlLbl val="0"/>
      </c:catAx>
      <c:valAx>
        <c:axId val="1388988592"/>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8988112"/>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0.03994</cdr:x>
      <cdr:y>0.84588</cdr:y>
    </cdr:from>
    <cdr:to>
      <cdr:x>0.21247</cdr:x>
      <cdr:y>0.97728</cdr:y>
    </cdr:to>
    <cdr:sp macro="" textlink="">
      <cdr:nvSpPr>
        <cdr:cNvPr id="2" name="Rectángulo 1">
          <a:extLst xmlns:a="http://schemas.openxmlformats.org/drawingml/2006/main">
            <a:ext uri="{FF2B5EF4-FFF2-40B4-BE49-F238E27FC236}">
              <a16:creationId xmlns:a16="http://schemas.microsoft.com/office/drawing/2014/main" id="{27B7D5F0-4296-C447-37D2-123623B8BFF6}"/>
            </a:ext>
          </a:extLst>
        </cdr:cNvPr>
        <cdr:cNvSpPr/>
      </cdr:nvSpPr>
      <cdr:spPr>
        <a:xfrm xmlns:a="http://schemas.openxmlformats.org/drawingml/2006/main">
          <a:off x="200842" y="1962150"/>
          <a:ext cx="867688" cy="304799"/>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en-US" sz="900" kern="1200">
              <a:solidFill>
                <a:srgbClr val="767171"/>
              </a:solidFill>
              <a:latin typeface="Times New Roman" panose="02020603050405020304" pitchFamily="18" charset="0"/>
              <a:cs typeface="Times New Roman" panose="02020603050405020304" pitchFamily="18" charset="0"/>
            </a:rPr>
            <a:t>Dic</a:t>
          </a:r>
          <a:r>
            <a:rPr lang="en-US" sz="900" kern="1200" baseline="0">
              <a:solidFill>
                <a:srgbClr val="767171"/>
              </a:solidFill>
              <a:latin typeface="Times New Roman" panose="02020603050405020304" pitchFamily="18" charset="0"/>
              <a:cs typeface="Times New Roman" panose="02020603050405020304" pitchFamily="18" charset="0"/>
            </a:rPr>
            <a:t> </a:t>
          </a:r>
          <a:r>
            <a:rPr lang="en-US" sz="900" kern="1200">
              <a:solidFill>
                <a:srgbClr val="767171"/>
              </a:solidFill>
              <a:latin typeface="Times New Roman" panose="02020603050405020304" pitchFamily="18" charset="0"/>
              <a:cs typeface="Times New Roman" panose="02020603050405020304" pitchFamily="18" charset="0"/>
            </a:rPr>
            <a:t>2024</a:t>
          </a:r>
        </a:p>
      </cdr:txBody>
    </cdr:sp>
  </cdr:relSizeAnchor>
  <cdr:relSizeAnchor xmlns:cdr="http://schemas.openxmlformats.org/drawingml/2006/chartDrawing">
    <cdr:from>
      <cdr:x>0.85038</cdr:x>
      <cdr:y>0.83356</cdr:y>
    </cdr:from>
    <cdr:to>
      <cdr:x>0.99242</cdr:x>
      <cdr:y>0.9343</cdr:y>
    </cdr:to>
    <cdr:sp macro="" textlink="">
      <cdr:nvSpPr>
        <cdr:cNvPr id="3" name="Rectángulo 2">
          <a:extLst xmlns:a="http://schemas.openxmlformats.org/drawingml/2006/main">
            <a:ext uri="{FF2B5EF4-FFF2-40B4-BE49-F238E27FC236}">
              <a16:creationId xmlns:a16="http://schemas.microsoft.com/office/drawing/2014/main" id="{4E18F612-806F-E1F2-73AF-9C8AA52A8C2F}"/>
            </a:ext>
          </a:extLst>
        </cdr:cNvPr>
        <cdr:cNvSpPr/>
      </cdr:nvSpPr>
      <cdr:spPr>
        <a:xfrm xmlns:a="http://schemas.openxmlformats.org/drawingml/2006/main">
          <a:off x="4276725" y="1933575"/>
          <a:ext cx="714375" cy="23368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solidFill>
                <a:srgbClr val="767171"/>
              </a:solidFill>
              <a:effectLst/>
              <a:latin typeface="Times New Roman" panose="02020603050405020304" pitchFamily="18" charset="0"/>
              <a:ea typeface="+mn-ea"/>
              <a:cs typeface="Times New Roman" panose="02020603050405020304" pitchFamily="18" charset="0"/>
            </a:rPr>
            <a:t>Dic</a:t>
          </a:r>
          <a:r>
            <a:rPr lang="en-US" sz="900" kern="1200">
              <a:solidFill>
                <a:srgbClr val="767171"/>
              </a:solidFill>
              <a:latin typeface="Times New Roman" panose="02020603050405020304" pitchFamily="18" charset="0"/>
              <a:cs typeface="Times New Roman" panose="02020603050405020304" pitchFamily="18" charset="0"/>
            </a:rPr>
            <a:t> 2025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66</Pages>
  <Words>11496</Words>
  <Characters>65530</Characters>
  <Application>Microsoft Office Word</Application>
  <DocSecurity>0</DocSecurity>
  <Lines>546</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Diomel A. Garcia G.</cp:lastModifiedBy>
  <cp:revision>11</cp:revision>
  <cp:lastPrinted>2025-12-17T15:18:00Z</cp:lastPrinted>
  <dcterms:created xsi:type="dcterms:W3CDTF">2025-12-17T20:34:00Z</dcterms:created>
  <dcterms:modified xsi:type="dcterms:W3CDTF">2025-12-23T01:42:00Z</dcterms:modified>
</cp:coreProperties>
</file>